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4CFBD" w14:textId="4758EAF0" w:rsidR="0F79C9EB" w:rsidRPr="0096632F" w:rsidRDefault="5E6A5E66" w:rsidP="00FD7A9E">
      <w:pPr>
        <w:pStyle w:val="Tablenormal0"/>
        <w:rPr>
          <w:rFonts w:ascii="Arial" w:hAnsi="Arial" w:cs="Arial"/>
          <w:b/>
          <w:bCs/>
          <w:color w:val="3B5D1E" w:themeColor="accent4" w:themeShade="BF"/>
          <w:sz w:val="44"/>
          <w:szCs w:val="44"/>
        </w:rPr>
      </w:pPr>
      <w:r w:rsidRPr="0096632F">
        <w:rPr>
          <w:rFonts w:ascii="Arial" w:hAnsi="Arial" w:cs="Arial"/>
          <w:b/>
          <w:bCs/>
          <w:color w:val="3B5D1E" w:themeColor="accent4" w:themeShade="BF"/>
          <w:sz w:val="44"/>
          <w:szCs w:val="44"/>
        </w:rPr>
        <w:t xml:space="preserve">Wāhanga 2: </w:t>
      </w:r>
      <w:r w:rsidR="00D668D0" w:rsidRPr="0096632F">
        <w:rPr>
          <w:rFonts w:ascii="Arial" w:hAnsi="Arial" w:cs="Arial"/>
          <w:b/>
          <w:bCs/>
          <w:color w:val="3B5D1E" w:themeColor="accent4" w:themeShade="BF"/>
          <w:sz w:val="44"/>
          <w:szCs w:val="44"/>
        </w:rPr>
        <w:t xml:space="preserve">He auhi nō te puku </w:t>
      </w:r>
    </w:p>
    <w:p w14:paraId="3B5C949F" w14:textId="77777777" w:rsidR="00FD7A9E" w:rsidRPr="0096632F" w:rsidRDefault="00FD7A9E" w:rsidP="00FD7A9E">
      <w:pPr>
        <w:pStyle w:val="Tablenormal0"/>
        <w:rPr>
          <w:rFonts w:ascii="Arial" w:hAnsi="Arial" w:cs="Arial"/>
          <w:b/>
          <w:bCs/>
          <w:color w:val="3B5D1E" w:themeColor="accent4" w:themeShade="BF"/>
          <w:sz w:val="44"/>
          <w:szCs w:val="44"/>
        </w:rPr>
      </w:pPr>
      <w:bookmarkStart w:id="0" w:name="_Hlk124323669"/>
    </w:p>
    <w:p w14:paraId="2F64D048" w14:textId="4C2ED2DF" w:rsidR="00625A18" w:rsidRPr="0096632F" w:rsidRDefault="00CF5475" w:rsidP="00FD7A9E">
      <w:pPr>
        <w:pStyle w:val="Tablenormal0"/>
        <w:rPr>
          <w:rFonts w:ascii="Arial" w:hAnsi="Arial" w:cs="Arial"/>
          <w:b/>
          <w:bCs/>
          <w:color w:val="3B5D1E" w:themeColor="accent4" w:themeShade="BF"/>
          <w:sz w:val="44"/>
          <w:szCs w:val="44"/>
        </w:rPr>
      </w:pPr>
      <w:r w:rsidRPr="0096632F">
        <w:rPr>
          <w:rFonts w:ascii="Arial" w:hAnsi="Arial" w:cs="Arial"/>
          <w:b/>
          <w:bCs/>
          <w:color w:val="3B5D1E" w:themeColor="accent4" w:themeShade="BF"/>
          <w:sz w:val="44"/>
          <w:szCs w:val="44"/>
        </w:rPr>
        <w:t>Part</w:t>
      </w:r>
      <w:r w:rsidR="003147D2" w:rsidRPr="0096632F">
        <w:rPr>
          <w:rFonts w:ascii="Arial" w:hAnsi="Arial" w:cs="Arial"/>
          <w:b/>
          <w:bCs/>
          <w:color w:val="3B5D1E" w:themeColor="accent4" w:themeShade="BF"/>
          <w:sz w:val="44"/>
          <w:szCs w:val="44"/>
        </w:rPr>
        <w:t xml:space="preserve"> </w:t>
      </w:r>
      <w:r w:rsidR="6A7DD1B5" w:rsidRPr="0096632F">
        <w:rPr>
          <w:rFonts w:ascii="Arial" w:hAnsi="Arial" w:cs="Arial"/>
          <w:b/>
          <w:bCs/>
          <w:color w:val="3B5D1E" w:themeColor="accent4" w:themeShade="BF"/>
          <w:sz w:val="44"/>
          <w:szCs w:val="44"/>
        </w:rPr>
        <w:t>2</w:t>
      </w:r>
      <w:r w:rsidR="006C52BA" w:rsidRPr="0096632F">
        <w:rPr>
          <w:rFonts w:ascii="Arial" w:hAnsi="Arial" w:cs="Arial"/>
          <w:b/>
          <w:bCs/>
          <w:color w:val="3B5D1E" w:themeColor="accent4" w:themeShade="BF"/>
          <w:sz w:val="44"/>
          <w:szCs w:val="44"/>
        </w:rPr>
        <w:t>:</w:t>
      </w:r>
      <w:r w:rsidR="00721391" w:rsidRPr="0096632F">
        <w:rPr>
          <w:rFonts w:ascii="Arial" w:hAnsi="Arial" w:cs="Arial"/>
          <w:b/>
          <w:bCs/>
          <w:color w:val="3B5D1E" w:themeColor="accent4" w:themeShade="BF"/>
          <w:sz w:val="44"/>
          <w:szCs w:val="44"/>
        </w:rPr>
        <w:t xml:space="preserve"> </w:t>
      </w:r>
      <w:r w:rsidR="154F2706" w:rsidRPr="0096632F">
        <w:rPr>
          <w:rFonts w:ascii="Arial" w:hAnsi="Arial" w:cs="Arial"/>
          <w:b/>
          <w:bCs/>
          <w:color w:val="3B5D1E" w:themeColor="accent4" w:themeShade="BF"/>
          <w:sz w:val="44"/>
          <w:szCs w:val="44"/>
        </w:rPr>
        <w:t>C</w:t>
      </w:r>
      <w:r w:rsidR="51DCFE46" w:rsidRPr="0096632F">
        <w:rPr>
          <w:rFonts w:ascii="Arial" w:hAnsi="Arial" w:cs="Arial"/>
          <w:b/>
          <w:bCs/>
          <w:color w:val="3B5D1E" w:themeColor="accent4" w:themeShade="BF"/>
          <w:sz w:val="44"/>
          <w:szCs w:val="44"/>
        </w:rPr>
        <w:t>ontext</w:t>
      </w:r>
    </w:p>
    <w:p w14:paraId="104AA40E" w14:textId="77777777" w:rsidR="00625A18" w:rsidRPr="009B7215" w:rsidRDefault="00625A18" w:rsidP="009B7215">
      <w:pPr>
        <w:keepLines w:val="0"/>
        <w:widowControl w:val="0"/>
        <w:rPr>
          <w:rFonts w:ascii="Arial" w:hAnsi="Arial" w:cs="Arial"/>
          <w:color w:val="4F7D29" w:themeColor="accent4"/>
        </w:rPr>
      </w:pPr>
    </w:p>
    <w:p w14:paraId="654B8903" w14:textId="1698D3F9" w:rsidR="00BE6E41" w:rsidRPr="00C162EF" w:rsidRDefault="00625A18" w:rsidP="000B0EAF">
      <w:pPr>
        <w:pStyle w:val="BodyText"/>
        <w:rPr>
          <w:rFonts w:ascii="Arial" w:hAnsi="Arial" w:cs="Arial"/>
          <w:color w:val="4F7D29"/>
        </w:rPr>
      </w:pPr>
      <w:r w:rsidRPr="00C162EF">
        <w:rPr>
          <w:rFonts w:ascii="Arial" w:hAnsi="Arial" w:cs="Arial"/>
          <w:color w:val="4F7D29"/>
        </w:rPr>
        <w:t>THROUGH PAIN AND TRAUMA, FROM DARKNESS TO LIGHT</w:t>
      </w:r>
    </w:p>
    <w:p w14:paraId="72F7F149" w14:textId="77777777" w:rsidR="00C125AE" w:rsidRDefault="00C125AE" w:rsidP="00B71C17">
      <w:pPr>
        <w:keepLines w:val="0"/>
        <w:widowControl w:val="0"/>
        <w:rPr>
          <w:rFonts w:ascii="Arial" w:hAnsi="Arial" w:cs="Arial"/>
          <w:color w:val="4F7D29" w:themeColor="accent4"/>
        </w:rPr>
      </w:pPr>
    </w:p>
    <w:p w14:paraId="2033BE0B" w14:textId="77777777" w:rsidR="00C125AE" w:rsidRDefault="00C125AE" w:rsidP="00B71C17">
      <w:pPr>
        <w:keepLines w:val="0"/>
        <w:widowControl w:val="0"/>
        <w:rPr>
          <w:rFonts w:ascii="Arial" w:hAnsi="Arial" w:cs="Arial"/>
          <w:color w:val="4F7D29" w:themeColor="accent4"/>
        </w:rPr>
      </w:pPr>
    </w:p>
    <w:p w14:paraId="5199324A" w14:textId="77777777" w:rsidR="00C125AE" w:rsidRDefault="00C125AE" w:rsidP="00B71C17">
      <w:pPr>
        <w:keepLines w:val="0"/>
        <w:widowControl w:val="0"/>
        <w:rPr>
          <w:rFonts w:ascii="Arial" w:hAnsi="Arial" w:cs="Arial"/>
          <w:color w:val="4F7D29" w:themeColor="accent4"/>
        </w:rPr>
      </w:pPr>
    </w:p>
    <w:p w14:paraId="3A78B0D7" w14:textId="7650D6E5" w:rsidR="009A1BA2" w:rsidRDefault="00D6267A" w:rsidP="00B71C17">
      <w:pPr>
        <w:keepLines w:val="0"/>
        <w:widowControl w:val="0"/>
        <w:rPr>
          <w:rFonts w:ascii="Arial" w:hAnsi="Arial" w:cs="Arial"/>
          <w:color w:val="4F7D29" w:themeColor="accent4"/>
        </w:rPr>
      </w:pPr>
      <w:r>
        <w:rPr>
          <w:rFonts w:ascii="Arial" w:hAnsi="Arial" w:cs="Arial"/>
          <w:color w:val="4F7D29" w:themeColor="accent4"/>
        </w:rPr>
        <w:t xml:space="preserve">[cover image:  </w:t>
      </w:r>
      <w:r w:rsidR="00B6288A">
        <w:rPr>
          <w:rFonts w:ascii="Arial" w:hAnsi="Arial" w:cs="Arial"/>
          <w:color w:val="4F7D29" w:themeColor="accent4"/>
        </w:rPr>
        <w:t xml:space="preserve">partial </w:t>
      </w:r>
      <w:r w:rsidR="0059397C" w:rsidRPr="0059397C">
        <w:rPr>
          <w:rFonts w:ascii="Arial" w:hAnsi="Arial" w:cs="Arial"/>
          <w:color w:val="4F7D29" w:themeColor="accent4"/>
        </w:rPr>
        <w:t>lyrics to a song</w:t>
      </w:r>
      <w:r w:rsidR="00B6288A">
        <w:rPr>
          <w:rFonts w:ascii="Arial" w:hAnsi="Arial" w:cs="Arial"/>
          <w:color w:val="4F7D29" w:themeColor="accent4"/>
        </w:rPr>
        <w:t>…</w:t>
      </w:r>
      <w:r w:rsidR="0059397C" w:rsidRPr="0059397C">
        <w:rPr>
          <w:rFonts w:ascii="Arial" w:hAnsi="Arial" w:cs="Arial"/>
          <w:color w:val="4F7D29" w:themeColor="accent4"/>
        </w:rPr>
        <w:t xml:space="preserve"> </w:t>
      </w:r>
    </w:p>
    <w:p w14:paraId="7AE2D3F3" w14:textId="30E9ABA9" w:rsidR="009A1BA2" w:rsidRDefault="009A1BA2" w:rsidP="00B71C17">
      <w:pPr>
        <w:keepLines w:val="0"/>
        <w:widowControl w:val="0"/>
        <w:rPr>
          <w:rFonts w:ascii="Arial" w:hAnsi="Arial" w:cs="Arial"/>
          <w:color w:val="4F7D29" w:themeColor="accent4"/>
        </w:rPr>
      </w:pPr>
      <w:r>
        <w:rPr>
          <w:rFonts w:ascii="Arial" w:hAnsi="Arial" w:cs="Arial"/>
          <w:color w:val="4F7D29" w:themeColor="accent4"/>
        </w:rPr>
        <w:t>Kei hea</w:t>
      </w:r>
      <w:r w:rsidR="006A063D">
        <w:rPr>
          <w:rFonts w:ascii="Arial" w:hAnsi="Arial" w:cs="Arial"/>
          <w:color w:val="4F7D29" w:themeColor="accent4"/>
        </w:rPr>
        <w:t xml:space="preserve"> to aroha nui?</w:t>
      </w:r>
    </w:p>
    <w:p w14:paraId="2030844D" w14:textId="017EAC42" w:rsidR="006A063D" w:rsidRDefault="006A063D" w:rsidP="00B71C17">
      <w:pPr>
        <w:keepLines w:val="0"/>
        <w:widowControl w:val="0"/>
        <w:rPr>
          <w:rFonts w:ascii="Arial" w:hAnsi="Arial" w:cs="Arial"/>
          <w:color w:val="4F7D29" w:themeColor="accent4"/>
        </w:rPr>
      </w:pPr>
      <w:r>
        <w:rPr>
          <w:rFonts w:ascii="Arial" w:hAnsi="Arial" w:cs="Arial"/>
          <w:color w:val="4F7D29" w:themeColor="accent4"/>
        </w:rPr>
        <w:t>Hoki mai te p</w:t>
      </w:r>
      <w:r w:rsidR="00947E1F">
        <w:rPr>
          <w:rFonts w:ascii="Arial" w:hAnsi="Arial" w:cs="Arial"/>
          <w:color w:val="4F7D29" w:themeColor="accent4"/>
          <w:lang w:val="mi-NZ"/>
        </w:rPr>
        <w:t>ō</w:t>
      </w:r>
      <w:r>
        <w:rPr>
          <w:rFonts w:ascii="Arial" w:hAnsi="Arial" w:cs="Arial"/>
          <w:color w:val="4F7D29" w:themeColor="accent4"/>
        </w:rPr>
        <w:t xml:space="preserve"> maha</w:t>
      </w:r>
      <w:r w:rsidR="00D27EAF">
        <w:rPr>
          <w:rFonts w:ascii="Arial" w:hAnsi="Arial" w:cs="Arial"/>
          <w:color w:val="4F7D29" w:themeColor="accent4"/>
        </w:rPr>
        <w:t>n</w:t>
      </w:r>
      <w:r>
        <w:rPr>
          <w:rFonts w:ascii="Arial" w:hAnsi="Arial" w:cs="Arial"/>
          <w:color w:val="4F7D29" w:themeColor="accent4"/>
        </w:rPr>
        <w:t xml:space="preserve">a </w:t>
      </w:r>
    </w:p>
    <w:p w14:paraId="08132F69" w14:textId="29BE5138" w:rsidR="009A1BA2" w:rsidRDefault="0059397C" w:rsidP="00B71C17">
      <w:pPr>
        <w:keepLines w:val="0"/>
        <w:widowControl w:val="0"/>
        <w:rPr>
          <w:rFonts w:ascii="Arial" w:hAnsi="Arial" w:cs="Arial"/>
          <w:color w:val="4F7D29" w:themeColor="accent4"/>
        </w:rPr>
      </w:pPr>
      <w:r w:rsidRPr="0059397C">
        <w:rPr>
          <w:rFonts w:ascii="Arial" w:hAnsi="Arial" w:cs="Arial"/>
          <w:color w:val="4F7D29" w:themeColor="accent4"/>
        </w:rPr>
        <w:t>H</w:t>
      </w:r>
      <w:r w:rsidR="00947E1F">
        <w:rPr>
          <w:rFonts w:ascii="Arial" w:hAnsi="Arial" w:cs="Arial"/>
          <w:color w:val="4F7D29" w:themeColor="accent4"/>
        </w:rPr>
        <w:t>EY MAMA</w:t>
      </w:r>
    </w:p>
    <w:p w14:paraId="6FE1D153" w14:textId="24C7D2E0" w:rsidR="00514B6E" w:rsidRDefault="00514B6E" w:rsidP="00B71C17">
      <w:pPr>
        <w:keepLines w:val="0"/>
        <w:widowControl w:val="0"/>
        <w:rPr>
          <w:rFonts w:ascii="Arial" w:hAnsi="Arial" w:cs="Arial"/>
          <w:color w:val="4F7D29" w:themeColor="accent4"/>
        </w:rPr>
      </w:pPr>
      <w:r>
        <w:rPr>
          <w:rFonts w:ascii="Arial" w:hAnsi="Arial" w:cs="Arial"/>
          <w:color w:val="4F7D29" w:themeColor="accent4"/>
        </w:rPr>
        <w:t>Can you feel it now that I’m lonely?</w:t>
      </w:r>
    </w:p>
    <w:p w14:paraId="7115AF6E" w14:textId="5F01016D" w:rsidR="00514B6E" w:rsidRDefault="00514B6E" w:rsidP="00B71C17">
      <w:pPr>
        <w:keepLines w:val="0"/>
        <w:widowControl w:val="0"/>
        <w:rPr>
          <w:rFonts w:ascii="Arial" w:hAnsi="Arial" w:cs="Arial"/>
          <w:color w:val="4F7D29" w:themeColor="accent4"/>
        </w:rPr>
      </w:pPr>
      <w:r>
        <w:rPr>
          <w:rFonts w:ascii="Arial" w:hAnsi="Arial" w:cs="Arial"/>
          <w:color w:val="4F7D29" w:themeColor="accent4"/>
        </w:rPr>
        <w:t xml:space="preserve">Wishing someone would come and hold me.  </w:t>
      </w:r>
    </w:p>
    <w:p w14:paraId="62C1C21C" w14:textId="27DFFB81" w:rsidR="00514B6E" w:rsidRDefault="00514B6E" w:rsidP="00B71C17">
      <w:pPr>
        <w:keepLines w:val="0"/>
        <w:widowControl w:val="0"/>
        <w:rPr>
          <w:rFonts w:ascii="Arial" w:hAnsi="Arial" w:cs="Arial"/>
          <w:color w:val="4F7D29" w:themeColor="accent4"/>
        </w:rPr>
      </w:pPr>
      <w:r>
        <w:rPr>
          <w:rFonts w:ascii="Arial" w:hAnsi="Arial" w:cs="Arial"/>
          <w:color w:val="4F7D29" w:themeColor="accent4"/>
        </w:rPr>
        <w:t>I’m in a boy’s</w:t>
      </w:r>
      <w:r w:rsidR="00A62A4F">
        <w:rPr>
          <w:rFonts w:ascii="Arial" w:hAnsi="Arial" w:cs="Arial"/>
          <w:color w:val="4F7D29" w:themeColor="accent4"/>
        </w:rPr>
        <w:t xml:space="preserve"> home now]</w:t>
      </w:r>
    </w:p>
    <w:p w14:paraId="410604CB" w14:textId="77777777" w:rsidR="009A1BA2" w:rsidRDefault="009A1BA2" w:rsidP="00B71C17">
      <w:pPr>
        <w:keepLines w:val="0"/>
        <w:widowControl w:val="0"/>
        <w:rPr>
          <w:rFonts w:ascii="Arial" w:hAnsi="Arial" w:cs="Arial"/>
          <w:color w:val="4F7D29" w:themeColor="accent4"/>
        </w:rPr>
      </w:pPr>
    </w:p>
    <w:p w14:paraId="5FF78A79" w14:textId="77777777" w:rsidR="009A1BA2" w:rsidRDefault="009A1BA2" w:rsidP="00B71C17">
      <w:pPr>
        <w:keepLines w:val="0"/>
        <w:widowControl w:val="0"/>
        <w:rPr>
          <w:rFonts w:ascii="Arial" w:hAnsi="Arial" w:cs="Arial"/>
          <w:color w:val="4F7D29" w:themeColor="accent4"/>
        </w:rPr>
      </w:pPr>
    </w:p>
    <w:p w14:paraId="23137CEF" w14:textId="77777777" w:rsidR="009A1BA2" w:rsidRDefault="009A1BA2" w:rsidP="00B71C17">
      <w:pPr>
        <w:keepLines w:val="0"/>
        <w:widowControl w:val="0"/>
        <w:rPr>
          <w:rFonts w:ascii="Arial" w:hAnsi="Arial" w:cs="Arial"/>
          <w:color w:val="4F7D29" w:themeColor="accent4"/>
        </w:rPr>
      </w:pPr>
    </w:p>
    <w:p w14:paraId="218D1B9C" w14:textId="77777777" w:rsidR="009A1BA2" w:rsidRDefault="009A1BA2" w:rsidP="00B71C17">
      <w:pPr>
        <w:keepLines w:val="0"/>
        <w:widowControl w:val="0"/>
        <w:rPr>
          <w:rFonts w:ascii="Arial" w:hAnsi="Arial" w:cs="Arial"/>
          <w:color w:val="4F7D29" w:themeColor="accent4"/>
        </w:rPr>
      </w:pPr>
    </w:p>
    <w:p w14:paraId="788D89CF" w14:textId="3DA61493" w:rsidR="00C125AE" w:rsidRDefault="00C125AE" w:rsidP="00B71C17">
      <w:pPr>
        <w:keepLines w:val="0"/>
        <w:widowControl w:val="0"/>
        <w:rPr>
          <w:rFonts w:ascii="Arial" w:hAnsi="Arial" w:cs="Arial"/>
          <w:color w:val="4F7D29" w:themeColor="accent4"/>
        </w:rPr>
      </w:pPr>
    </w:p>
    <w:p w14:paraId="5D96B4C0" w14:textId="77777777" w:rsidR="00C125AE" w:rsidRDefault="00C125AE" w:rsidP="00B71C17">
      <w:pPr>
        <w:keepLines w:val="0"/>
        <w:widowControl w:val="0"/>
        <w:rPr>
          <w:rFonts w:ascii="Arial" w:hAnsi="Arial" w:cs="Arial"/>
          <w:color w:val="4F7D29" w:themeColor="accent4"/>
        </w:rPr>
      </w:pPr>
    </w:p>
    <w:p w14:paraId="358E75ED" w14:textId="77777777" w:rsidR="00C125AE" w:rsidRDefault="00C125AE" w:rsidP="00B71C17">
      <w:pPr>
        <w:keepLines w:val="0"/>
        <w:widowControl w:val="0"/>
        <w:rPr>
          <w:rFonts w:ascii="Arial" w:hAnsi="Arial" w:cs="Arial"/>
          <w:color w:val="4F7D29" w:themeColor="accent4"/>
        </w:rPr>
      </w:pPr>
    </w:p>
    <w:p w14:paraId="2E892653" w14:textId="77777777" w:rsidR="00C125AE" w:rsidRDefault="00C125AE" w:rsidP="00B71C17">
      <w:pPr>
        <w:keepLines w:val="0"/>
        <w:widowControl w:val="0"/>
        <w:rPr>
          <w:rFonts w:ascii="Arial" w:hAnsi="Arial" w:cs="Arial"/>
          <w:color w:val="4F7D29" w:themeColor="accent4"/>
        </w:rPr>
      </w:pPr>
    </w:p>
    <w:p w14:paraId="585FC3AB" w14:textId="77777777" w:rsidR="00C125AE" w:rsidRPr="00C125AE" w:rsidRDefault="00C125AE" w:rsidP="00B71C17">
      <w:pPr>
        <w:keepLines w:val="0"/>
        <w:widowControl w:val="0"/>
        <w:rPr>
          <w:rFonts w:ascii="Arial" w:hAnsi="Arial" w:cs="Arial"/>
        </w:rPr>
      </w:pPr>
    </w:p>
    <w:p w14:paraId="06201053" w14:textId="77777777" w:rsidR="00D65DD4" w:rsidRDefault="00D65DD4">
      <w:pPr>
        <w:keepLines w:val="0"/>
        <w:rPr>
          <w:rFonts w:ascii="Arial" w:hAnsi="Arial" w:cs="Arial"/>
          <w:sz w:val="22"/>
          <w:szCs w:val="22"/>
        </w:rPr>
      </w:pPr>
      <w:r>
        <w:rPr>
          <w:rFonts w:ascii="Arial" w:hAnsi="Arial" w:cs="Arial"/>
          <w:sz w:val="22"/>
          <w:szCs w:val="22"/>
        </w:rPr>
        <w:br w:type="page"/>
      </w:r>
    </w:p>
    <w:p w14:paraId="0EB716C4" w14:textId="77777777" w:rsidR="00D65DD4" w:rsidRDefault="00D65DD4" w:rsidP="00C125AE">
      <w:pPr>
        <w:pStyle w:val="BodyText"/>
        <w:rPr>
          <w:rFonts w:ascii="Arial" w:hAnsi="Arial" w:cs="Arial"/>
          <w:sz w:val="22"/>
          <w:szCs w:val="22"/>
        </w:rPr>
      </w:pPr>
    </w:p>
    <w:p w14:paraId="2712510E" w14:textId="77777777" w:rsidR="00D65DD4" w:rsidRDefault="00D65DD4" w:rsidP="00C125AE">
      <w:pPr>
        <w:pStyle w:val="BodyText"/>
        <w:rPr>
          <w:rFonts w:ascii="Arial" w:hAnsi="Arial" w:cs="Arial"/>
          <w:sz w:val="22"/>
          <w:szCs w:val="22"/>
        </w:rPr>
      </w:pPr>
    </w:p>
    <w:p w14:paraId="6D1B9E08" w14:textId="77777777" w:rsidR="00D65DD4" w:rsidRDefault="00D65DD4" w:rsidP="00C125AE">
      <w:pPr>
        <w:pStyle w:val="BodyText"/>
        <w:rPr>
          <w:rFonts w:ascii="Arial" w:hAnsi="Arial" w:cs="Arial"/>
          <w:sz w:val="22"/>
          <w:szCs w:val="22"/>
        </w:rPr>
      </w:pPr>
    </w:p>
    <w:p w14:paraId="2DF04706" w14:textId="77777777" w:rsidR="00D65DD4" w:rsidRDefault="00D65DD4" w:rsidP="00C125AE">
      <w:pPr>
        <w:pStyle w:val="BodyText"/>
        <w:rPr>
          <w:rFonts w:ascii="Arial" w:hAnsi="Arial" w:cs="Arial"/>
          <w:sz w:val="22"/>
          <w:szCs w:val="22"/>
        </w:rPr>
      </w:pPr>
    </w:p>
    <w:p w14:paraId="63C5485B" w14:textId="77777777" w:rsidR="00D65DD4" w:rsidRDefault="00D65DD4" w:rsidP="00C125AE">
      <w:pPr>
        <w:pStyle w:val="BodyText"/>
        <w:rPr>
          <w:rFonts w:ascii="Arial" w:hAnsi="Arial" w:cs="Arial"/>
          <w:sz w:val="22"/>
          <w:szCs w:val="22"/>
        </w:rPr>
      </w:pPr>
    </w:p>
    <w:p w14:paraId="38B2AD34" w14:textId="77777777" w:rsidR="00D65DD4" w:rsidRDefault="00D65DD4" w:rsidP="00C125AE">
      <w:pPr>
        <w:pStyle w:val="BodyText"/>
        <w:rPr>
          <w:rFonts w:ascii="Arial" w:hAnsi="Arial" w:cs="Arial"/>
          <w:sz w:val="22"/>
          <w:szCs w:val="22"/>
        </w:rPr>
      </w:pPr>
    </w:p>
    <w:p w14:paraId="43778EC8" w14:textId="77777777" w:rsidR="00D65DD4" w:rsidRDefault="00D65DD4" w:rsidP="00C125AE">
      <w:pPr>
        <w:pStyle w:val="BodyText"/>
        <w:rPr>
          <w:rFonts w:ascii="Arial" w:hAnsi="Arial" w:cs="Arial"/>
          <w:sz w:val="22"/>
          <w:szCs w:val="22"/>
        </w:rPr>
      </w:pPr>
    </w:p>
    <w:p w14:paraId="05675704" w14:textId="77777777" w:rsidR="00D65DD4" w:rsidRDefault="00D65DD4" w:rsidP="00C125AE">
      <w:pPr>
        <w:pStyle w:val="BodyText"/>
        <w:rPr>
          <w:rFonts w:ascii="Arial" w:hAnsi="Arial" w:cs="Arial"/>
          <w:sz w:val="22"/>
          <w:szCs w:val="22"/>
        </w:rPr>
      </w:pPr>
    </w:p>
    <w:p w14:paraId="5A216D57" w14:textId="77777777" w:rsidR="00D65DD4" w:rsidRDefault="00D65DD4" w:rsidP="00C125AE">
      <w:pPr>
        <w:pStyle w:val="BodyText"/>
        <w:rPr>
          <w:rFonts w:ascii="Arial" w:hAnsi="Arial" w:cs="Arial"/>
          <w:sz w:val="22"/>
          <w:szCs w:val="22"/>
        </w:rPr>
      </w:pPr>
    </w:p>
    <w:p w14:paraId="7D5BF1DB" w14:textId="77777777" w:rsidR="00D65DD4" w:rsidRDefault="00D65DD4" w:rsidP="00C125AE">
      <w:pPr>
        <w:pStyle w:val="BodyText"/>
        <w:rPr>
          <w:rFonts w:ascii="Arial" w:hAnsi="Arial" w:cs="Arial"/>
          <w:sz w:val="22"/>
          <w:szCs w:val="22"/>
        </w:rPr>
      </w:pPr>
    </w:p>
    <w:p w14:paraId="62AAAAC3" w14:textId="77777777" w:rsidR="00D65DD4" w:rsidRDefault="00D65DD4" w:rsidP="00C125AE">
      <w:pPr>
        <w:pStyle w:val="BodyText"/>
        <w:rPr>
          <w:rFonts w:ascii="Arial" w:hAnsi="Arial" w:cs="Arial"/>
          <w:sz w:val="22"/>
          <w:szCs w:val="22"/>
        </w:rPr>
      </w:pPr>
    </w:p>
    <w:p w14:paraId="789866E2" w14:textId="77777777" w:rsidR="00D65DD4" w:rsidRDefault="00D65DD4" w:rsidP="00C125AE">
      <w:pPr>
        <w:pStyle w:val="BodyText"/>
        <w:rPr>
          <w:rFonts w:ascii="Arial" w:hAnsi="Arial" w:cs="Arial"/>
          <w:sz w:val="22"/>
          <w:szCs w:val="22"/>
        </w:rPr>
      </w:pPr>
    </w:p>
    <w:p w14:paraId="3937EA0E" w14:textId="77777777" w:rsidR="00D65DD4" w:rsidRDefault="00D65DD4" w:rsidP="00C125AE">
      <w:pPr>
        <w:pStyle w:val="BodyText"/>
        <w:rPr>
          <w:rFonts w:ascii="Arial" w:hAnsi="Arial" w:cs="Arial"/>
          <w:sz w:val="22"/>
          <w:szCs w:val="22"/>
        </w:rPr>
      </w:pPr>
    </w:p>
    <w:p w14:paraId="2CB26623" w14:textId="77777777" w:rsidR="00D65DD4" w:rsidRDefault="00D65DD4" w:rsidP="00C125AE">
      <w:pPr>
        <w:pStyle w:val="BodyText"/>
        <w:rPr>
          <w:rFonts w:ascii="Arial" w:hAnsi="Arial" w:cs="Arial"/>
          <w:sz w:val="22"/>
          <w:szCs w:val="22"/>
        </w:rPr>
      </w:pPr>
    </w:p>
    <w:p w14:paraId="03CDD37E" w14:textId="77777777" w:rsidR="00D65DD4" w:rsidRDefault="00D65DD4" w:rsidP="00C125AE">
      <w:pPr>
        <w:pStyle w:val="BodyText"/>
        <w:rPr>
          <w:rFonts w:ascii="Arial" w:hAnsi="Arial" w:cs="Arial"/>
          <w:sz w:val="22"/>
          <w:szCs w:val="22"/>
        </w:rPr>
      </w:pPr>
    </w:p>
    <w:p w14:paraId="027CC708" w14:textId="77777777" w:rsidR="00D65DD4" w:rsidRDefault="00D65DD4" w:rsidP="00C125AE">
      <w:pPr>
        <w:pStyle w:val="BodyText"/>
        <w:rPr>
          <w:rFonts w:ascii="Arial" w:hAnsi="Arial" w:cs="Arial"/>
          <w:sz w:val="22"/>
          <w:szCs w:val="22"/>
        </w:rPr>
      </w:pPr>
    </w:p>
    <w:p w14:paraId="0B578C78" w14:textId="77777777" w:rsidR="00D65DD4" w:rsidRDefault="00D65DD4" w:rsidP="00C125AE">
      <w:pPr>
        <w:pStyle w:val="BodyText"/>
        <w:rPr>
          <w:rFonts w:ascii="Arial" w:hAnsi="Arial" w:cs="Arial"/>
          <w:sz w:val="22"/>
          <w:szCs w:val="22"/>
        </w:rPr>
      </w:pPr>
    </w:p>
    <w:p w14:paraId="48D37DF7" w14:textId="49A4A44B" w:rsidR="00D65DD4" w:rsidRDefault="00D65DD4" w:rsidP="00C125AE">
      <w:pPr>
        <w:pStyle w:val="BodyText"/>
        <w:rPr>
          <w:rFonts w:ascii="Arial" w:hAnsi="Arial" w:cs="Arial"/>
          <w:sz w:val="22"/>
          <w:szCs w:val="22"/>
        </w:rPr>
      </w:pPr>
      <w:r>
        <w:rPr>
          <w:rFonts w:ascii="Arial" w:hAnsi="Arial" w:cs="Arial"/>
          <w:sz w:val="22"/>
          <w:szCs w:val="22"/>
        </w:rPr>
        <w:t xml:space="preserve">Cover image </w:t>
      </w:r>
      <w:r w:rsidR="00C162EF">
        <w:rPr>
          <w:rFonts w:ascii="Arial" w:hAnsi="Arial" w:cs="Arial"/>
          <w:sz w:val="22"/>
          <w:szCs w:val="22"/>
        </w:rPr>
        <w:t xml:space="preserve">is </w:t>
      </w:r>
      <w:r>
        <w:rPr>
          <w:rFonts w:ascii="Arial" w:hAnsi="Arial" w:cs="Arial"/>
          <w:sz w:val="22"/>
          <w:szCs w:val="22"/>
        </w:rPr>
        <w:t>the ly</w:t>
      </w:r>
      <w:r w:rsidR="00DD2DEE">
        <w:rPr>
          <w:rFonts w:ascii="Arial" w:hAnsi="Arial" w:cs="Arial"/>
          <w:sz w:val="22"/>
          <w:szCs w:val="22"/>
        </w:rPr>
        <w:t>rics to a song “Hey Mama” written by Marg</w:t>
      </w:r>
      <w:r w:rsidR="005E5AE8">
        <w:rPr>
          <w:rFonts w:ascii="Arial" w:hAnsi="Arial" w:cs="Arial"/>
          <w:sz w:val="22"/>
          <w:szCs w:val="22"/>
        </w:rPr>
        <w:t>ar</w:t>
      </w:r>
      <w:r w:rsidR="00DD2DEE">
        <w:rPr>
          <w:rFonts w:ascii="Arial" w:hAnsi="Arial" w:cs="Arial"/>
          <w:sz w:val="22"/>
          <w:szCs w:val="22"/>
        </w:rPr>
        <w:t xml:space="preserve">et Yzxnzt and her survivor papa.  </w:t>
      </w:r>
    </w:p>
    <w:p w14:paraId="78B75173" w14:textId="77777777" w:rsidR="00D65DD4" w:rsidRDefault="00D65DD4" w:rsidP="00C125AE">
      <w:pPr>
        <w:pStyle w:val="BodyText"/>
        <w:rPr>
          <w:rFonts w:ascii="Arial" w:hAnsi="Arial" w:cs="Arial"/>
          <w:sz w:val="22"/>
          <w:szCs w:val="22"/>
        </w:rPr>
      </w:pPr>
    </w:p>
    <w:p w14:paraId="6A73911A" w14:textId="77777777" w:rsidR="00D65DD4" w:rsidRDefault="00D65DD4" w:rsidP="00C125AE">
      <w:pPr>
        <w:pStyle w:val="BodyText"/>
        <w:rPr>
          <w:rFonts w:ascii="Arial" w:hAnsi="Arial" w:cs="Arial"/>
          <w:sz w:val="22"/>
          <w:szCs w:val="22"/>
        </w:rPr>
      </w:pPr>
    </w:p>
    <w:p w14:paraId="393F42E6" w14:textId="61F40BBF" w:rsidR="00C125AE" w:rsidRPr="00C125AE" w:rsidRDefault="00C125AE" w:rsidP="00C125AE">
      <w:pPr>
        <w:pStyle w:val="BodyText"/>
        <w:rPr>
          <w:rFonts w:ascii="Arial" w:hAnsi="Arial" w:cs="Arial"/>
          <w:sz w:val="22"/>
          <w:szCs w:val="22"/>
        </w:rPr>
      </w:pPr>
      <w:r w:rsidRPr="00C125AE">
        <w:rPr>
          <w:rFonts w:ascii="Arial" w:hAnsi="Arial" w:cs="Arial"/>
          <w:sz w:val="22"/>
          <w:szCs w:val="22"/>
        </w:rPr>
        <w:t>Presented to the Governor-General by the Royal Commission of Inquiry into</w:t>
      </w:r>
    </w:p>
    <w:p w14:paraId="4AF6537C" w14:textId="5B6B4DD0" w:rsidR="00C125AE" w:rsidRPr="00C125AE" w:rsidRDefault="00C125AE" w:rsidP="00C125AE">
      <w:pPr>
        <w:pStyle w:val="BodyText"/>
        <w:rPr>
          <w:rFonts w:ascii="Arial" w:hAnsi="Arial" w:cs="Arial"/>
          <w:sz w:val="22"/>
          <w:szCs w:val="22"/>
        </w:rPr>
      </w:pPr>
      <w:r w:rsidRPr="00C125AE">
        <w:rPr>
          <w:rFonts w:ascii="Arial" w:hAnsi="Arial" w:cs="Arial"/>
          <w:sz w:val="22"/>
          <w:szCs w:val="22"/>
        </w:rPr>
        <w:t>Historical Abuse in State Care and in the Care of Faith-based Institutions</w:t>
      </w:r>
      <w:r w:rsidR="00C162EF">
        <w:rPr>
          <w:rFonts w:ascii="Arial" w:hAnsi="Arial" w:cs="Arial"/>
          <w:sz w:val="22"/>
          <w:szCs w:val="22"/>
        </w:rPr>
        <w:t xml:space="preserve"> on 25 June 2024</w:t>
      </w:r>
    </w:p>
    <w:p w14:paraId="66EDA565" w14:textId="77777777" w:rsidR="00C125AE" w:rsidRPr="00C125AE" w:rsidRDefault="00C125AE" w:rsidP="00C125AE">
      <w:pPr>
        <w:pStyle w:val="BodyText"/>
        <w:rPr>
          <w:rFonts w:ascii="Arial" w:hAnsi="Arial" w:cs="Arial"/>
          <w:sz w:val="22"/>
          <w:szCs w:val="22"/>
        </w:rPr>
      </w:pPr>
      <w:r w:rsidRPr="00C125AE">
        <w:rPr>
          <w:rFonts w:ascii="Arial" w:hAnsi="Arial" w:cs="Arial"/>
          <w:sz w:val="22"/>
          <w:szCs w:val="22"/>
        </w:rPr>
        <w:t>ISBN 978-0-473-71009-5 (print)</w:t>
      </w:r>
    </w:p>
    <w:p w14:paraId="45EEFC5E" w14:textId="77777777" w:rsidR="00C125AE" w:rsidRPr="00C125AE" w:rsidRDefault="00C125AE" w:rsidP="00C125AE">
      <w:pPr>
        <w:pStyle w:val="BodyText"/>
        <w:rPr>
          <w:rFonts w:ascii="Arial" w:hAnsi="Arial" w:cs="Arial"/>
          <w:sz w:val="22"/>
          <w:szCs w:val="22"/>
        </w:rPr>
      </w:pPr>
      <w:r w:rsidRPr="00C125AE">
        <w:rPr>
          <w:rFonts w:ascii="Arial" w:hAnsi="Arial" w:cs="Arial"/>
          <w:sz w:val="22"/>
          <w:szCs w:val="22"/>
        </w:rPr>
        <w:t>ISBN 978-0-473-71010-1 (online)</w:t>
      </w:r>
    </w:p>
    <w:p w14:paraId="40B0A8D3" w14:textId="7C547278" w:rsidR="0081438D" w:rsidRDefault="00C125AE" w:rsidP="00C125AE">
      <w:pPr>
        <w:pStyle w:val="BodyText"/>
        <w:rPr>
          <w:rFonts w:ascii="Arial" w:hAnsi="Arial" w:cs="Arial"/>
          <w:color w:val="4F7D29" w:themeColor="accent4"/>
        </w:rPr>
      </w:pPr>
      <w:r w:rsidRPr="00C125AE">
        <w:rPr>
          <w:rFonts w:ascii="Arial" w:hAnsi="Arial" w:cs="Arial"/>
          <w:sz w:val="22"/>
          <w:szCs w:val="22"/>
        </w:rPr>
        <w:t>Crown Copyright New Zealand 2024</w:t>
      </w:r>
      <w:r w:rsidR="0081438D" w:rsidRPr="004A0212">
        <w:rPr>
          <w:rFonts w:ascii="Arial" w:hAnsi="Arial" w:cs="Arial"/>
          <w:color w:val="4F7D29" w:themeColor="accent4"/>
        </w:rPr>
        <w:br w:type="page"/>
      </w:r>
    </w:p>
    <w:p w14:paraId="65961F89" w14:textId="77777777" w:rsidR="00030D69" w:rsidRDefault="00030D69" w:rsidP="00B71C17">
      <w:pPr>
        <w:keepLines w:val="0"/>
        <w:widowControl w:val="0"/>
        <w:rPr>
          <w:rFonts w:ascii="Arial" w:hAnsi="Arial" w:cs="Arial"/>
          <w:color w:val="4F7D29" w:themeColor="accent4"/>
        </w:rPr>
      </w:pPr>
    </w:p>
    <w:p w14:paraId="1D153F4F" w14:textId="77777777" w:rsidR="00030D69" w:rsidRPr="0096632F" w:rsidRDefault="00030D69" w:rsidP="00323007">
      <w:pPr>
        <w:pStyle w:val="Tablenormal0"/>
        <w:rPr>
          <w:rFonts w:ascii="Arial" w:hAnsi="Arial" w:cs="Arial"/>
          <w:b/>
          <w:bCs/>
          <w:color w:val="3B5D1E" w:themeColor="accent4" w:themeShade="BF"/>
          <w:sz w:val="44"/>
          <w:szCs w:val="44"/>
        </w:rPr>
      </w:pPr>
      <w:r w:rsidRPr="0096632F">
        <w:rPr>
          <w:rFonts w:ascii="Arial" w:hAnsi="Arial" w:cs="Arial"/>
          <w:b/>
          <w:bCs/>
          <w:color w:val="3B5D1E" w:themeColor="accent4" w:themeShade="BF"/>
          <w:sz w:val="44"/>
          <w:szCs w:val="44"/>
        </w:rPr>
        <w:t>Whakairihia ki te tihi</w:t>
      </w:r>
      <w:r w:rsidR="004F2609" w:rsidRPr="0096632F">
        <w:rPr>
          <w:rFonts w:ascii="Arial" w:hAnsi="Arial" w:cs="Arial"/>
          <w:b/>
          <w:bCs/>
          <w:color w:val="3B5D1E" w:themeColor="accent4" w:themeShade="BF"/>
          <w:sz w:val="44"/>
          <w:szCs w:val="44"/>
        </w:rPr>
        <w:t xml:space="preserve"> </w:t>
      </w:r>
      <w:r w:rsidRPr="0096632F">
        <w:rPr>
          <w:rFonts w:ascii="Arial" w:hAnsi="Arial" w:cs="Arial"/>
          <w:b/>
          <w:bCs/>
          <w:color w:val="3B5D1E" w:themeColor="accent4" w:themeShade="BF"/>
          <w:sz w:val="44"/>
          <w:szCs w:val="44"/>
        </w:rPr>
        <w:t>o Maungārongo</w:t>
      </w:r>
    </w:p>
    <w:p w14:paraId="242D83C3" w14:textId="532A7185" w:rsidR="0091787B" w:rsidRDefault="0091787B" w:rsidP="00282055">
      <w:pPr>
        <w:pStyle w:val="Heading1"/>
        <w:rPr>
          <w:color w:val="3B5D1E" w:themeColor="accent4" w:themeShade="BF"/>
        </w:rPr>
      </w:pPr>
      <w:r>
        <w:rPr>
          <w:color w:val="3B5D1E" w:themeColor="accent4" w:themeShade="BF"/>
        </w:rPr>
        <w:br w:type="page"/>
      </w:r>
    </w:p>
    <w:p w14:paraId="13645217" w14:textId="77777777" w:rsidR="007E403D" w:rsidRPr="007E403D" w:rsidRDefault="007E403D" w:rsidP="00282055">
      <w:pPr>
        <w:pStyle w:val="Heading1"/>
        <w:rPr>
          <w:color w:val="3B5D1E" w:themeColor="accent4" w:themeShade="BF"/>
        </w:rPr>
      </w:pPr>
      <w:bookmarkStart w:id="1" w:name="_Toc181084734"/>
      <w:r w:rsidRPr="007E403D">
        <w:rPr>
          <w:color w:val="3B5D1E" w:themeColor="accent4" w:themeShade="BF"/>
        </w:rPr>
        <w:lastRenderedPageBreak/>
        <w:t>He karakia</w:t>
      </w:r>
      <w:bookmarkEnd w:id="1"/>
    </w:p>
    <w:p w14:paraId="0AADFFCB"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E tāmara mā, koutou te pūtake o ēnei kōwhiringa, kua horaina nei</w:t>
      </w:r>
    </w:p>
    <w:p w14:paraId="503AD481"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E tohe tonu nei i te ara o te tika</w:t>
      </w:r>
    </w:p>
    <w:p w14:paraId="7BF736D2"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E ngaki tonu ana i te māra tipu</w:t>
      </w:r>
    </w:p>
    <w:p w14:paraId="55FF0DF3"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Anei koutou te whakairihia ki te tihi o</w:t>
      </w:r>
    </w:p>
    <w:p w14:paraId="34C70044"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Maungārongo, kia tau te mauri.</w:t>
      </w:r>
    </w:p>
    <w:p w14:paraId="5161F423"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Rukuhia te pū o te hinengaro</w:t>
      </w:r>
    </w:p>
    <w:p w14:paraId="35DFCED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tāea ko te kukunitanga mai o te whakaaro nui.</w:t>
      </w:r>
    </w:p>
    <w:p w14:paraId="660EC5B3"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piere ko te ngākau mahora</w:t>
      </w:r>
    </w:p>
    <w:p w14:paraId="5FC35BB0"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tūwhera mai he wairua tau.</w:t>
      </w:r>
    </w:p>
    <w:p w14:paraId="64A14BD9"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Koinei ngā pou whakairinga i te tāhuhu</w:t>
      </w:r>
    </w:p>
    <w:p w14:paraId="1AE7A6AA"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o te Whare o Tū Te Mauriora.</w:t>
      </w:r>
    </w:p>
    <w:p w14:paraId="43F191A3"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Te āhuru mōwai o Te Pae o Rehua,</w:t>
      </w:r>
    </w:p>
    <w:p w14:paraId="256CF7CD"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kaimuru i te hinapōuri,</w:t>
      </w:r>
    </w:p>
    <w:p w14:paraId="606B484A"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kaitohu i te manawa hā ora,</w:t>
      </w:r>
    </w:p>
    <w:p w14:paraId="0EC13067"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kaihohou i te pai.</w:t>
      </w:r>
    </w:p>
    <w:p w14:paraId="246A9A04"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Nau mai e koutou kua uhia e ngā haukino</w:t>
      </w:r>
    </w:p>
    <w:p w14:paraId="28A34094"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o te wā, kua pēhia e ngā whakawai a ngā tipua nei,</w:t>
      </w:r>
    </w:p>
    <w:p w14:paraId="19F13F4A"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a te Ringatūkino rāua ko te Kanohihuna.</w:t>
      </w:r>
    </w:p>
    <w:p w14:paraId="5715C55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Koutou i whītiki i te tātua o te toa,</w:t>
      </w:r>
    </w:p>
    <w:p w14:paraId="79404AB5"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i kākahu i te korowai o te pono,</w:t>
      </w:r>
    </w:p>
    <w:p w14:paraId="327EF31F"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i whakamau i te tīpare o tō mana motuhake,</w:t>
      </w:r>
    </w:p>
    <w:p w14:paraId="4B41BF5B"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toko ake ki te pūaotanga o te āpōpō e tatari mai nei i tua o te pae,</w:t>
      </w:r>
    </w:p>
    <w:p w14:paraId="3456F0C2"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nōu te ao e whakaata mai nei.</w:t>
      </w:r>
    </w:p>
    <w:p w14:paraId="065F0F22"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Kāti rā, ā te tākiritanga mai o te ata,</w:t>
      </w:r>
    </w:p>
    <w:p w14:paraId="07D437DD"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ā te huanga ake o te awatea,</w:t>
      </w:r>
    </w:p>
    <w:p w14:paraId="736FC8B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tau he māramatanga,</w:t>
      </w:r>
    </w:p>
    <w:p w14:paraId="2273ED7F"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ū ko te pai, kia mau ko te tika.</w:t>
      </w:r>
    </w:p>
    <w:p w14:paraId="546AF2E2"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Koinei ko te tangi a te ngākau e Rongo,</w:t>
      </w:r>
    </w:p>
    <w:p w14:paraId="25F4A87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tūturu ōwhiti whakamaua</w:t>
      </w:r>
    </w:p>
    <w:p w14:paraId="35EF80F9"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kia tina, tina!</w:t>
      </w:r>
    </w:p>
    <w:p w14:paraId="40339C96" w14:textId="77777777" w:rsidR="007E403D" w:rsidRPr="00F34479" w:rsidRDefault="007E403D" w:rsidP="006920CA">
      <w:pPr>
        <w:pStyle w:val="BodyText"/>
        <w:spacing w:before="0" w:after="120"/>
        <w:rPr>
          <w:rFonts w:ascii="Arial" w:hAnsi="Arial" w:cs="Arial"/>
          <w:sz w:val="22"/>
        </w:rPr>
      </w:pPr>
      <w:r w:rsidRPr="00F34479">
        <w:rPr>
          <w:rFonts w:ascii="Arial" w:hAnsi="Arial" w:cs="Arial"/>
          <w:sz w:val="22"/>
        </w:rPr>
        <w:t>Hui e, tāiki e!</w:t>
      </w:r>
    </w:p>
    <w:p w14:paraId="2353F231" w14:textId="170AEEF3" w:rsidR="00AB2D8B" w:rsidRPr="00121D52" w:rsidRDefault="007E403D" w:rsidP="009B7215">
      <w:pPr>
        <w:pStyle w:val="BodyText"/>
        <w:spacing w:before="0" w:after="120"/>
        <w:jc w:val="right"/>
        <w:rPr>
          <w:rFonts w:ascii="Arial" w:hAnsi="Arial" w:cs="Arial"/>
          <w:i/>
          <w:iCs/>
          <w:sz w:val="22"/>
        </w:rPr>
      </w:pPr>
      <w:r w:rsidRPr="00121D52">
        <w:rPr>
          <w:rFonts w:ascii="Arial" w:hAnsi="Arial" w:cs="Arial"/>
          <w:i/>
          <w:iCs/>
          <w:sz w:val="22"/>
        </w:rPr>
        <w:t>– Waihoroi Paraone Hōterene</w:t>
      </w:r>
    </w:p>
    <w:p w14:paraId="28AAE4E0" w14:textId="77777777" w:rsidR="00880BC4" w:rsidRDefault="00880BC4" w:rsidP="007E403D">
      <w:pPr>
        <w:keepLines w:val="0"/>
        <w:widowControl w:val="0"/>
        <w:rPr>
          <w:rFonts w:ascii="Arial" w:hAnsi="Arial" w:cs="Arial"/>
          <w:color w:val="4F7D29" w:themeColor="accent4"/>
        </w:rPr>
      </w:pPr>
    </w:p>
    <w:p w14:paraId="4EF26C4E" w14:textId="77777777" w:rsidR="00880BC4" w:rsidRDefault="00880BC4" w:rsidP="007E403D">
      <w:pPr>
        <w:keepLines w:val="0"/>
        <w:widowControl w:val="0"/>
        <w:rPr>
          <w:rFonts w:ascii="Arial" w:hAnsi="Arial" w:cs="Arial"/>
          <w:color w:val="4F7D29" w:themeColor="accent4"/>
        </w:rPr>
      </w:pPr>
    </w:p>
    <w:p w14:paraId="3768EAFF" w14:textId="77777777" w:rsidR="0091787B" w:rsidRDefault="0091787B">
      <w:pPr>
        <w:keepLines w:val="0"/>
        <w:rPr>
          <w:rFonts w:ascii="Arial" w:hAnsi="Arial" w:cs="Arial"/>
          <w:sz w:val="22"/>
          <w:szCs w:val="22"/>
        </w:rPr>
      </w:pPr>
      <w:r>
        <w:rPr>
          <w:rFonts w:ascii="Arial" w:hAnsi="Arial" w:cs="Arial"/>
          <w:sz w:val="22"/>
          <w:szCs w:val="22"/>
        </w:rPr>
        <w:br w:type="page"/>
      </w:r>
    </w:p>
    <w:p w14:paraId="45165CF8" w14:textId="68E78DBA"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lastRenderedPageBreak/>
        <w:t>To you upon whom this inquiry has been centered</w:t>
      </w:r>
    </w:p>
    <w:p w14:paraId="05F97914"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Resolute in your pursuit of justice</w:t>
      </w:r>
    </w:p>
    <w:p w14:paraId="4EA6A5B8"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Relentless in your belief for life</w:t>
      </w:r>
    </w:p>
    <w:p w14:paraId="6A30592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 have only our highest regard and respect,</w:t>
      </w:r>
    </w:p>
    <w:p w14:paraId="5BDA5C01"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may your peace of mind be assured.</w:t>
      </w:r>
    </w:p>
    <w:p w14:paraId="63087CD6"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Look into the deepest recesses of your being</w:t>
      </w:r>
    </w:p>
    <w:p w14:paraId="57A9FBD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discover the seeds of new hope,</w:t>
      </w:r>
    </w:p>
    <w:p w14:paraId="2F2FB96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where the temperate heart might find solace,</w:t>
      </w:r>
    </w:p>
    <w:p w14:paraId="54E985A1"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the blithe spirit might rise again.</w:t>
      </w:r>
    </w:p>
    <w:p w14:paraId="1DB85512"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these be the pillars on which the House of Self,</w:t>
      </w:r>
    </w:p>
    <w:p w14:paraId="43A45660"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reconciliation can stand.</w:t>
      </w:r>
    </w:p>
    <w:p w14:paraId="12927B9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Safe haven of Rehua,</w:t>
      </w:r>
    </w:p>
    <w:p w14:paraId="189D0E9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dispatcher of sorrow,</w:t>
      </w:r>
    </w:p>
    <w:p w14:paraId="5C45F83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restorer of the breath of life,</w:t>
      </w:r>
    </w:p>
    <w:p w14:paraId="03515B9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purveyor of kindness.</w:t>
      </w:r>
    </w:p>
    <w:p w14:paraId="63343787"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Those of you who have faced the ill winds</w:t>
      </w:r>
    </w:p>
    <w:p w14:paraId="6543174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of time and made to suffer,</w:t>
      </w:r>
    </w:p>
    <w:p w14:paraId="59E1CCF9"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at the hands of abusers and the hidden faces of persecutors, draw near.</w:t>
      </w:r>
    </w:p>
    <w:p w14:paraId="46814ACB"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 who found courage,</w:t>
      </w:r>
    </w:p>
    <w:p w14:paraId="691F1B85"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cloaked yourselves with your truth,</w:t>
      </w:r>
    </w:p>
    <w:p w14:paraId="696FABFC"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who crowned yourself with dignity,</w:t>
      </w:r>
    </w:p>
    <w:p w14:paraId="7C25C73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 new tomorrow awaits beyond the horizon,</w:t>
      </w:r>
    </w:p>
    <w:p w14:paraId="5059C0E2"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your future beckons.</w:t>
      </w:r>
    </w:p>
    <w:p w14:paraId="1E4987D4"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And so, as dawn rises, and a new day begins,</w:t>
      </w:r>
    </w:p>
    <w:p w14:paraId="05EC8ECF"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clarity and understanding reign,</w:t>
      </w:r>
    </w:p>
    <w:p w14:paraId="5F2F56E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goodness surrounds you and</w:t>
      </w:r>
    </w:p>
    <w:p w14:paraId="3626464B"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justice prevails.</w:t>
      </w:r>
    </w:p>
    <w:p w14:paraId="75638BA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Rongo god of peace, this the heart desires,</w:t>
      </w:r>
    </w:p>
    <w:p w14:paraId="06F2634A"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we beseech you,</w:t>
      </w:r>
    </w:p>
    <w:p w14:paraId="1BD7AFAE"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let it be,</w:t>
      </w:r>
    </w:p>
    <w:p w14:paraId="3C7B569D" w14:textId="77777777" w:rsidR="00880BC4" w:rsidRPr="004A7AEC" w:rsidRDefault="00880BC4" w:rsidP="004A7AEC">
      <w:pPr>
        <w:pStyle w:val="BodyText"/>
        <w:spacing w:before="0" w:after="120"/>
        <w:rPr>
          <w:rFonts w:ascii="Arial" w:hAnsi="Arial" w:cs="Arial"/>
          <w:sz w:val="22"/>
          <w:szCs w:val="22"/>
        </w:rPr>
      </w:pPr>
      <w:r w:rsidRPr="004A7AEC">
        <w:rPr>
          <w:rFonts w:ascii="Arial" w:hAnsi="Arial" w:cs="Arial"/>
          <w:sz w:val="22"/>
          <w:szCs w:val="22"/>
        </w:rPr>
        <w:t>it is done.</w:t>
      </w:r>
    </w:p>
    <w:p w14:paraId="7AB08A63" w14:textId="62B6ABE9" w:rsidR="00880BC4" w:rsidRPr="00121D52" w:rsidRDefault="00880BC4" w:rsidP="009B7215">
      <w:pPr>
        <w:pStyle w:val="BodyText"/>
        <w:spacing w:before="0" w:after="120"/>
        <w:jc w:val="right"/>
        <w:rPr>
          <w:rFonts w:ascii="Arial" w:hAnsi="Arial" w:cs="Arial"/>
          <w:i/>
          <w:iCs/>
          <w:sz w:val="22"/>
          <w:szCs w:val="22"/>
        </w:rPr>
      </w:pPr>
      <w:r w:rsidRPr="00121D52">
        <w:rPr>
          <w:rFonts w:ascii="Arial" w:hAnsi="Arial" w:cs="Arial"/>
          <w:i/>
          <w:iCs/>
          <w:sz w:val="22"/>
          <w:szCs w:val="22"/>
        </w:rPr>
        <w:t>– Waihoroi Paraone Hōterene</w:t>
      </w:r>
    </w:p>
    <w:p w14:paraId="621CDED7" w14:textId="77777777" w:rsidR="00880BC4" w:rsidRDefault="00880BC4" w:rsidP="007E403D">
      <w:pPr>
        <w:keepLines w:val="0"/>
        <w:widowControl w:val="0"/>
        <w:rPr>
          <w:rFonts w:ascii="Arial" w:hAnsi="Arial" w:cs="Arial"/>
          <w:color w:val="4F7D29" w:themeColor="accent4"/>
        </w:rPr>
      </w:pPr>
    </w:p>
    <w:p w14:paraId="0C3317B4" w14:textId="77777777" w:rsidR="0091787B" w:rsidRDefault="0091787B">
      <w:pPr>
        <w:keepLines w:val="0"/>
        <w:rPr>
          <w:rFonts w:ascii="Arial" w:hAnsi="Arial" w:cs="Arial"/>
          <w:b/>
          <w:bCs/>
          <w:color w:val="4F7D29" w:themeColor="accent4"/>
        </w:rPr>
      </w:pPr>
      <w:r>
        <w:rPr>
          <w:rFonts w:ascii="Arial" w:hAnsi="Arial" w:cs="Arial"/>
          <w:b/>
          <w:bCs/>
          <w:color w:val="4F7D29" w:themeColor="accent4"/>
        </w:rPr>
        <w:br w:type="page"/>
      </w:r>
    </w:p>
    <w:p w14:paraId="57D4E382" w14:textId="77777777" w:rsidR="009D6934" w:rsidRPr="00802A71" w:rsidRDefault="009D6934" w:rsidP="00282055">
      <w:pPr>
        <w:pStyle w:val="Heading1"/>
        <w:rPr>
          <w:color w:val="3B5D1E" w:themeColor="accent4" w:themeShade="BF"/>
        </w:rPr>
      </w:pPr>
      <w:bookmarkStart w:id="2" w:name="_Toc181084735"/>
      <w:r w:rsidRPr="00802A71">
        <w:rPr>
          <w:color w:val="3B5D1E" w:themeColor="accent4" w:themeShade="BF"/>
        </w:rPr>
        <w:lastRenderedPageBreak/>
        <w:t>He auhi nō te puku</w:t>
      </w:r>
      <w:bookmarkEnd w:id="2"/>
    </w:p>
    <w:p w14:paraId="1D28CEB1" w14:textId="360FB7D7" w:rsidR="009D6934" w:rsidRPr="0091787B" w:rsidRDefault="009D6934" w:rsidP="009D6934">
      <w:pPr>
        <w:pStyle w:val="BodyText"/>
        <w:rPr>
          <w:rFonts w:ascii="Arial" w:hAnsi="Arial" w:cs="Arial"/>
          <w:sz w:val="22"/>
          <w:szCs w:val="22"/>
        </w:rPr>
      </w:pPr>
      <w:r w:rsidRPr="0091787B">
        <w:rPr>
          <w:rFonts w:ascii="Arial" w:hAnsi="Arial" w:cs="Arial"/>
          <w:sz w:val="22"/>
          <w:szCs w:val="22"/>
        </w:rPr>
        <w:t>Th</w:t>
      </w:r>
      <w:r>
        <w:rPr>
          <w:rFonts w:ascii="Arial" w:hAnsi="Arial" w:cs="Arial"/>
          <w:sz w:val="22"/>
          <w:szCs w:val="22"/>
        </w:rPr>
        <w:t xml:space="preserve">e name </w:t>
      </w:r>
      <w:r w:rsidR="00CD50E5">
        <w:rPr>
          <w:rFonts w:ascii="Arial" w:hAnsi="Arial" w:cs="Arial"/>
          <w:sz w:val="22"/>
          <w:szCs w:val="22"/>
        </w:rPr>
        <w:t>of</w:t>
      </w:r>
      <w:r>
        <w:rPr>
          <w:rFonts w:ascii="Arial" w:hAnsi="Arial" w:cs="Arial"/>
          <w:sz w:val="22"/>
          <w:szCs w:val="22"/>
        </w:rPr>
        <w:t xml:space="preserve"> this Part comes</w:t>
      </w:r>
      <w:r w:rsidRPr="0091787B">
        <w:rPr>
          <w:rFonts w:ascii="Arial" w:hAnsi="Arial" w:cs="Arial"/>
          <w:sz w:val="22"/>
          <w:szCs w:val="22"/>
        </w:rPr>
        <w:t xml:space="preserve"> </w:t>
      </w:r>
      <w:r w:rsidR="00903485">
        <w:rPr>
          <w:rFonts w:ascii="Arial" w:hAnsi="Arial" w:cs="Arial"/>
          <w:sz w:val="22"/>
          <w:szCs w:val="22"/>
        </w:rPr>
        <w:t xml:space="preserve">from </w:t>
      </w:r>
      <w:r w:rsidRPr="0091787B">
        <w:rPr>
          <w:rFonts w:ascii="Arial" w:hAnsi="Arial" w:cs="Arial"/>
          <w:sz w:val="22"/>
          <w:szCs w:val="22"/>
        </w:rPr>
        <w:t xml:space="preserve">a line </w:t>
      </w:r>
      <w:r w:rsidR="00352A2F">
        <w:rPr>
          <w:rFonts w:ascii="Arial" w:hAnsi="Arial" w:cs="Arial"/>
          <w:sz w:val="22"/>
          <w:szCs w:val="22"/>
        </w:rPr>
        <w:t>from</w:t>
      </w:r>
      <w:r w:rsidR="000F7E31">
        <w:rPr>
          <w:rFonts w:ascii="Arial" w:hAnsi="Arial" w:cs="Arial"/>
          <w:sz w:val="22"/>
          <w:szCs w:val="22"/>
        </w:rPr>
        <w:t xml:space="preserve"> </w:t>
      </w:r>
      <w:r w:rsidRPr="0091787B">
        <w:rPr>
          <w:rFonts w:ascii="Arial" w:hAnsi="Arial" w:cs="Arial"/>
          <w:sz w:val="22"/>
          <w:szCs w:val="22"/>
        </w:rPr>
        <w:t>the waiata that refers to the extreme grief and sorrow caused by the abuse and neglect suffered in care. It is used as the title for this Part, to capture the pain and sorrow felt when reflecting on the wider context that led to the many forms of abuse and neglect occurring.</w:t>
      </w:r>
    </w:p>
    <w:p w14:paraId="02231869" w14:textId="77777777" w:rsidR="009D6934" w:rsidRDefault="009D6934">
      <w:pPr>
        <w:keepLines w:val="0"/>
      </w:pPr>
    </w:p>
    <w:p w14:paraId="27FBBC6F" w14:textId="3AC06658" w:rsidR="009D6934" w:rsidRDefault="009D6934">
      <w:pPr>
        <w:keepLines w:val="0"/>
        <w:rPr>
          <w:rFonts w:ascii="Arial" w:hAnsi="Arial" w:cs="Arial"/>
          <w:b/>
          <w:bCs/>
          <w:color w:val="4F7D29" w:themeColor="accent4"/>
          <w:sz w:val="36"/>
          <w:szCs w:val="36"/>
        </w:rPr>
      </w:pPr>
      <w:r>
        <w:br w:type="page"/>
      </w:r>
    </w:p>
    <w:p w14:paraId="3346C2A7" w14:textId="24AD50A6" w:rsidR="00A42E55" w:rsidRPr="00A42E55" w:rsidRDefault="00A42E55" w:rsidP="00282055">
      <w:pPr>
        <w:pStyle w:val="Heading1"/>
        <w:rPr>
          <w:color w:val="3B5D1E" w:themeColor="accent4" w:themeShade="BF"/>
        </w:rPr>
      </w:pPr>
      <w:bookmarkStart w:id="3" w:name="_Toc181084736"/>
      <w:r w:rsidRPr="00A42E55">
        <w:rPr>
          <w:color w:val="3B5D1E" w:themeColor="accent4" w:themeShade="BF"/>
        </w:rPr>
        <w:lastRenderedPageBreak/>
        <w:t>Pānui whakatūpato</w:t>
      </w:r>
      <w:bookmarkEnd w:id="3"/>
    </w:p>
    <w:p w14:paraId="6DD2F2A1"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Ka nui tā mātou tiaki me te hāpai ake i te mana o ngā purapura</w:t>
      </w:r>
    </w:p>
    <w:p w14:paraId="50B2F2F0"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ora i māia rawa atu nei ki te whāriki i ā rātou kōrero ki konei.</w:t>
      </w:r>
    </w:p>
    <w:p w14:paraId="7C1EC31E"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Kei te mōhio mātou ka oho pea te mauri ētahi wāhanga o ngā</w:t>
      </w:r>
    </w:p>
    <w:p w14:paraId="43303F3F"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kōrero nei e pā ana ki te tūkino, te whakatūroro me te pāmamae,</w:t>
      </w:r>
    </w:p>
    <w:p w14:paraId="2CF73CB6"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ā, tērā pea ka tākirihia ngā tauwharewarenga o te ngākau</w:t>
      </w:r>
    </w:p>
    <w:p w14:paraId="23E0F061"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tangata i te kaha o te tumeke. Ahakoa kāore pea tēnei urupare</w:t>
      </w:r>
    </w:p>
    <w:p w14:paraId="0772800D"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e tau pai ki te wairua o te tangata, e pai ana te rongo i te pouri.</w:t>
      </w:r>
    </w:p>
    <w:p w14:paraId="4EA718C9"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Heoi, mehemea ka whakataumaha tēnei i ētahi o tō whānau, me</w:t>
      </w:r>
    </w:p>
    <w:p w14:paraId="7B6EBB58"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whakapā atu ki tō tākuta, ki tō ratongo Hauora rānei. Whakatetia</w:t>
      </w:r>
    </w:p>
    <w:p w14:paraId="6216277D"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ngā kōrero a ētahi, kia tau te mauri, tiakina te wairua, ā, kia</w:t>
      </w:r>
    </w:p>
    <w:p w14:paraId="06F5BE74" w14:textId="77777777" w:rsidR="00C21965" w:rsidRDefault="00C21965" w:rsidP="00C21965">
      <w:pPr>
        <w:pStyle w:val="BodyText"/>
        <w:spacing w:before="0" w:after="120"/>
        <w:rPr>
          <w:rFonts w:ascii="Arial" w:hAnsi="Arial" w:cs="Arial"/>
          <w:sz w:val="22"/>
          <w:szCs w:val="22"/>
        </w:rPr>
      </w:pPr>
      <w:r>
        <w:rPr>
          <w:rFonts w:ascii="Arial" w:hAnsi="Arial" w:cs="Arial"/>
          <w:sz w:val="22"/>
          <w:szCs w:val="22"/>
        </w:rPr>
        <w:t>māmā te ngākau.</w:t>
      </w:r>
    </w:p>
    <w:p w14:paraId="10ADBAF9" w14:textId="77777777" w:rsidR="00A42E55" w:rsidRPr="00A42E55" w:rsidRDefault="00A42E55" w:rsidP="00282055">
      <w:pPr>
        <w:pStyle w:val="Heading1"/>
        <w:rPr>
          <w:color w:val="3B5D1E" w:themeColor="accent4" w:themeShade="BF"/>
        </w:rPr>
      </w:pPr>
      <w:bookmarkStart w:id="4" w:name="_Toc181084737"/>
      <w:r w:rsidRPr="00A42E55">
        <w:rPr>
          <w:color w:val="3B5D1E" w:themeColor="accent4" w:themeShade="BF"/>
        </w:rPr>
        <w:t>Distressing content warning</w:t>
      </w:r>
      <w:bookmarkEnd w:id="4"/>
    </w:p>
    <w:p w14:paraId="2A6EA846" w14:textId="0AECF56D" w:rsidR="00673310" w:rsidRPr="00D46598" w:rsidRDefault="00A42E55" w:rsidP="00A35461">
      <w:pPr>
        <w:pStyle w:val="BodyText"/>
        <w:spacing w:line="360" w:lineRule="auto"/>
        <w:rPr>
          <w:rFonts w:ascii="Arial" w:hAnsi="Arial" w:cs="Arial"/>
          <w:sz w:val="22"/>
          <w:szCs w:val="22"/>
        </w:rPr>
      </w:pPr>
      <w:r w:rsidRPr="00D46598">
        <w:rPr>
          <w:rFonts w:ascii="Arial" w:hAnsi="Arial" w:cs="Arial"/>
          <w:sz w:val="22"/>
          <w:szCs w:val="22"/>
        </w:rPr>
        <w:t>We honour and uphold the dignity of survivors who have so</w:t>
      </w:r>
      <w:r w:rsidR="006C0ED8" w:rsidRPr="00A35461">
        <w:rPr>
          <w:rFonts w:ascii="Arial" w:hAnsi="Arial" w:cs="Arial"/>
          <w:sz w:val="22"/>
          <w:szCs w:val="22"/>
        </w:rPr>
        <w:t xml:space="preserve"> </w:t>
      </w:r>
      <w:r w:rsidRPr="00D46598">
        <w:rPr>
          <w:rFonts w:ascii="Arial" w:hAnsi="Arial" w:cs="Arial"/>
          <w:sz w:val="22"/>
          <w:szCs w:val="22"/>
        </w:rPr>
        <w:t>bravely shared their stories here. We acknowledge that some</w:t>
      </w:r>
      <w:r w:rsidR="006C0ED8" w:rsidRPr="00A35461">
        <w:rPr>
          <w:rFonts w:ascii="Arial" w:hAnsi="Arial" w:cs="Arial"/>
          <w:sz w:val="22"/>
          <w:szCs w:val="22"/>
        </w:rPr>
        <w:t xml:space="preserve"> </w:t>
      </w:r>
      <w:r w:rsidRPr="00D46598">
        <w:rPr>
          <w:rFonts w:ascii="Arial" w:hAnsi="Arial" w:cs="Arial"/>
          <w:sz w:val="22"/>
          <w:szCs w:val="22"/>
        </w:rPr>
        <w:t>content contains explicit descriptions of tūkino – abuse, harm</w:t>
      </w:r>
      <w:r w:rsidR="006C0ED8" w:rsidRPr="00A35461">
        <w:rPr>
          <w:rFonts w:ascii="Arial" w:hAnsi="Arial" w:cs="Arial"/>
          <w:sz w:val="22"/>
          <w:szCs w:val="22"/>
        </w:rPr>
        <w:t xml:space="preserve"> </w:t>
      </w:r>
      <w:r w:rsidRPr="00D46598">
        <w:rPr>
          <w:rFonts w:ascii="Arial" w:hAnsi="Arial" w:cs="Arial"/>
          <w:sz w:val="22"/>
          <w:szCs w:val="22"/>
        </w:rPr>
        <w:t>and trauma – and may evoke strong negative, emotional</w:t>
      </w:r>
      <w:r w:rsidR="006C0ED8" w:rsidRPr="00A35461">
        <w:rPr>
          <w:rFonts w:ascii="Arial" w:hAnsi="Arial" w:cs="Arial"/>
          <w:sz w:val="22"/>
          <w:szCs w:val="22"/>
        </w:rPr>
        <w:t xml:space="preserve"> </w:t>
      </w:r>
      <w:r w:rsidRPr="00D46598">
        <w:rPr>
          <w:rFonts w:ascii="Arial" w:hAnsi="Arial" w:cs="Arial"/>
          <w:sz w:val="22"/>
          <w:szCs w:val="22"/>
        </w:rPr>
        <w:t>responses for readers. Although this response may be</w:t>
      </w:r>
      <w:r w:rsidR="006C0ED8" w:rsidRPr="00A35461">
        <w:rPr>
          <w:rFonts w:ascii="Arial" w:hAnsi="Arial" w:cs="Arial"/>
          <w:sz w:val="22"/>
          <w:szCs w:val="22"/>
        </w:rPr>
        <w:t xml:space="preserve"> </w:t>
      </w:r>
      <w:r w:rsidRPr="00D46598">
        <w:rPr>
          <w:rFonts w:ascii="Arial" w:hAnsi="Arial" w:cs="Arial"/>
          <w:sz w:val="22"/>
          <w:szCs w:val="22"/>
        </w:rPr>
        <w:t>unpleasant and difficult to tolerate, it is also appropriate to feel</w:t>
      </w:r>
      <w:r w:rsidR="006C0ED8" w:rsidRPr="00A35461">
        <w:rPr>
          <w:rFonts w:ascii="Arial" w:hAnsi="Arial" w:cs="Arial"/>
          <w:sz w:val="22"/>
          <w:szCs w:val="22"/>
        </w:rPr>
        <w:t xml:space="preserve"> </w:t>
      </w:r>
      <w:r w:rsidRPr="00D46598">
        <w:rPr>
          <w:rFonts w:ascii="Arial" w:hAnsi="Arial" w:cs="Arial"/>
          <w:sz w:val="22"/>
          <w:szCs w:val="22"/>
        </w:rPr>
        <w:t>upset. However, if you or someone in your close circle needs</w:t>
      </w:r>
      <w:r w:rsidR="006C0ED8" w:rsidRPr="00A35461">
        <w:rPr>
          <w:rFonts w:ascii="Arial" w:hAnsi="Arial" w:cs="Arial"/>
          <w:sz w:val="22"/>
          <w:szCs w:val="22"/>
        </w:rPr>
        <w:t xml:space="preserve"> </w:t>
      </w:r>
      <w:r w:rsidRPr="00D46598">
        <w:rPr>
          <w:rFonts w:ascii="Arial" w:hAnsi="Arial" w:cs="Arial"/>
          <w:sz w:val="22"/>
          <w:szCs w:val="22"/>
        </w:rPr>
        <w:t>support, please contact your GP or healthcare provider.</w:t>
      </w:r>
      <w:r w:rsidR="006C0ED8" w:rsidRPr="00A35461">
        <w:rPr>
          <w:rFonts w:ascii="Arial" w:hAnsi="Arial" w:cs="Arial"/>
          <w:sz w:val="22"/>
          <w:szCs w:val="22"/>
        </w:rPr>
        <w:t xml:space="preserve"> </w:t>
      </w:r>
      <w:r w:rsidRPr="00D46598">
        <w:rPr>
          <w:rFonts w:ascii="Arial" w:hAnsi="Arial" w:cs="Arial"/>
          <w:sz w:val="22"/>
          <w:szCs w:val="22"/>
        </w:rPr>
        <w:t>Respect others’ truths, breathe deeply, take care of your</w:t>
      </w:r>
      <w:r w:rsidR="006C0ED8" w:rsidRPr="00A35461">
        <w:rPr>
          <w:rFonts w:ascii="Arial" w:hAnsi="Arial" w:cs="Arial"/>
          <w:sz w:val="22"/>
          <w:szCs w:val="22"/>
        </w:rPr>
        <w:t xml:space="preserve"> </w:t>
      </w:r>
      <w:r w:rsidRPr="00D46598">
        <w:rPr>
          <w:rFonts w:ascii="Arial" w:hAnsi="Arial" w:cs="Arial"/>
          <w:sz w:val="22"/>
          <w:szCs w:val="22"/>
        </w:rPr>
        <w:t>spirit and be gentle with your heart.</w:t>
      </w:r>
    </w:p>
    <w:p w14:paraId="1E0A51F5" w14:textId="77777777" w:rsidR="00673310" w:rsidRPr="00071636" w:rsidRDefault="00673310" w:rsidP="007E403D">
      <w:pPr>
        <w:keepLines w:val="0"/>
        <w:widowControl w:val="0"/>
        <w:rPr>
          <w:rFonts w:ascii="Arial" w:hAnsi="Arial" w:cs="Arial"/>
          <w:sz w:val="22"/>
          <w:szCs w:val="22"/>
        </w:rPr>
      </w:pPr>
    </w:p>
    <w:p w14:paraId="29256399" w14:textId="77777777" w:rsidR="00AB2D8B" w:rsidRPr="00071636" w:rsidRDefault="00AB2D8B" w:rsidP="00B71C17">
      <w:pPr>
        <w:keepLines w:val="0"/>
        <w:widowControl w:val="0"/>
        <w:rPr>
          <w:rFonts w:ascii="Arial" w:hAnsi="Arial" w:cs="Arial"/>
          <w:sz w:val="22"/>
          <w:szCs w:val="22"/>
        </w:rPr>
      </w:pPr>
    </w:p>
    <w:p w14:paraId="062C86C6" w14:textId="0E472548" w:rsidR="00D46598" w:rsidRDefault="00D46598">
      <w:pPr>
        <w:keepLines w:val="0"/>
        <w:rPr>
          <w:rFonts w:ascii="Arial" w:hAnsi="Arial" w:cs="Arial"/>
          <w:b/>
          <w:color w:val="4F7D29" w:themeColor="accent4"/>
          <w:sz w:val="32"/>
          <w:szCs w:val="32"/>
        </w:rPr>
      </w:pPr>
      <w:r>
        <w:rPr>
          <w:rFonts w:ascii="Arial" w:hAnsi="Arial" w:cs="Arial"/>
          <w:b/>
          <w:color w:val="4F7D29" w:themeColor="accent4"/>
          <w:sz w:val="32"/>
          <w:szCs w:val="32"/>
        </w:rPr>
        <w:br w:type="page"/>
      </w:r>
    </w:p>
    <w:p w14:paraId="56B141BB" w14:textId="77777777" w:rsidR="007834A1" w:rsidRDefault="007834A1" w:rsidP="007834A1">
      <w:pPr>
        <w:pStyle w:val="Heading1"/>
        <w:rPr>
          <w:color w:val="3B5D1E" w:themeColor="accent4" w:themeShade="BF"/>
        </w:rPr>
      </w:pPr>
      <w:bookmarkStart w:id="5" w:name="_Toc181084738"/>
      <w:r>
        <w:rPr>
          <w:color w:val="3B5D1E" w:themeColor="accent4" w:themeShade="BF"/>
        </w:rPr>
        <w:lastRenderedPageBreak/>
        <w:t>Ngā take</w:t>
      </w:r>
      <w:bookmarkEnd w:id="5"/>
      <w:r>
        <w:rPr>
          <w:color w:val="3B5D1E" w:themeColor="accent4" w:themeShade="BF"/>
        </w:rPr>
        <w:t xml:space="preserve"> </w:t>
      </w:r>
    </w:p>
    <w:p w14:paraId="54F0B4D6" w14:textId="0A86211E" w:rsidR="007834A1" w:rsidRPr="004A0212" w:rsidRDefault="007834A1" w:rsidP="007834A1">
      <w:pPr>
        <w:pStyle w:val="Heading1"/>
        <w:rPr>
          <w:color w:val="3B5D1E" w:themeColor="accent4" w:themeShade="BF"/>
        </w:rPr>
      </w:pPr>
      <w:bookmarkStart w:id="6" w:name="_Toc181084739"/>
      <w:r>
        <w:rPr>
          <w:color w:val="3B5D1E" w:themeColor="accent4" w:themeShade="BF"/>
        </w:rPr>
        <w:t>Contents</w:t>
      </w:r>
      <w:bookmarkEnd w:id="6"/>
    </w:p>
    <w:sdt>
      <w:sdtPr>
        <w:rPr>
          <w:b w:val="0"/>
          <w:noProof/>
          <w:color w:val="404040" w:themeColor="text1" w:themeTint="BF"/>
        </w:rPr>
        <w:id w:val="437683647"/>
        <w:docPartObj>
          <w:docPartGallery w:val="Table of Contents"/>
          <w:docPartUnique/>
        </w:docPartObj>
      </w:sdtPr>
      <w:sdtEndPr>
        <w:rPr>
          <w:b/>
          <w:noProof w:val="0"/>
          <w:color w:val="3B5D1E" w:themeColor="accent4" w:themeShade="BF"/>
        </w:rPr>
      </w:sdtEndPr>
      <w:sdtContent>
        <w:p w14:paraId="72B6EC17" w14:textId="5AC645F9" w:rsidR="00A00D64" w:rsidRDefault="00604BA0">
          <w:pPr>
            <w:pStyle w:val="TOC1"/>
            <w:rPr>
              <w:rFonts w:asciiTheme="minorHAnsi" w:eastAsiaTheme="minorEastAsia" w:hAnsiTheme="minorHAnsi" w:cstheme="minorBidi"/>
              <w:b w:val="0"/>
              <w:noProof/>
              <w:color w:val="auto"/>
              <w:kern w:val="2"/>
              <w:sz w:val="24"/>
              <w14:ligatures w14:val="standardContextual"/>
            </w:rPr>
          </w:pPr>
          <w:r>
            <w:rPr>
              <w:color w:val="1F546B"/>
            </w:rPr>
            <w:fldChar w:fldCharType="begin"/>
          </w:r>
          <w:r>
            <w:rPr>
              <w:color w:val="1F546B"/>
            </w:rPr>
            <w:instrText xml:space="preserve"> TOC \o "1-3" \h \z \u </w:instrText>
          </w:r>
          <w:r>
            <w:rPr>
              <w:color w:val="1F546B"/>
            </w:rPr>
            <w:fldChar w:fldCharType="separate"/>
          </w:r>
          <w:hyperlink w:anchor="_Toc181084734" w:history="1">
            <w:r w:rsidR="00A00D64" w:rsidRPr="00016437">
              <w:rPr>
                <w:rStyle w:val="Hyperlink"/>
                <w:noProof/>
              </w:rPr>
              <w:t>He karakia</w:t>
            </w:r>
            <w:r w:rsidR="00A00D64">
              <w:rPr>
                <w:noProof/>
                <w:webHidden/>
              </w:rPr>
              <w:tab/>
            </w:r>
            <w:r w:rsidR="00A00D64">
              <w:rPr>
                <w:noProof/>
                <w:webHidden/>
              </w:rPr>
              <w:fldChar w:fldCharType="begin"/>
            </w:r>
            <w:r w:rsidR="00A00D64">
              <w:rPr>
                <w:noProof/>
                <w:webHidden/>
              </w:rPr>
              <w:instrText xml:space="preserve"> PAGEREF _Toc181084734 \h </w:instrText>
            </w:r>
            <w:r w:rsidR="00A00D64">
              <w:rPr>
                <w:noProof/>
                <w:webHidden/>
              </w:rPr>
            </w:r>
            <w:r w:rsidR="00A00D64">
              <w:rPr>
                <w:noProof/>
                <w:webHidden/>
              </w:rPr>
              <w:fldChar w:fldCharType="separate"/>
            </w:r>
            <w:r w:rsidR="00A00D64">
              <w:rPr>
                <w:noProof/>
                <w:webHidden/>
              </w:rPr>
              <w:t>4</w:t>
            </w:r>
            <w:r w:rsidR="00A00D64">
              <w:rPr>
                <w:noProof/>
                <w:webHidden/>
              </w:rPr>
              <w:fldChar w:fldCharType="end"/>
            </w:r>
          </w:hyperlink>
        </w:p>
        <w:p w14:paraId="6E8C1022" w14:textId="318C0ED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35" w:history="1">
            <w:r w:rsidRPr="00016437">
              <w:rPr>
                <w:rStyle w:val="Hyperlink"/>
                <w:noProof/>
              </w:rPr>
              <w:t>He auhi nō te puku</w:t>
            </w:r>
            <w:r>
              <w:rPr>
                <w:noProof/>
                <w:webHidden/>
              </w:rPr>
              <w:tab/>
            </w:r>
            <w:r>
              <w:rPr>
                <w:noProof/>
                <w:webHidden/>
              </w:rPr>
              <w:fldChar w:fldCharType="begin"/>
            </w:r>
            <w:r>
              <w:rPr>
                <w:noProof/>
                <w:webHidden/>
              </w:rPr>
              <w:instrText xml:space="preserve"> PAGEREF _Toc181084735 \h </w:instrText>
            </w:r>
            <w:r>
              <w:rPr>
                <w:noProof/>
                <w:webHidden/>
              </w:rPr>
            </w:r>
            <w:r>
              <w:rPr>
                <w:noProof/>
                <w:webHidden/>
              </w:rPr>
              <w:fldChar w:fldCharType="separate"/>
            </w:r>
            <w:r>
              <w:rPr>
                <w:noProof/>
                <w:webHidden/>
              </w:rPr>
              <w:t>6</w:t>
            </w:r>
            <w:r>
              <w:rPr>
                <w:noProof/>
                <w:webHidden/>
              </w:rPr>
              <w:fldChar w:fldCharType="end"/>
            </w:r>
          </w:hyperlink>
        </w:p>
        <w:p w14:paraId="0E53EA35" w14:textId="31FD735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36" w:history="1">
            <w:r w:rsidRPr="00016437">
              <w:rPr>
                <w:rStyle w:val="Hyperlink"/>
                <w:noProof/>
              </w:rPr>
              <w:t>Pānui whakatūpato</w:t>
            </w:r>
            <w:r>
              <w:rPr>
                <w:noProof/>
                <w:webHidden/>
              </w:rPr>
              <w:tab/>
            </w:r>
            <w:r>
              <w:rPr>
                <w:noProof/>
                <w:webHidden/>
              </w:rPr>
              <w:fldChar w:fldCharType="begin"/>
            </w:r>
            <w:r>
              <w:rPr>
                <w:noProof/>
                <w:webHidden/>
              </w:rPr>
              <w:instrText xml:space="preserve"> PAGEREF _Toc181084736 \h </w:instrText>
            </w:r>
            <w:r>
              <w:rPr>
                <w:noProof/>
                <w:webHidden/>
              </w:rPr>
            </w:r>
            <w:r>
              <w:rPr>
                <w:noProof/>
                <w:webHidden/>
              </w:rPr>
              <w:fldChar w:fldCharType="separate"/>
            </w:r>
            <w:r>
              <w:rPr>
                <w:noProof/>
                <w:webHidden/>
              </w:rPr>
              <w:t>7</w:t>
            </w:r>
            <w:r>
              <w:rPr>
                <w:noProof/>
                <w:webHidden/>
              </w:rPr>
              <w:fldChar w:fldCharType="end"/>
            </w:r>
          </w:hyperlink>
        </w:p>
        <w:p w14:paraId="444C9E7D" w14:textId="70A2E26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37" w:history="1">
            <w:r w:rsidRPr="00016437">
              <w:rPr>
                <w:rStyle w:val="Hyperlink"/>
                <w:noProof/>
              </w:rPr>
              <w:t>Distressing content warning</w:t>
            </w:r>
            <w:r>
              <w:rPr>
                <w:noProof/>
                <w:webHidden/>
              </w:rPr>
              <w:tab/>
            </w:r>
            <w:r>
              <w:rPr>
                <w:noProof/>
                <w:webHidden/>
              </w:rPr>
              <w:fldChar w:fldCharType="begin"/>
            </w:r>
            <w:r>
              <w:rPr>
                <w:noProof/>
                <w:webHidden/>
              </w:rPr>
              <w:instrText xml:space="preserve"> PAGEREF _Toc181084737 \h </w:instrText>
            </w:r>
            <w:r>
              <w:rPr>
                <w:noProof/>
                <w:webHidden/>
              </w:rPr>
            </w:r>
            <w:r>
              <w:rPr>
                <w:noProof/>
                <w:webHidden/>
              </w:rPr>
              <w:fldChar w:fldCharType="separate"/>
            </w:r>
            <w:r>
              <w:rPr>
                <w:noProof/>
                <w:webHidden/>
              </w:rPr>
              <w:t>7</w:t>
            </w:r>
            <w:r>
              <w:rPr>
                <w:noProof/>
                <w:webHidden/>
              </w:rPr>
              <w:fldChar w:fldCharType="end"/>
            </w:r>
          </w:hyperlink>
        </w:p>
        <w:p w14:paraId="4A68F3D5" w14:textId="12B1E93E"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38" w:history="1">
            <w:r w:rsidRPr="00016437">
              <w:rPr>
                <w:rStyle w:val="Hyperlink"/>
                <w:noProof/>
              </w:rPr>
              <w:t>Ngā take</w:t>
            </w:r>
            <w:r>
              <w:rPr>
                <w:noProof/>
                <w:webHidden/>
              </w:rPr>
              <w:tab/>
            </w:r>
            <w:r>
              <w:rPr>
                <w:noProof/>
                <w:webHidden/>
              </w:rPr>
              <w:fldChar w:fldCharType="begin"/>
            </w:r>
            <w:r>
              <w:rPr>
                <w:noProof/>
                <w:webHidden/>
              </w:rPr>
              <w:instrText xml:space="preserve"> PAGEREF _Toc181084738 \h </w:instrText>
            </w:r>
            <w:r>
              <w:rPr>
                <w:noProof/>
                <w:webHidden/>
              </w:rPr>
            </w:r>
            <w:r>
              <w:rPr>
                <w:noProof/>
                <w:webHidden/>
              </w:rPr>
              <w:fldChar w:fldCharType="separate"/>
            </w:r>
            <w:r>
              <w:rPr>
                <w:noProof/>
                <w:webHidden/>
              </w:rPr>
              <w:t>8</w:t>
            </w:r>
            <w:r>
              <w:rPr>
                <w:noProof/>
                <w:webHidden/>
              </w:rPr>
              <w:fldChar w:fldCharType="end"/>
            </w:r>
          </w:hyperlink>
        </w:p>
        <w:p w14:paraId="375F04BA" w14:textId="11ECAD20"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39" w:history="1">
            <w:r w:rsidRPr="00016437">
              <w:rPr>
                <w:rStyle w:val="Hyperlink"/>
                <w:noProof/>
              </w:rPr>
              <w:t>Contents</w:t>
            </w:r>
            <w:r>
              <w:rPr>
                <w:noProof/>
                <w:webHidden/>
              </w:rPr>
              <w:tab/>
            </w:r>
            <w:r>
              <w:rPr>
                <w:noProof/>
                <w:webHidden/>
              </w:rPr>
              <w:fldChar w:fldCharType="begin"/>
            </w:r>
            <w:r>
              <w:rPr>
                <w:noProof/>
                <w:webHidden/>
              </w:rPr>
              <w:instrText xml:space="preserve"> PAGEREF _Toc181084739 \h </w:instrText>
            </w:r>
            <w:r>
              <w:rPr>
                <w:noProof/>
                <w:webHidden/>
              </w:rPr>
            </w:r>
            <w:r>
              <w:rPr>
                <w:noProof/>
                <w:webHidden/>
              </w:rPr>
              <w:fldChar w:fldCharType="separate"/>
            </w:r>
            <w:r>
              <w:rPr>
                <w:noProof/>
                <w:webHidden/>
              </w:rPr>
              <w:t>8</w:t>
            </w:r>
            <w:r>
              <w:rPr>
                <w:noProof/>
                <w:webHidden/>
              </w:rPr>
              <w:fldChar w:fldCharType="end"/>
            </w:r>
          </w:hyperlink>
        </w:p>
        <w:p w14:paraId="53451EF3" w14:textId="15C35080"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0" w:history="1">
            <w:r w:rsidRPr="00016437">
              <w:rPr>
                <w:rStyle w:val="Hyperlink"/>
                <w:noProof/>
              </w:rPr>
              <w:t>Kuputaka</w:t>
            </w:r>
            <w:r>
              <w:rPr>
                <w:noProof/>
                <w:webHidden/>
              </w:rPr>
              <w:tab/>
            </w:r>
            <w:r>
              <w:rPr>
                <w:noProof/>
                <w:webHidden/>
              </w:rPr>
              <w:fldChar w:fldCharType="begin"/>
            </w:r>
            <w:r>
              <w:rPr>
                <w:noProof/>
                <w:webHidden/>
              </w:rPr>
              <w:instrText xml:space="preserve"> PAGEREF _Toc181084740 \h </w:instrText>
            </w:r>
            <w:r>
              <w:rPr>
                <w:noProof/>
                <w:webHidden/>
              </w:rPr>
            </w:r>
            <w:r>
              <w:rPr>
                <w:noProof/>
                <w:webHidden/>
              </w:rPr>
              <w:fldChar w:fldCharType="separate"/>
            </w:r>
            <w:r>
              <w:rPr>
                <w:noProof/>
                <w:webHidden/>
              </w:rPr>
              <w:t>16</w:t>
            </w:r>
            <w:r>
              <w:rPr>
                <w:noProof/>
                <w:webHidden/>
              </w:rPr>
              <w:fldChar w:fldCharType="end"/>
            </w:r>
          </w:hyperlink>
        </w:p>
        <w:p w14:paraId="1DC11FC7" w14:textId="248804EA"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1" w:history="1">
            <w:r w:rsidRPr="00016437">
              <w:rPr>
                <w:rStyle w:val="Hyperlink"/>
                <w:noProof/>
              </w:rPr>
              <w:t>Glossary</w:t>
            </w:r>
            <w:r>
              <w:rPr>
                <w:noProof/>
                <w:webHidden/>
              </w:rPr>
              <w:tab/>
            </w:r>
            <w:r>
              <w:rPr>
                <w:noProof/>
                <w:webHidden/>
              </w:rPr>
              <w:fldChar w:fldCharType="begin"/>
            </w:r>
            <w:r>
              <w:rPr>
                <w:noProof/>
                <w:webHidden/>
              </w:rPr>
              <w:instrText xml:space="preserve"> PAGEREF _Toc181084741 \h </w:instrText>
            </w:r>
            <w:r>
              <w:rPr>
                <w:noProof/>
                <w:webHidden/>
              </w:rPr>
            </w:r>
            <w:r>
              <w:rPr>
                <w:noProof/>
                <w:webHidden/>
              </w:rPr>
              <w:fldChar w:fldCharType="separate"/>
            </w:r>
            <w:r>
              <w:rPr>
                <w:noProof/>
                <w:webHidden/>
              </w:rPr>
              <w:t>16</w:t>
            </w:r>
            <w:r>
              <w:rPr>
                <w:noProof/>
                <w:webHidden/>
              </w:rPr>
              <w:fldChar w:fldCharType="end"/>
            </w:r>
          </w:hyperlink>
        </w:p>
        <w:p w14:paraId="14ECE46C" w14:textId="5616272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2" w:history="1">
            <w:r w:rsidRPr="00016437">
              <w:rPr>
                <w:rStyle w:val="Hyperlink"/>
                <w:noProof/>
              </w:rPr>
              <w:t>Ūpoko 1: He whakataki</w:t>
            </w:r>
            <w:r>
              <w:rPr>
                <w:noProof/>
                <w:webHidden/>
              </w:rPr>
              <w:tab/>
            </w:r>
            <w:r>
              <w:rPr>
                <w:noProof/>
                <w:webHidden/>
              </w:rPr>
              <w:fldChar w:fldCharType="begin"/>
            </w:r>
            <w:r>
              <w:rPr>
                <w:noProof/>
                <w:webHidden/>
              </w:rPr>
              <w:instrText xml:space="preserve"> PAGEREF _Toc181084742 \h </w:instrText>
            </w:r>
            <w:r>
              <w:rPr>
                <w:noProof/>
                <w:webHidden/>
              </w:rPr>
            </w:r>
            <w:r>
              <w:rPr>
                <w:noProof/>
                <w:webHidden/>
              </w:rPr>
              <w:fldChar w:fldCharType="separate"/>
            </w:r>
            <w:r>
              <w:rPr>
                <w:noProof/>
                <w:webHidden/>
              </w:rPr>
              <w:t>18</w:t>
            </w:r>
            <w:r>
              <w:rPr>
                <w:noProof/>
                <w:webHidden/>
              </w:rPr>
              <w:fldChar w:fldCharType="end"/>
            </w:r>
          </w:hyperlink>
        </w:p>
        <w:p w14:paraId="5F03AF84" w14:textId="0DD5A0E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3" w:history="1">
            <w:r w:rsidRPr="00016437">
              <w:rPr>
                <w:rStyle w:val="Hyperlink"/>
                <w:noProof/>
              </w:rPr>
              <w:t>Chapter 1: Introduction</w:t>
            </w:r>
            <w:r>
              <w:rPr>
                <w:noProof/>
                <w:webHidden/>
              </w:rPr>
              <w:tab/>
            </w:r>
            <w:r>
              <w:rPr>
                <w:noProof/>
                <w:webHidden/>
              </w:rPr>
              <w:fldChar w:fldCharType="begin"/>
            </w:r>
            <w:r>
              <w:rPr>
                <w:noProof/>
                <w:webHidden/>
              </w:rPr>
              <w:instrText xml:space="preserve"> PAGEREF _Toc181084743 \h </w:instrText>
            </w:r>
            <w:r>
              <w:rPr>
                <w:noProof/>
                <w:webHidden/>
              </w:rPr>
            </w:r>
            <w:r>
              <w:rPr>
                <w:noProof/>
                <w:webHidden/>
              </w:rPr>
              <w:fldChar w:fldCharType="separate"/>
            </w:r>
            <w:r>
              <w:rPr>
                <w:noProof/>
                <w:webHidden/>
              </w:rPr>
              <w:t>18</w:t>
            </w:r>
            <w:r>
              <w:rPr>
                <w:noProof/>
                <w:webHidden/>
              </w:rPr>
              <w:fldChar w:fldCharType="end"/>
            </w:r>
          </w:hyperlink>
        </w:p>
        <w:p w14:paraId="2B714235" w14:textId="742D86C0"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4" w:history="1">
            <w:r w:rsidRPr="00016437">
              <w:rPr>
                <w:rStyle w:val="Hyperlink"/>
                <w:noProof/>
              </w:rPr>
              <w:t>Ūpoko 2: Ngā waiaro ā-pāpori tuku iho ki te taurimatanga</w:t>
            </w:r>
            <w:r>
              <w:rPr>
                <w:noProof/>
                <w:webHidden/>
              </w:rPr>
              <w:tab/>
            </w:r>
            <w:r>
              <w:rPr>
                <w:noProof/>
                <w:webHidden/>
              </w:rPr>
              <w:fldChar w:fldCharType="begin"/>
            </w:r>
            <w:r>
              <w:rPr>
                <w:noProof/>
                <w:webHidden/>
              </w:rPr>
              <w:instrText xml:space="preserve"> PAGEREF _Toc181084744 \h </w:instrText>
            </w:r>
            <w:r>
              <w:rPr>
                <w:noProof/>
                <w:webHidden/>
              </w:rPr>
            </w:r>
            <w:r>
              <w:rPr>
                <w:noProof/>
                <w:webHidden/>
              </w:rPr>
              <w:fldChar w:fldCharType="separate"/>
            </w:r>
            <w:r>
              <w:rPr>
                <w:noProof/>
                <w:webHidden/>
              </w:rPr>
              <w:t>19</w:t>
            </w:r>
            <w:r>
              <w:rPr>
                <w:noProof/>
                <w:webHidden/>
              </w:rPr>
              <w:fldChar w:fldCharType="end"/>
            </w:r>
          </w:hyperlink>
        </w:p>
        <w:p w14:paraId="3305AA45" w14:textId="553434F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45" w:history="1">
            <w:r w:rsidRPr="00016437">
              <w:rPr>
                <w:rStyle w:val="Hyperlink"/>
                <w:noProof/>
              </w:rPr>
              <w:t>Chapter 2: Traditional societal attitudes to care</w:t>
            </w:r>
            <w:r>
              <w:rPr>
                <w:noProof/>
                <w:webHidden/>
              </w:rPr>
              <w:tab/>
            </w:r>
            <w:r>
              <w:rPr>
                <w:noProof/>
                <w:webHidden/>
              </w:rPr>
              <w:fldChar w:fldCharType="begin"/>
            </w:r>
            <w:r>
              <w:rPr>
                <w:noProof/>
                <w:webHidden/>
              </w:rPr>
              <w:instrText xml:space="preserve"> PAGEREF _Toc181084745 \h </w:instrText>
            </w:r>
            <w:r>
              <w:rPr>
                <w:noProof/>
                <w:webHidden/>
              </w:rPr>
            </w:r>
            <w:r>
              <w:rPr>
                <w:noProof/>
                <w:webHidden/>
              </w:rPr>
              <w:fldChar w:fldCharType="separate"/>
            </w:r>
            <w:r>
              <w:rPr>
                <w:noProof/>
                <w:webHidden/>
              </w:rPr>
              <w:t>19</w:t>
            </w:r>
            <w:r>
              <w:rPr>
                <w:noProof/>
                <w:webHidden/>
              </w:rPr>
              <w:fldChar w:fldCharType="end"/>
            </w:r>
          </w:hyperlink>
        </w:p>
        <w:p w14:paraId="7B61E9B0" w14:textId="23982948" w:rsidR="00A00D64" w:rsidRDefault="00A00D64">
          <w:pPr>
            <w:pStyle w:val="TOC2"/>
            <w:rPr>
              <w:rFonts w:asciiTheme="minorHAnsi" w:eastAsiaTheme="minorEastAsia" w:hAnsiTheme="minorHAnsi" w:cstheme="minorBidi"/>
              <w:b w:val="0"/>
              <w:kern w:val="2"/>
              <w:sz w:val="24"/>
              <w14:ligatures w14:val="standardContextual"/>
            </w:rPr>
          </w:pPr>
          <w:hyperlink w:anchor="_Toc181084746" w:history="1">
            <w:r w:rsidRPr="00016437">
              <w:rPr>
                <w:rStyle w:val="Hyperlink"/>
              </w:rPr>
              <w:t>Ngā waiaro o te Māori ki te taurimatanga</w:t>
            </w:r>
            <w:r>
              <w:rPr>
                <w:webHidden/>
              </w:rPr>
              <w:tab/>
            </w:r>
            <w:r>
              <w:rPr>
                <w:webHidden/>
              </w:rPr>
              <w:fldChar w:fldCharType="begin"/>
            </w:r>
            <w:r>
              <w:rPr>
                <w:webHidden/>
              </w:rPr>
              <w:instrText xml:space="preserve"> PAGEREF _Toc181084746 \h </w:instrText>
            </w:r>
            <w:r>
              <w:rPr>
                <w:webHidden/>
              </w:rPr>
            </w:r>
            <w:r>
              <w:rPr>
                <w:webHidden/>
              </w:rPr>
              <w:fldChar w:fldCharType="separate"/>
            </w:r>
            <w:r>
              <w:rPr>
                <w:webHidden/>
              </w:rPr>
              <w:t>19</w:t>
            </w:r>
            <w:r>
              <w:rPr>
                <w:webHidden/>
              </w:rPr>
              <w:fldChar w:fldCharType="end"/>
            </w:r>
          </w:hyperlink>
        </w:p>
        <w:p w14:paraId="764EEFDB" w14:textId="219B018E" w:rsidR="00A00D64" w:rsidRDefault="00A00D64">
          <w:pPr>
            <w:pStyle w:val="TOC2"/>
            <w:rPr>
              <w:rFonts w:asciiTheme="minorHAnsi" w:eastAsiaTheme="minorEastAsia" w:hAnsiTheme="minorHAnsi" w:cstheme="minorBidi"/>
              <w:b w:val="0"/>
              <w:kern w:val="2"/>
              <w:sz w:val="24"/>
              <w14:ligatures w14:val="standardContextual"/>
            </w:rPr>
          </w:pPr>
          <w:hyperlink w:anchor="_Toc181084747" w:history="1">
            <w:r w:rsidRPr="00016437">
              <w:rPr>
                <w:rStyle w:val="Hyperlink"/>
              </w:rPr>
              <w:t>Māori attitudes to care</w:t>
            </w:r>
            <w:r>
              <w:rPr>
                <w:webHidden/>
              </w:rPr>
              <w:tab/>
            </w:r>
            <w:r>
              <w:rPr>
                <w:webHidden/>
              </w:rPr>
              <w:fldChar w:fldCharType="begin"/>
            </w:r>
            <w:r>
              <w:rPr>
                <w:webHidden/>
              </w:rPr>
              <w:instrText xml:space="preserve"> PAGEREF _Toc181084747 \h </w:instrText>
            </w:r>
            <w:r>
              <w:rPr>
                <w:webHidden/>
              </w:rPr>
            </w:r>
            <w:r>
              <w:rPr>
                <w:webHidden/>
              </w:rPr>
              <w:fldChar w:fldCharType="separate"/>
            </w:r>
            <w:r>
              <w:rPr>
                <w:webHidden/>
              </w:rPr>
              <w:t>19</w:t>
            </w:r>
            <w:r>
              <w:rPr>
                <w:webHidden/>
              </w:rPr>
              <w:fldChar w:fldCharType="end"/>
            </w:r>
          </w:hyperlink>
        </w:p>
        <w:p w14:paraId="4D54AC8E" w14:textId="5673907E" w:rsidR="00A00D64" w:rsidRDefault="00A00D64">
          <w:pPr>
            <w:pStyle w:val="TOC3"/>
            <w:rPr>
              <w:rFonts w:asciiTheme="minorHAnsi" w:eastAsiaTheme="minorEastAsia" w:hAnsiTheme="minorHAnsi" w:cstheme="minorBidi"/>
              <w:kern w:val="2"/>
              <w:sz w:val="24"/>
              <w14:ligatures w14:val="standardContextual"/>
            </w:rPr>
          </w:pPr>
          <w:hyperlink w:anchor="_Toc181084748" w:history="1">
            <w:r w:rsidRPr="00016437">
              <w:rPr>
                <w:rStyle w:val="Hyperlink"/>
                <w:rFonts w:cs="Arial"/>
              </w:rPr>
              <w:t>Ngā tikanga a te Māori ki te whakatipu tamariki</w:t>
            </w:r>
            <w:r>
              <w:rPr>
                <w:webHidden/>
              </w:rPr>
              <w:tab/>
            </w:r>
            <w:r>
              <w:rPr>
                <w:webHidden/>
              </w:rPr>
              <w:fldChar w:fldCharType="begin"/>
            </w:r>
            <w:r>
              <w:rPr>
                <w:webHidden/>
              </w:rPr>
              <w:instrText xml:space="preserve"> PAGEREF _Toc181084748 \h </w:instrText>
            </w:r>
            <w:r>
              <w:rPr>
                <w:webHidden/>
              </w:rPr>
            </w:r>
            <w:r>
              <w:rPr>
                <w:webHidden/>
              </w:rPr>
              <w:fldChar w:fldCharType="separate"/>
            </w:r>
            <w:r>
              <w:rPr>
                <w:webHidden/>
              </w:rPr>
              <w:t>19</w:t>
            </w:r>
            <w:r>
              <w:rPr>
                <w:webHidden/>
              </w:rPr>
              <w:fldChar w:fldCharType="end"/>
            </w:r>
          </w:hyperlink>
        </w:p>
        <w:p w14:paraId="446C9123" w14:textId="6C103256" w:rsidR="00A00D64" w:rsidRDefault="00A00D64">
          <w:pPr>
            <w:pStyle w:val="TOC3"/>
            <w:rPr>
              <w:rFonts w:asciiTheme="minorHAnsi" w:eastAsiaTheme="minorEastAsia" w:hAnsiTheme="minorHAnsi" w:cstheme="minorBidi"/>
              <w:kern w:val="2"/>
              <w:sz w:val="24"/>
              <w14:ligatures w14:val="standardContextual"/>
            </w:rPr>
          </w:pPr>
          <w:hyperlink w:anchor="_Toc181084749" w:history="1">
            <w:r w:rsidRPr="00016437">
              <w:rPr>
                <w:rStyle w:val="Hyperlink"/>
                <w:rFonts w:cs="Arial"/>
              </w:rPr>
              <w:t>Traditional Māori models of parenting</w:t>
            </w:r>
            <w:r>
              <w:rPr>
                <w:webHidden/>
              </w:rPr>
              <w:tab/>
            </w:r>
            <w:r>
              <w:rPr>
                <w:webHidden/>
              </w:rPr>
              <w:fldChar w:fldCharType="begin"/>
            </w:r>
            <w:r>
              <w:rPr>
                <w:webHidden/>
              </w:rPr>
              <w:instrText xml:space="preserve"> PAGEREF _Toc181084749 \h </w:instrText>
            </w:r>
            <w:r>
              <w:rPr>
                <w:webHidden/>
              </w:rPr>
            </w:r>
            <w:r>
              <w:rPr>
                <w:webHidden/>
              </w:rPr>
              <w:fldChar w:fldCharType="separate"/>
            </w:r>
            <w:r>
              <w:rPr>
                <w:webHidden/>
              </w:rPr>
              <w:t>19</w:t>
            </w:r>
            <w:r>
              <w:rPr>
                <w:webHidden/>
              </w:rPr>
              <w:fldChar w:fldCharType="end"/>
            </w:r>
          </w:hyperlink>
        </w:p>
        <w:p w14:paraId="1408C57B" w14:textId="0DC8AF47" w:rsidR="00A00D64" w:rsidRDefault="00A00D64">
          <w:pPr>
            <w:pStyle w:val="TOC3"/>
            <w:rPr>
              <w:rFonts w:asciiTheme="minorHAnsi" w:eastAsiaTheme="minorEastAsia" w:hAnsiTheme="minorHAnsi" w:cstheme="minorBidi"/>
              <w:kern w:val="2"/>
              <w:sz w:val="24"/>
              <w14:ligatures w14:val="standardContextual"/>
            </w:rPr>
          </w:pPr>
          <w:hyperlink w:anchor="_Toc181084750" w:history="1">
            <w:r w:rsidRPr="00016437">
              <w:rPr>
                <w:rStyle w:val="Hyperlink"/>
                <w:rFonts w:cs="Arial"/>
              </w:rPr>
              <w:t>Ngā waiaro me ngā rautaki o te Māori ki te hauora me te whaikaha</w:t>
            </w:r>
            <w:r>
              <w:rPr>
                <w:webHidden/>
              </w:rPr>
              <w:tab/>
            </w:r>
            <w:r>
              <w:rPr>
                <w:webHidden/>
              </w:rPr>
              <w:fldChar w:fldCharType="begin"/>
            </w:r>
            <w:r>
              <w:rPr>
                <w:webHidden/>
              </w:rPr>
              <w:instrText xml:space="preserve"> PAGEREF _Toc181084750 \h </w:instrText>
            </w:r>
            <w:r>
              <w:rPr>
                <w:webHidden/>
              </w:rPr>
            </w:r>
            <w:r>
              <w:rPr>
                <w:webHidden/>
              </w:rPr>
              <w:fldChar w:fldCharType="separate"/>
            </w:r>
            <w:r>
              <w:rPr>
                <w:webHidden/>
              </w:rPr>
              <w:t>20</w:t>
            </w:r>
            <w:r>
              <w:rPr>
                <w:webHidden/>
              </w:rPr>
              <w:fldChar w:fldCharType="end"/>
            </w:r>
          </w:hyperlink>
        </w:p>
        <w:p w14:paraId="2F8CCA63" w14:textId="79726272" w:rsidR="00A00D64" w:rsidRDefault="00A00D64">
          <w:pPr>
            <w:pStyle w:val="TOC3"/>
            <w:rPr>
              <w:rFonts w:asciiTheme="minorHAnsi" w:eastAsiaTheme="minorEastAsia" w:hAnsiTheme="minorHAnsi" w:cstheme="minorBidi"/>
              <w:kern w:val="2"/>
              <w:sz w:val="24"/>
              <w14:ligatures w14:val="standardContextual"/>
            </w:rPr>
          </w:pPr>
          <w:hyperlink w:anchor="_Toc181084751" w:history="1">
            <w:r w:rsidRPr="00016437">
              <w:rPr>
                <w:rStyle w:val="Hyperlink"/>
                <w:rFonts w:cs="Arial"/>
              </w:rPr>
              <w:t>Māori attitudes and approaches to health and disability</w:t>
            </w:r>
            <w:r>
              <w:rPr>
                <w:webHidden/>
              </w:rPr>
              <w:tab/>
            </w:r>
            <w:r>
              <w:rPr>
                <w:webHidden/>
              </w:rPr>
              <w:fldChar w:fldCharType="begin"/>
            </w:r>
            <w:r>
              <w:rPr>
                <w:webHidden/>
              </w:rPr>
              <w:instrText xml:space="preserve"> PAGEREF _Toc181084751 \h </w:instrText>
            </w:r>
            <w:r>
              <w:rPr>
                <w:webHidden/>
              </w:rPr>
            </w:r>
            <w:r>
              <w:rPr>
                <w:webHidden/>
              </w:rPr>
              <w:fldChar w:fldCharType="separate"/>
            </w:r>
            <w:r>
              <w:rPr>
                <w:webHidden/>
              </w:rPr>
              <w:t>20</w:t>
            </w:r>
            <w:r>
              <w:rPr>
                <w:webHidden/>
              </w:rPr>
              <w:fldChar w:fldCharType="end"/>
            </w:r>
          </w:hyperlink>
        </w:p>
        <w:p w14:paraId="473D157A" w14:textId="401B98AE" w:rsidR="00A00D64" w:rsidRDefault="00A00D64">
          <w:pPr>
            <w:pStyle w:val="TOC3"/>
            <w:rPr>
              <w:rFonts w:asciiTheme="minorHAnsi" w:eastAsiaTheme="minorEastAsia" w:hAnsiTheme="minorHAnsi" w:cstheme="minorBidi"/>
              <w:kern w:val="2"/>
              <w:sz w:val="24"/>
              <w14:ligatures w14:val="standardContextual"/>
            </w:rPr>
          </w:pPr>
          <w:hyperlink w:anchor="_Toc181084752" w:history="1">
            <w:r w:rsidRPr="00016437">
              <w:rPr>
                <w:rStyle w:val="Hyperlink"/>
                <w:rFonts w:cs="Arial"/>
              </w:rPr>
              <w:t>Ngā waiaro o te Māori ki te iatanga me te hemahematanga</w:t>
            </w:r>
            <w:r>
              <w:rPr>
                <w:webHidden/>
              </w:rPr>
              <w:tab/>
            </w:r>
            <w:r>
              <w:rPr>
                <w:webHidden/>
              </w:rPr>
              <w:fldChar w:fldCharType="begin"/>
            </w:r>
            <w:r>
              <w:rPr>
                <w:webHidden/>
              </w:rPr>
              <w:instrText xml:space="preserve"> PAGEREF _Toc181084752 \h </w:instrText>
            </w:r>
            <w:r>
              <w:rPr>
                <w:webHidden/>
              </w:rPr>
            </w:r>
            <w:r>
              <w:rPr>
                <w:webHidden/>
              </w:rPr>
              <w:fldChar w:fldCharType="separate"/>
            </w:r>
            <w:r>
              <w:rPr>
                <w:webHidden/>
              </w:rPr>
              <w:t>21</w:t>
            </w:r>
            <w:r>
              <w:rPr>
                <w:webHidden/>
              </w:rPr>
              <w:fldChar w:fldCharType="end"/>
            </w:r>
          </w:hyperlink>
        </w:p>
        <w:p w14:paraId="0D6DB72D" w14:textId="0BD5C66C" w:rsidR="00A00D64" w:rsidRDefault="00A00D64">
          <w:pPr>
            <w:pStyle w:val="TOC3"/>
            <w:rPr>
              <w:rFonts w:asciiTheme="minorHAnsi" w:eastAsiaTheme="minorEastAsia" w:hAnsiTheme="minorHAnsi" w:cstheme="minorBidi"/>
              <w:kern w:val="2"/>
              <w:sz w:val="24"/>
              <w14:ligatures w14:val="standardContextual"/>
            </w:rPr>
          </w:pPr>
          <w:hyperlink w:anchor="_Toc181084753" w:history="1">
            <w:r w:rsidRPr="00016437">
              <w:rPr>
                <w:rStyle w:val="Hyperlink"/>
                <w:rFonts w:cs="Arial"/>
              </w:rPr>
              <w:t>Māori attitudes towards gender and sexuality</w:t>
            </w:r>
            <w:r>
              <w:rPr>
                <w:webHidden/>
              </w:rPr>
              <w:tab/>
            </w:r>
            <w:r>
              <w:rPr>
                <w:webHidden/>
              </w:rPr>
              <w:fldChar w:fldCharType="begin"/>
            </w:r>
            <w:r>
              <w:rPr>
                <w:webHidden/>
              </w:rPr>
              <w:instrText xml:space="preserve"> PAGEREF _Toc181084753 \h </w:instrText>
            </w:r>
            <w:r>
              <w:rPr>
                <w:webHidden/>
              </w:rPr>
            </w:r>
            <w:r>
              <w:rPr>
                <w:webHidden/>
              </w:rPr>
              <w:fldChar w:fldCharType="separate"/>
            </w:r>
            <w:r>
              <w:rPr>
                <w:webHidden/>
              </w:rPr>
              <w:t>21</w:t>
            </w:r>
            <w:r>
              <w:rPr>
                <w:webHidden/>
              </w:rPr>
              <w:fldChar w:fldCharType="end"/>
            </w:r>
          </w:hyperlink>
        </w:p>
        <w:p w14:paraId="4518E242" w14:textId="27C6EB75" w:rsidR="00A00D64" w:rsidRDefault="00A00D64">
          <w:pPr>
            <w:pStyle w:val="TOC2"/>
            <w:rPr>
              <w:rFonts w:asciiTheme="minorHAnsi" w:eastAsiaTheme="minorEastAsia" w:hAnsiTheme="minorHAnsi" w:cstheme="minorBidi"/>
              <w:b w:val="0"/>
              <w:kern w:val="2"/>
              <w:sz w:val="24"/>
              <w14:ligatures w14:val="standardContextual"/>
            </w:rPr>
          </w:pPr>
          <w:hyperlink w:anchor="_Toc181084754" w:history="1">
            <w:r w:rsidRPr="00016437">
              <w:rPr>
                <w:rStyle w:val="Hyperlink"/>
              </w:rPr>
              <w:t>Ngā waiaro o ngā iwi Pasifika ki te taurimatanga</w:t>
            </w:r>
            <w:r>
              <w:rPr>
                <w:webHidden/>
              </w:rPr>
              <w:tab/>
            </w:r>
            <w:r>
              <w:rPr>
                <w:webHidden/>
              </w:rPr>
              <w:fldChar w:fldCharType="begin"/>
            </w:r>
            <w:r>
              <w:rPr>
                <w:webHidden/>
              </w:rPr>
              <w:instrText xml:space="preserve"> PAGEREF _Toc181084754 \h </w:instrText>
            </w:r>
            <w:r>
              <w:rPr>
                <w:webHidden/>
              </w:rPr>
            </w:r>
            <w:r>
              <w:rPr>
                <w:webHidden/>
              </w:rPr>
              <w:fldChar w:fldCharType="separate"/>
            </w:r>
            <w:r>
              <w:rPr>
                <w:webHidden/>
              </w:rPr>
              <w:t>22</w:t>
            </w:r>
            <w:r>
              <w:rPr>
                <w:webHidden/>
              </w:rPr>
              <w:fldChar w:fldCharType="end"/>
            </w:r>
          </w:hyperlink>
        </w:p>
        <w:p w14:paraId="66ACDE8F" w14:textId="71818643" w:rsidR="00A00D64" w:rsidRDefault="00A00D64">
          <w:pPr>
            <w:pStyle w:val="TOC2"/>
            <w:rPr>
              <w:rFonts w:asciiTheme="minorHAnsi" w:eastAsiaTheme="minorEastAsia" w:hAnsiTheme="minorHAnsi" w:cstheme="minorBidi"/>
              <w:b w:val="0"/>
              <w:kern w:val="2"/>
              <w:sz w:val="24"/>
              <w14:ligatures w14:val="standardContextual"/>
            </w:rPr>
          </w:pPr>
          <w:hyperlink w:anchor="_Toc181084755" w:history="1">
            <w:r w:rsidRPr="00016437">
              <w:rPr>
                <w:rStyle w:val="Hyperlink"/>
              </w:rPr>
              <w:t>Pacific Peoples’ attitudes to care</w:t>
            </w:r>
            <w:r>
              <w:rPr>
                <w:webHidden/>
              </w:rPr>
              <w:tab/>
            </w:r>
            <w:r>
              <w:rPr>
                <w:webHidden/>
              </w:rPr>
              <w:fldChar w:fldCharType="begin"/>
            </w:r>
            <w:r>
              <w:rPr>
                <w:webHidden/>
              </w:rPr>
              <w:instrText xml:space="preserve"> PAGEREF _Toc181084755 \h </w:instrText>
            </w:r>
            <w:r>
              <w:rPr>
                <w:webHidden/>
              </w:rPr>
            </w:r>
            <w:r>
              <w:rPr>
                <w:webHidden/>
              </w:rPr>
              <w:fldChar w:fldCharType="separate"/>
            </w:r>
            <w:r>
              <w:rPr>
                <w:webHidden/>
              </w:rPr>
              <w:t>22</w:t>
            </w:r>
            <w:r>
              <w:rPr>
                <w:webHidden/>
              </w:rPr>
              <w:fldChar w:fldCharType="end"/>
            </w:r>
          </w:hyperlink>
        </w:p>
        <w:p w14:paraId="10E2F2F6" w14:textId="12B31487" w:rsidR="00A00D64" w:rsidRDefault="00A00D64">
          <w:pPr>
            <w:pStyle w:val="TOC3"/>
            <w:rPr>
              <w:rFonts w:asciiTheme="minorHAnsi" w:eastAsiaTheme="minorEastAsia" w:hAnsiTheme="minorHAnsi" w:cstheme="minorBidi"/>
              <w:kern w:val="2"/>
              <w:sz w:val="24"/>
              <w14:ligatures w14:val="standardContextual"/>
            </w:rPr>
          </w:pPr>
          <w:hyperlink w:anchor="_Toc181084756" w:history="1">
            <w:r w:rsidRPr="00016437">
              <w:rPr>
                <w:rStyle w:val="Hyperlink"/>
              </w:rPr>
              <w:t>Ngā tikanga o ngā iwi Paskifika ki te whakatipu tamariki</w:t>
            </w:r>
            <w:r>
              <w:rPr>
                <w:webHidden/>
              </w:rPr>
              <w:tab/>
            </w:r>
            <w:r>
              <w:rPr>
                <w:webHidden/>
              </w:rPr>
              <w:fldChar w:fldCharType="begin"/>
            </w:r>
            <w:r>
              <w:rPr>
                <w:webHidden/>
              </w:rPr>
              <w:instrText xml:space="preserve"> PAGEREF _Toc181084756 \h </w:instrText>
            </w:r>
            <w:r>
              <w:rPr>
                <w:webHidden/>
              </w:rPr>
            </w:r>
            <w:r>
              <w:rPr>
                <w:webHidden/>
              </w:rPr>
              <w:fldChar w:fldCharType="separate"/>
            </w:r>
            <w:r>
              <w:rPr>
                <w:webHidden/>
              </w:rPr>
              <w:t>22</w:t>
            </w:r>
            <w:r>
              <w:rPr>
                <w:webHidden/>
              </w:rPr>
              <w:fldChar w:fldCharType="end"/>
            </w:r>
          </w:hyperlink>
        </w:p>
        <w:p w14:paraId="6D8F8721" w14:textId="28AE24D4" w:rsidR="00A00D64" w:rsidRDefault="00A00D64">
          <w:pPr>
            <w:pStyle w:val="TOC3"/>
            <w:rPr>
              <w:rFonts w:asciiTheme="minorHAnsi" w:eastAsiaTheme="minorEastAsia" w:hAnsiTheme="minorHAnsi" w:cstheme="minorBidi"/>
              <w:kern w:val="2"/>
              <w:sz w:val="24"/>
              <w14:ligatures w14:val="standardContextual"/>
            </w:rPr>
          </w:pPr>
          <w:hyperlink w:anchor="_Toc181084757" w:history="1">
            <w:r w:rsidRPr="00016437">
              <w:rPr>
                <w:rStyle w:val="Hyperlink"/>
                <w:rFonts w:cs="Arial"/>
              </w:rPr>
              <w:t>Pacific models of parenting</w:t>
            </w:r>
            <w:r>
              <w:rPr>
                <w:webHidden/>
              </w:rPr>
              <w:tab/>
            </w:r>
            <w:r>
              <w:rPr>
                <w:webHidden/>
              </w:rPr>
              <w:fldChar w:fldCharType="begin"/>
            </w:r>
            <w:r>
              <w:rPr>
                <w:webHidden/>
              </w:rPr>
              <w:instrText xml:space="preserve"> PAGEREF _Toc181084757 \h </w:instrText>
            </w:r>
            <w:r>
              <w:rPr>
                <w:webHidden/>
              </w:rPr>
            </w:r>
            <w:r>
              <w:rPr>
                <w:webHidden/>
              </w:rPr>
              <w:fldChar w:fldCharType="separate"/>
            </w:r>
            <w:r>
              <w:rPr>
                <w:webHidden/>
              </w:rPr>
              <w:t>22</w:t>
            </w:r>
            <w:r>
              <w:rPr>
                <w:webHidden/>
              </w:rPr>
              <w:fldChar w:fldCharType="end"/>
            </w:r>
          </w:hyperlink>
        </w:p>
        <w:p w14:paraId="363FECEF" w14:textId="35FD036F" w:rsidR="00A00D64" w:rsidRDefault="00A00D64">
          <w:pPr>
            <w:pStyle w:val="TOC3"/>
            <w:rPr>
              <w:rFonts w:asciiTheme="minorHAnsi" w:eastAsiaTheme="minorEastAsia" w:hAnsiTheme="minorHAnsi" w:cstheme="minorBidi"/>
              <w:kern w:val="2"/>
              <w:sz w:val="24"/>
              <w14:ligatures w14:val="standardContextual"/>
            </w:rPr>
          </w:pPr>
          <w:hyperlink w:anchor="_Toc181084758" w:history="1">
            <w:r w:rsidRPr="00016437">
              <w:rPr>
                <w:rStyle w:val="Hyperlink"/>
                <w:rFonts w:cs="Arial"/>
              </w:rPr>
              <w:t>Ngā waiaro me ngā rautaki o ngā iwi Pasifika ki te hauora me te whaikaha</w:t>
            </w:r>
            <w:r>
              <w:rPr>
                <w:webHidden/>
              </w:rPr>
              <w:tab/>
            </w:r>
            <w:r>
              <w:rPr>
                <w:webHidden/>
              </w:rPr>
              <w:fldChar w:fldCharType="begin"/>
            </w:r>
            <w:r>
              <w:rPr>
                <w:webHidden/>
              </w:rPr>
              <w:instrText xml:space="preserve"> PAGEREF _Toc181084758 \h </w:instrText>
            </w:r>
            <w:r>
              <w:rPr>
                <w:webHidden/>
              </w:rPr>
            </w:r>
            <w:r>
              <w:rPr>
                <w:webHidden/>
              </w:rPr>
              <w:fldChar w:fldCharType="separate"/>
            </w:r>
            <w:r>
              <w:rPr>
                <w:webHidden/>
              </w:rPr>
              <w:t>22</w:t>
            </w:r>
            <w:r>
              <w:rPr>
                <w:webHidden/>
              </w:rPr>
              <w:fldChar w:fldCharType="end"/>
            </w:r>
          </w:hyperlink>
        </w:p>
        <w:p w14:paraId="4D714EB0" w14:textId="3340BDD7" w:rsidR="00A00D64" w:rsidRDefault="00A00D64">
          <w:pPr>
            <w:pStyle w:val="TOC3"/>
            <w:rPr>
              <w:rFonts w:asciiTheme="minorHAnsi" w:eastAsiaTheme="minorEastAsia" w:hAnsiTheme="minorHAnsi" w:cstheme="minorBidi"/>
              <w:kern w:val="2"/>
              <w:sz w:val="24"/>
              <w14:ligatures w14:val="standardContextual"/>
            </w:rPr>
          </w:pPr>
          <w:hyperlink w:anchor="_Toc181084759" w:history="1">
            <w:r w:rsidRPr="00016437">
              <w:rPr>
                <w:rStyle w:val="Hyperlink"/>
                <w:rFonts w:cs="Arial"/>
              </w:rPr>
              <w:t>Pacific Peoples’ approaches to health and disability</w:t>
            </w:r>
            <w:r>
              <w:rPr>
                <w:webHidden/>
              </w:rPr>
              <w:tab/>
            </w:r>
            <w:r>
              <w:rPr>
                <w:webHidden/>
              </w:rPr>
              <w:fldChar w:fldCharType="begin"/>
            </w:r>
            <w:r>
              <w:rPr>
                <w:webHidden/>
              </w:rPr>
              <w:instrText xml:space="preserve"> PAGEREF _Toc181084759 \h </w:instrText>
            </w:r>
            <w:r>
              <w:rPr>
                <w:webHidden/>
              </w:rPr>
            </w:r>
            <w:r>
              <w:rPr>
                <w:webHidden/>
              </w:rPr>
              <w:fldChar w:fldCharType="separate"/>
            </w:r>
            <w:r>
              <w:rPr>
                <w:webHidden/>
              </w:rPr>
              <w:t>22</w:t>
            </w:r>
            <w:r>
              <w:rPr>
                <w:webHidden/>
              </w:rPr>
              <w:fldChar w:fldCharType="end"/>
            </w:r>
          </w:hyperlink>
        </w:p>
        <w:p w14:paraId="0EE482D1" w14:textId="14B468D4" w:rsidR="00A00D64" w:rsidRDefault="00A00D64">
          <w:pPr>
            <w:pStyle w:val="TOC2"/>
            <w:rPr>
              <w:rFonts w:asciiTheme="minorHAnsi" w:eastAsiaTheme="minorEastAsia" w:hAnsiTheme="minorHAnsi" w:cstheme="minorBidi"/>
              <w:b w:val="0"/>
              <w:kern w:val="2"/>
              <w:sz w:val="24"/>
              <w14:ligatures w14:val="standardContextual"/>
            </w:rPr>
          </w:pPr>
          <w:hyperlink w:anchor="_Toc181084760" w:history="1">
            <w:r w:rsidRPr="00016437">
              <w:rPr>
                <w:rStyle w:val="Hyperlink"/>
              </w:rPr>
              <w:t>Ngā waiaro o ngā iwi manene ki te taurimatanga</w:t>
            </w:r>
            <w:r>
              <w:rPr>
                <w:webHidden/>
              </w:rPr>
              <w:tab/>
            </w:r>
            <w:r>
              <w:rPr>
                <w:webHidden/>
              </w:rPr>
              <w:fldChar w:fldCharType="begin"/>
            </w:r>
            <w:r>
              <w:rPr>
                <w:webHidden/>
              </w:rPr>
              <w:instrText xml:space="preserve"> PAGEREF _Toc181084760 \h </w:instrText>
            </w:r>
            <w:r>
              <w:rPr>
                <w:webHidden/>
              </w:rPr>
            </w:r>
            <w:r>
              <w:rPr>
                <w:webHidden/>
              </w:rPr>
              <w:fldChar w:fldCharType="separate"/>
            </w:r>
            <w:r>
              <w:rPr>
                <w:webHidden/>
              </w:rPr>
              <w:t>23</w:t>
            </w:r>
            <w:r>
              <w:rPr>
                <w:webHidden/>
              </w:rPr>
              <w:fldChar w:fldCharType="end"/>
            </w:r>
          </w:hyperlink>
        </w:p>
        <w:p w14:paraId="6F7B4D56" w14:textId="20268289" w:rsidR="00A00D64" w:rsidRDefault="00A00D64">
          <w:pPr>
            <w:pStyle w:val="TOC2"/>
            <w:rPr>
              <w:rFonts w:asciiTheme="minorHAnsi" w:eastAsiaTheme="minorEastAsia" w:hAnsiTheme="minorHAnsi" w:cstheme="minorBidi"/>
              <w:b w:val="0"/>
              <w:kern w:val="2"/>
              <w:sz w:val="24"/>
              <w14:ligatures w14:val="standardContextual"/>
            </w:rPr>
          </w:pPr>
          <w:hyperlink w:anchor="_Toc181084761" w:history="1">
            <w:r w:rsidRPr="00016437">
              <w:rPr>
                <w:rStyle w:val="Hyperlink"/>
              </w:rPr>
              <w:t>Settlers’ attitudes towards care</w:t>
            </w:r>
            <w:r>
              <w:rPr>
                <w:webHidden/>
              </w:rPr>
              <w:tab/>
            </w:r>
            <w:r>
              <w:rPr>
                <w:webHidden/>
              </w:rPr>
              <w:fldChar w:fldCharType="begin"/>
            </w:r>
            <w:r>
              <w:rPr>
                <w:webHidden/>
              </w:rPr>
              <w:instrText xml:space="preserve"> PAGEREF _Toc181084761 \h </w:instrText>
            </w:r>
            <w:r>
              <w:rPr>
                <w:webHidden/>
              </w:rPr>
            </w:r>
            <w:r>
              <w:rPr>
                <w:webHidden/>
              </w:rPr>
              <w:fldChar w:fldCharType="separate"/>
            </w:r>
            <w:r>
              <w:rPr>
                <w:webHidden/>
              </w:rPr>
              <w:t>23</w:t>
            </w:r>
            <w:r>
              <w:rPr>
                <w:webHidden/>
              </w:rPr>
              <w:fldChar w:fldCharType="end"/>
            </w:r>
          </w:hyperlink>
        </w:p>
        <w:p w14:paraId="6852CC08" w14:textId="1604F0E6" w:rsidR="00A00D64" w:rsidRDefault="00A00D64">
          <w:pPr>
            <w:pStyle w:val="TOC3"/>
            <w:rPr>
              <w:rFonts w:asciiTheme="minorHAnsi" w:eastAsiaTheme="minorEastAsia" w:hAnsiTheme="minorHAnsi" w:cstheme="minorBidi"/>
              <w:kern w:val="2"/>
              <w:sz w:val="24"/>
              <w14:ligatures w14:val="standardContextual"/>
            </w:rPr>
          </w:pPr>
          <w:hyperlink w:anchor="_Toc181084762" w:history="1">
            <w:r w:rsidRPr="00016437">
              <w:rPr>
                <w:rStyle w:val="Hyperlink"/>
              </w:rPr>
              <w:t>Te taurima i te hunga e rongo ana i te wairangitanga</w:t>
            </w:r>
            <w:r>
              <w:rPr>
                <w:webHidden/>
              </w:rPr>
              <w:tab/>
            </w:r>
            <w:r>
              <w:rPr>
                <w:webHidden/>
              </w:rPr>
              <w:fldChar w:fldCharType="begin"/>
            </w:r>
            <w:r>
              <w:rPr>
                <w:webHidden/>
              </w:rPr>
              <w:instrText xml:space="preserve"> PAGEREF _Toc181084762 \h </w:instrText>
            </w:r>
            <w:r>
              <w:rPr>
                <w:webHidden/>
              </w:rPr>
            </w:r>
            <w:r>
              <w:rPr>
                <w:webHidden/>
              </w:rPr>
              <w:fldChar w:fldCharType="separate"/>
            </w:r>
            <w:r>
              <w:rPr>
                <w:webHidden/>
              </w:rPr>
              <w:t>23</w:t>
            </w:r>
            <w:r>
              <w:rPr>
                <w:webHidden/>
              </w:rPr>
              <w:fldChar w:fldCharType="end"/>
            </w:r>
          </w:hyperlink>
        </w:p>
        <w:p w14:paraId="4B6A4F68" w14:textId="3952DC07" w:rsidR="00A00D64" w:rsidRDefault="00A00D64">
          <w:pPr>
            <w:pStyle w:val="TOC3"/>
            <w:rPr>
              <w:rFonts w:asciiTheme="minorHAnsi" w:eastAsiaTheme="minorEastAsia" w:hAnsiTheme="minorHAnsi" w:cstheme="minorBidi"/>
              <w:kern w:val="2"/>
              <w:sz w:val="24"/>
              <w14:ligatures w14:val="standardContextual"/>
            </w:rPr>
          </w:pPr>
          <w:hyperlink w:anchor="_Toc181084763" w:history="1">
            <w:r w:rsidRPr="00016437">
              <w:rPr>
                <w:rStyle w:val="Hyperlink"/>
              </w:rPr>
              <w:t>Caring for people experiencing mental distress</w:t>
            </w:r>
            <w:r>
              <w:rPr>
                <w:webHidden/>
              </w:rPr>
              <w:tab/>
            </w:r>
            <w:r>
              <w:rPr>
                <w:webHidden/>
              </w:rPr>
              <w:fldChar w:fldCharType="begin"/>
            </w:r>
            <w:r>
              <w:rPr>
                <w:webHidden/>
              </w:rPr>
              <w:instrText xml:space="preserve"> PAGEREF _Toc181084763 \h </w:instrText>
            </w:r>
            <w:r>
              <w:rPr>
                <w:webHidden/>
              </w:rPr>
            </w:r>
            <w:r>
              <w:rPr>
                <w:webHidden/>
              </w:rPr>
              <w:fldChar w:fldCharType="separate"/>
            </w:r>
            <w:r>
              <w:rPr>
                <w:webHidden/>
              </w:rPr>
              <w:t>23</w:t>
            </w:r>
            <w:r>
              <w:rPr>
                <w:webHidden/>
              </w:rPr>
              <w:fldChar w:fldCharType="end"/>
            </w:r>
          </w:hyperlink>
        </w:p>
        <w:p w14:paraId="48753654" w14:textId="4F1FC21E" w:rsidR="00A00D64" w:rsidRDefault="00A00D64">
          <w:pPr>
            <w:pStyle w:val="TOC3"/>
            <w:rPr>
              <w:rFonts w:asciiTheme="minorHAnsi" w:eastAsiaTheme="minorEastAsia" w:hAnsiTheme="minorHAnsi" w:cstheme="minorBidi"/>
              <w:kern w:val="2"/>
              <w:sz w:val="24"/>
              <w14:ligatures w14:val="standardContextual"/>
            </w:rPr>
          </w:pPr>
          <w:hyperlink w:anchor="_Toc181084764" w:history="1">
            <w:r w:rsidRPr="00016437">
              <w:rPr>
                <w:rStyle w:val="Hyperlink"/>
                <w:rFonts w:cs="Arial"/>
              </w:rPr>
              <w:t>Te taurima tamariki</w:t>
            </w:r>
            <w:r>
              <w:rPr>
                <w:webHidden/>
              </w:rPr>
              <w:tab/>
            </w:r>
            <w:r>
              <w:rPr>
                <w:webHidden/>
              </w:rPr>
              <w:fldChar w:fldCharType="begin"/>
            </w:r>
            <w:r>
              <w:rPr>
                <w:webHidden/>
              </w:rPr>
              <w:instrText xml:space="preserve"> PAGEREF _Toc181084764 \h </w:instrText>
            </w:r>
            <w:r>
              <w:rPr>
                <w:webHidden/>
              </w:rPr>
            </w:r>
            <w:r>
              <w:rPr>
                <w:webHidden/>
              </w:rPr>
              <w:fldChar w:fldCharType="separate"/>
            </w:r>
            <w:r>
              <w:rPr>
                <w:webHidden/>
              </w:rPr>
              <w:t>24</w:t>
            </w:r>
            <w:r>
              <w:rPr>
                <w:webHidden/>
              </w:rPr>
              <w:fldChar w:fldCharType="end"/>
            </w:r>
          </w:hyperlink>
        </w:p>
        <w:p w14:paraId="53B1FD6C" w14:textId="6A3EECCA" w:rsidR="00A00D64" w:rsidRDefault="00A00D64">
          <w:pPr>
            <w:pStyle w:val="TOC3"/>
            <w:rPr>
              <w:rFonts w:asciiTheme="minorHAnsi" w:eastAsiaTheme="minorEastAsia" w:hAnsiTheme="minorHAnsi" w:cstheme="minorBidi"/>
              <w:kern w:val="2"/>
              <w:sz w:val="24"/>
              <w14:ligatures w14:val="standardContextual"/>
            </w:rPr>
          </w:pPr>
          <w:hyperlink w:anchor="_Toc181084765" w:history="1">
            <w:r w:rsidRPr="00016437">
              <w:rPr>
                <w:rStyle w:val="Hyperlink"/>
                <w:rFonts w:cs="Arial"/>
              </w:rPr>
              <w:t>Caring for children</w:t>
            </w:r>
            <w:r>
              <w:rPr>
                <w:webHidden/>
              </w:rPr>
              <w:tab/>
            </w:r>
            <w:r>
              <w:rPr>
                <w:webHidden/>
              </w:rPr>
              <w:fldChar w:fldCharType="begin"/>
            </w:r>
            <w:r>
              <w:rPr>
                <w:webHidden/>
              </w:rPr>
              <w:instrText xml:space="preserve"> PAGEREF _Toc181084765 \h </w:instrText>
            </w:r>
            <w:r>
              <w:rPr>
                <w:webHidden/>
              </w:rPr>
            </w:r>
            <w:r>
              <w:rPr>
                <w:webHidden/>
              </w:rPr>
              <w:fldChar w:fldCharType="separate"/>
            </w:r>
            <w:r>
              <w:rPr>
                <w:webHidden/>
              </w:rPr>
              <w:t>24</w:t>
            </w:r>
            <w:r>
              <w:rPr>
                <w:webHidden/>
              </w:rPr>
              <w:fldChar w:fldCharType="end"/>
            </w:r>
          </w:hyperlink>
        </w:p>
        <w:p w14:paraId="6E53E7F5" w14:textId="2DD8BF2E" w:rsidR="00A00D64" w:rsidRDefault="00A00D64">
          <w:pPr>
            <w:pStyle w:val="TOC3"/>
            <w:rPr>
              <w:rFonts w:asciiTheme="minorHAnsi" w:eastAsiaTheme="minorEastAsia" w:hAnsiTheme="minorHAnsi" w:cstheme="minorBidi"/>
              <w:kern w:val="2"/>
              <w:sz w:val="24"/>
              <w14:ligatures w14:val="standardContextual"/>
            </w:rPr>
          </w:pPr>
          <w:hyperlink w:anchor="_Toc181084766" w:history="1">
            <w:r w:rsidRPr="00016437">
              <w:rPr>
                <w:rStyle w:val="Hyperlink"/>
                <w:rFonts w:cs="Arial"/>
              </w:rPr>
              <w:t>Te orokohanga o ngā whakaritenga taurima i Aotearoa</w:t>
            </w:r>
            <w:r>
              <w:rPr>
                <w:webHidden/>
              </w:rPr>
              <w:tab/>
            </w:r>
            <w:r>
              <w:rPr>
                <w:webHidden/>
              </w:rPr>
              <w:fldChar w:fldCharType="begin"/>
            </w:r>
            <w:r>
              <w:rPr>
                <w:webHidden/>
              </w:rPr>
              <w:instrText xml:space="preserve"> PAGEREF _Toc181084766 \h </w:instrText>
            </w:r>
            <w:r>
              <w:rPr>
                <w:webHidden/>
              </w:rPr>
            </w:r>
            <w:r>
              <w:rPr>
                <w:webHidden/>
              </w:rPr>
              <w:fldChar w:fldCharType="separate"/>
            </w:r>
            <w:r>
              <w:rPr>
                <w:webHidden/>
              </w:rPr>
              <w:t>24</w:t>
            </w:r>
            <w:r>
              <w:rPr>
                <w:webHidden/>
              </w:rPr>
              <w:fldChar w:fldCharType="end"/>
            </w:r>
          </w:hyperlink>
        </w:p>
        <w:p w14:paraId="23F68609" w14:textId="53C6EC41" w:rsidR="00A00D64" w:rsidRDefault="00A00D64">
          <w:pPr>
            <w:pStyle w:val="TOC3"/>
            <w:rPr>
              <w:rFonts w:asciiTheme="minorHAnsi" w:eastAsiaTheme="minorEastAsia" w:hAnsiTheme="minorHAnsi" w:cstheme="minorBidi"/>
              <w:kern w:val="2"/>
              <w:sz w:val="24"/>
              <w14:ligatures w14:val="standardContextual"/>
            </w:rPr>
          </w:pPr>
          <w:hyperlink w:anchor="_Toc181084767" w:history="1">
            <w:r w:rsidRPr="00016437">
              <w:rPr>
                <w:rStyle w:val="Hyperlink"/>
                <w:rFonts w:cs="Arial"/>
              </w:rPr>
              <w:t>Origins of care settings in Aotearoa New Zealand</w:t>
            </w:r>
            <w:r>
              <w:rPr>
                <w:webHidden/>
              </w:rPr>
              <w:tab/>
            </w:r>
            <w:r>
              <w:rPr>
                <w:webHidden/>
              </w:rPr>
              <w:fldChar w:fldCharType="begin"/>
            </w:r>
            <w:r>
              <w:rPr>
                <w:webHidden/>
              </w:rPr>
              <w:instrText xml:space="preserve"> PAGEREF _Toc181084767 \h </w:instrText>
            </w:r>
            <w:r>
              <w:rPr>
                <w:webHidden/>
              </w:rPr>
            </w:r>
            <w:r>
              <w:rPr>
                <w:webHidden/>
              </w:rPr>
              <w:fldChar w:fldCharType="separate"/>
            </w:r>
            <w:r>
              <w:rPr>
                <w:webHidden/>
              </w:rPr>
              <w:t>24</w:t>
            </w:r>
            <w:r>
              <w:rPr>
                <w:webHidden/>
              </w:rPr>
              <w:fldChar w:fldCharType="end"/>
            </w:r>
          </w:hyperlink>
        </w:p>
        <w:p w14:paraId="4380CDA1" w14:textId="712F12CA"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68" w:history="1">
            <w:r w:rsidRPr="00016437">
              <w:rPr>
                <w:rStyle w:val="Hyperlink"/>
                <w:noProof/>
              </w:rPr>
              <w:t>Ngā wheako o te purapura ora</w:t>
            </w:r>
            <w:r>
              <w:rPr>
                <w:noProof/>
                <w:webHidden/>
              </w:rPr>
              <w:tab/>
            </w:r>
            <w:r>
              <w:rPr>
                <w:noProof/>
                <w:webHidden/>
              </w:rPr>
              <w:fldChar w:fldCharType="begin"/>
            </w:r>
            <w:r>
              <w:rPr>
                <w:noProof/>
                <w:webHidden/>
              </w:rPr>
              <w:instrText xml:space="preserve"> PAGEREF _Toc181084768 \h </w:instrText>
            </w:r>
            <w:r>
              <w:rPr>
                <w:noProof/>
                <w:webHidden/>
              </w:rPr>
            </w:r>
            <w:r>
              <w:rPr>
                <w:noProof/>
                <w:webHidden/>
              </w:rPr>
              <w:fldChar w:fldCharType="separate"/>
            </w:r>
            <w:r>
              <w:rPr>
                <w:noProof/>
                <w:webHidden/>
              </w:rPr>
              <w:t>27</w:t>
            </w:r>
            <w:r>
              <w:rPr>
                <w:noProof/>
                <w:webHidden/>
              </w:rPr>
              <w:fldChar w:fldCharType="end"/>
            </w:r>
          </w:hyperlink>
        </w:p>
        <w:p w14:paraId="3F5D6278" w14:textId="0AF07D9E"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69" w:history="1">
            <w:r w:rsidRPr="00016437">
              <w:rPr>
                <w:rStyle w:val="Hyperlink"/>
                <w:noProof/>
              </w:rPr>
              <w:t>Survivor experience: Whiti Ronaki</w:t>
            </w:r>
            <w:r>
              <w:rPr>
                <w:noProof/>
                <w:webHidden/>
              </w:rPr>
              <w:tab/>
            </w:r>
            <w:r>
              <w:rPr>
                <w:noProof/>
                <w:webHidden/>
              </w:rPr>
              <w:fldChar w:fldCharType="begin"/>
            </w:r>
            <w:r>
              <w:rPr>
                <w:noProof/>
                <w:webHidden/>
              </w:rPr>
              <w:instrText xml:space="preserve"> PAGEREF _Toc181084769 \h </w:instrText>
            </w:r>
            <w:r>
              <w:rPr>
                <w:noProof/>
                <w:webHidden/>
              </w:rPr>
            </w:r>
            <w:r>
              <w:rPr>
                <w:noProof/>
                <w:webHidden/>
              </w:rPr>
              <w:fldChar w:fldCharType="separate"/>
            </w:r>
            <w:r>
              <w:rPr>
                <w:noProof/>
                <w:webHidden/>
              </w:rPr>
              <w:t>27</w:t>
            </w:r>
            <w:r>
              <w:rPr>
                <w:noProof/>
                <w:webHidden/>
              </w:rPr>
              <w:fldChar w:fldCharType="end"/>
            </w:r>
          </w:hyperlink>
        </w:p>
        <w:p w14:paraId="7C976C48" w14:textId="1FE53F3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70" w:history="1">
            <w:r w:rsidRPr="00016437">
              <w:rPr>
                <w:rStyle w:val="Hyperlink"/>
                <w:noProof/>
              </w:rPr>
              <w:t>Ūpoko 3: Ngā mihinare me te tīmatanga o te tāmitanga</w:t>
            </w:r>
            <w:r>
              <w:rPr>
                <w:noProof/>
                <w:webHidden/>
              </w:rPr>
              <w:tab/>
            </w:r>
            <w:r>
              <w:rPr>
                <w:noProof/>
                <w:webHidden/>
              </w:rPr>
              <w:fldChar w:fldCharType="begin"/>
            </w:r>
            <w:r>
              <w:rPr>
                <w:noProof/>
                <w:webHidden/>
              </w:rPr>
              <w:instrText xml:space="preserve"> PAGEREF _Toc181084770 \h </w:instrText>
            </w:r>
            <w:r>
              <w:rPr>
                <w:noProof/>
                <w:webHidden/>
              </w:rPr>
            </w:r>
            <w:r>
              <w:rPr>
                <w:noProof/>
                <w:webHidden/>
              </w:rPr>
              <w:fldChar w:fldCharType="separate"/>
            </w:r>
            <w:r>
              <w:rPr>
                <w:noProof/>
                <w:webHidden/>
              </w:rPr>
              <w:t>31</w:t>
            </w:r>
            <w:r>
              <w:rPr>
                <w:noProof/>
                <w:webHidden/>
              </w:rPr>
              <w:fldChar w:fldCharType="end"/>
            </w:r>
          </w:hyperlink>
        </w:p>
        <w:p w14:paraId="58220C6D" w14:textId="4D7207C4"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71" w:history="1">
            <w:r w:rsidRPr="00016437">
              <w:rPr>
                <w:rStyle w:val="Hyperlink"/>
                <w:noProof/>
              </w:rPr>
              <w:t>Chapter 3: Missionaries and the start of colonisation</w:t>
            </w:r>
            <w:r>
              <w:rPr>
                <w:noProof/>
                <w:webHidden/>
              </w:rPr>
              <w:tab/>
            </w:r>
            <w:r>
              <w:rPr>
                <w:noProof/>
                <w:webHidden/>
              </w:rPr>
              <w:fldChar w:fldCharType="begin"/>
            </w:r>
            <w:r>
              <w:rPr>
                <w:noProof/>
                <w:webHidden/>
              </w:rPr>
              <w:instrText xml:space="preserve"> PAGEREF _Toc181084771 \h </w:instrText>
            </w:r>
            <w:r>
              <w:rPr>
                <w:noProof/>
                <w:webHidden/>
              </w:rPr>
            </w:r>
            <w:r>
              <w:rPr>
                <w:noProof/>
                <w:webHidden/>
              </w:rPr>
              <w:fldChar w:fldCharType="separate"/>
            </w:r>
            <w:r>
              <w:rPr>
                <w:noProof/>
                <w:webHidden/>
              </w:rPr>
              <w:t>31</w:t>
            </w:r>
            <w:r>
              <w:rPr>
                <w:noProof/>
                <w:webHidden/>
              </w:rPr>
              <w:fldChar w:fldCharType="end"/>
            </w:r>
          </w:hyperlink>
        </w:p>
        <w:p w14:paraId="2D439E9F" w14:textId="75F3962B" w:rsidR="00A00D64" w:rsidRDefault="00A00D64">
          <w:pPr>
            <w:pStyle w:val="TOC2"/>
            <w:rPr>
              <w:rFonts w:asciiTheme="minorHAnsi" w:eastAsiaTheme="minorEastAsia" w:hAnsiTheme="minorHAnsi" w:cstheme="minorBidi"/>
              <w:b w:val="0"/>
              <w:kern w:val="2"/>
              <w:sz w:val="24"/>
              <w14:ligatures w14:val="standardContextual"/>
            </w:rPr>
          </w:pPr>
          <w:hyperlink w:anchor="_Toc181084772" w:history="1">
            <w:r w:rsidRPr="00016437">
              <w:rPr>
                <w:rStyle w:val="Hyperlink"/>
              </w:rPr>
              <w:t>Te taenga mai o ngā mihinare ki Aotearoa</w:t>
            </w:r>
            <w:r>
              <w:rPr>
                <w:webHidden/>
              </w:rPr>
              <w:tab/>
            </w:r>
            <w:r>
              <w:rPr>
                <w:webHidden/>
              </w:rPr>
              <w:fldChar w:fldCharType="begin"/>
            </w:r>
            <w:r>
              <w:rPr>
                <w:webHidden/>
              </w:rPr>
              <w:instrText xml:space="preserve"> PAGEREF _Toc181084772 \h </w:instrText>
            </w:r>
            <w:r>
              <w:rPr>
                <w:webHidden/>
              </w:rPr>
            </w:r>
            <w:r>
              <w:rPr>
                <w:webHidden/>
              </w:rPr>
              <w:fldChar w:fldCharType="separate"/>
            </w:r>
            <w:r>
              <w:rPr>
                <w:webHidden/>
              </w:rPr>
              <w:t>31</w:t>
            </w:r>
            <w:r>
              <w:rPr>
                <w:webHidden/>
              </w:rPr>
              <w:fldChar w:fldCharType="end"/>
            </w:r>
          </w:hyperlink>
        </w:p>
        <w:p w14:paraId="1628F841" w14:textId="4417F986" w:rsidR="00A00D64" w:rsidRDefault="00A00D64">
          <w:pPr>
            <w:pStyle w:val="TOC2"/>
            <w:rPr>
              <w:rFonts w:asciiTheme="minorHAnsi" w:eastAsiaTheme="minorEastAsia" w:hAnsiTheme="minorHAnsi" w:cstheme="minorBidi"/>
              <w:b w:val="0"/>
              <w:kern w:val="2"/>
              <w:sz w:val="24"/>
              <w14:ligatures w14:val="standardContextual"/>
            </w:rPr>
          </w:pPr>
          <w:hyperlink w:anchor="_Toc181084773" w:history="1">
            <w:r w:rsidRPr="00016437">
              <w:rPr>
                <w:rStyle w:val="Hyperlink"/>
              </w:rPr>
              <w:t>Arrival of missionaries in Aotearoa New Zealand</w:t>
            </w:r>
            <w:r>
              <w:rPr>
                <w:webHidden/>
              </w:rPr>
              <w:tab/>
            </w:r>
            <w:r>
              <w:rPr>
                <w:webHidden/>
              </w:rPr>
              <w:fldChar w:fldCharType="begin"/>
            </w:r>
            <w:r>
              <w:rPr>
                <w:webHidden/>
              </w:rPr>
              <w:instrText xml:space="preserve"> PAGEREF _Toc181084773 \h </w:instrText>
            </w:r>
            <w:r>
              <w:rPr>
                <w:webHidden/>
              </w:rPr>
            </w:r>
            <w:r>
              <w:rPr>
                <w:webHidden/>
              </w:rPr>
              <w:fldChar w:fldCharType="separate"/>
            </w:r>
            <w:r>
              <w:rPr>
                <w:webHidden/>
              </w:rPr>
              <w:t>31</w:t>
            </w:r>
            <w:r>
              <w:rPr>
                <w:webHidden/>
              </w:rPr>
              <w:fldChar w:fldCharType="end"/>
            </w:r>
          </w:hyperlink>
        </w:p>
        <w:p w14:paraId="3CC89BD2" w14:textId="337581E5" w:rsidR="00A00D64" w:rsidRDefault="00A00D64">
          <w:pPr>
            <w:pStyle w:val="TOC3"/>
            <w:rPr>
              <w:rFonts w:asciiTheme="minorHAnsi" w:eastAsiaTheme="minorEastAsia" w:hAnsiTheme="minorHAnsi" w:cstheme="minorBidi"/>
              <w:kern w:val="2"/>
              <w:sz w:val="24"/>
              <w14:ligatures w14:val="standardContextual"/>
            </w:rPr>
          </w:pPr>
          <w:hyperlink w:anchor="_Toc181084774" w:history="1">
            <w:r w:rsidRPr="00016437">
              <w:rPr>
                <w:rStyle w:val="Hyperlink"/>
                <w:rFonts w:cs="Arial"/>
              </w:rPr>
              <w:t>Ngā whakaaro o te Māori ki te Karaitianatanga</w:t>
            </w:r>
            <w:r>
              <w:rPr>
                <w:webHidden/>
              </w:rPr>
              <w:tab/>
            </w:r>
            <w:r>
              <w:rPr>
                <w:webHidden/>
              </w:rPr>
              <w:fldChar w:fldCharType="begin"/>
            </w:r>
            <w:r>
              <w:rPr>
                <w:webHidden/>
              </w:rPr>
              <w:instrText xml:space="preserve"> PAGEREF _Toc181084774 \h </w:instrText>
            </w:r>
            <w:r>
              <w:rPr>
                <w:webHidden/>
              </w:rPr>
            </w:r>
            <w:r>
              <w:rPr>
                <w:webHidden/>
              </w:rPr>
              <w:fldChar w:fldCharType="separate"/>
            </w:r>
            <w:r>
              <w:rPr>
                <w:webHidden/>
              </w:rPr>
              <w:t>31</w:t>
            </w:r>
            <w:r>
              <w:rPr>
                <w:webHidden/>
              </w:rPr>
              <w:fldChar w:fldCharType="end"/>
            </w:r>
          </w:hyperlink>
        </w:p>
        <w:p w14:paraId="770EA8B1" w14:textId="2A48C911" w:rsidR="00A00D64" w:rsidRDefault="00A00D64">
          <w:pPr>
            <w:pStyle w:val="TOC3"/>
            <w:rPr>
              <w:rFonts w:asciiTheme="minorHAnsi" w:eastAsiaTheme="minorEastAsia" w:hAnsiTheme="minorHAnsi" w:cstheme="minorBidi"/>
              <w:kern w:val="2"/>
              <w:sz w:val="24"/>
              <w14:ligatures w14:val="standardContextual"/>
            </w:rPr>
          </w:pPr>
          <w:hyperlink w:anchor="_Toc181084775" w:history="1">
            <w:r w:rsidRPr="00016437">
              <w:rPr>
                <w:rStyle w:val="Hyperlink"/>
                <w:rFonts w:cs="Arial"/>
              </w:rPr>
              <w:t>Māori responses to Christianity</w:t>
            </w:r>
            <w:r>
              <w:rPr>
                <w:webHidden/>
              </w:rPr>
              <w:tab/>
            </w:r>
            <w:r>
              <w:rPr>
                <w:webHidden/>
              </w:rPr>
              <w:fldChar w:fldCharType="begin"/>
            </w:r>
            <w:r>
              <w:rPr>
                <w:webHidden/>
              </w:rPr>
              <w:instrText xml:space="preserve"> PAGEREF _Toc181084775 \h </w:instrText>
            </w:r>
            <w:r>
              <w:rPr>
                <w:webHidden/>
              </w:rPr>
            </w:r>
            <w:r>
              <w:rPr>
                <w:webHidden/>
              </w:rPr>
              <w:fldChar w:fldCharType="separate"/>
            </w:r>
            <w:r>
              <w:rPr>
                <w:webHidden/>
              </w:rPr>
              <w:t>31</w:t>
            </w:r>
            <w:r>
              <w:rPr>
                <w:webHidden/>
              </w:rPr>
              <w:fldChar w:fldCharType="end"/>
            </w:r>
          </w:hyperlink>
        </w:p>
        <w:p w14:paraId="086A939A" w14:textId="3D8CDF8F" w:rsidR="00A00D64" w:rsidRDefault="00A00D64">
          <w:pPr>
            <w:pStyle w:val="TOC3"/>
            <w:rPr>
              <w:rFonts w:asciiTheme="minorHAnsi" w:eastAsiaTheme="minorEastAsia" w:hAnsiTheme="minorHAnsi" w:cstheme="minorBidi"/>
              <w:kern w:val="2"/>
              <w:sz w:val="24"/>
              <w14:ligatures w14:val="standardContextual"/>
            </w:rPr>
          </w:pPr>
          <w:hyperlink w:anchor="_Toc181084776" w:history="1">
            <w:r w:rsidRPr="00016437">
              <w:rPr>
                <w:rStyle w:val="Hyperlink"/>
                <w:rFonts w:cs="Arial"/>
              </w:rPr>
              <w:t>Ka tīmata te Kāwanatanga ki te tuku pūtea tautoko mō te mātauranga</w:t>
            </w:r>
            <w:r>
              <w:rPr>
                <w:webHidden/>
              </w:rPr>
              <w:tab/>
            </w:r>
            <w:r>
              <w:rPr>
                <w:webHidden/>
              </w:rPr>
              <w:fldChar w:fldCharType="begin"/>
            </w:r>
            <w:r>
              <w:rPr>
                <w:webHidden/>
              </w:rPr>
              <w:instrText xml:space="preserve"> PAGEREF _Toc181084776 \h </w:instrText>
            </w:r>
            <w:r>
              <w:rPr>
                <w:webHidden/>
              </w:rPr>
            </w:r>
            <w:r>
              <w:rPr>
                <w:webHidden/>
              </w:rPr>
              <w:fldChar w:fldCharType="separate"/>
            </w:r>
            <w:r>
              <w:rPr>
                <w:webHidden/>
              </w:rPr>
              <w:t>32</w:t>
            </w:r>
            <w:r>
              <w:rPr>
                <w:webHidden/>
              </w:rPr>
              <w:fldChar w:fldCharType="end"/>
            </w:r>
          </w:hyperlink>
        </w:p>
        <w:p w14:paraId="7BAD33D0" w14:textId="344FED40" w:rsidR="00A00D64" w:rsidRDefault="00A00D64">
          <w:pPr>
            <w:pStyle w:val="TOC3"/>
            <w:rPr>
              <w:rFonts w:asciiTheme="minorHAnsi" w:eastAsiaTheme="minorEastAsia" w:hAnsiTheme="minorHAnsi" w:cstheme="minorBidi"/>
              <w:kern w:val="2"/>
              <w:sz w:val="24"/>
              <w14:ligatures w14:val="standardContextual"/>
            </w:rPr>
          </w:pPr>
          <w:hyperlink w:anchor="_Toc181084777" w:history="1">
            <w:r w:rsidRPr="00016437">
              <w:rPr>
                <w:rStyle w:val="Hyperlink"/>
                <w:rFonts w:cs="Arial"/>
              </w:rPr>
              <w:t>State begins to fund education</w:t>
            </w:r>
            <w:r>
              <w:rPr>
                <w:webHidden/>
              </w:rPr>
              <w:tab/>
            </w:r>
            <w:r>
              <w:rPr>
                <w:webHidden/>
              </w:rPr>
              <w:fldChar w:fldCharType="begin"/>
            </w:r>
            <w:r>
              <w:rPr>
                <w:webHidden/>
              </w:rPr>
              <w:instrText xml:space="preserve"> PAGEREF _Toc181084777 \h </w:instrText>
            </w:r>
            <w:r>
              <w:rPr>
                <w:webHidden/>
              </w:rPr>
            </w:r>
            <w:r>
              <w:rPr>
                <w:webHidden/>
              </w:rPr>
              <w:fldChar w:fldCharType="separate"/>
            </w:r>
            <w:r>
              <w:rPr>
                <w:webHidden/>
              </w:rPr>
              <w:t>32</w:t>
            </w:r>
            <w:r>
              <w:rPr>
                <w:webHidden/>
              </w:rPr>
              <w:fldChar w:fldCharType="end"/>
            </w:r>
          </w:hyperlink>
        </w:p>
        <w:p w14:paraId="3EA9AD98" w14:textId="62F4E3B4" w:rsidR="00A00D64" w:rsidRDefault="00A00D64">
          <w:pPr>
            <w:pStyle w:val="TOC2"/>
            <w:rPr>
              <w:rFonts w:asciiTheme="minorHAnsi" w:eastAsiaTheme="minorEastAsia" w:hAnsiTheme="minorHAnsi" w:cstheme="minorBidi"/>
              <w:b w:val="0"/>
              <w:kern w:val="2"/>
              <w:sz w:val="24"/>
              <w14:ligatures w14:val="standardContextual"/>
            </w:rPr>
          </w:pPr>
          <w:hyperlink w:anchor="_Toc181084778" w:history="1">
            <w:r w:rsidRPr="00016437">
              <w:rPr>
                <w:rStyle w:val="Hyperlink"/>
              </w:rPr>
              <w:t>Te taenga o ngā mihinare ki te Moana nui a Kiwa</w:t>
            </w:r>
            <w:r>
              <w:rPr>
                <w:webHidden/>
              </w:rPr>
              <w:tab/>
            </w:r>
            <w:r>
              <w:rPr>
                <w:webHidden/>
              </w:rPr>
              <w:fldChar w:fldCharType="begin"/>
            </w:r>
            <w:r>
              <w:rPr>
                <w:webHidden/>
              </w:rPr>
              <w:instrText xml:space="preserve"> PAGEREF _Toc181084778 \h </w:instrText>
            </w:r>
            <w:r>
              <w:rPr>
                <w:webHidden/>
              </w:rPr>
            </w:r>
            <w:r>
              <w:rPr>
                <w:webHidden/>
              </w:rPr>
              <w:fldChar w:fldCharType="separate"/>
            </w:r>
            <w:r>
              <w:rPr>
                <w:webHidden/>
              </w:rPr>
              <w:t>32</w:t>
            </w:r>
            <w:r>
              <w:rPr>
                <w:webHidden/>
              </w:rPr>
              <w:fldChar w:fldCharType="end"/>
            </w:r>
          </w:hyperlink>
        </w:p>
        <w:p w14:paraId="0E7583F4" w14:textId="78B94E0F" w:rsidR="00A00D64" w:rsidRDefault="00A00D64">
          <w:pPr>
            <w:pStyle w:val="TOC2"/>
            <w:rPr>
              <w:rFonts w:asciiTheme="minorHAnsi" w:eastAsiaTheme="minorEastAsia" w:hAnsiTheme="minorHAnsi" w:cstheme="minorBidi"/>
              <w:b w:val="0"/>
              <w:kern w:val="2"/>
              <w:sz w:val="24"/>
              <w14:ligatures w14:val="standardContextual"/>
            </w:rPr>
          </w:pPr>
          <w:hyperlink w:anchor="_Toc181084779" w:history="1">
            <w:r w:rsidRPr="00016437">
              <w:rPr>
                <w:rStyle w:val="Hyperlink"/>
              </w:rPr>
              <w:t>Arrival of the missionaries in the Pacific</w:t>
            </w:r>
            <w:r>
              <w:rPr>
                <w:webHidden/>
              </w:rPr>
              <w:tab/>
            </w:r>
            <w:r>
              <w:rPr>
                <w:webHidden/>
              </w:rPr>
              <w:fldChar w:fldCharType="begin"/>
            </w:r>
            <w:r>
              <w:rPr>
                <w:webHidden/>
              </w:rPr>
              <w:instrText xml:space="preserve"> PAGEREF _Toc181084779 \h </w:instrText>
            </w:r>
            <w:r>
              <w:rPr>
                <w:webHidden/>
              </w:rPr>
            </w:r>
            <w:r>
              <w:rPr>
                <w:webHidden/>
              </w:rPr>
              <w:fldChar w:fldCharType="separate"/>
            </w:r>
            <w:r>
              <w:rPr>
                <w:webHidden/>
              </w:rPr>
              <w:t>32</w:t>
            </w:r>
            <w:r>
              <w:rPr>
                <w:webHidden/>
              </w:rPr>
              <w:fldChar w:fldCharType="end"/>
            </w:r>
          </w:hyperlink>
        </w:p>
        <w:p w14:paraId="4D53D20D" w14:textId="4327E430" w:rsidR="00A00D64" w:rsidRDefault="00A00D64">
          <w:pPr>
            <w:pStyle w:val="TOC2"/>
            <w:rPr>
              <w:rFonts w:asciiTheme="minorHAnsi" w:eastAsiaTheme="minorEastAsia" w:hAnsiTheme="minorHAnsi" w:cstheme="minorBidi"/>
              <w:b w:val="0"/>
              <w:kern w:val="2"/>
              <w:sz w:val="24"/>
              <w14:ligatures w14:val="standardContextual"/>
            </w:rPr>
          </w:pPr>
          <w:hyperlink w:anchor="_Toc181084780" w:history="1">
            <w:r w:rsidRPr="00016437">
              <w:rPr>
                <w:rStyle w:val="Hyperlink"/>
              </w:rPr>
              <w:t>Te Tiriti o Waitangi– te orokohanga, te hainatanga me ngā pāpātanga</w:t>
            </w:r>
            <w:r>
              <w:rPr>
                <w:webHidden/>
              </w:rPr>
              <w:tab/>
            </w:r>
            <w:r>
              <w:rPr>
                <w:webHidden/>
              </w:rPr>
              <w:fldChar w:fldCharType="begin"/>
            </w:r>
            <w:r>
              <w:rPr>
                <w:webHidden/>
              </w:rPr>
              <w:instrText xml:space="preserve"> PAGEREF _Toc181084780 \h </w:instrText>
            </w:r>
            <w:r>
              <w:rPr>
                <w:webHidden/>
              </w:rPr>
            </w:r>
            <w:r>
              <w:rPr>
                <w:webHidden/>
              </w:rPr>
              <w:fldChar w:fldCharType="separate"/>
            </w:r>
            <w:r>
              <w:rPr>
                <w:webHidden/>
              </w:rPr>
              <w:t>33</w:t>
            </w:r>
            <w:r>
              <w:rPr>
                <w:webHidden/>
              </w:rPr>
              <w:fldChar w:fldCharType="end"/>
            </w:r>
          </w:hyperlink>
        </w:p>
        <w:p w14:paraId="23AE0F39" w14:textId="72A970B3" w:rsidR="00A00D64" w:rsidRDefault="00A00D64">
          <w:pPr>
            <w:pStyle w:val="TOC2"/>
            <w:rPr>
              <w:rFonts w:asciiTheme="minorHAnsi" w:eastAsiaTheme="minorEastAsia" w:hAnsiTheme="minorHAnsi" w:cstheme="minorBidi"/>
              <w:b w:val="0"/>
              <w:kern w:val="2"/>
              <w:sz w:val="24"/>
              <w14:ligatures w14:val="standardContextual"/>
            </w:rPr>
          </w:pPr>
          <w:hyperlink w:anchor="_Toc181084781" w:history="1">
            <w:r w:rsidRPr="00016437">
              <w:rPr>
                <w:rStyle w:val="Hyperlink"/>
              </w:rPr>
              <w:t>Te Tiriti o Waitangi– origins, signing and impacts</w:t>
            </w:r>
            <w:r>
              <w:rPr>
                <w:webHidden/>
              </w:rPr>
              <w:tab/>
            </w:r>
            <w:r>
              <w:rPr>
                <w:webHidden/>
              </w:rPr>
              <w:fldChar w:fldCharType="begin"/>
            </w:r>
            <w:r>
              <w:rPr>
                <w:webHidden/>
              </w:rPr>
              <w:instrText xml:space="preserve"> PAGEREF _Toc181084781 \h </w:instrText>
            </w:r>
            <w:r>
              <w:rPr>
                <w:webHidden/>
              </w:rPr>
            </w:r>
            <w:r>
              <w:rPr>
                <w:webHidden/>
              </w:rPr>
              <w:fldChar w:fldCharType="separate"/>
            </w:r>
            <w:r>
              <w:rPr>
                <w:webHidden/>
              </w:rPr>
              <w:t>33</w:t>
            </w:r>
            <w:r>
              <w:rPr>
                <w:webHidden/>
              </w:rPr>
              <w:fldChar w:fldCharType="end"/>
            </w:r>
          </w:hyperlink>
        </w:p>
        <w:p w14:paraId="678AB0A8" w14:textId="69B55139" w:rsidR="00A00D64" w:rsidRDefault="00A00D64">
          <w:pPr>
            <w:pStyle w:val="TOC3"/>
            <w:rPr>
              <w:rFonts w:asciiTheme="minorHAnsi" w:eastAsiaTheme="minorEastAsia" w:hAnsiTheme="minorHAnsi" w:cstheme="minorBidi"/>
              <w:kern w:val="2"/>
              <w:sz w:val="24"/>
              <w14:ligatures w14:val="standardContextual"/>
            </w:rPr>
          </w:pPr>
          <w:hyperlink w:anchor="_Toc181084782" w:history="1">
            <w:r w:rsidRPr="00016437">
              <w:rPr>
                <w:rStyle w:val="Hyperlink"/>
                <w:rFonts w:cs="Arial"/>
              </w:rPr>
              <w:t>He Whakaputanga o te Rangatiratanga o Niu Tireni</w:t>
            </w:r>
            <w:r>
              <w:rPr>
                <w:webHidden/>
              </w:rPr>
              <w:tab/>
            </w:r>
            <w:r>
              <w:rPr>
                <w:webHidden/>
              </w:rPr>
              <w:fldChar w:fldCharType="begin"/>
            </w:r>
            <w:r>
              <w:rPr>
                <w:webHidden/>
              </w:rPr>
              <w:instrText xml:space="preserve"> PAGEREF _Toc181084782 \h </w:instrText>
            </w:r>
            <w:r>
              <w:rPr>
                <w:webHidden/>
              </w:rPr>
            </w:r>
            <w:r>
              <w:rPr>
                <w:webHidden/>
              </w:rPr>
              <w:fldChar w:fldCharType="separate"/>
            </w:r>
            <w:r>
              <w:rPr>
                <w:webHidden/>
              </w:rPr>
              <w:t>33</w:t>
            </w:r>
            <w:r>
              <w:rPr>
                <w:webHidden/>
              </w:rPr>
              <w:fldChar w:fldCharType="end"/>
            </w:r>
          </w:hyperlink>
        </w:p>
        <w:p w14:paraId="4EA80AA7" w14:textId="119B1048" w:rsidR="00A00D64" w:rsidRDefault="00A00D64">
          <w:pPr>
            <w:pStyle w:val="TOC3"/>
            <w:rPr>
              <w:rFonts w:asciiTheme="minorHAnsi" w:eastAsiaTheme="minorEastAsia" w:hAnsiTheme="minorHAnsi" w:cstheme="minorBidi"/>
              <w:kern w:val="2"/>
              <w:sz w:val="24"/>
              <w14:ligatures w14:val="standardContextual"/>
            </w:rPr>
          </w:pPr>
          <w:hyperlink w:anchor="_Toc181084783" w:history="1">
            <w:r w:rsidRPr="00016437">
              <w:rPr>
                <w:rStyle w:val="Hyperlink"/>
                <w:rFonts w:cs="Arial"/>
              </w:rPr>
              <w:t>The Declaration of Independence</w:t>
            </w:r>
            <w:r>
              <w:rPr>
                <w:webHidden/>
              </w:rPr>
              <w:tab/>
            </w:r>
            <w:r>
              <w:rPr>
                <w:webHidden/>
              </w:rPr>
              <w:fldChar w:fldCharType="begin"/>
            </w:r>
            <w:r>
              <w:rPr>
                <w:webHidden/>
              </w:rPr>
              <w:instrText xml:space="preserve"> PAGEREF _Toc181084783 \h </w:instrText>
            </w:r>
            <w:r>
              <w:rPr>
                <w:webHidden/>
              </w:rPr>
            </w:r>
            <w:r>
              <w:rPr>
                <w:webHidden/>
              </w:rPr>
              <w:fldChar w:fldCharType="separate"/>
            </w:r>
            <w:r>
              <w:rPr>
                <w:webHidden/>
              </w:rPr>
              <w:t>33</w:t>
            </w:r>
            <w:r>
              <w:rPr>
                <w:webHidden/>
              </w:rPr>
              <w:fldChar w:fldCharType="end"/>
            </w:r>
          </w:hyperlink>
        </w:p>
        <w:p w14:paraId="1FAD788B" w14:textId="3FF03245" w:rsidR="00A00D64" w:rsidRDefault="00A00D64">
          <w:pPr>
            <w:pStyle w:val="TOC3"/>
            <w:rPr>
              <w:rFonts w:asciiTheme="minorHAnsi" w:eastAsiaTheme="minorEastAsia" w:hAnsiTheme="minorHAnsi" w:cstheme="minorBidi"/>
              <w:kern w:val="2"/>
              <w:sz w:val="24"/>
              <w14:ligatures w14:val="standardContextual"/>
            </w:rPr>
          </w:pPr>
          <w:hyperlink w:anchor="_Toc181084784" w:history="1">
            <w:r w:rsidRPr="00016437">
              <w:rPr>
                <w:rStyle w:val="Hyperlink"/>
                <w:rFonts w:cs="Arial"/>
              </w:rPr>
              <w:t>Te orokohanga o Te Tiriti</w:t>
            </w:r>
            <w:r>
              <w:rPr>
                <w:webHidden/>
              </w:rPr>
              <w:tab/>
            </w:r>
            <w:r>
              <w:rPr>
                <w:webHidden/>
              </w:rPr>
              <w:fldChar w:fldCharType="begin"/>
            </w:r>
            <w:r>
              <w:rPr>
                <w:webHidden/>
              </w:rPr>
              <w:instrText xml:space="preserve"> PAGEREF _Toc181084784 \h </w:instrText>
            </w:r>
            <w:r>
              <w:rPr>
                <w:webHidden/>
              </w:rPr>
            </w:r>
            <w:r>
              <w:rPr>
                <w:webHidden/>
              </w:rPr>
              <w:fldChar w:fldCharType="separate"/>
            </w:r>
            <w:r>
              <w:rPr>
                <w:webHidden/>
              </w:rPr>
              <w:t>33</w:t>
            </w:r>
            <w:r>
              <w:rPr>
                <w:webHidden/>
              </w:rPr>
              <w:fldChar w:fldCharType="end"/>
            </w:r>
          </w:hyperlink>
        </w:p>
        <w:p w14:paraId="5CF63819" w14:textId="157533FE" w:rsidR="00A00D64" w:rsidRDefault="00A00D64">
          <w:pPr>
            <w:pStyle w:val="TOC3"/>
            <w:rPr>
              <w:rFonts w:asciiTheme="minorHAnsi" w:eastAsiaTheme="minorEastAsia" w:hAnsiTheme="minorHAnsi" w:cstheme="minorBidi"/>
              <w:kern w:val="2"/>
              <w:sz w:val="24"/>
              <w14:ligatures w14:val="standardContextual"/>
            </w:rPr>
          </w:pPr>
          <w:hyperlink w:anchor="_Toc181084785" w:history="1">
            <w:r w:rsidRPr="00016437">
              <w:rPr>
                <w:rStyle w:val="Hyperlink"/>
                <w:rFonts w:cs="Arial"/>
              </w:rPr>
              <w:t>Te Tiriti o Waitangi origins</w:t>
            </w:r>
            <w:r>
              <w:rPr>
                <w:webHidden/>
              </w:rPr>
              <w:tab/>
            </w:r>
            <w:r>
              <w:rPr>
                <w:webHidden/>
              </w:rPr>
              <w:fldChar w:fldCharType="begin"/>
            </w:r>
            <w:r>
              <w:rPr>
                <w:webHidden/>
              </w:rPr>
              <w:instrText xml:space="preserve"> PAGEREF _Toc181084785 \h </w:instrText>
            </w:r>
            <w:r>
              <w:rPr>
                <w:webHidden/>
              </w:rPr>
            </w:r>
            <w:r>
              <w:rPr>
                <w:webHidden/>
              </w:rPr>
              <w:fldChar w:fldCharType="separate"/>
            </w:r>
            <w:r>
              <w:rPr>
                <w:webHidden/>
              </w:rPr>
              <w:t>33</w:t>
            </w:r>
            <w:r>
              <w:rPr>
                <w:webHidden/>
              </w:rPr>
              <w:fldChar w:fldCharType="end"/>
            </w:r>
          </w:hyperlink>
        </w:p>
        <w:p w14:paraId="6CD2FB7C" w14:textId="7F83E2DB" w:rsidR="00A00D64" w:rsidRDefault="00A00D64">
          <w:pPr>
            <w:pStyle w:val="TOC3"/>
            <w:rPr>
              <w:rFonts w:asciiTheme="minorHAnsi" w:eastAsiaTheme="minorEastAsia" w:hAnsiTheme="minorHAnsi" w:cstheme="minorBidi"/>
              <w:kern w:val="2"/>
              <w:sz w:val="24"/>
              <w14:ligatures w14:val="standardContextual"/>
            </w:rPr>
          </w:pPr>
          <w:hyperlink w:anchor="_Toc181084786" w:history="1">
            <w:r w:rsidRPr="00016437">
              <w:rPr>
                <w:rStyle w:val="Hyperlink"/>
                <w:rFonts w:cs="Arial"/>
              </w:rPr>
              <w:t>Te kore whakahōnore i te Tiriti me te whai i te whenumitanga</w:t>
            </w:r>
            <w:r>
              <w:rPr>
                <w:webHidden/>
              </w:rPr>
              <w:tab/>
            </w:r>
            <w:r>
              <w:rPr>
                <w:webHidden/>
              </w:rPr>
              <w:fldChar w:fldCharType="begin"/>
            </w:r>
            <w:r>
              <w:rPr>
                <w:webHidden/>
              </w:rPr>
              <w:instrText xml:space="preserve"> PAGEREF _Toc181084786 \h </w:instrText>
            </w:r>
            <w:r>
              <w:rPr>
                <w:webHidden/>
              </w:rPr>
            </w:r>
            <w:r>
              <w:rPr>
                <w:webHidden/>
              </w:rPr>
              <w:fldChar w:fldCharType="separate"/>
            </w:r>
            <w:r>
              <w:rPr>
                <w:webHidden/>
              </w:rPr>
              <w:t>34</w:t>
            </w:r>
            <w:r>
              <w:rPr>
                <w:webHidden/>
              </w:rPr>
              <w:fldChar w:fldCharType="end"/>
            </w:r>
          </w:hyperlink>
        </w:p>
        <w:p w14:paraId="7506AD2B" w14:textId="6B4CDCF8" w:rsidR="00A00D64" w:rsidRDefault="00A00D64">
          <w:pPr>
            <w:pStyle w:val="TOC3"/>
            <w:rPr>
              <w:rFonts w:asciiTheme="minorHAnsi" w:eastAsiaTheme="minorEastAsia" w:hAnsiTheme="minorHAnsi" w:cstheme="minorBidi"/>
              <w:kern w:val="2"/>
              <w:sz w:val="24"/>
              <w14:ligatures w14:val="standardContextual"/>
            </w:rPr>
          </w:pPr>
          <w:hyperlink w:anchor="_Toc181084787" w:history="1">
            <w:r w:rsidRPr="00016437">
              <w:rPr>
                <w:rStyle w:val="Hyperlink"/>
                <w:rFonts w:cs="Arial"/>
              </w:rPr>
              <w:t>Failure to honour te Tiriti o Waitangi and pursuing assimilation</w:t>
            </w:r>
            <w:r>
              <w:rPr>
                <w:webHidden/>
              </w:rPr>
              <w:tab/>
            </w:r>
            <w:r>
              <w:rPr>
                <w:webHidden/>
              </w:rPr>
              <w:fldChar w:fldCharType="begin"/>
            </w:r>
            <w:r>
              <w:rPr>
                <w:webHidden/>
              </w:rPr>
              <w:instrText xml:space="preserve"> PAGEREF _Toc181084787 \h </w:instrText>
            </w:r>
            <w:r>
              <w:rPr>
                <w:webHidden/>
              </w:rPr>
            </w:r>
            <w:r>
              <w:rPr>
                <w:webHidden/>
              </w:rPr>
              <w:fldChar w:fldCharType="separate"/>
            </w:r>
            <w:r>
              <w:rPr>
                <w:webHidden/>
              </w:rPr>
              <w:t>34</w:t>
            </w:r>
            <w:r>
              <w:rPr>
                <w:webHidden/>
              </w:rPr>
              <w:fldChar w:fldCharType="end"/>
            </w:r>
          </w:hyperlink>
        </w:p>
        <w:p w14:paraId="1C2E44D5" w14:textId="46A9F037" w:rsidR="00A00D64" w:rsidRDefault="00A00D64">
          <w:pPr>
            <w:pStyle w:val="TOC3"/>
            <w:rPr>
              <w:rFonts w:asciiTheme="minorHAnsi" w:eastAsiaTheme="minorEastAsia" w:hAnsiTheme="minorHAnsi" w:cstheme="minorBidi"/>
              <w:kern w:val="2"/>
              <w:sz w:val="24"/>
              <w14:ligatures w14:val="standardContextual"/>
            </w:rPr>
          </w:pPr>
          <w:hyperlink w:anchor="_Toc181084788" w:history="1">
            <w:r w:rsidRPr="00016437">
              <w:rPr>
                <w:rStyle w:val="Hyperlink"/>
                <w:rFonts w:cs="Arial"/>
              </w:rPr>
              <w:t>Ka kōkiri te Māori i ngā whanaketanga</w:t>
            </w:r>
            <w:r>
              <w:rPr>
                <w:webHidden/>
              </w:rPr>
              <w:tab/>
            </w:r>
            <w:r>
              <w:rPr>
                <w:webHidden/>
              </w:rPr>
              <w:fldChar w:fldCharType="begin"/>
            </w:r>
            <w:r>
              <w:rPr>
                <w:webHidden/>
              </w:rPr>
              <w:instrText xml:space="preserve"> PAGEREF _Toc181084788 \h </w:instrText>
            </w:r>
            <w:r>
              <w:rPr>
                <w:webHidden/>
              </w:rPr>
            </w:r>
            <w:r>
              <w:rPr>
                <w:webHidden/>
              </w:rPr>
              <w:fldChar w:fldCharType="separate"/>
            </w:r>
            <w:r>
              <w:rPr>
                <w:webHidden/>
              </w:rPr>
              <w:t>35</w:t>
            </w:r>
            <w:r>
              <w:rPr>
                <w:webHidden/>
              </w:rPr>
              <w:fldChar w:fldCharType="end"/>
            </w:r>
          </w:hyperlink>
        </w:p>
        <w:p w14:paraId="36135CBF" w14:textId="356882DF" w:rsidR="00A00D64" w:rsidRDefault="00A00D64">
          <w:pPr>
            <w:pStyle w:val="TOC3"/>
            <w:rPr>
              <w:rFonts w:asciiTheme="minorHAnsi" w:eastAsiaTheme="minorEastAsia" w:hAnsiTheme="minorHAnsi" w:cstheme="minorBidi"/>
              <w:kern w:val="2"/>
              <w:sz w:val="24"/>
              <w14:ligatures w14:val="standardContextual"/>
            </w:rPr>
          </w:pPr>
          <w:hyperlink w:anchor="_Toc181084789" w:history="1">
            <w:r w:rsidRPr="00016437">
              <w:rPr>
                <w:rStyle w:val="Hyperlink"/>
                <w:rFonts w:cs="Arial"/>
              </w:rPr>
              <w:t>Māori advocate for change</w:t>
            </w:r>
            <w:r>
              <w:rPr>
                <w:webHidden/>
              </w:rPr>
              <w:tab/>
            </w:r>
            <w:r>
              <w:rPr>
                <w:webHidden/>
              </w:rPr>
              <w:fldChar w:fldCharType="begin"/>
            </w:r>
            <w:r>
              <w:rPr>
                <w:webHidden/>
              </w:rPr>
              <w:instrText xml:space="preserve"> PAGEREF _Toc181084789 \h </w:instrText>
            </w:r>
            <w:r>
              <w:rPr>
                <w:webHidden/>
              </w:rPr>
            </w:r>
            <w:r>
              <w:rPr>
                <w:webHidden/>
              </w:rPr>
              <w:fldChar w:fldCharType="separate"/>
            </w:r>
            <w:r>
              <w:rPr>
                <w:webHidden/>
              </w:rPr>
              <w:t>35</w:t>
            </w:r>
            <w:r>
              <w:rPr>
                <w:webHidden/>
              </w:rPr>
              <w:fldChar w:fldCharType="end"/>
            </w:r>
          </w:hyperlink>
        </w:p>
        <w:p w14:paraId="1FD9DC29" w14:textId="23AAC9B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90" w:history="1">
            <w:r w:rsidRPr="00016437">
              <w:rPr>
                <w:rStyle w:val="Hyperlink"/>
                <w:noProof/>
              </w:rPr>
              <w:t>Ūpoko 4: Ngā waiaro ā-pāpori whai pānga ki te wā Pakirehua</w:t>
            </w:r>
            <w:r>
              <w:rPr>
                <w:noProof/>
                <w:webHidden/>
              </w:rPr>
              <w:tab/>
            </w:r>
            <w:r>
              <w:rPr>
                <w:noProof/>
                <w:webHidden/>
              </w:rPr>
              <w:fldChar w:fldCharType="begin"/>
            </w:r>
            <w:r>
              <w:rPr>
                <w:noProof/>
                <w:webHidden/>
              </w:rPr>
              <w:instrText xml:space="preserve"> PAGEREF _Toc181084790 \h </w:instrText>
            </w:r>
            <w:r>
              <w:rPr>
                <w:noProof/>
                <w:webHidden/>
              </w:rPr>
            </w:r>
            <w:r>
              <w:rPr>
                <w:noProof/>
                <w:webHidden/>
              </w:rPr>
              <w:fldChar w:fldCharType="separate"/>
            </w:r>
            <w:r>
              <w:rPr>
                <w:noProof/>
                <w:webHidden/>
              </w:rPr>
              <w:t>36</w:t>
            </w:r>
            <w:r>
              <w:rPr>
                <w:noProof/>
                <w:webHidden/>
              </w:rPr>
              <w:fldChar w:fldCharType="end"/>
            </w:r>
          </w:hyperlink>
        </w:p>
        <w:p w14:paraId="03DFE365" w14:textId="20E21389"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791" w:history="1">
            <w:r w:rsidRPr="00016437">
              <w:rPr>
                <w:rStyle w:val="Hyperlink"/>
                <w:noProof/>
              </w:rPr>
              <w:t>Chapter 4: Societal attitudes relevant to the Inquiry period</w:t>
            </w:r>
            <w:r>
              <w:rPr>
                <w:noProof/>
                <w:webHidden/>
              </w:rPr>
              <w:tab/>
            </w:r>
            <w:r>
              <w:rPr>
                <w:noProof/>
                <w:webHidden/>
              </w:rPr>
              <w:fldChar w:fldCharType="begin"/>
            </w:r>
            <w:r>
              <w:rPr>
                <w:noProof/>
                <w:webHidden/>
              </w:rPr>
              <w:instrText xml:space="preserve"> PAGEREF _Toc181084791 \h </w:instrText>
            </w:r>
            <w:r>
              <w:rPr>
                <w:noProof/>
                <w:webHidden/>
              </w:rPr>
            </w:r>
            <w:r>
              <w:rPr>
                <w:noProof/>
                <w:webHidden/>
              </w:rPr>
              <w:fldChar w:fldCharType="separate"/>
            </w:r>
            <w:r>
              <w:rPr>
                <w:noProof/>
                <w:webHidden/>
              </w:rPr>
              <w:t>36</w:t>
            </w:r>
            <w:r>
              <w:rPr>
                <w:noProof/>
                <w:webHidden/>
              </w:rPr>
              <w:fldChar w:fldCharType="end"/>
            </w:r>
          </w:hyperlink>
        </w:p>
        <w:p w14:paraId="3F234CA5" w14:textId="5B42A554" w:rsidR="00A00D64" w:rsidRDefault="00A00D64">
          <w:pPr>
            <w:pStyle w:val="TOC2"/>
            <w:rPr>
              <w:rFonts w:asciiTheme="minorHAnsi" w:eastAsiaTheme="minorEastAsia" w:hAnsiTheme="minorHAnsi" w:cstheme="minorBidi"/>
              <w:b w:val="0"/>
              <w:kern w:val="2"/>
              <w:sz w:val="24"/>
              <w14:ligatures w14:val="standardContextual"/>
            </w:rPr>
          </w:pPr>
          <w:hyperlink w:anchor="_Toc181084792" w:history="1">
            <w:r w:rsidRPr="00016437">
              <w:rPr>
                <w:rStyle w:val="Hyperlink"/>
              </w:rPr>
              <w:t>Te mana me te aupēhitanga o te tokoiti o te pāpori</w:t>
            </w:r>
            <w:r>
              <w:rPr>
                <w:webHidden/>
              </w:rPr>
              <w:tab/>
            </w:r>
            <w:r>
              <w:rPr>
                <w:webHidden/>
              </w:rPr>
              <w:fldChar w:fldCharType="begin"/>
            </w:r>
            <w:r>
              <w:rPr>
                <w:webHidden/>
              </w:rPr>
              <w:instrText xml:space="preserve"> PAGEREF _Toc181084792 \h </w:instrText>
            </w:r>
            <w:r>
              <w:rPr>
                <w:webHidden/>
              </w:rPr>
            </w:r>
            <w:r>
              <w:rPr>
                <w:webHidden/>
              </w:rPr>
              <w:fldChar w:fldCharType="separate"/>
            </w:r>
            <w:r>
              <w:rPr>
                <w:webHidden/>
              </w:rPr>
              <w:t>36</w:t>
            </w:r>
            <w:r>
              <w:rPr>
                <w:webHidden/>
              </w:rPr>
              <w:fldChar w:fldCharType="end"/>
            </w:r>
          </w:hyperlink>
        </w:p>
        <w:p w14:paraId="48401D33" w14:textId="2C11C136" w:rsidR="00A00D64" w:rsidRDefault="00A00D64">
          <w:pPr>
            <w:pStyle w:val="TOC2"/>
            <w:rPr>
              <w:rFonts w:asciiTheme="minorHAnsi" w:eastAsiaTheme="minorEastAsia" w:hAnsiTheme="minorHAnsi" w:cstheme="minorBidi"/>
              <w:b w:val="0"/>
              <w:kern w:val="2"/>
              <w:sz w:val="24"/>
              <w14:ligatures w14:val="standardContextual"/>
            </w:rPr>
          </w:pPr>
          <w:hyperlink w:anchor="_Toc181084793" w:history="1">
            <w:r w:rsidRPr="00016437">
              <w:rPr>
                <w:rStyle w:val="Hyperlink"/>
              </w:rPr>
              <w:t>Power and control held by certain members of society</w:t>
            </w:r>
            <w:r>
              <w:rPr>
                <w:webHidden/>
              </w:rPr>
              <w:tab/>
            </w:r>
            <w:r>
              <w:rPr>
                <w:webHidden/>
              </w:rPr>
              <w:fldChar w:fldCharType="begin"/>
            </w:r>
            <w:r>
              <w:rPr>
                <w:webHidden/>
              </w:rPr>
              <w:instrText xml:space="preserve"> PAGEREF _Toc181084793 \h </w:instrText>
            </w:r>
            <w:r>
              <w:rPr>
                <w:webHidden/>
              </w:rPr>
            </w:r>
            <w:r>
              <w:rPr>
                <w:webHidden/>
              </w:rPr>
              <w:fldChar w:fldCharType="separate"/>
            </w:r>
            <w:r>
              <w:rPr>
                <w:webHidden/>
              </w:rPr>
              <w:t>36</w:t>
            </w:r>
            <w:r>
              <w:rPr>
                <w:webHidden/>
              </w:rPr>
              <w:fldChar w:fldCharType="end"/>
            </w:r>
          </w:hyperlink>
        </w:p>
        <w:p w14:paraId="5EACFD66" w14:textId="06E8BB0D" w:rsidR="00A00D64" w:rsidRDefault="00A00D64">
          <w:pPr>
            <w:pStyle w:val="TOC2"/>
            <w:rPr>
              <w:rFonts w:asciiTheme="minorHAnsi" w:eastAsiaTheme="minorEastAsia" w:hAnsiTheme="minorHAnsi" w:cstheme="minorBidi"/>
              <w:b w:val="0"/>
              <w:kern w:val="2"/>
              <w:sz w:val="24"/>
              <w14:ligatures w14:val="standardContextual"/>
            </w:rPr>
          </w:pPr>
          <w:hyperlink w:anchor="_Toc181084794" w:history="1">
            <w:r w:rsidRPr="00016437">
              <w:rPr>
                <w:rStyle w:val="Hyperlink"/>
              </w:rPr>
              <w:t>Kaikiri</w:t>
            </w:r>
            <w:r>
              <w:rPr>
                <w:webHidden/>
              </w:rPr>
              <w:tab/>
            </w:r>
            <w:r>
              <w:rPr>
                <w:webHidden/>
              </w:rPr>
              <w:fldChar w:fldCharType="begin"/>
            </w:r>
            <w:r>
              <w:rPr>
                <w:webHidden/>
              </w:rPr>
              <w:instrText xml:space="preserve"> PAGEREF _Toc181084794 \h </w:instrText>
            </w:r>
            <w:r>
              <w:rPr>
                <w:webHidden/>
              </w:rPr>
            </w:r>
            <w:r>
              <w:rPr>
                <w:webHidden/>
              </w:rPr>
              <w:fldChar w:fldCharType="separate"/>
            </w:r>
            <w:r>
              <w:rPr>
                <w:webHidden/>
              </w:rPr>
              <w:t>37</w:t>
            </w:r>
            <w:r>
              <w:rPr>
                <w:webHidden/>
              </w:rPr>
              <w:fldChar w:fldCharType="end"/>
            </w:r>
          </w:hyperlink>
        </w:p>
        <w:p w14:paraId="2D822406" w14:textId="16FB6485" w:rsidR="00A00D64" w:rsidRDefault="00A00D64">
          <w:pPr>
            <w:pStyle w:val="TOC2"/>
            <w:rPr>
              <w:rFonts w:asciiTheme="minorHAnsi" w:eastAsiaTheme="minorEastAsia" w:hAnsiTheme="minorHAnsi" w:cstheme="minorBidi"/>
              <w:b w:val="0"/>
              <w:kern w:val="2"/>
              <w:sz w:val="24"/>
              <w14:ligatures w14:val="standardContextual"/>
            </w:rPr>
          </w:pPr>
          <w:hyperlink w:anchor="_Toc181084795" w:history="1">
            <w:r w:rsidRPr="00016437">
              <w:rPr>
                <w:rStyle w:val="Hyperlink"/>
              </w:rPr>
              <w:t>Racism</w:t>
            </w:r>
            <w:r>
              <w:rPr>
                <w:webHidden/>
              </w:rPr>
              <w:tab/>
            </w:r>
            <w:r>
              <w:rPr>
                <w:webHidden/>
              </w:rPr>
              <w:fldChar w:fldCharType="begin"/>
            </w:r>
            <w:r>
              <w:rPr>
                <w:webHidden/>
              </w:rPr>
              <w:instrText xml:space="preserve"> PAGEREF _Toc181084795 \h </w:instrText>
            </w:r>
            <w:r>
              <w:rPr>
                <w:webHidden/>
              </w:rPr>
            </w:r>
            <w:r>
              <w:rPr>
                <w:webHidden/>
              </w:rPr>
              <w:fldChar w:fldCharType="separate"/>
            </w:r>
            <w:r>
              <w:rPr>
                <w:webHidden/>
              </w:rPr>
              <w:t>37</w:t>
            </w:r>
            <w:r>
              <w:rPr>
                <w:webHidden/>
              </w:rPr>
              <w:fldChar w:fldCharType="end"/>
            </w:r>
          </w:hyperlink>
        </w:p>
        <w:p w14:paraId="74ACB838" w14:textId="6D38BD2F" w:rsidR="00A00D64" w:rsidRDefault="00A00D64">
          <w:pPr>
            <w:pStyle w:val="TOC3"/>
            <w:rPr>
              <w:rFonts w:asciiTheme="minorHAnsi" w:eastAsiaTheme="minorEastAsia" w:hAnsiTheme="minorHAnsi" w:cstheme="minorBidi"/>
              <w:kern w:val="2"/>
              <w:sz w:val="24"/>
              <w14:ligatures w14:val="standardContextual"/>
            </w:rPr>
          </w:pPr>
          <w:hyperlink w:anchor="_Toc181084796" w:history="1">
            <w:r w:rsidRPr="00016437">
              <w:rPr>
                <w:rStyle w:val="Hyperlink"/>
              </w:rPr>
              <w:t>Kaikiri torowhare</w:t>
            </w:r>
            <w:r>
              <w:rPr>
                <w:webHidden/>
              </w:rPr>
              <w:tab/>
            </w:r>
            <w:r>
              <w:rPr>
                <w:webHidden/>
              </w:rPr>
              <w:fldChar w:fldCharType="begin"/>
            </w:r>
            <w:r>
              <w:rPr>
                <w:webHidden/>
              </w:rPr>
              <w:instrText xml:space="preserve"> PAGEREF _Toc181084796 \h </w:instrText>
            </w:r>
            <w:r>
              <w:rPr>
                <w:webHidden/>
              </w:rPr>
            </w:r>
            <w:r>
              <w:rPr>
                <w:webHidden/>
              </w:rPr>
              <w:fldChar w:fldCharType="separate"/>
            </w:r>
            <w:r>
              <w:rPr>
                <w:webHidden/>
              </w:rPr>
              <w:t>37</w:t>
            </w:r>
            <w:r>
              <w:rPr>
                <w:webHidden/>
              </w:rPr>
              <w:fldChar w:fldCharType="end"/>
            </w:r>
          </w:hyperlink>
        </w:p>
        <w:p w14:paraId="21242578" w14:textId="6154270B" w:rsidR="00A00D64" w:rsidRDefault="00A00D64">
          <w:pPr>
            <w:pStyle w:val="TOC3"/>
            <w:rPr>
              <w:rFonts w:asciiTheme="minorHAnsi" w:eastAsiaTheme="minorEastAsia" w:hAnsiTheme="minorHAnsi" w:cstheme="minorBidi"/>
              <w:kern w:val="2"/>
              <w:sz w:val="24"/>
              <w14:ligatures w14:val="standardContextual"/>
            </w:rPr>
          </w:pPr>
          <w:hyperlink w:anchor="_Toc181084797" w:history="1">
            <w:r w:rsidRPr="00016437">
              <w:rPr>
                <w:rStyle w:val="Hyperlink"/>
              </w:rPr>
              <w:t>Institutional Racism</w:t>
            </w:r>
            <w:r>
              <w:rPr>
                <w:webHidden/>
              </w:rPr>
              <w:tab/>
            </w:r>
            <w:r>
              <w:rPr>
                <w:webHidden/>
              </w:rPr>
              <w:fldChar w:fldCharType="begin"/>
            </w:r>
            <w:r>
              <w:rPr>
                <w:webHidden/>
              </w:rPr>
              <w:instrText xml:space="preserve"> PAGEREF _Toc181084797 \h </w:instrText>
            </w:r>
            <w:r>
              <w:rPr>
                <w:webHidden/>
              </w:rPr>
            </w:r>
            <w:r>
              <w:rPr>
                <w:webHidden/>
              </w:rPr>
              <w:fldChar w:fldCharType="separate"/>
            </w:r>
            <w:r>
              <w:rPr>
                <w:webHidden/>
              </w:rPr>
              <w:t>37</w:t>
            </w:r>
            <w:r>
              <w:rPr>
                <w:webHidden/>
              </w:rPr>
              <w:fldChar w:fldCharType="end"/>
            </w:r>
          </w:hyperlink>
        </w:p>
        <w:p w14:paraId="02BE4071" w14:textId="0F85F9AF" w:rsidR="00A00D64" w:rsidRDefault="00A00D64">
          <w:pPr>
            <w:pStyle w:val="TOC3"/>
            <w:rPr>
              <w:rFonts w:asciiTheme="minorHAnsi" w:eastAsiaTheme="minorEastAsia" w:hAnsiTheme="minorHAnsi" w:cstheme="minorBidi"/>
              <w:kern w:val="2"/>
              <w:sz w:val="24"/>
              <w14:ligatures w14:val="standardContextual"/>
            </w:rPr>
          </w:pPr>
          <w:hyperlink w:anchor="_Toc181084798" w:history="1">
            <w:r w:rsidRPr="00016437">
              <w:rPr>
                <w:rStyle w:val="Hyperlink"/>
                <w:rFonts w:cs="Arial"/>
              </w:rPr>
              <w:t>Kaikiri ā-ahurea</w:t>
            </w:r>
            <w:r>
              <w:rPr>
                <w:webHidden/>
              </w:rPr>
              <w:tab/>
            </w:r>
            <w:r>
              <w:rPr>
                <w:webHidden/>
              </w:rPr>
              <w:fldChar w:fldCharType="begin"/>
            </w:r>
            <w:r>
              <w:rPr>
                <w:webHidden/>
              </w:rPr>
              <w:instrText xml:space="preserve"> PAGEREF _Toc181084798 \h </w:instrText>
            </w:r>
            <w:r>
              <w:rPr>
                <w:webHidden/>
              </w:rPr>
            </w:r>
            <w:r>
              <w:rPr>
                <w:webHidden/>
              </w:rPr>
              <w:fldChar w:fldCharType="separate"/>
            </w:r>
            <w:r>
              <w:rPr>
                <w:webHidden/>
              </w:rPr>
              <w:t>38</w:t>
            </w:r>
            <w:r>
              <w:rPr>
                <w:webHidden/>
              </w:rPr>
              <w:fldChar w:fldCharType="end"/>
            </w:r>
          </w:hyperlink>
        </w:p>
        <w:p w14:paraId="57BAEC57" w14:textId="176284F3" w:rsidR="00A00D64" w:rsidRDefault="00A00D64">
          <w:pPr>
            <w:pStyle w:val="TOC3"/>
            <w:rPr>
              <w:rFonts w:asciiTheme="minorHAnsi" w:eastAsiaTheme="minorEastAsia" w:hAnsiTheme="minorHAnsi" w:cstheme="minorBidi"/>
              <w:kern w:val="2"/>
              <w:sz w:val="24"/>
              <w14:ligatures w14:val="standardContextual"/>
            </w:rPr>
          </w:pPr>
          <w:hyperlink w:anchor="_Toc181084799" w:history="1">
            <w:r w:rsidRPr="00016437">
              <w:rPr>
                <w:rStyle w:val="Hyperlink"/>
                <w:rFonts w:cs="Arial"/>
              </w:rPr>
              <w:t>Cultural racism</w:t>
            </w:r>
            <w:r>
              <w:rPr>
                <w:webHidden/>
              </w:rPr>
              <w:tab/>
            </w:r>
            <w:r>
              <w:rPr>
                <w:webHidden/>
              </w:rPr>
              <w:fldChar w:fldCharType="begin"/>
            </w:r>
            <w:r>
              <w:rPr>
                <w:webHidden/>
              </w:rPr>
              <w:instrText xml:space="preserve"> PAGEREF _Toc181084799 \h </w:instrText>
            </w:r>
            <w:r>
              <w:rPr>
                <w:webHidden/>
              </w:rPr>
            </w:r>
            <w:r>
              <w:rPr>
                <w:webHidden/>
              </w:rPr>
              <w:fldChar w:fldCharType="separate"/>
            </w:r>
            <w:r>
              <w:rPr>
                <w:webHidden/>
              </w:rPr>
              <w:t>38</w:t>
            </w:r>
            <w:r>
              <w:rPr>
                <w:webHidden/>
              </w:rPr>
              <w:fldChar w:fldCharType="end"/>
            </w:r>
          </w:hyperlink>
        </w:p>
        <w:p w14:paraId="3909B5C7" w14:textId="3B9E03AB" w:rsidR="00A00D64" w:rsidRDefault="00A00D64">
          <w:pPr>
            <w:pStyle w:val="TOC3"/>
            <w:rPr>
              <w:rFonts w:asciiTheme="minorHAnsi" w:eastAsiaTheme="minorEastAsia" w:hAnsiTheme="minorHAnsi" w:cstheme="minorBidi"/>
              <w:kern w:val="2"/>
              <w:sz w:val="24"/>
              <w14:ligatures w14:val="standardContextual"/>
            </w:rPr>
          </w:pPr>
          <w:hyperlink w:anchor="_Toc181084800" w:history="1">
            <w:r w:rsidRPr="00016437">
              <w:rPr>
                <w:rStyle w:val="Hyperlink"/>
                <w:rFonts w:cs="Arial"/>
              </w:rPr>
              <w:t>Kaikiri (Matawhaiaro)</w:t>
            </w:r>
            <w:r>
              <w:rPr>
                <w:webHidden/>
              </w:rPr>
              <w:tab/>
            </w:r>
            <w:r>
              <w:rPr>
                <w:webHidden/>
              </w:rPr>
              <w:fldChar w:fldCharType="begin"/>
            </w:r>
            <w:r>
              <w:rPr>
                <w:webHidden/>
              </w:rPr>
              <w:instrText xml:space="preserve"> PAGEREF _Toc181084800 \h </w:instrText>
            </w:r>
            <w:r>
              <w:rPr>
                <w:webHidden/>
              </w:rPr>
            </w:r>
            <w:r>
              <w:rPr>
                <w:webHidden/>
              </w:rPr>
              <w:fldChar w:fldCharType="separate"/>
            </w:r>
            <w:r>
              <w:rPr>
                <w:webHidden/>
              </w:rPr>
              <w:t>38</w:t>
            </w:r>
            <w:r>
              <w:rPr>
                <w:webHidden/>
              </w:rPr>
              <w:fldChar w:fldCharType="end"/>
            </w:r>
          </w:hyperlink>
        </w:p>
        <w:p w14:paraId="448F5A8D" w14:textId="10D17D39" w:rsidR="00A00D64" w:rsidRDefault="00A00D64">
          <w:pPr>
            <w:pStyle w:val="TOC3"/>
            <w:rPr>
              <w:rFonts w:asciiTheme="minorHAnsi" w:eastAsiaTheme="minorEastAsia" w:hAnsiTheme="minorHAnsi" w:cstheme="minorBidi"/>
              <w:kern w:val="2"/>
              <w:sz w:val="24"/>
              <w14:ligatures w14:val="standardContextual"/>
            </w:rPr>
          </w:pPr>
          <w:hyperlink w:anchor="_Toc181084801" w:history="1">
            <w:r w:rsidRPr="00016437">
              <w:rPr>
                <w:rStyle w:val="Hyperlink"/>
                <w:rFonts w:cs="Arial"/>
              </w:rPr>
              <w:t>Racism (personal)</w:t>
            </w:r>
            <w:r>
              <w:rPr>
                <w:webHidden/>
              </w:rPr>
              <w:tab/>
            </w:r>
            <w:r>
              <w:rPr>
                <w:webHidden/>
              </w:rPr>
              <w:fldChar w:fldCharType="begin"/>
            </w:r>
            <w:r>
              <w:rPr>
                <w:webHidden/>
              </w:rPr>
              <w:instrText xml:space="preserve"> PAGEREF _Toc181084801 \h </w:instrText>
            </w:r>
            <w:r>
              <w:rPr>
                <w:webHidden/>
              </w:rPr>
            </w:r>
            <w:r>
              <w:rPr>
                <w:webHidden/>
              </w:rPr>
              <w:fldChar w:fldCharType="separate"/>
            </w:r>
            <w:r>
              <w:rPr>
                <w:webHidden/>
              </w:rPr>
              <w:t>38</w:t>
            </w:r>
            <w:r>
              <w:rPr>
                <w:webHidden/>
              </w:rPr>
              <w:fldChar w:fldCharType="end"/>
            </w:r>
          </w:hyperlink>
        </w:p>
        <w:p w14:paraId="4A91A319" w14:textId="11177CC1" w:rsidR="00A00D64" w:rsidRDefault="00A00D64">
          <w:pPr>
            <w:pStyle w:val="TOC2"/>
            <w:rPr>
              <w:rFonts w:asciiTheme="minorHAnsi" w:eastAsiaTheme="minorEastAsia" w:hAnsiTheme="minorHAnsi" w:cstheme="minorBidi"/>
              <w:b w:val="0"/>
              <w:kern w:val="2"/>
              <w:sz w:val="24"/>
              <w14:ligatures w14:val="standardContextual"/>
            </w:rPr>
          </w:pPr>
          <w:hyperlink w:anchor="_Toc181084802" w:history="1">
            <w:r w:rsidRPr="00016437">
              <w:rPr>
                <w:rStyle w:val="Hyperlink"/>
              </w:rPr>
              <w:t>Te hāpai toiora me te whakatoiharawhaikaha</w:t>
            </w:r>
            <w:r>
              <w:rPr>
                <w:webHidden/>
              </w:rPr>
              <w:tab/>
            </w:r>
            <w:r>
              <w:rPr>
                <w:webHidden/>
              </w:rPr>
              <w:fldChar w:fldCharType="begin"/>
            </w:r>
            <w:r>
              <w:rPr>
                <w:webHidden/>
              </w:rPr>
              <w:instrText xml:space="preserve"> PAGEREF _Toc181084802 \h </w:instrText>
            </w:r>
            <w:r>
              <w:rPr>
                <w:webHidden/>
              </w:rPr>
            </w:r>
            <w:r>
              <w:rPr>
                <w:webHidden/>
              </w:rPr>
              <w:fldChar w:fldCharType="separate"/>
            </w:r>
            <w:r>
              <w:rPr>
                <w:webHidden/>
              </w:rPr>
              <w:t>39</w:t>
            </w:r>
            <w:r>
              <w:rPr>
                <w:webHidden/>
              </w:rPr>
              <w:fldChar w:fldCharType="end"/>
            </w:r>
          </w:hyperlink>
        </w:p>
        <w:p w14:paraId="502AC1AF" w14:textId="3D29B93D" w:rsidR="00A00D64" w:rsidRDefault="00A00D64">
          <w:pPr>
            <w:pStyle w:val="TOC2"/>
            <w:rPr>
              <w:rFonts w:asciiTheme="minorHAnsi" w:eastAsiaTheme="minorEastAsia" w:hAnsiTheme="minorHAnsi" w:cstheme="minorBidi"/>
              <w:b w:val="0"/>
              <w:kern w:val="2"/>
              <w:sz w:val="24"/>
              <w14:ligatures w14:val="standardContextual"/>
            </w:rPr>
          </w:pPr>
          <w:hyperlink w:anchor="_Toc181084803" w:history="1">
            <w:r w:rsidRPr="00016437">
              <w:rPr>
                <w:rStyle w:val="Hyperlink"/>
              </w:rPr>
              <w:t>Ableism and disablism</w:t>
            </w:r>
            <w:r>
              <w:rPr>
                <w:webHidden/>
              </w:rPr>
              <w:tab/>
            </w:r>
            <w:r>
              <w:rPr>
                <w:webHidden/>
              </w:rPr>
              <w:fldChar w:fldCharType="begin"/>
            </w:r>
            <w:r>
              <w:rPr>
                <w:webHidden/>
              </w:rPr>
              <w:instrText xml:space="preserve"> PAGEREF _Toc181084803 \h </w:instrText>
            </w:r>
            <w:r>
              <w:rPr>
                <w:webHidden/>
              </w:rPr>
            </w:r>
            <w:r>
              <w:rPr>
                <w:webHidden/>
              </w:rPr>
              <w:fldChar w:fldCharType="separate"/>
            </w:r>
            <w:r>
              <w:rPr>
                <w:webHidden/>
              </w:rPr>
              <w:t>39</w:t>
            </w:r>
            <w:r>
              <w:rPr>
                <w:webHidden/>
              </w:rPr>
              <w:fldChar w:fldCharType="end"/>
            </w:r>
          </w:hyperlink>
        </w:p>
        <w:p w14:paraId="13553AFB" w14:textId="78DBC1CD" w:rsidR="00A00D64" w:rsidRDefault="00A00D64">
          <w:pPr>
            <w:pStyle w:val="TOC2"/>
            <w:rPr>
              <w:rFonts w:asciiTheme="minorHAnsi" w:eastAsiaTheme="minorEastAsia" w:hAnsiTheme="minorHAnsi" w:cstheme="minorBidi"/>
              <w:b w:val="0"/>
              <w:kern w:val="2"/>
              <w:sz w:val="24"/>
              <w14:ligatures w14:val="standardContextual"/>
            </w:rPr>
          </w:pPr>
          <w:hyperlink w:anchor="_Toc181084804" w:history="1">
            <w:r w:rsidRPr="00016437">
              <w:rPr>
                <w:rStyle w:val="Hyperlink"/>
              </w:rPr>
              <w:t>Te kaupapa tutū ira me te tauira hauora whaikaha</w:t>
            </w:r>
            <w:r>
              <w:rPr>
                <w:webHidden/>
              </w:rPr>
              <w:tab/>
            </w:r>
            <w:r>
              <w:rPr>
                <w:webHidden/>
              </w:rPr>
              <w:fldChar w:fldCharType="begin"/>
            </w:r>
            <w:r>
              <w:rPr>
                <w:webHidden/>
              </w:rPr>
              <w:instrText xml:space="preserve"> PAGEREF _Toc181084804 \h </w:instrText>
            </w:r>
            <w:r>
              <w:rPr>
                <w:webHidden/>
              </w:rPr>
            </w:r>
            <w:r>
              <w:rPr>
                <w:webHidden/>
              </w:rPr>
              <w:fldChar w:fldCharType="separate"/>
            </w:r>
            <w:r>
              <w:rPr>
                <w:webHidden/>
              </w:rPr>
              <w:t>40</w:t>
            </w:r>
            <w:r>
              <w:rPr>
                <w:webHidden/>
              </w:rPr>
              <w:fldChar w:fldCharType="end"/>
            </w:r>
          </w:hyperlink>
        </w:p>
        <w:p w14:paraId="47C471F2" w14:textId="56204F59" w:rsidR="00A00D64" w:rsidRDefault="00A00D64">
          <w:pPr>
            <w:pStyle w:val="TOC2"/>
            <w:rPr>
              <w:rFonts w:asciiTheme="minorHAnsi" w:eastAsiaTheme="minorEastAsia" w:hAnsiTheme="minorHAnsi" w:cstheme="minorBidi"/>
              <w:b w:val="0"/>
              <w:kern w:val="2"/>
              <w:sz w:val="24"/>
              <w14:ligatures w14:val="standardContextual"/>
            </w:rPr>
          </w:pPr>
          <w:hyperlink w:anchor="_Toc181084805" w:history="1">
            <w:r w:rsidRPr="00016437">
              <w:rPr>
                <w:rStyle w:val="Hyperlink"/>
              </w:rPr>
              <w:t>The eugenics movement and medical model of disability</w:t>
            </w:r>
            <w:r>
              <w:rPr>
                <w:webHidden/>
              </w:rPr>
              <w:tab/>
            </w:r>
            <w:r>
              <w:rPr>
                <w:webHidden/>
              </w:rPr>
              <w:fldChar w:fldCharType="begin"/>
            </w:r>
            <w:r>
              <w:rPr>
                <w:webHidden/>
              </w:rPr>
              <w:instrText xml:space="preserve"> PAGEREF _Toc181084805 \h </w:instrText>
            </w:r>
            <w:r>
              <w:rPr>
                <w:webHidden/>
              </w:rPr>
            </w:r>
            <w:r>
              <w:rPr>
                <w:webHidden/>
              </w:rPr>
              <w:fldChar w:fldCharType="separate"/>
            </w:r>
            <w:r>
              <w:rPr>
                <w:webHidden/>
              </w:rPr>
              <w:t>40</w:t>
            </w:r>
            <w:r>
              <w:rPr>
                <w:webHidden/>
              </w:rPr>
              <w:fldChar w:fldCharType="end"/>
            </w:r>
          </w:hyperlink>
        </w:p>
        <w:p w14:paraId="565424AF" w14:textId="0DE3A095" w:rsidR="00A00D64" w:rsidRDefault="00A00D64">
          <w:pPr>
            <w:pStyle w:val="TOC2"/>
            <w:rPr>
              <w:rFonts w:asciiTheme="minorHAnsi" w:eastAsiaTheme="minorEastAsia" w:hAnsiTheme="minorHAnsi" w:cstheme="minorBidi"/>
              <w:b w:val="0"/>
              <w:kern w:val="2"/>
              <w:sz w:val="24"/>
              <w14:ligatures w14:val="standardContextual"/>
            </w:rPr>
          </w:pPr>
          <w:hyperlink w:anchor="_Toc181084806" w:history="1">
            <w:r w:rsidRPr="00016437">
              <w:rPr>
                <w:rStyle w:val="Hyperlink"/>
              </w:rPr>
              <w:t>Ngā waiaro ki te hunga Turi</w:t>
            </w:r>
            <w:r>
              <w:rPr>
                <w:webHidden/>
              </w:rPr>
              <w:tab/>
            </w:r>
            <w:r>
              <w:rPr>
                <w:webHidden/>
              </w:rPr>
              <w:fldChar w:fldCharType="begin"/>
            </w:r>
            <w:r>
              <w:rPr>
                <w:webHidden/>
              </w:rPr>
              <w:instrText xml:space="preserve"> PAGEREF _Toc181084806 \h </w:instrText>
            </w:r>
            <w:r>
              <w:rPr>
                <w:webHidden/>
              </w:rPr>
            </w:r>
            <w:r>
              <w:rPr>
                <w:webHidden/>
              </w:rPr>
              <w:fldChar w:fldCharType="separate"/>
            </w:r>
            <w:r>
              <w:rPr>
                <w:webHidden/>
              </w:rPr>
              <w:t>40</w:t>
            </w:r>
            <w:r>
              <w:rPr>
                <w:webHidden/>
              </w:rPr>
              <w:fldChar w:fldCharType="end"/>
            </w:r>
          </w:hyperlink>
        </w:p>
        <w:p w14:paraId="75102A42" w14:textId="422E1A65" w:rsidR="00A00D64" w:rsidRDefault="00A00D64">
          <w:pPr>
            <w:pStyle w:val="TOC2"/>
            <w:rPr>
              <w:rFonts w:asciiTheme="minorHAnsi" w:eastAsiaTheme="minorEastAsia" w:hAnsiTheme="minorHAnsi" w:cstheme="minorBidi"/>
              <w:b w:val="0"/>
              <w:kern w:val="2"/>
              <w:sz w:val="24"/>
              <w14:ligatures w14:val="standardContextual"/>
            </w:rPr>
          </w:pPr>
          <w:hyperlink w:anchor="_Toc181084807" w:history="1">
            <w:r w:rsidRPr="00016437">
              <w:rPr>
                <w:rStyle w:val="Hyperlink"/>
                <w:color w:val="275F65" w:themeColor="hyperlink" w:themeShade="BF"/>
              </w:rPr>
              <w:t>Attitudes</w:t>
            </w:r>
            <w:r w:rsidRPr="00016437">
              <w:rPr>
                <w:rStyle w:val="Hyperlink"/>
              </w:rPr>
              <w:t xml:space="preserve"> towards Deaf people</w:t>
            </w:r>
            <w:r>
              <w:rPr>
                <w:webHidden/>
              </w:rPr>
              <w:tab/>
            </w:r>
            <w:r>
              <w:rPr>
                <w:webHidden/>
              </w:rPr>
              <w:fldChar w:fldCharType="begin"/>
            </w:r>
            <w:r>
              <w:rPr>
                <w:webHidden/>
              </w:rPr>
              <w:instrText xml:space="preserve"> PAGEREF _Toc181084807 \h </w:instrText>
            </w:r>
            <w:r>
              <w:rPr>
                <w:webHidden/>
              </w:rPr>
            </w:r>
            <w:r>
              <w:rPr>
                <w:webHidden/>
              </w:rPr>
              <w:fldChar w:fldCharType="separate"/>
            </w:r>
            <w:r>
              <w:rPr>
                <w:webHidden/>
              </w:rPr>
              <w:t>40</w:t>
            </w:r>
            <w:r>
              <w:rPr>
                <w:webHidden/>
              </w:rPr>
              <w:fldChar w:fldCharType="end"/>
            </w:r>
          </w:hyperlink>
        </w:p>
        <w:p w14:paraId="08321A45" w14:textId="1E8A558D" w:rsidR="00A00D64" w:rsidRDefault="00A00D64">
          <w:pPr>
            <w:pStyle w:val="TOC2"/>
            <w:rPr>
              <w:rFonts w:asciiTheme="minorHAnsi" w:eastAsiaTheme="minorEastAsia" w:hAnsiTheme="minorHAnsi" w:cstheme="minorBidi"/>
              <w:b w:val="0"/>
              <w:kern w:val="2"/>
              <w:sz w:val="24"/>
              <w14:ligatures w14:val="standardContextual"/>
            </w:rPr>
          </w:pPr>
          <w:hyperlink w:anchor="_Toc181084808" w:history="1">
            <w:r w:rsidRPr="00016437">
              <w:rPr>
                <w:rStyle w:val="Hyperlink"/>
              </w:rPr>
              <w:t>He māramatanga ki te kanorautanga ā-hinengaro, te mate waipiro ki te kōpū me te wharaūpoko</w:t>
            </w:r>
            <w:r>
              <w:rPr>
                <w:webHidden/>
              </w:rPr>
              <w:tab/>
            </w:r>
            <w:r>
              <w:rPr>
                <w:webHidden/>
              </w:rPr>
              <w:fldChar w:fldCharType="begin"/>
            </w:r>
            <w:r>
              <w:rPr>
                <w:webHidden/>
              </w:rPr>
              <w:instrText xml:space="preserve"> PAGEREF _Toc181084808 \h </w:instrText>
            </w:r>
            <w:r>
              <w:rPr>
                <w:webHidden/>
              </w:rPr>
            </w:r>
            <w:r>
              <w:rPr>
                <w:webHidden/>
              </w:rPr>
              <w:fldChar w:fldCharType="separate"/>
            </w:r>
            <w:r>
              <w:rPr>
                <w:webHidden/>
              </w:rPr>
              <w:t>41</w:t>
            </w:r>
            <w:r>
              <w:rPr>
                <w:webHidden/>
              </w:rPr>
              <w:fldChar w:fldCharType="end"/>
            </w:r>
          </w:hyperlink>
        </w:p>
        <w:p w14:paraId="052678F3" w14:textId="3C6853FF" w:rsidR="00A00D64" w:rsidRDefault="00A00D64">
          <w:pPr>
            <w:pStyle w:val="TOC2"/>
            <w:rPr>
              <w:rFonts w:asciiTheme="minorHAnsi" w:eastAsiaTheme="minorEastAsia" w:hAnsiTheme="minorHAnsi" w:cstheme="minorBidi"/>
              <w:b w:val="0"/>
              <w:kern w:val="2"/>
              <w:sz w:val="24"/>
              <w14:ligatures w14:val="standardContextual"/>
            </w:rPr>
          </w:pPr>
          <w:hyperlink w:anchor="_Toc181084809" w:history="1">
            <w:r w:rsidRPr="00016437">
              <w:rPr>
                <w:rStyle w:val="Hyperlink"/>
              </w:rPr>
              <w:t>Understanding of neurodiversity, foetal alcohol spectrum disorder and head injury</w:t>
            </w:r>
            <w:r>
              <w:rPr>
                <w:webHidden/>
              </w:rPr>
              <w:tab/>
            </w:r>
            <w:r>
              <w:rPr>
                <w:webHidden/>
              </w:rPr>
              <w:fldChar w:fldCharType="begin"/>
            </w:r>
            <w:r>
              <w:rPr>
                <w:webHidden/>
              </w:rPr>
              <w:instrText xml:space="preserve"> PAGEREF _Toc181084809 \h </w:instrText>
            </w:r>
            <w:r>
              <w:rPr>
                <w:webHidden/>
              </w:rPr>
            </w:r>
            <w:r>
              <w:rPr>
                <w:webHidden/>
              </w:rPr>
              <w:fldChar w:fldCharType="separate"/>
            </w:r>
            <w:r>
              <w:rPr>
                <w:webHidden/>
              </w:rPr>
              <w:t>41</w:t>
            </w:r>
            <w:r>
              <w:rPr>
                <w:webHidden/>
              </w:rPr>
              <w:fldChar w:fldCharType="end"/>
            </w:r>
          </w:hyperlink>
        </w:p>
        <w:p w14:paraId="2FFAB860" w14:textId="36ABC16E" w:rsidR="00A00D64" w:rsidRDefault="00A00D64">
          <w:pPr>
            <w:pStyle w:val="TOC2"/>
            <w:rPr>
              <w:rFonts w:asciiTheme="minorHAnsi" w:eastAsiaTheme="minorEastAsia" w:hAnsiTheme="minorHAnsi" w:cstheme="minorBidi"/>
              <w:b w:val="0"/>
              <w:kern w:val="2"/>
              <w:sz w:val="24"/>
              <w14:ligatures w14:val="standardContextual"/>
            </w:rPr>
          </w:pPr>
          <w:hyperlink w:anchor="_Toc181084810" w:history="1">
            <w:r w:rsidRPr="00016437">
              <w:rPr>
                <w:rStyle w:val="Hyperlink"/>
              </w:rPr>
              <w:t>Te whakahāwea wāhine, kōtiro hoki</w:t>
            </w:r>
            <w:r>
              <w:rPr>
                <w:webHidden/>
              </w:rPr>
              <w:tab/>
            </w:r>
            <w:r>
              <w:rPr>
                <w:webHidden/>
              </w:rPr>
              <w:fldChar w:fldCharType="begin"/>
            </w:r>
            <w:r>
              <w:rPr>
                <w:webHidden/>
              </w:rPr>
              <w:instrText xml:space="preserve"> PAGEREF _Toc181084810 \h </w:instrText>
            </w:r>
            <w:r>
              <w:rPr>
                <w:webHidden/>
              </w:rPr>
            </w:r>
            <w:r>
              <w:rPr>
                <w:webHidden/>
              </w:rPr>
              <w:fldChar w:fldCharType="separate"/>
            </w:r>
            <w:r>
              <w:rPr>
                <w:webHidden/>
              </w:rPr>
              <w:t>42</w:t>
            </w:r>
            <w:r>
              <w:rPr>
                <w:webHidden/>
              </w:rPr>
              <w:fldChar w:fldCharType="end"/>
            </w:r>
          </w:hyperlink>
        </w:p>
        <w:p w14:paraId="40801A42" w14:textId="7C99A28B" w:rsidR="00A00D64" w:rsidRDefault="00A00D64">
          <w:pPr>
            <w:pStyle w:val="TOC2"/>
            <w:rPr>
              <w:rFonts w:asciiTheme="minorHAnsi" w:eastAsiaTheme="minorEastAsia" w:hAnsiTheme="minorHAnsi" w:cstheme="minorBidi"/>
              <w:b w:val="0"/>
              <w:kern w:val="2"/>
              <w:sz w:val="24"/>
              <w14:ligatures w14:val="standardContextual"/>
            </w:rPr>
          </w:pPr>
          <w:hyperlink w:anchor="_Toc181084811" w:history="1">
            <w:r w:rsidRPr="00016437">
              <w:rPr>
                <w:rStyle w:val="Hyperlink"/>
              </w:rPr>
              <w:t>Discrimination against women and girls</w:t>
            </w:r>
            <w:r>
              <w:rPr>
                <w:webHidden/>
              </w:rPr>
              <w:tab/>
            </w:r>
            <w:r>
              <w:rPr>
                <w:webHidden/>
              </w:rPr>
              <w:fldChar w:fldCharType="begin"/>
            </w:r>
            <w:r>
              <w:rPr>
                <w:webHidden/>
              </w:rPr>
              <w:instrText xml:space="preserve"> PAGEREF _Toc181084811 \h </w:instrText>
            </w:r>
            <w:r>
              <w:rPr>
                <w:webHidden/>
              </w:rPr>
            </w:r>
            <w:r>
              <w:rPr>
                <w:webHidden/>
              </w:rPr>
              <w:fldChar w:fldCharType="separate"/>
            </w:r>
            <w:r>
              <w:rPr>
                <w:webHidden/>
              </w:rPr>
              <w:t>42</w:t>
            </w:r>
            <w:r>
              <w:rPr>
                <w:webHidden/>
              </w:rPr>
              <w:fldChar w:fldCharType="end"/>
            </w:r>
          </w:hyperlink>
        </w:p>
        <w:p w14:paraId="0D7C3896" w14:textId="64CBA896" w:rsidR="00A00D64" w:rsidRDefault="00A00D64">
          <w:pPr>
            <w:pStyle w:val="TOC2"/>
            <w:rPr>
              <w:rFonts w:asciiTheme="minorHAnsi" w:eastAsiaTheme="minorEastAsia" w:hAnsiTheme="minorHAnsi" w:cstheme="minorBidi"/>
              <w:b w:val="0"/>
              <w:kern w:val="2"/>
              <w:sz w:val="24"/>
              <w14:ligatures w14:val="standardContextual"/>
            </w:rPr>
          </w:pPr>
          <w:hyperlink w:anchor="_Toc181084812" w:history="1">
            <w:r w:rsidRPr="00016437">
              <w:rPr>
                <w:rStyle w:val="Hyperlink"/>
              </w:rPr>
              <w:t>Te whakahāwea i runga i te aronga hemahematanga me te tuakiri ia</w:t>
            </w:r>
            <w:r>
              <w:rPr>
                <w:webHidden/>
              </w:rPr>
              <w:tab/>
            </w:r>
            <w:r>
              <w:rPr>
                <w:webHidden/>
              </w:rPr>
              <w:fldChar w:fldCharType="begin"/>
            </w:r>
            <w:r>
              <w:rPr>
                <w:webHidden/>
              </w:rPr>
              <w:instrText xml:space="preserve"> PAGEREF _Toc181084812 \h </w:instrText>
            </w:r>
            <w:r>
              <w:rPr>
                <w:webHidden/>
              </w:rPr>
            </w:r>
            <w:r>
              <w:rPr>
                <w:webHidden/>
              </w:rPr>
              <w:fldChar w:fldCharType="separate"/>
            </w:r>
            <w:r>
              <w:rPr>
                <w:webHidden/>
              </w:rPr>
              <w:t>43</w:t>
            </w:r>
            <w:r>
              <w:rPr>
                <w:webHidden/>
              </w:rPr>
              <w:fldChar w:fldCharType="end"/>
            </w:r>
          </w:hyperlink>
        </w:p>
        <w:p w14:paraId="71938777" w14:textId="2DEE9BB6" w:rsidR="00A00D64" w:rsidRDefault="00A00D64">
          <w:pPr>
            <w:pStyle w:val="TOC2"/>
            <w:rPr>
              <w:rFonts w:asciiTheme="minorHAnsi" w:eastAsiaTheme="minorEastAsia" w:hAnsiTheme="minorHAnsi" w:cstheme="minorBidi"/>
              <w:b w:val="0"/>
              <w:kern w:val="2"/>
              <w:sz w:val="24"/>
              <w14:ligatures w14:val="standardContextual"/>
            </w:rPr>
          </w:pPr>
          <w:hyperlink w:anchor="_Toc181084813" w:history="1">
            <w:r w:rsidRPr="00016437">
              <w:rPr>
                <w:rStyle w:val="Hyperlink"/>
              </w:rPr>
              <w:t>Discrimination on the basis of sexual orientation and gender identity</w:t>
            </w:r>
            <w:r>
              <w:rPr>
                <w:webHidden/>
              </w:rPr>
              <w:tab/>
            </w:r>
            <w:r>
              <w:rPr>
                <w:webHidden/>
              </w:rPr>
              <w:fldChar w:fldCharType="begin"/>
            </w:r>
            <w:r>
              <w:rPr>
                <w:webHidden/>
              </w:rPr>
              <w:instrText xml:space="preserve"> PAGEREF _Toc181084813 \h </w:instrText>
            </w:r>
            <w:r>
              <w:rPr>
                <w:webHidden/>
              </w:rPr>
            </w:r>
            <w:r>
              <w:rPr>
                <w:webHidden/>
              </w:rPr>
              <w:fldChar w:fldCharType="separate"/>
            </w:r>
            <w:r>
              <w:rPr>
                <w:webHidden/>
              </w:rPr>
              <w:t>43</w:t>
            </w:r>
            <w:r>
              <w:rPr>
                <w:webHidden/>
              </w:rPr>
              <w:fldChar w:fldCharType="end"/>
            </w:r>
          </w:hyperlink>
        </w:p>
        <w:p w14:paraId="43C0CA2E" w14:textId="4D4BB2A8" w:rsidR="00A00D64" w:rsidRDefault="00A00D64">
          <w:pPr>
            <w:pStyle w:val="TOC2"/>
            <w:rPr>
              <w:rFonts w:asciiTheme="minorHAnsi" w:eastAsiaTheme="minorEastAsia" w:hAnsiTheme="minorHAnsi" w:cstheme="minorBidi"/>
              <w:b w:val="0"/>
              <w:kern w:val="2"/>
              <w:sz w:val="24"/>
              <w14:ligatures w14:val="standardContextual"/>
            </w:rPr>
          </w:pPr>
          <w:hyperlink w:anchor="_Toc181084814" w:history="1">
            <w:r w:rsidRPr="00016437">
              <w:rPr>
                <w:rStyle w:val="Hyperlink"/>
              </w:rPr>
              <w:t>Ngā waiaro ki ngā tamariki me ngā rangatahi</w:t>
            </w:r>
            <w:r>
              <w:rPr>
                <w:webHidden/>
              </w:rPr>
              <w:tab/>
            </w:r>
            <w:r>
              <w:rPr>
                <w:webHidden/>
              </w:rPr>
              <w:fldChar w:fldCharType="begin"/>
            </w:r>
            <w:r>
              <w:rPr>
                <w:webHidden/>
              </w:rPr>
              <w:instrText xml:space="preserve"> PAGEREF _Toc181084814 \h </w:instrText>
            </w:r>
            <w:r>
              <w:rPr>
                <w:webHidden/>
              </w:rPr>
            </w:r>
            <w:r>
              <w:rPr>
                <w:webHidden/>
              </w:rPr>
              <w:fldChar w:fldCharType="separate"/>
            </w:r>
            <w:r>
              <w:rPr>
                <w:webHidden/>
              </w:rPr>
              <w:t>43</w:t>
            </w:r>
            <w:r>
              <w:rPr>
                <w:webHidden/>
              </w:rPr>
              <w:fldChar w:fldCharType="end"/>
            </w:r>
          </w:hyperlink>
        </w:p>
        <w:p w14:paraId="56191A8E" w14:textId="00FA7A2E" w:rsidR="00A00D64" w:rsidRDefault="00A00D64">
          <w:pPr>
            <w:pStyle w:val="TOC2"/>
            <w:rPr>
              <w:rFonts w:asciiTheme="minorHAnsi" w:eastAsiaTheme="minorEastAsia" w:hAnsiTheme="minorHAnsi" w:cstheme="minorBidi"/>
              <w:b w:val="0"/>
              <w:kern w:val="2"/>
              <w:sz w:val="24"/>
              <w14:ligatures w14:val="standardContextual"/>
            </w:rPr>
          </w:pPr>
          <w:hyperlink w:anchor="_Toc181084815" w:history="1">
            <w:r w:rsidRPr="00016437">
              <w:rPr>
                <w:rStyle w:val="Hyperlink"/>
              </w:rPr>
              <w:t>Attitudes towards children and young people</w:t>
            </w:r>
            <w:r>
              <w:rPr>
                <w:webHidden/>
              </w:rPr>
              <w:tab/>
            </w:r>
            <w:r>
              <w:rPr>
                <w:webHidden/>
              </w:rPr>
              <w:fldChar w:fldCharType="begin"/>
            </w:r>
            <w:r>
              <w:rPr>
                <w:webHidden/>
              </w:rPr>
              <w:instrText xml:space="preserve"> PAGEREF _Toc181084815 \h </w:instrText>
            </w:r>
            <w:r>
              <w:rPr>
                <w:webHidden/>
              </w:rPr>
            </w:r>
            <w:r>
              <w:rPr>
                <w:webHidden/>
              </w:rPr>
              <w:fldChar w:fldCharType="separate"/>
            </w:r>
            <w:r>
              <w:rPr>
                <w:webHidden/>
              </w:rPr>
              <w:t>43</w:t>
            </w:r>
            <w:r>
              <w:rPr>
                <w:webHidden/>
              </w:rPr>
              <w:fldChar w:fldCharType="end"/>
            </w:r>
          </w:hyperlink>
        </w:p>
        <w:p w14:paraId="1C1C9D3E" w14:textId="47E23BDF" w:rsidR="00A00D64" w:rsidRDefault="00A00D64">
          <w:pPr>
            <w:pStyle w:val="TOC2"/>
            <w:rPr>
              <w:rFonts w:asciiTheme="minorHAnsi" w:eastAsiaTheme="minorEastAsia" w:hAnsiTheme="minorHAnsi" w:cstheme="minorBidi"/>
              <w:b w:val="0"/>
              <w:kern w:val="2"/>
              <w:sz w:val="24"/>
              <w14:ligatures w14:val="standardContextual"/>
            </w:rPr>
          </w:pPr>
          <w:hyperlink w:anchor="_Toc181084816" w:history="1">
            <w:r w:rsidRPr="00016437">
              <w:rPr>
                <w:rStyle w:val="Hyperlink"/>
              </w:rPr>
              <w:t>Ngā waiaro ki ngā tāngata e noho pōhara ana</w:t>
            </w:r>
            <w:r>
              <w:rPr>
                <w:webHidden/>
              </w:rPr>
              <w:tab/>
            </w:r>
            <w:r>
              <w:rPr>
                <w:webHidden/>
              </w:rPr>
              <w:fldChar w:fldCharType="begin"/>
            </w:r>
            <w:r>
              <w:rPr>
                <w:webHidden/>
              </w:rPr>
              <w:instrText xml:space="preserve"> PAGEREF _Toc181084816 \h </w:instrText>
            </w:r>
            <w:r>
              <w:rPr>
                <w:webHidden/>
              </w:rPr>
            </w:r>
            <w:r>
              <w:rPr>
                <w:webHidden/>
              </w:rPr>
              <w:fldChar w:fldCharType="separate"/>
            </w:r>
            <w:r>
              <w:rPr>
                <w:webHidden/>
              </w:rPr>
              <w:t>44</w:t>
            </w:r>
            <w:r>
              <w:rPr>
                <w:webHidden/>
              </w:rPr>
              <w:fldChar w:fldCharType="end"/>
            </w:r>
          </w:hyperlink>
        </w:p>
        <w:p w14:paraId="10C91D55" w14:textId="1F9570BD" w:rsidR="00A00D64" w:rsidRDefault="00A00D64">
          <w:pPr>
            <w:pStyle w:val="TOC2"/>
            <w:rPr>
              <w:rFonts w:asciiTheme="minorHAnsi" w:eastAsiaTheme="minorEastAsia" w:hAnsiTheme="minorHAnsi" w:cstheme="minorBidi"/>
              <w:b w:val="0"/>
              <w:kern w:val="2"/>
              <w:sz w:val="24"/>
              <w14:ligatures w14:val="standardContextual"/>
            </w:rPr>
          </w:pPr>
          <w:hyperlink w:anchor="_Toc181084817" w:history="1">
            <w:r w:rsidRPr="00016437">
              <w:rPr>
                <w:rStyle w:val="Hyperlink"/>
              </w:rPr>
              <w:t>Attitudes towards people living in poverty</w:t>
            </w:r>
            <w:r>
              <w:rPr>
                <w:webHidden/>
              </w:rPr>
              <w:tab/>
            </w:r>
            <w:r>
              <w:rPr>
                <w:webHidden/>
              </w:rPr>
              <w:fldChar w:fldCharType="begin"/>
            </w:r>
            <w:r>
              <w:rPr>
                <w:webHidden/>
              </w:rPr>
              <w:instrText xml:space="preserve"> PAGEREF _Toc181084817 \h </w:instrText>
            </w:r>
            <w:r>
              <w:rPr>
                <w:webHidden/>
              </w:rPr>
            </w:r>
            <w:r>
              <w:rPr>
                <w:webHidden/>
              </w:rPr>
              <w:fldChar w:fldCharType="separate"/>
            </w:r>
            <w:r>
              <w:rPr>
                <w:webHidden/>
              </w:rPr>
              <w:t>44</w:t>
            </w:r>
            <w:r>
              <w:rPr>
                <w:webHidden/>
              </w:rPr>
              <w:fldChar w:fldCharType="end"/>
            </w:r>
          </w:hyperlink>
        </w:p>
        <w:p w14:paraId="0E76F623" w14:textId="29A36679" w:rsidR="00A00D64" w:rsidRDefault="00A00D64">
          <w:pPr>
            <w:pStyle w:val="TOC2"/>
            <w:rPr>
              <w:rFonts w:asciiTheme="minorHAnsi" w:eastAsiaTheme="minorEastAsia" w:hAnsiTheme="minorHAnsi" w:cstheme="minorBidi"/>
              <w:b w:val="0"/>
              <w:kern w:val="2"/>
              <w:sz w:val="24"/>
              <w14:ligatures w14:val="standardContextual"/>
            </w:rPr>
          </w:pPr>
          <w:hyperlink w:anchor="_Toc181084818" w:history="1">
            <w:r w:rsidRPr="00016437">
              <w:rPr>
                <w:rStyle w:val="Hyperlink"/>
              </w:rPr>
              <w:t>Te wāhi o te ao pāpāho ki te whakaū i ngā waiaro ā-pāpori</w:t>
            </w:r>
            <w:r>
              <w:rPr>
                <w:webHidden/>
              </w:rPr>
              <w:tab/>
            </w:r>
            <w:r>
              <w:rPr>
                <w:webHidden/>
              </w:rPr>
              <w:fldChar w:fldCharType="begin"/>
            </w:r>
            <w:r>
              <w:rPr>
                <w:webHidden/>
              </w:rPr>
              <w:instrText xml:space="preserve"> PAGEREF _Toc181084818 \h </w:instrText>
            </w:r>
            <w:r>
              <w:rPr>
                <w:webHidden/>
              </w:rPr>
            </w:r>
            <w:r>
              <w:rPr>
                <w:webHidden/>
              </w:rPr>
              <w:fldChar w:fldCharType="separate"/>
            </w:r>
            <w:r>
              <w:rPr>
                <w:webHidden/>
              </w:rPr>
              <w:t>45</w:t>
            </w:r>
            <w:r>
              <w:rPr>
                <w:webHidden/>
              </w:rPr>
              <w:fldChar w:fldCharType="end"/>
            </w:r>
          </w:hyperlink>
        </w:p>
        <w:p w14:paraId="04CD4F4C" w14:textId="668632AF" w:rsidR="00A00D64" w:rsidRDefault="00A00D64">
          <w:pPr>
            <w:pStyle w:val="TOC2"/>
            <w:rPr>
              <w:rFonts w:asciiTheme="minorHAnsi" w:eastAsiaTheme="minorEastAsia" w:hAnsiTheme="minorHAnsi" w:cstheme="minorBidi"/>
              <w:b w:val="0"/>
              <w:kern w:val="2"/>
              <w:sz w:val="24"/>
              <w14:ligatures w14:val="standardContextual"/>
            </w:rPr>
          </w:pPr>
          <w:hyperlink w:anchor="_Toc181084819" w:history="1">
            <w:r w:rsidRPr="00016437">
              <w:rPr>
                <w:rStyle w:val="Hyperlink"/>
              </w:rPr>
              <w:t>Media’s role in enforcing societal attitudes</w:t>
            </w:r>
            <w:r>
              <w:rPr>
                <w:webHidden/>
              </w:rPr>
              <w:tab/>
            </w:r>
            <w:r>
              <w:rPr>
                <w:webHidden/>
              </w:rPr>
              <w:fldChar w:fldCharType="begin"/>
            </w:r>
            <w:r>
              <w:rPr>
                <w:webHidden/>
              </w:rPr>
              <w:instrText xml:space="preserve"> PAGEREF _Toc181084819 \h </w:instrText>
            </w:r>
            <w:r>
              <w:rPr>
                <w:webHidden/>
              </w:rPr>
            </w:r>
            <w:r>
              <w:rPr>
                <w:webHidden/>
              </w:rPr>
              <w:fldChar w:fldCharType="separate"/>
            </w:r>
            <w:r>
              <w:rPr>
                <w:webHidden/>
              </w:rPr>
              <w:t>45</w:t>
            </w:r>
            <w:r>
              <w:rPr>
                <w:webHidden/>
              </w:rPr>
              <w:fldChar w:fldCharType="end"/>
            </w:r>
          </w:hyperlink>
        </w:p>
        <w:p w14:paraId="5367BB06" w14:textId="17D6561F" w:rsidR="00A00D64" w:rsidRDefault="00A00D64">
          <w:pPr>
            <w:pStyle w:val="TOC3"/>
            <w:rPr>
              <w:rFonts w:asciiTheme="minorHAnsi" w:eastAsiaTheme="minorEastAsia" w:hAnsiTheme="minorHAnsi" w:cstheme="minorBidi"/>
              <w:kern w:val="2"/>
              <w:sz w:val="24"/>
              <w14:ligatures w14:val="standardContextual"/>
            </w:rPr>
          </w:pPr>
          <w:hyperlink w:anchor="_Toc181084820" w:history="1">
            <w:r w:rsidRPr="00016437">
              <w:rPr>
                <w:rStyle w:val="Hyperlink"/>
                <w:rFonts w:cs="Arial"/>
              </w:rPr>
              <w:t>Ngā arotoka whakakino mō te Māori i whakaū</w:t>
            </w:r>
            <w:r>
              <w:rPr>
                <w:webHidden/>
              </w:rPr>
              <w:tab/>
            </w:r>
            <w:r>
              <w:rPr>
                <w:webHidden/>
              </w:rPr>
              <w:fldChar w:fldCharType="begin"/>
            </w:r>
            <w:r>
              <w:rPr>
                <w:webHidden/>
              </w:rPr>
              <w:instrText xml:space="preserve"> PAGEREF _Toc181084820 \h </w:instrText>
            </w:r>
            <w:r>
              <w:rPr>
                <w:webHidden/>
              </w:rPr>
            </w:r>
            <w:r>
              <w:rPr>
                <w:webHidden/>
              </w:rPr>
              <w:fldChar w:fldCharType="separate"/>
            </w:r>
            <w:r>
              <w:rPr>
                <w:webHidden/>
              </w:rPr>
              <w:t>45</w:t>
            </w:r>
            <w:r>
              <w:rPr>
                <w:webHidden/>
              </w:rPr>
              <w:fldChar w:fldCharType="end"/>
            </w:r>
          </w:hyperlink>
        </w:p>
        <w:p w14:paraId="4D7EB9A8" w14:textId="0786BE3A" w:rsidR="00A00D64" w:rsidRDefault="00A00D64">
          <w:pPr>
            <w:pStyle w:val="TOC3"/>
            <w:rPr>
              <w:rFonts w:asciiTheme="minorHAnsi" w:eastAsiaTheme="minorEastAsia" w:hAnsiTheme="minorHAnsi" w:cstheme="minorBidi"/>
              <w:kern w:val="2"/>
              <w:sz w:val="24"/>
              <w14:ligatures w14:val="standardContextual"/>
            </w:rPr>
          </w:pPr>
          <w:hyperlink w:anchor="_Toc181084821" w:history="1">
            <w:r w:rsidRPr="00016437">
              <w:rPr>
                <w:rStyle w:val="Hyperlink"/>
                <w:rFonts w:cs="Arial"/>
              </w:rPr>
              <w:t>Negative stereotypes of Māori were reinforced</w:t>
            </w:r>
            <w:r>
              <w:rPr>
                <w:webHidden/>
              </w:rPr>
              <w:tab/>
            </w:r>
            <w:r>
              <w:rPr>
                <w:webHidden/>
              </w:rPr>
              <w:fldChar w:fldCharType="begin"/>
            </w:r>
            <w:r>
              <w:rPr>
                <w:webHidden/>
              </w:rPr>
              <w:instrText xml:space="preserve"> PAGEREF _Toc181084821 \h </w:instrText>
            </w:r>
            <w:r>
              <w:rPr>
                <w:webHidden/>
              </w:rPr>
            </w:r>
            <w:r>
              <w:rPr>
                <w:webHidden/>
              </w:rPr>
              <w:fldChar w:fldCharType="separate"/>
            </w:r>
            <w:r>
              <w:rPr>
                <w:webHidden/>
              </w:rPr>
              <w:t>45</w:t>
            </w:r>
            <w:r>
              <w:rPr>
                <w:webHidden/>
              </w:rPr>
              <w:fldChar w:fldCharType="end"/>
            </w:r>
          </w:hyperlink>
        </w:p>
        <w:p w14:paraId="11A55221" w14:textId="15A1F985" w:rsidR="00A00D64" w:rsidRDefault="00A00D64">
          <w:pPr>
            <w:pStyle w:val="TOC3"/>
            <w:rPr>
              <w:rFonts w:asciiTheme="minorHAnsi" w:eastAsiaTheme="minorEastAsia" w:hAnsiTheme="minorHAnsi" w:cstheme="minorBidi"/>
              <w:kern w:val="2"/>
              <w:sz w:val="24"/>
              <w14:ligatures w14:val="standardContextual"/>
            </w:rPr>
          </w:pPr>
          <w:hyperlink w:anchor="_Toc181084822" w:history="1">
            <w:r w:rsidRPr="00016437">
              <w:rPr>
                <w:rStyle w:val="Hyperlink"/>
                <w:rFonts w:cs="Arial"/>
              </w:rPr>
              <w:t>I kaha ake te whakatoihara i te hunga penihana</w:t>
            </w:r>
            <w:r>
              <w:rPr>
                <w:webHidden/>
              </w:rPr>
              <w:tab/>
            </w:r>
            <w:r>
              <w:rPr>
                <w:webHidden/>
              </w:rPr>
              <w:fldChar w:fldCharType="begin"/>
            </w:r>
            <w:r>
              <w:rPr>
                <w:webHidden/>
              </w:rPr>
              <w:instrText xml:space="preserve"> PAGEREF _Toc181084822 \h </w:instrText>
            </w:r>
            <w:r>
              <w:rPr>
                <w:webHidden/>
              </w:rPr>
            </w:r>
            <w:r>
              <w:rPr>
                <w:webHidden/>
              </w:rPr>
              <w:fldChar w:fldCharType="separate"/>
            </w:r>
            <w:r>
              <w:rPr>
                <w:webHidden/>
              </w:rPr>
              <w:t>46</w:t>
            </w:r>
            <w:r>
              <w:rPr>
                <w:webHidden/>
              </w:rPr>
              <w:fldChar w:fldCharType="end"/>
            </w:r>
          </w:hyperlink>
        </w:p>
        <w:p w14:paraId="0E4C6547" w14:textId="71AD3FCF" w:rsidR="00A00D64" w:rsidRDefault="00A00D64">
          <w:pPr>
            <w:pStyle w:val="TOC3"/>
            <w:rPr>
              <w:rFonts w:asciiTheme="minorHAnsi" w:eastAsiaTheme="minorEastAsia" w:hAnsiTheme="minorHAnsi" w:cstheme="minorBidi"/>
              <w:kern w:val="2"/>
              <w:sz w:val="24"/>
              <w14:ligatures w14:val="standardContextual"/>
            </w:rPr>
          </w:pPr>
          <w:hyperlink w:anchor="_Toc181084823" w:history="1">
            <w:r w:rsidRPr="00016437">
              <w:rPr>
                <w:rStyle w:val="Hyperlink"/>
                <w:rFonts w:cs="Arial"/>
              </w:rPr>
              <w:t>Prejudice against people on benefits was heightened</w:t>
            </w:r>
            <w:r>
              <w:rPr>
                <w:webHidden/>
              </w:rPr>
              <w:tab/>
            </w:r>
            <w:r>
              <w:rPr>
                <w:webHidden/>
              </w:rPr>
              <w:fldChar w:fldCharType="begin"/>
            </w:r>
            <w:r>
              <w:rPr>
                <w:webHidden/>
              </w:rPr>
              <w:instrText xml:space="preserve"> PAGEREF _Toc181084823 \h </w:instrText>
            </w:r>
            <w:r>
              <w:rPr>
                <w:webHidden/>
              </w:rPr>
            </w:r>
            <w:r>
              <w:rPr>
                <w:webHidden/>
              </w:rPr>
              <w:fldChar w:fldCharType="separate"/>
            </w:r>
            <w:r>
              <w:rPr>
                <w:webHidden/>
              </w:rPr>
              <w:t>46</w:t>
            </w:r>
            <w:r>
              <w:rPr>
                <w:webHidden/>
              </w:rPr>
              <w:fldChar w:fldCharType="end"/>
            </w:r>
          </w:hyperlink>
        </w:p>
        <w:p w14:paraId="23D60B7E" w14:textId="5CF59094" w:rsidR="00A00D64" w:rsidRDefault="00A00D64">
          <w:pPr>
            <w:pStyle w:val="TOC3"/>
            <w:rPr>
              <w:rFonts w:asciiTheme="minorHAnsi" w:eastAsiaTheme="minorEastAsia" w:hAnsiTheme="minorHAnsi" w:cstheme="minorBidi"/>
              <w:kern w:val="2"/>
              <w:sz w:val="24"/>
              <w14:ligatures w14:val="standardContextual"/>
            </w:rPr>
          </w:pPr>
          <w:hyperlink w:anchor="_Toc181084824" w:history="1">
            <w:r w:rsidRPr="00016437">
              <w:rPr>
                <w:rStyle w:val="Hyperlink"/>
                <w:rFonts w:cs="Arial"/>
              </w:rPr>
              <w:t>Te whakahāwea i ngā tāngata e rongo ana i te wairangitanga</w:t>
            </w:r>
            <w:r>
              <w:rPr>
                <w:webHidden/>
              </w:rPr>
              <w:tab/>
            </w:r>
            <w:r>
              <w:rPr>
                <w:webHidden/>
              </w:rPr>
              <w:fldChar w:fldCharType="begin"/>
            </w:r>
            <w:r>
              <w:rPr>
                <w:webHidden/>
              </w:rPr>
              <w:instrText xml:space="preserve"> PAGEREF _Toc181084824 \h </w:instrText>
            </w:r>
            <w:r>
              <w:rPr>
                <w:webHidden/>
              </w:rPr>
            </w:r>
            <w:r>
              <w:rPr>
                <w:webHidden/>
              </w:rPr>
              <w:fldChar w:fldCharType="separate"/>
            </w:r>
            <w:r>
              <w:rPr>
                <w:webHidden/>
              </w:rPr>
              <w:t>46</w:t>
            </w:r>
            <w:r>
              <w:rPr>
                <w:webHidden/>
              </w:rPr>
              <w:fldChar w:fldCharType="end"/>
            </w:r>
          </w:hyperlink>
        </w:p>
        <w:p w14:paraId="6583AB2D" w14:textId="6FA8D01E" w:rsidR="00A00D64" w:rsidRDefault="00A00D64">
          <w:pPr>
            <w:pStyle w:val="TOC3"/>
            <w:rPr>
              <w:rFonts w:asciiTheme="minorHAnsi" w:eastAsiaTheme="minorEastAsia" w:hAnsiTheme="minorHAnsi" w:cstheme="minorBidi"/>
              <w:kern w:val="2"/>
              <w:sz w:val="24"/>
              <w14:ligatures w14:val="standardContextual"/>
            </w:rPr>
          </w:pPr>
          <w:hyperlink w:anchor="_Toc181084825" w:history="1">
            <w:r w:rsidRPr="00016437">
              <w:rPr>
                <w:rStyle w:val="Hyperlink"/>
                <w:rFonts w:cs="Arial"/>
              </w:rPr>
              <w:t>Discrimination against people experiencing mental distress</w:t>
            </w:r>
            <w:r>
              <w:rPr>
                <w:webHidden/>
              </w:rPr>
              <w:tab/>
            </w:r>
            <w:r>
              <w:rPr>
                <w:webHidden/>
              </w:rPr>
              <w:fldChar w:fldCharType="begin"/>
            </w:r>
            <w:r>
              <w:rPr>
                <w:webHidden/>
              </w:rPr>
              <w:instrText xml:space="preserve"> PAGEREF _Toc181084825 \h </w:instrText>
            </w:r>
            <w:r>
              <w:rPr>
                <w:webHidden/>
              </w:rPr>
            </w:r>
            <w:r>
              <w:rPr>
                <w:webHidden/>
              </w:rPr>
              <w:fldChar w:fldCharType="separate"/>
            </w:r>
            <w:r>
              <w:rPr>
                <w:webHidden/>
              </w:rPr>
              <w:t>46</w:t>
            </w:r>
            <w:r>
              <w:rPr>
                <w:webHidden/>
              </w:rPr>
              <w:fldChar w:fldCharType="end"/>
            </w:r>
          </w:hyperlink>
        </w:p>
        <w:p w14:paraId="074AC55A" w14:textId="498756A0"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26" w:history="1">
            <w:r w:rsidRPr="00016437">
              <w:rPr>
                <w:rStyle w:val="Hyperlink"/>
                <w:noProof/>
                <w:lang w:val="pt-BR"/>
              </w:rPr>
              <w:t>Ngā wheako o te purapura ora</w:t>
            </w:r>
            <w:r>
              <w:rPr>
                <w:noProof/>
                <w:webHidden/>
              </w:rPr>
              <w:tab/>
            </w:r>
            <w:r>
              <w:rPr>
                <w:noProof/>
                <w:webHidden/>
              </w:rPr>
              <w:fldChar w:fldCharType="begin"/>
            </w:r>
            <w:r>
              <w:rPr>
                <w:noProof/>
                <w:webHidden/>
              </w:rPr>
              <w:instrText xml:space="preserve"> PAGEREF _Toc181084826 \h </w:instrText>
            </w:r>
            <w:r>
              <w:rPr>
                <w:noProof/>
                <w:webHidden/>
              </w:rPr>
            </w:r>
            <w:r>
              <w:rPr>
                <w:noProof/>
                <w:webHidden/>
              </w:rPr>
              <w:fldChar w:fldCharType="separate"/>
            </w:r>
            <w:r>
              <w:rPr>
                <w:noProof/>
                <w:webHidden/>
              </w:rPr>
              <w:t>48</w:t>
            </w:r>
            <w:r>
              <w:rPr>
                <w:noProof/>
                <w:webHidden/>
              </w:rPr>
              <w:fldChar w:fldCharType="end"/>
            </w:r>
          </w:hyperlink>
        </w:p>
        <w:p w14:paraId="5A81C5AA" w14:textId="1FBFED23"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27" w:history="1">
            <w:r w:rsidRPr="00016437">
              <w:rPr>
                <w:rStyle w:val="Hyperlink"/>
                <w:noProof/>
                <w:lang w:val="pt-BR"/>
              </w:rPr>
              <w:t>Survivor experience: Debbie Morris-Jenkins</w:t>
            </w:r>
            <w:r>
              <w:rPr>
                <w:noProof/>
                <w:webHidden/>
              </w:rPr>
              <w:tab/>
            </w:r>
            <w:r>
              <w:rPr>
                <w:noProof/>
                <w:webHidden/>
              </w:rPr>
              <w:fldChar w:fldCharType="begin"/>
            </w:r>
            <w:r>
              <w:rPr>
                <w:noProof/>
                <w:webHidden/>
              </w:rPr>
              <w:instrText xml:space="preserve"> PAGEREF _Toc181084827 \h </w:instrText>
            </w:r>
            <w:r>
              <w:rPr>
                <w:noProof/>
                <w:webHidden/>
              </w:rPr>
            </w:r>
            <w:r>
              <w:rPr>
                <w:noProof/>
                <w:webHidden/>
              </w:rPr>
              <w:fldChar w:fldCharType="separate"/>
            </w:r>
            <w:r>
              <w:rPr>
                <w:noProof/>
                <w:webHidden/>
              </w:rPr>
              <w:t>48</w:t>
            </w:r>
            <w:r>
              <w:rPr>
                <w:noProof/>
                <w:webHidden/>
              </w:rPr>
              <w:fldChar w:fldCharType="end"/>
            </w:r>
          </w:hyperlink>
        </w:p>
        <w:p w14:paraId="3F88FEE6" w14:textId="2F29F546"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28" w:history="1">
            <w:r w:rsidRPr="00016437">
              <w:rPr>
                <w:rStyle w:val="Hyperlink"/>
                <w:noProof/>
              </w:rPr>
              <w:t>Ngā wheako o te purapura ora</w:t>
            </w:r>
            <w:r>
              <w:rPr>
                <w:noProof/>
                <w:webHidden/>
              </w:rPr>
              <w:tab/>
            </w:r>
            <w:r>
              <w:rPr>
                <w:noProof/>
                <w:webHidden/>
              </w:rPr>
              <w:fldChar w:fldCharType="begin"/>
            </w:r>
            <w:r>
              <w:rPr>
                <w:noProof/>
                <w:webHidden/>
              </w:rPr>
              <w:instrText xml:space="preserve"> PAGEREF _Toc181084828 \h </w:instrText>
            </w:r>
            <w:r>
              <w:rPr>
                <w:noProof/>
                <w:webHidden/>
              </w:rPr>
            </w:r>
            <w:r>
              <w:rPr>
                <w:noProof/>
                <w:webHidden/>
              </w:rPr>
              <w:fldChar w:fldCharType="separate"/>
            </w:r>
            <w:r>
              <w:rPr>
                <w:noProof/>
                <w:webHidden/>
              </w:rPr>
              <w:t>51</w:t>
            </w:r>
            <w:r>
              <w:rPr>
                <w:noProof/>
                <w:webHidden/>
              </w:rPr>
              <w:fldChar w:fldCharType="end"/>
            </w:r>
          </w:hyperlink>
        </w:p>
        <w:p w14:paraId="05A785DD" w14:textId="5B65009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29" w:history="1">
            <w:r w:rsidRPr="00016437">
              <w:rPr>
                <w:rStyle w:val="Hyperlink"/>
                <w:noProof/>
              </w:rPr>
              <w:t>Survivor experience: Ms OF</w:t>
            </w:r>
            <w:r>
              <w:rPr>
                <w:noProof/>
                <w:webHidden/>
              </w:rPr>
              <w:tab/>
            </w:r>
            <w:r>
              <w:rPr>
                <w:noProof/>
                <w:webHidden/>
              </w:rPr>
              <w:fldChar w:fldCharType="begin"/>
            </w:r>
            <w:r>
              <w:rPr>
                <w:noProof/>
                <w:webHidden/>
              </w:rPr>
              <w:instrText xml:space="preserve"> PAGEREF _Toc181084829 \h </w:instrText>
            </w:r>
            <w:r>
              <w:rPr>
                <w:noProof/>
                <w:webHidden/>
              </w:rPr>
            </w:r>
            <w:r>
              <w:rPr>
                <w:noProof/>
                <w:webHidden/>
              </w:rPr>
              <w:fldChar w:fldCharType="separate"/>
            </w:r>
            <w:r>
              <w:rPr>
                <w:noProof/>
                <w:webHidden/>
              </w:rPr>
              <w:t>51</w:t>
            </w:r>
            <w:r>
              <w:rPr>
                <w:noProof/>
                <w:webHidden/>
              </w:rPr>
              <w:fldChar w:fldCharType="end"/>
            </w:r>
          </w:hyperlink>
        </w:p>
        <w:p w14:paraId="06C72DA1" w14:textId="38A495DA"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30" w:history="1">
            <w:r w:rsidRPr="00016437">
              <w:rPr>
                <w:rStyle w:val="Hyperlink"/>
                <w:noProof/>
              </w:rPr>
              <w:t>Ūpoko 5: 1900–1950 – Ka tīmata te Kāwana ki te kuhu ki waenga i te whānau</w:t>
            </w:r>
            <w:r>
              <w:rPr>
                <w:noProof/>
                <w:webHidden/>
              </w:rPr>
              <w:tab/>
            </w:r>
            <w:r>
              <w:rPr>
                <w:noProof/>
                <w:webHidden/>
              </w:rPr>
              <w:fldChar w:fldCharType="begin"/>
            </w:r>
            <w:r>
              <w:rPr>
                <w:noProof/>
                <w:webHidden/>
              </w:rPr>
              <w:instrText xml:space="preserve"> PAGEREF _Toc181084830 \h </w:instrText>
            </w:r>
            <w:r>
              <w:rPr>
                <w:noProof/>
                <w:webHidden/>
              </w:rPr>
            </w:r>
            <w:r>
              <w:rPr>
                <w:noProof/>
                <w:webHidden/>
              </w:rPr>
              <w:fldChar w:fldCharType="separate"/>
            </w:r>
            <w:r>
              <w:rPr>
                <w:noProof/>
                <w:webHidden/>
              </w:rPr>
              <w:t>55</w:t>
            </w:r>
            <w:r>
              <w:rPr>
                <w:noProof/>
                <w:webHidden/>
              </w:rPr>
              <w:fldChar w:fldCharType="end"/>
            </w:r>
          </w:hyperlink>
        </w:p>
        <w:p w14:paraId="222E31C3" w14:textId="1C27BFE6"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31" w:history="1">
            <w:r w:rsidRPr="00016437">
              <w:rPr>
                <w:rStyle w:val="Hyperlink"/>
                <w:noProof/>
              </w:rPr>
              <w:t>Chapter 5: 1900–1950 – The State begins to intervene in family life</w:t>
            </w:r>
            <w:r>
              <w:rPr>
                <w:noProof/>
                <w:webHidden/>
              </w:rPr>
              <w:tab/>
            </w:r>
            <w:r>
              <w:rPr>
                <w:noProof/>
                <w:webHidden/>
              </w:rPr>
              <w:fldChar w:fldCharType="begin"/>
            </w:r>
            <w:r>
              <w:rPr>
                <w:noProof/>
                <w:webHidden/>
              </w:rPr>
              <w:instrText xml:space="preserve"> PAGEREF _Toc181084831 \h </w:instrText>
            </w:r>
            <w:r>
              <w:rPr>
                <w:noProof/>
                <w:webHidden/>
              </w:rPr>
            </w:r>
            <w:r>
              <w:rPr>
                <w:noProof/>
                <w:webHidden/>
              </w:rPr>
              <w:fldChar w:fldCharType="separate"/>
            </w:r>
            <w:r>
              <w:rPr>
                <w:noProof/>
                <w:webHidden/>
              </w:rPr>
              <w:t>55</w:t>
            </w:r>
            <w:r>
              <w:rPr>
                <w:noProof/>
                <w:webHidden/>
              </w:rPr>
              <w:fldChar w:fldCharType="end"/>
            </w:r>
          </w:hyperlink>
        </w:p>
        <w:p w14:paraId="6137C920" w14:textId="3C6EF0F6" w:rsidR="00A00D64" w:rsidRDefault="00A00D64">
          <w:pPr>
            <w:pStyle w:val="TOC2"/>
            <w:rPr>
              <w:rFonts w:asciiTheme="minorHAnsi" w:eastAsiaTheme="minorEastAsia" w:hAnsiTheme="minorHAnsi" w:cstheme="minorBidi"/>
              <w:b w:val="0"/>
              <w:kern w:val="2"/>
              <w:sz w:val="24"/>
              <w14:ligatures w14:val="standardContextual"/>
            </w:rPr>
          </w:pPr>
          <w:hyperlink w:anchor="_Toc181084832" w:history="1">
            <w:r w:rsidRPr="00016437">
              <w:rPr>
                <w:rStyle w:val="Hyperlink"/>
              </w:rPr>
              <w:t>Ngā raraunga tukupū mō te Māori i ngā pūnaha taurima i mua i te 1950</w:t>
            </w:r>
            <w:r>
              <w:rPr>
                <w:webHidden/>
              </w:rPr>
              <w:tab/>
            </w:r>
            <w:r>
              <w:rPr>
                <w:webHidden/>
              </w:rPr>
              <w:fldChar w:fldCharType="begin"/>
            </w:r>
            <w:r>
              <w:rPr>
                <w:webHidden/>
              </w:rPr>
              <w:instrText xml:space="preserve"> PAGEREF _Toc181084832 \h </w:instrText>
            </w:r>
            <w:r>
              <w:rPr>
                <w:webHidden/>
              </w:rPr>
            </w:r>
            <w:r>
              <w:rPr>
                <w:webHidden/>
              </w:rPr>
              <w:fldChar w:fldCharType="separate"/>
            </w:r>
            <w:r>
              <w:rPr>
                <w:webHidden/>
              </w:rPr>
              <w:t>55</w:t>
            </w:r>
            <w:r>
              <w:rPr>
                <w:webHidden/>
              </w:rPr>
              <w:fldChar w:fldCharType="end"/>
            </w:r>
          </w:hyperlink>
        </w:p>
        <w:p w14:paraId="342BAED0" w14:textId="2239606C" w:rsidR="00A00D64" w:rsidRDefault="00A00D64">
          <w:pPr>
            <w:pStyle w:val="TOC2"/>
            <w:rPr>
              <w:rFonts w:asciiTheme="minorHAnsi" w:eastAsiaTheme="minorEastAsia" w:hAnsiTheme="minorHAnsi" w:cstheme="minorBidi"/>
              <w:b w:val="0"/>
              <w:kern w:val="2"/>
              <w:sz w:val="24"/>
              <w14:ligatures w14:val="standardContextual"/>
            </w:rPr>
          </w:pPr>
          <w:hyperlink w:anchor="_Toc181084833" w:history="1">
            <w:r w:rsidRPr="00016437">
              <w:rPr>
                <w:rStyle w:val="Hyperlink"/>
              </w:rPr>
              <w:t>General data on Māori in care before 1950</w:t>
            </w:r>
            <w:r>
              <w:rPr>
                <w:webHidden/>
              </w:rPr>
              <w:tab/>
            </w:r>
            <w:r>
              <w:rPr>
                <w:webHidden/>
              </w:rPr>
              <w:fldChar w:fldCharType="begin"/>
            </w:r>
            <w:r>
              <w:rPr>
                <w:webHidden/>
              </w:rPr>
              <w:instrText xml:space="preserve"> PAGEREF _Toc181084833 \h </w:instrText>
            </w:r>
            <w:r>
              <w:rPr>
                <w:webHidden/>
              </w:rPr>
            </w:r>
            <w:r>
              <w:rPr>
                <w:webHidden/>
              </w:rPr>
              <w:fldChar w:fldCharType="separate"/>
            </w:r>
            <w:r>
              <w:rPr>
                <w:webHidden/>
              </w:rPr>
              <w:t>55</w:t>
            </w:r>
            <w:r>
              <w:rPr>
                <w:webHidden/>
              </w:rPr>
              <w:fldChar w:fldCharType="end"/>
            </w:r>
          </w:hyperlink>
        </w:p>
        <w:p w14:paraId="0ADE2168" w14:textId="6046106A" w:rsidR="00A00D64" w:rsidRDefault="00A00D64">
          <w:pPr>
            <w:pStyle w:val="TOC2"/>
            <w:rPr>
              <w:rFonts w:asciiTheme="minorHAnsi" w:eastAsiaTheme="minorEastAsia" w:hAnsiTheme="minorHAnsi" w:cstheme="minorBidi"/>
              <w:b w:val="0"/>
              <w:kern w:val="2"/>
              <w:sz w:val="24"/>
              <w14:ligatures w14:val="standardContextual"/>
            </w:rPr>
          </w:pPr>
          <w:hyperlink w:anchor="_Toc181084834" w:history="1">
            <w:r w:rsidRPr="00016437">
              <w:rPr>
                <w:rStyle w:val="Hyperlink"/>
              </w:rPr>
              <w:t>Te pikinga o ngā uauatanga i ngā hāpori Māori</w:t>
            </w:r>
            <w:r>
              <w:rPr>
                <w:webHidden/>
              </w:rPr>
              <w:tab/>
            </w:r>
            <w:r>
              <w:rPr>
                <w:webHidden/>
              </w:rPr>
              <w:fldChar w:fldCharType="begin"/>
            </w:r>
            <w:r>
              <w:rPr>
                <w:webHidden/>
              </w:rPr>
              <w:instrText xml:space="preserve"> PAGEREF _Toc181084834 \h </w:instrText>
            </w:r>
            <w:r>
              <w:rPr>
                <w:webHidden/>
              </w:rPr>
            </w:r>
            <w:r>
              <w:rPr>
                <w:webHidden/>
              </w:rPr>
              <w:fldChar w:fldCharType="separate"/>
            </w:r>
            <w:r>
              <w:rPr>
                <w:webHidden/>
              </w:rPr>
              <w:t>56</w:t>
            </w:r>
            <w:r>
              <w:rPr>
                <w:webHidden/>
              </w:rPr>
              <w:fldChar w:fldCharType="end"/>
            </w:r>
          </w:hyperlink>
        </w:p>
        <w:p w14:paraId="06B43CF8" w14:textId="2C78ADEA" w:rsidR="00A00D64" w:rsidRDefault="00A00D64">
          <w:pPr>
            <w:pStyle w:val="TOC2"/>
            <w:rPr>
              <w:rFonts w:asciiTheme="minorHAnsi" w:eastAsiaTheme="minorEastAsia" w:hAnsiTheme="minorHAnsi" w:cstheme="minorBidi"/>
              <w:b w:val="0"/>
              <w:kern w:val="2"/>
              <w:sz w:val="24"/>
              <w14:ligatures w14:val="standardContextual"/>
            </w:rPr>
          </w:pPr>
          <w:hyperlink w:anchor="_Toc181084835" w:history="1">
            <w:r w:rsidRPr="00016437">
              <w:rPr>
                <w:rStyle w:val="Hyperlink"/>
              </w:rPr>
              <w:t>Increasing hardship in Māori communities</w:t>
            </w:r>
            <w:r>
              <w:rPr>
                <w:webHidden/>
              </w:rPr>
              <w:tab/>
            </w:r>
            <w:r>
              <w:rPr>
                <w:webHidden/>
              </w:rPr>
              <w:fldChar w:fldCharType="begin"/>
            </w:r>
            <w:r>
              <w:rPr>
                <w:webHidden/>
              </w:rPr>
              <w:instrText xml:space="preserve"> PAGEREF _Toc181084835 \h </w:instrText>
            </w:r>
            <w:r>
              <w:rPr>
                <w:webHidden/>
              </w:rPr>
            </w:r>
            <w:r>
              <w:rPr>
                <w:webHidden/>
              </w:rPr>
              <w:fldChar w:fldCharType="separate"/>
            </w:r>
            <w:r>
              <w:rPr>
                <w:webHidden/>
              </w:rPr>
              <w:t>56</w:t>
            </w:r>
            <w:r>
              <w:rPr>
                <w:webHidden/>
              </w:rPr>
              <w:fldChar w:fldCharType="end"/>
            </w:r>
          </w:hyperlink>
        </w:p>
        <w:p w14:paraId="4B93B3AF" w14:textId="34D72EDF" w:rsidR="00A00D64" w:rsidRDefault="00A00D64">
          <w:pPr>
            <w:pStyle w:val="TOC2"/>
            <w:rPr>
              <w:rFonts w:asciiTheme="minorHAnsi" w:eastAsiaTheme="minorEastAsia" w:hAnsiTheme="minorHAnsi" w:cstheme="minorBidi"/>
              <w:b w:val="0"/>
              <w:kern w:val="2"/>
              <w:sz w:val="24"/>
              <w14:ligatures w14:val="standardContextual"/>
            </w:rPr>
          </w:pPr>
          <w:hyperlink w:anchor="_Toc181084836" w:history="1">
            <w:r w:rsidRPr="00016437">
              <w:rPr>
                <w:rStyle w:val="Hyperlink"/>
              </w:rPr>
              <w:t>Te whakatāuke i te hunga whaikaha me te hunga e rongo ana i te wairangitanga</w:t>
            </w:r>
            <w:r>
              <w:rPr>
                <w:webHidden/>
              </w:rPr>
              <w:tab/>
            </w:r>
            <w:r>
              <w:rPr>
                <w:webHidden/>
              </w:rPr>
              <w:fldChar w:fldCharType="begin"/>
            </w:r>
            <w:r>
              <w:rPr>
                <w:webHidden/>
              </w:rPr>
              <w:instrText xml:space="preserve"> PAGEREF _Toc181084836 \h </w:instrText>
            </w:r>
            <w:r>
              <w:rPr>
                <w:webHidden/>
              </w:rPr>
            </w:r>
            <w:r>
              <w:rPr>
                <w:webHidden/>
              </w:rPr>
              <w:fldChar w:fldCharType="separate"/>
            </w:r>
            <w:r>
              <w:rPr>
                <w:webHidden/>
              </w:rPr>
              <w:t>57</w:t>
            </w:r>
            <w:r>
              <w:rPr>
                <w:webHidden/>
              </w:rPr>
              <w:fldChar w:fldCharType="end"/>
            </w:r>
          </w:hyperlink>
        </w:p>
        <w:p w14:paraId="7C612640" w14:textId="20BE2D1C" w:rsidR="00A00D64" w:rsidRDefault="00A00D64">
          <w:pPr>
            <w:pStyle w:val="TOC2"/>
            <w:rPr>
              <w:rFonts w:asciiTheme="minorHAnsi" w:eastAsiaTheme="minorEastAsia" w:hAnsiTheme="minorHAnsi" w:cstheme="minorBidi"/>
              <w:b w:val="0"/>
              <w:kern w:val="2"/>
              <w:sz w:val="24"/>
              <w14:ligatures w14:val="standardContextual"/>
            </w:rPr>
          </w:pPr>
          <w:hyperlink w:anchor="_Toc181084837" w:history="1">
            <w:r w:rsidRPr="00016437">
              <w:rPr>
                <w:rStyle w:val="Hyperlink"/>
              </w:rPr>
              <w:t>Segregation for disabled people and people who experienced mental distress</w:t>
            </w:r>
            <w:r>
              <w:rPr>
                <w:webHidden/>
              </w:rPr>
              <w:tab/>
            </w:r>
            <w:r>
              <w:rPr>
                <w:webHidden/>
              </w:rPr>
              <w:fldChar w:fldCharType="begin"/>
            </w:r>
            <w:r>
              <w:rPr>
                <w:webHidden/>
              </w:rPr>
              <w:instrText xml:space="preserve"> PAGEREF _Toc181084837 \h </w:instrText>
            </w:r>
            <w:r>
              <w:rPr>
                <w:webHidden/>
              </w:rPr>
            </w:r>
            <w:r>
              <w:rPr>
                <w:webHidden/>
              </w:rPr>
              <w:fldChar w:fldCharType="separate"/>
            </w:r>
            <w:r>
              <w:rPr>
                <w:webHidden/>
              </w:rPr>
              <w:t>57</w:t>
            </w:r>
            <w:r>
              <w:rPr>
                <w:webHidden/>
              </w:rPr>
              <w:fldChar w:fldCharType="end"/>
            </w:r>
          </w:hyperlink>
        </w:p>
        <w:p w14:paraId="360551BF" w14:textId="637A9BDC" w:rsidR="00A00D64" w:rsidRDefault="00A00D64">
          <w:pPr>
            <w:pStyle w:val="TOC2"/>
            <w:rPr>
              <w:rFonts w:asciiTheme="minorHAnsi" w:eastAsiaTheme="minorEastAsia" w:hAnsiTheme="minorHAnsi" w:cstheme="minorBidi"/>
              <w:b w:val="0"/>
              <w:kern w:val="2"/>
              <w:sz w:val="24"/>
              <w14:ligatures w14:val="standardContextual"/>
            </w:rPr>
          </w:pPr>
          <w:hyperlink w:anchor="_Toc181084838" w:history="1">
            <w:r w:rsidRPr="00016437">
              <w:rPr>
                <w:rStyle w:val="Hyperlink"/>
              </w:rPr>
              <w:t>Ka rongo pea te hunga Turi, te hunga whaikaha me te hunga wairangi i te rawakoretanga mō te roanga o ō rātou oranga</w:t>
            </w:r>
            <w:r>
              <w:rPr>
                <w:webHidden/>
              </w:rPr>
              <w:tab/>
            </w:r>
            <w:r>
              <w:rPr>
                <w:webHidden/>
              </w:rPr>
              <w:fldChar w:fldCharType="begin"/>
            </w:r>
            <w:r>
              <w:rPr>
                <w:webHidden/>
              </w:rPr>
              <w:instrText xml:space="preserve"> PAGEREF _Toc181084838 \h </w:instrText>
            </w:r>
            <w:r>
              <w:rPr>
                <w:webHidden/>
              </w:rPr>
            </w:r>
            <w:r>
              <w:rPr>
                <w:webHidden/>
              </w:rPr>
              <w:fldChar w:fldCharType="separate"/>
            </w:r>
            <w:r>
              <w:rPr>
                <w:webHidden/>
              </w:rPr>
              <w:t>58</w:t>
            </w:r>
            <w:r>
              <w:rPr>
                <w:webHidden/>
              </w:rPr>
              <w:fldChar w:fldCharType="end"/>
            </w:r>
          </w:hyperlink>
        </w:p>
        <w:p w14:paraId="051DE6D4" w14:textId="4EB85677" w:rsidR="00A00D64" w:rsidRDefault="00A00D64">
          <w:pPr>
            <w:pStyle w:val="TOC2"/>
            <w:rPr>
              <w:rFonts w:asciiTheme="minorHAnsi" w:eastAsiaTheme="minorEastAsia" w:hAnsiTheme="minorHAnsi" w:cstheme="minorBidi"/>
              <w:b w:val="0"/>
              <w:kern w:val="2"/>
              <w:sz w:val="24"/>
              <w14:ligatures w14:val="standardContextual"/>
            </w:rPr>
          </w:pPr>
          <w:hyperlink w:anchor="_Toc181084839" w:history="1">
            <w:r w:rsidRPr="00016437">
              <w:rPr>
                <w:rStyle w:val="Hyperlink"/>
              </w:rPr>
              <w:t>Deaf, disabled people and people experiencing mental distress could experience lifelong poverty</w:t>
            </w:r>
            <w:r>
              <w:rPr>
                <w:webHidden/>
              </w:rPr>
              <w:tab/>
            </w:r>
            <w:r>
              <w:rPr>
                <w:webHidden/>
              </w:rPr>
              <w:fldChar w:fldCharType="begin"/>
            </w:r>
            <w:r>
              <w:rPr>
                <w:webHidden/>
              </w:rPr>
              <w:instrText xml:space="preserve"> PAGEREF _Toc181084839 \h </w:instrText>
            </w:r>
            <w:r>
              <w:rPr>
                <w:webHidden/>
              </w:rPr>
            </w:r>
            <w:r>
              <w:rPr>
                <w:webHidden/>
              </w:rPr>
              <w:fldChar w:fldCharType="separate"/>
            </w:r>
            <w:r>
              <w:rPr>
                <w:webHidden/>
              </w:rPr>
              <w:t>58</w:t>
            </w:r>
            <w:r>
              <w:rPr>
                <w:webHidden/>
              </w:rPr>
              <w:fldChar w:fldCharType="end"/>
            </w:r>
          </w:hyperlink>
        </w:p>
        <w:p w14:paraId="672D0FB5" w14:textId="46D23C4F" w:rsidR="00A00D64" w:rsidRDefault="00A00D64">
          <w:pPr>
            <w:pStyle w:val="TOC2"/>
            <w:rPr>
              <w:rFonts w:asciiTheme="minorHAnsi" w:eastAsiaTheme="minorEastAsia" w:hAnsiTheme="minorHAnsi" w:cstheme="minorBidi"/>
              <w:b w:val="0"/>
              <w:kern w:val="2"/>
              <w:sz w:val="24"/>
              <w14:ligatures w14:val="standardContextual"/>
            </w:rPr>
          </w:pPr>
          <w:hyperlink w:anchor="_Toc181084840" w:history="1">
            <w:r w:rsidRPr="00016437">
              <w:rPr>
                <w:rStyle w:val="Hyperlink"/>
              </w:rPr>
              <w:t>Te hūnuku o ngā iwi Pasifika ki Aotearoa</w:t>
            </w:r>
            <w:r>
              <w:rPr>
                <w:webHidden/>
              </w:rPr>
              <w:tab/>
            </w:r>
            <w:r>
              <w:rPr>
                <w:webHidden/>
              </w:rPr>
              <w:fldChar w:fldCharType="begin"/>
            </w:r>
            <w:r>
              <w:rPr>
                <w:webHidden/>
              </w:rPr>
              <w:instrText xml:space="preserve"> PAGEREF _Toc181084840 \h </w:instrText>
            </w:r>
            <w:r>
              <w:rPr>
                <w:webHidden/>
              </w:rPr>
            </w:r>
            <w:r>
              <w:rPr>
                <w:webHidden/>
              </w:rPr>
              <w:fldChar w:fldCharType="separate"/>
            </w:r>
            <w:r>
              <w:rPr>
                <w:webHidden/>
              </w:rPr>
              <w:t>58</w:t>
            </w:r>
            <w:r>
              <w:rPr>
                <w:webHidden/>
              </w:rPr>
              <w:fldChar w:fldCharType="end"/>
            </w:r>
          </w:hyperlink>
        </w:p>
        <w:p w14:paraId="46C0718A" w14:textId="782F9DA8" w:rsidR="00A00D64" w:rsidRDefault="00A00D64">
          <w:pPr>
            <w:pStyle w:val="TOC2"/>
            <w:rPr>
              <w:rFonts w:asciiTheme="minorHAnsi" w:eastAsiaTheme="minorEastAsia" w:hAnsiTheme="minorHAnsi" w:cstheme="minorBidi"/>
              <w:b w:val="0"/>
              <w:kern w:val="2"/>
              <w:sz w:val="24"/>
              <w14:ligatures w14:val="standardContextual"/>
            </w:rPr>
          </w:pPr>
          <w:hyperlink w:anchor="_Toc181084841" w:history="1">
            <w:r w:rsidRPr="00016437">
              <w:rPr>
                <w:rStyle w:val="Hyperlink"/>
              </w:rPr>
              <w:t>Pacific Peoples’ migration to Aotearoa New Zealand</w:t>
            </w:r>
            <w:r>
              <w:rPr>
                <w:webHidden/>
              </w:rPr>
              <w:tab/>
            </w:r>
            <w:r>
              <w:rPr>
                <w:webHidden/>
              </w:rPr>
              <w:fldChar w:fldCharType="begin"/>
            </w:r>
            <w:r>
              <w:rPr>
                <w:webHidden/>
              </w:rPr>
              <w:instrText xml:space="preserve"> PAGEREF _Toc181084841 \h </w:instrText>
            </w:r>
            <w:r>
              <w:rPr>
                <w:webHidden/>
              </w:rPr>
            </w:r>
            <w:r>
              <w:rPr>
                <w:webHidden/>
              </w:rPr>
              <w:fldChar w:fldCharType="separate"/>
            </w:r>
            <w:r>
              <w:rPr>
                <w:webHidden/>
              </w:rPr>
              <w:t>58</w:t>
            </w:r>
            <w:r>
              <w:rPr>
                <w:webHidden/>
              </w:rPr>
              <w:fldChar w:fldCharType="end"/>
            </w:r>
          </w:hyperlink>
        </w:p>
        <w:p w14:paraId="5FD08C5A" w14:textId="2F36191D" w:rsidR="00A00D64" w:rsidRDefault="00A00D64">
          <w:pPr>
            <w:pStyle w:val="TOC3"/>
            <w:rPr>
              <w:rFonts w:asciiTheme="minorHAnsi" w:eastAsiaTheme="minorEastAsia" w:hAnsiTheme="minorHAnsi" w:cstheme="minorBidi"/>
              <w:kern w:val="2"/>
              <w:sz w:val="24"/>
              <w14:ligatures w14:val="standardContextual"/>
            </w:rPr>
          </w:pPr>
          <w:hyperlink w:anchor="_Toc181084842" w:history="1">
            <w:r w:rsidRPr="00016437">
              <w:rPr>
                <w:rStyle w:val="Hyperlink"/>
                <w:rFonts w:cs="Arial"/>
              </w:rPr>
              <w:t>Te whanaungatanga i waenganui i a Aotearoa me ngā whenua Pasifika</w:t>
            </w:r>
            <w:r>
              <w:rPr>
                <w:webHidden/>
              </w:rPr>
              <w:tab/>
            </w:r>
            <w:r>
              <w:rPr>
                <w:webHidden/>
              </w:rPr>
              <w:fldChar w:fldCharType="begin"/>
            </w:r>
            <w:r>
              <w:rPr>
                <w:webHidden/>
              </w:rPr>
              <w:instrText xml:space="preserve"> PAGEREF _Toc181084842 \h </w:instrText>
            </w:r>
            <w:r>
              <w:rPr>
                <w:webHidden/>
              </w:rPr>
            </w:r>
            <w:r>
              <w:rPr>
                <w:webHidden/>
              </w:rPr>
              <w:fldChar w:fldCharType="separate"/>
            </w:r>
            <w:r>
              <w:rPr>
                <w:webHidden/>
              </w:rPr>
              <w:t>58</w:t>
            </w:r>
            <w:r>
              <w:rPr>
                <w:webHidden/>
              </w:rPr>
              <w:fldChar w:fldCharType="end"/>
            </w:r>
          </w:hyperlink>
        </w:p>
        <w:p w14:paraId="5EA55500" w14:textId="4FE109E6" w:rsidR="00A00D64" w:rsidRDefault="00A00D64">
          <w:pPr>
            <w:pStyle w:val="TOC3"/>
            <w:rPr>
              <w:rFonts w:asciiTheme="minorHAnsi" w:eastAsiaTheme="minorEastAsia" w:hAnsiTheme="minorHAnsi" w:cstheme="minorBidi"/>
              <w:kern w:val="2"/>
              <w:sz w:val="24"/>
              <w14:ligatures w14:val="standardContextual"/>
            </w:rPr>
          </w:pPr>
          <w:hyperlink w:anchor="_Toc181084843" w:history="1">
            <w:r w:rsidRPr="00016437">
              <w:rPr>
                <w:rStyle w:val="Hyperlink"/>
                <w:rFonts w:cs="Arial"/>
              </w:rPr>
              <w:t>Relationships between Aotearoa New Zealand and the Pacific nations</w:t>
            </w:r>
            <w:r>
              <w:rPr>
                <w:webHidden/>
              </w:rPr>
              <w:tab/>
            </w:r>
            <w:r>
              <w:rPr>
                <w:webHidden/>
              </w:rPr>
              <w:fldChar w:fldCharType="begin"/>
            </w:r>
            <w:r>
              <w:rPr>
                <w:webHidden/>
              </w:rPr>
              <w:instrText xml:space="preserve"> PAGEREF _Toc181084843 \h </w:instrText>
            </w:r>
            <w:r>
              <w:rPr>
                <w:webHidden/>
              </w:rPr>
            </w:r>
            <w:r>
              <w:rPr>
                <w:webHidden/>
              </w:rPr>
              <w:fldChar w:fldCharType="separate"/>
            </w:r>
            <w:r>
              <w:rPr>
                <w:webHidden/>
              </w:rPr>
              <w:t>58</w:t>
            </w:r>
            <w:r>
              <w:rPr>
                <w:webHidden/>
              </w:rPr>
              <w:fldChar w:fldCharType="end"/>
            </w:r>
          </w:hyperlink>
        </w:p>
        <w:p w14:paraId="07BAC7F5" w14:textId="5297836A" w:rsidR="00A00D64" w:rsidRDefault="00A00D64">
          <w:pPr>
            <w:pStyle w:val="TOC2"/>
            <w:rPr>
              <w:rFonts w:asciiTheme="minorHAnsi" w:eastAsiaTheme="minorEastAsia" w:hAnsiTheme="minorHAnsi" w:cstheme="minorBidi"/>
              <w:b w:val="0"/>
              <w:kern w:val="2"/>
              <w:sz w:val="24"/>
              <w14:ligatures w14:val="standardContextual"/>
            </w:rPr>
          </w:pPr>
          <w:hyperlink w:anchor="_Toc181084844" w:history="1">
            <w:r w:rsidRPr="00016437">
              <w:rPr>
                <w:rStyle w:val="Hyperlink"/>
              </w:rPr>
              <w:t>Ka tipu haere ngā mōtika tamariki</w:t>
            </w:r>
            <w:r>
              <w:rPr>
                <w:webHidden/>
              </w:rPr>
              <w:tab/>
            </w:r>
            <w:r>
              <w:rPr>
                <w:webHidden/>
              </w:rPr>
              <w:fldChar w:fldCharType="begin"/>
            </w:r>
            <w:r>
              <w:rPr>
                <w:webHidden/>
              </w:rPr>
              <w:instrText xml:space="preserve"> PAGEREF _Toc181084844 \h </w:instrText>
            </w:r>
            <w:r>
              <w:rPr>
                <w:webHidden/>
              </w:rPr>
            </w:r>
            <w:r>
              <w:rPr>
                <w:webHidden/>
              </w:rPr>
              <w:fldChar w:fldCharType="separate"/>
            </w:r>
            <w:r>
              <w:rPr>
                <w:webHidden/>
              </w:rPr>
              <w:t>60</w:t>
            </w:r>
            <w:r>
              <w:rPr>
                <w:webHidden/>
              </w:rPr>
              <w:fldChar w:fldCharType="end"/>
            </w:r>
          </w:hyperlink>
        </w:p>
        <w:p w14:paraId="2395A526" w14:textId="585E5EE4" w:rsidR="00A00D64" w:rsidRDefault="00A00D64">
          <w:pPr>
            <w:pStyle w:val="TOC2"/>
            <w:rPr>
              <w:rFonts w:asciiTheme="minorHAnsi" w:eastAsiaTheme="minorEastAsia" w:hAnsiTheme="minorHAnsi" w:cstheme="minorBidi"/>
              <w:b w:val="0"/>
              <w:kern w:val="2"/>
              <w:sz w:val="24"/>
              <w14:ligatures w14:val="standardContextual"/>
            </w:rPr>
          </w:pPr>
          <w:hyperlink w:anchor="_Toc181084845" w:history="1">
            <w:r w:rsidRPr="00016437">
              <w:rPr>
                <w:rStyle w:val="Hyperlink"/>
              </w:rPr>
              <w:t>Children’s rights begin to increase</w:t>
            </w:r>
            <w:r>
              <w:rPr>
                <w:webHidden/>
              </w:rPr>
              <w:tab/>
            </w:r>
            <w:r>
              <w:rPr>
                <w:webHidden/>
              </w:rPr>
              <w:fldChar w:fldCharType="begin"/>
            </w:r>
            <w:r>
              <w:rPr>
                <w:webHidden/>
              </w:rPr>
              <w:instrText xml:space="preserve"> PAGEREF _Toc181084845 \h </w:instrText>
            </w:r>
            <w:r>
              <w:rPr>
                <w:webHidden/>
              </w:rPr>
            </w:r>
            <w:r>
              <w:rPr>
                <w:webHidden/>
              </w:rPr>
              <w:fldChar w:fldCharType="separate"/>
            </w:r>
            <w:r>
              <w:rPr>
                <w:webHidden/>
              </w:rPr>
              <w:t>60</w:t>
            </w:r>
            <w:r>
              <w:rPr>
                <w:webHidden/>
              </w:rPr>
              <w:fldChar w:fldCharType="end"/>
            </w:r>
          </w:hyperlink>
        </w:p>
        <w:p w14:paraId="3EED5D8D" w14:textId="2C0733B7" w:rsidR="00A00D64" w:rsidRDefault="00A00D64">
          <w:pPr>
            <w:pStyle w:val="TOC2"/>
            <w:rPr>
              <w:rFonts w:asciiTheme="minorHAnsi" w:eastAsiaTheme="minorEastAsia" w:hAnsiTheme="minorHAnsi" w:cstheme="minorBidi"/>
              <w:b w:val="0"/>
              <w:kern w:val="2"/>
              <w:sz w:val="24"/>
              <w14:ligatures w14:val="standardContextual"/>
            </w:rPr>
          </w:pPr>
          <w:hyperlink w:anchor="_Toc181084846" w:history="1">
            <w:r w:rsidRPr="00016437">
              <w:rPr>
                <w:rStyle w:val="Hyperlink"/>
              </w:rPr>
              <w:t>Te mārama haere ki te whanaketanga tamariki</w:t>
            </w:r>
            <w:r>
              <w:rPr>
                <w:webHidden/>
              </w:rPr>
              <w:tab/>
            </w:r>
            <w:r>
              <w:rPr>
                <w:webHidden/>
              </w:rPr>
              <w:fldChar w:fldCharType="begin"/>
            </w:r>
            <w:r>
              <w:rPr>
                <w:webHidden/>
              </w:rPr>
              <w:instrText xml:space="preserve"> PAGEREF _Toc181084846 \h </w:instrText>
            </w:r>
            <w:r>
              <w:rPr>
                <w:webHidden/>
              </w:rPr>
            </w:r>
            <w:r>
              <w:rPr>
                <w:webHidden/>
              </w:rPr>
              <w:fldChar w:fldCharType="separate"/>
            </w:r>
            <w:r>
              <w:rPr>
                <w:webHidden/>
              </w:rPr>
              <w:t>60</w:t>
            </w:r>
            <w:r>
              <w:rPr>
                <w:webHidden/>
              </w:rPr>
              <w:fldChar w:fldCharType="end"/>
            </w:r>
          </w:hyperlink>
        </w:p>
        <w:p w14:paraId="332AAD49" w14:textId="5DC2B515" w:rsidR="00A00D64" w:rsidRDefault="00A00D64">
          <w:pPr>
            <w:pStyle w:val="TOC2"/>
            <w:rPr>
              <w:rFonts w:asciiTheme="minorHAnsi" w:eastAsiaTheme="minorEastAsia" w:hAnsiTheme="minorHAnsi" w:cstheme="minorBidi"/>
              <w:b w:val="0"/>
              <w:kern w:val="2"/>
              <w:sz w:val="24"/>
              <w14:ligatures w14:val="standardContextual"/>
            </w:rPr>
          </w:pPr>
          <w:hyperlink w:anchor="_Toc181084847" w:history="1">
            <w:r w:rsidRPr="00016437">
              <w:rPr>
                <w:rStyle w:val="Hyperlink"/>
              </w:rPr>
              <w:t>Growth in the understanding of child development</w:t>
            </w:r>
            <w:r>
              <w:rPr>
                <w:webHidden/>
              </w:rPr>
              <w:tab/>
            </w:r>
            <w:r>
              <w:rPr>
                <w:webHidden/>
              </w:rPr>
              <w:fldChar w:fldCharType="begin"/>
            </w:r>
            <w:r>
              <w:rPr>
                <w:webHidden/>
              </w:rPr>
              <w:instrText xml:space="preserve"> PAGEREF _Toc181084847 \h </w:instrText>
            </w:r>
            <w:r>
              <w:rPr>
                <w:webHidden/>
              </w:rPr>
            </w:r>
            <w:r>
              <w:rPr>
                <w:webHidden/>
              </w:rPr>
              <w:fldChar w:fldCharType="separate"/>
            </w:r>
            <w:r>
              <w:rPr>
                <w:webHidden/>
              </w:rPr>
              <w:t>60</w:t>
            </w:r>
            <w:r>
              <w:rPr>
                <w:webHidden/>
              </w:rPr>
              <w:fldChar w:fldCharType="end"/>
            </w:r>
          </w:hyperlink>
        </w:p>
        <w:p w14:paraId="074692CE" w14:textId="64621A47"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48" w:history="1">
            <w:r w:rsidRPr="00016437">
              <w:rPr>
                <w:rStyle w:val="Hyperlink"/>
                <w:noProof/>
              </w:rPr>
              <w:t>Ūpoko 6: 1950–1970 – Te whakawehi matatika me te tupu o te whenua tokoora</w:t>
            </w:r>
            <w:r>
              <w:rPr>
                <w:noProof/>
                <w:webHidden/>
              </w:rPr>
              <w:tab/>
            </w:r>
            <w:r>
              <w:rPr>
                <w:noProof/>
                <w:webHidden/>
              </w:rPr>
              <w:fldChar w:fldCharType="begin"/>
            </w:r>
            <w:r>
              <w:rPr>
                <w:noProof/>
                <w:webHidden/>
              </w:rPr>
              <w:instrText xml:space="preserve"> PAGEREF _Toc181084848 \h </w:instrText>
            </w:r>
            <w:r>
              <w:rPr>
                <w:noProof/>
                <w:webHidden/>
              </w:rPr>
            </w:r>
            <w:r>
              <w:rPr>
                <w:noProof/>
                <w:webHidden/>
              </w:rPr>
              <w:fldChar w:fldCharType="separate"/>
            </w:r>
            <w:r>
              <w:rPr>
                <w:noProof/>
                <w:webHidden/>
              </w:rPr>
              <w:t>61</w:t>
            </w:r>
            <w:r>
              <w:rPr>
                <w:noProof/>
                <w:webHidden/>
              </w:rPr>
              <w:fldChar w:fldCharType="end"/>
            </w:r>
          </w:hyperlink>
        </w:p>
        <w:p w14:paraId="397A8EAD" w14:textId="103A0BE3"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49" w:history="1">
            <w:r w:rsidRPr="00016437">
              <w:rPr>
                <w:rStyle w:val="Hyperlink"/>
                <w:noProof/>
              </w:rPr>
              <w:t>Chapter 6: 1950–1970 – Moral panic and the growth of the welfare state</w:t>
            </w:r>
            <w:r>
              <w:rPr>
                <w:noProof/>
                <w:webHidden/>
              </w:rPr>
              <w:tab/>
            </w:r>
            <w:r>
              <w:rPr>
                <w:noProof/>
                <w:webHidden/>
              </w:rPr>
              <w:fldChar w:fldCharType="begin"/>
            </w:r>
            <w:r>
              <w:rPr>
                <w:noProof/>
                <w:webHidden/>
              </w:rPr>
              <w:instrText xml:space="preserve"> PAGEREF _Toc181084849 \h </w:instrText>
            </w:r>
            <w:r>
              <w:rPr>
                <w:noProof/>
                <w:webHidden/>
              </w:rPr>
            </w:r>
            <w:r>
              <w:rPr>
                <w:noProof/>
                <w:webHidden/>
              </w:rPr>
              <w:fldChar w:fldCharType="separate"/>
            </w:r>
            <w:r>
              <w:rPr>
                <w:noProof/>
                <w:webHidden/>
              </w:rPr>
              <w:t>61</w:t>
            </w:r>
            <w:r>
              <w:rPr>
                <w:noProof/>
                <w:webHidden/>
              </w:rPr>
              <w:fldChar w:fldCharType="end"/>
            </w:r>
          </w:hyperlink>
        </w:p>
        <w:p w14:paraId="2DC05246" w14:textId="7EBCBA1E" w:rsidR="00A00D64" w:rsidRDefault="00A00D64">
          <w:pPr>
            <w:pStyle w:val="TOC2"/>
            <w:rPr>
              <w:rFonts w:asciiTheme="minorHAnsi" w:eastAsiaTheme="minorEastAsia" w:hAnsiTheme="minorHAnsi" w:cstheme="minorBidi"/>
              <w:b w:val="0"/>
              <w:kern w:val="2"/>
              <w:sz w:val="24"/>
              <w14:ligatures w14:val="standardContextual"/>
            </w:rPr>
          </w:pPr>
          <w:hyperlink w:anchor="_Toc181084850" w:history="1">
            <w:r w:rsidRPr="00016437">
              <w:rPr>
                <w:rStyle w:val="Hyperlink"/>
              </w:rPr>
              <w:t>Te urutau a te Māori ki te noho tāone</w:t>
            </w:r>
            <w:r>
              <w:rPr>
                <w:webHidden/>
              </w:rPr>
              <w:tab/>
            </w:r>
            <w:r>
              <w:rPr>
                <w:webHidden/>
              </w:rPr>
              <w:fldChar w:fldCharType="begin"/>
            </w:r>
            <w:r>
              <w:rPr>
                <w:webHidden/>
              </w:rPr>
              <w:instrText xml:space="preserve"> PAGEREF _Toc181084850 \h </w:instrText>
            </w:r>
            <w:r>
              <w:rPr>
                <w:webHidden/>
              </w:rPr>
            </w:r>
            <w:r>
              <w:rPr>
                <w:webHidden/>
              </w:rPr>
              <w:fldChar w:fldCharType="separate"/>
            </w:r>
            <w:r>
              <w:rPr>
                <w:webHidden/>
              </w:rPr>
              <w:t>61</w:t>
            </w:r>
            <w:r>
              <w:rPr>
                <w:webHidden/>
              </w:rPr>
              <w:fldChar w:fldCharType="end"/>
            </w:r>
          </w:hyperlink>
        </w:p>
        <w:p w14:paraId="46210F96" w14:textId="74F87031" w:rsidR="00A00D64" w:rsidRDefault="00A00D64">
          <w:pPr>
            <w:pStyle w:val="TOC2"/>
            <w:rPr>
              <w:rFonts w:asciiTheme="minorHAnsi" w:eastAsiaTheme="minorEastAsia" w:hAnsiTheme="minorHAnsi" w:cstheme="minorBidi"/>
              <w:b w:val="0"/>
              <w:kern w:val="2"/>
              <w:sz w:val="24"/>
              <w14:ligatures w14:val="standardContextual"/>
            </w:rPr>
          </w:pPr>
          <w:hyperlink w:anchor="_Toc181084851" w:history="1">
            <w:r w:rsidRPr="00016437">
              <w:rPr>
                <w:rStyle w:val="Hyperlink"/>
              </w:rPr>
              <w:t>Māori adapting to an urban way of life</w:t>
            </w:r>
            <w:r>
              <w:rPr>
                <w:webHidden/>
              </w:rPr>
              <w:tab/>
            </w:r>
            <w:r>
              <w:rPr>
                <w:webHidden/>
              </w:rPr>
              <w:fldChar w:fldCharType="begin"/>
            </w:r>
            <w:r>
              <w:rPr>
                <w:webHidden/>
              </w:rPr>
              <w:instrText xml:space="preserve"> PAGEREF _Toc181084851 \h </w:instrText>
            </w:r>
            <w:r>
              <w:rPr>
                <w:webHidden/>
              </w:rPr>
            </w:r>
            <w:r>
              <w:rPr>
                <w:webHidden/>
              </w:rPr>
              <w:fldChar w:fldCharType="separate"/>
            </w:r>
            <w:r>
              <w:rPr>
                <w:webHidden/>
              </w:rPr>
              <w:t>61</w:t>
            </w:r>
            <w:r>
              <w:rPr>
                <w:webHidden/>
              </w:rPr>
              <w:fldChar w:fldCharType="end"/>
            </w:r>
          </w:hyperlink>
        </w:p>
        <w:p w14:paraId="7D5FC441" w14:textId="6E15C1BA" w:rsidR="00A00D64" w:rsidRDefault="00A00D64">
          <w:pPr>
            <w:pStyle w:val="TOC2"/>
            <w:rPr>
              <w:rFonts w:asciiTheme="minorHAnsi" w:eastAsiaTheme="minorEastAsia" w:hAnsiTheme="minorHAnsi" w:cstheme="minorBidi"/>
              <w:b w:val="0"/>
              <w:kern w:val="2"/>
              <w:sz w:val="24"/>
              <w14:ligatures w14:val="standardContextual"/>
            </w:rPr>
          </w:pPr>
          <w:hyperlink w:anchor="_Toc181084852" w:history="1">
            <w:r w:rsidRPr="00016437">
              <w:rPr>
                <w:rStyle w:val="Hyperlink"/>
              </w:rPr>
              <w:t>Te hunga Turi, whaikaha me te hunga i rongo i te wairangitanga</w:t>
            </w:r>
            <w:r>
              <w:rPr>
                <w:webHidden/>
              </w:rPr>
              <w:tab/>
            </w:r>
            <w:r>
              <w:rPr>
                <w:webHidden/>
              </w:rPr>
              <w:fldChar w:fldCharType="begin"/>
            </w:r>
            <w:r>
              <w:rPr>
                <w:webHidden/>
              </w:rPr>
              <w:instrText xml:space="preserve"> PAGEREF _Toc181084852 \h </w:instrText>
            </w:r>
            <w:r>
              <w:rPr>
                <w:webHidden/>
              </w:rPr>
            </w:r>
            <w:r>
              <w:rPr>
                <w:webHidden/>
              </w:rPr>
              <w:fldChar w:fldCharType="separate"/>
            </w:r>
            <w:r>
              <w:rPr>
                <w:webHidden/>
              </w:rPr>
              <w:t>62</w:t>
            </w:r>
            <w:r>
              <w:rPr>
                <w:webHidden/>
              </w:rPr>
              <w:fldChar w:fldCharType="end"/>
            </w:r>
          </w:hyperlink>
        </w:p>
        <w:p w14:paraId="5DF8FEDA" w14:textId="35E8187F" w:rsidR="00A00D64" w:rsidRDefault="00A00D64">
          <w:pPr>
            <w:pStyle w:val="TOC2"/>
            <w:rPr>
              <w:rFonts w:asciiTheme="minorHAnsi" w:eastAsiaTheme="minorEastAsia" w:hAnsiTheme="minorHAnsi" w:cstheme="minorBidi"/>
              <w:b w:val="0"/>
              <w:kern w:val="2"/>
              <w:sz w:val="24"/>
              <w14:ligatures w14:val="standardContextual"/>
            </w:rPr>
          </w:pPr>
          <w:hyperlink w:anchor="_Toc181084853" w:history="1">
            <w:r w:rsidRPr="00016437">
              <w:rPr>
                <w:rStyle w:val="Hyperlink"/>
              </w:rPr>
              <w:t>Deaf, disabled people and people who experienced mental distress</w:t>
            </w:r>
            <w:r>
              <w:rPr>
                <w:webHidden/>
              </w:rPr>
              <w:tab/>
            </w:r>
            <w:r>
              <w:rPr>
                <w:webHidden/>
              </w:rPr>
              <w:fldChar w:fldCharType="begin"/>
            </w:r>
            <w:r>
              <w:rPr>
                <w:webHidden/>
              </w:rPr>
              <w:instrText xml:space="preserve"> PAGEREF _Toc181084853 \h </w:instrText>
            </w:r>
            <w:r>
              <w:rPr>
                <w:webHidden/>
              </w:rPr>
            </w:r>
            <w:r>
              <w:rPr>
                <w:webHidden/>
              </w:rPr>
              <w:fldChar w:fldCharType="separate"/>
            </w:r>
            <w:r>
              <w:rPr>
                <w:webHidden/>
              </w:rPr>
              <w:t>62</w:t>
            </w:r>
            <w:r>
              <w:rPr>
                <w:webHidden/>
              </w:rPr>
              <w:fldChar w:fldCharType="end"/>
            </w:r>
          </w:hyperlink>
        </w:p>
        <w:p w14:paraId="3455DA2C" w14:textId="5D8BEF40" w:rsidR="00A00D64" w:rsidRDefault="00A00D64">
          <w:pPr>
            <w:pStyle w:val="TOC3"/>
            <w:rPr>
              <w:rFonts w:asciiTheme="minorHAnsi" w:eastAsiaTheme="minorEastAsia" w:hAnsiTheme="minorHAnsi" w:cstheme="minorBidi"/>
              <w:kern w:val="2"/>
              <w:sz w:val="24"/>
              <w14:ligatures w14:val="standardContextual"/>
            </w:rPr>
          </w:pPr>
          <w:hyperlink w:anchor="_Toc181084854" w:history="1">
            <w:r w:rsidRPr="00016437">
              <w:rPr>
                <w:rStyle w:val="Hyperlink"/>
              </w:rPr>
              <w:t>Te whaikaha</w:t>
            </w:r>
            <w:r>
              <w:rPr>
                <w:webHidden/>
              </w:rPr>
              <w:tab/>
            </w:r>
            <w:r>
              <w:rPr>
                <w:webHidden/>
              </w:rPr>
              <w:fldChar w:fldCharType="begin"/>
            </w:r>
            <w:r>
              <w:rPr>
                <w:webHidden/>
              </w:rPr>
              <w:instrText xml:space="preserve"> PAGEREF _Toc181084854 \h </w:instrText>
            </w:r>
            <w:r>
              <w:rPr>
                <w:webHidden/>
              </w:rPr>
            </w:r>
            <w:r>
              <w:rPr>
                <w:webHidden/>
              </w:rPr>
              <w:fldChar w:fldCharType="separate"/>
            </w:r>
            <w:r>
              <w:rPr>
                <w:webHidden/>
              </w:rPr>
              <w:t>62</w:t>
            </w:r>
            <w:r>
              <w:rPr>
                <w:webHidden/>
              </w:rPr>
              <w:fldChar w:fldCharType="end"/>
            </w:r>
          </w:hyperlink>
        </w:p>
        <w:p w14:paraId="5C9F8FD1" w14:textId="3DCA085D" w:rsidR="00A00D64" w:rsidRDefault="00A00D64">
          <w:pPr>
            <w:pStyle w:val="TOC3"/>
            <w:rPr>
              <w:rFonts w:asciiTheme="minorHAnsi" w:eastAsiaTheme="minorEastAsia" w:hAnsiTheme="minorHAnsi" w:cstheme="minorBidi"/>
              <w:kern w:val="2"/>
              <w:sz w:val="24"/>
              <w14:ligatures w14:val="standardContextual"/>
            </w:rPr>
          </w:pPr>
          <w:hyperlink w:anchor="_Toc181084855" w:history="1">
            <w:r w:rsidRPr="00016437">
              <w:rPr>
                <w:rStyle w:val="Hyperlink"/>
              </w:rPr>
              <w:t>Disability</w:t>
            </w:r>
            <w:r>
              <w:rPr>
                <w:webHidden/>
              </w:rPr>
              <w:tab/>
            </w:r>
            <w:r>
              <w:rPr>
                <w:webHidden/>
              </w:rPr>
              <w:fldChar w:fldCharType="begin"/>
            </w:r>
            <w:r>
              <w:rPr>
                <w:webHidden/>
              </w:rPr>
              <w:instrText xml:space="preserve"> PAGEREF _Toc181084855 \h </w:instrText>
            </w:r>
            <w:r>
              <w:rPr>
                <w:webHidden/>
              </w:rPr>
            </w:r>
            <w:r>
              <w:rPr>
                <w:webHidden/>
              </w:rPr>
              <w:fldChar w:fldCharType="separate"/>
            </w:r>
            <w:r>
              <w:rPr>
                <w:webHidden/>
              </w:rPr>
              <w:t>62</w:t>
            </w:r>
            <w:r>
              <w:rPr>
                <w:webHidden/>
              </w:rPr>
              <w:fldChar w:fldCharType="end"/>
            </w:r>
          </w:hyperlink>
        </w:p>
        <w:p w14:paraId="705D29DA" w14:textId="402CAA8D" w:rsidR="00A00D64" w:rsidRDefault="00A00D64">
          <w:pPr>
            <w:pStyle w:val="TOC3"/>
            <w:rPr>
              <w:rFonts w:asciiTheme="minorHAnsi" w:eastAsiaTheme="minorEastAsia" w:hAnsiTheme="minorHAnsi" w:cstheme="minorBidi"/>
              <w:kern w:val="2"/>
              <w:sz w:val="24"/>
              <w14:ligatures w14:val="standardContextual"/>
            </w:rPr>
          </w:pPr>
          <w:hyperlink w:anchor="_Toc181084856" w:history="1">
            <w:r w:rsidRPr="00016437">
              <w:rPr>
                <w:rStyle w:val="Hyperlink"/>
              </w:rPr>
              <w:t>Te wairangitanga</w:t>
            </w:r>
            <w:r>
              <w:rPr>
                <w:webHidden/>
              </w:rPr>
              <w:tab/>
            </w:r>
            <w:r>
              <w:rPr>
                <w:webHidden/>
              </w:rPr>
              <w:fldChar w:fldCharType="begin"/>
            </w:r>
            <w:r>
              <w:rPr>
                <w:webHidden/>
              </w:rPr>
              <w:instrText xml:space="preserve"> PAGEREF _Toc181084856 \h </w:instrText>
            </w:r>
            <w:r>
              <w:rPr>
                <w:webHidden/>
              </w:rPr>
            </w:r>
            <w:r>
              <w:rPr>
                <w:webHidden/>
              </w:rPr>
              <w:fldChar w:fldCharType="separate"/>
            </w:r>
            <w:r>
              <w:rPr>
                <w:webHidden/>
              </w:rPr>
              <w:t>63</w:t>
            </w:r>
            <w:r>
              <w:rPr>
                <w:webHidden/>
              </w:rPr>
              <w:fldChar w:fldCharType="end"/>
            </w:r>
          </w:hyperlink>
        </w:p>
        <w:p w14:paraId="411B83BC" w14:textId="51C2ACB3" w:rsidR="00A00D64" w:rsidRDefault="00A00D64">
          <w:pPr>
            <w:pStyle w:val="TOC3"/>
            <w:rPr>
              <w:rFonts w:asciiTheme="minorHAnsi" w:eastAsiaTheme="minorEastAsia" w:hAnsiTheme="minorHAnsi" w:cstheme="minorBidi"/>
              <w:kern w:val="2"/>
              <w:sz w:val="24"/>
              <w14:ligatures w14:val="standardContextual"/>
            </w:rPr>
          </w:pPr>
          <w:hyperlink w:anchor="_Toc181084857" w:history="1">
            <w:r w:rsidRPr="00016437">
              <w:rPr>
                <w:rStyle w:val="Hyperlink"/>
              </w:rPr>
              <w:t>Mental distress</w:t>
            </w:r>
            <w:r>
              <w:rPr>
                <w:webHidden/>
              </w:rPr>
              <w:tab/>
            </w:r>
            <w:r>
              <w:rPr>
                <w:webHidden/>
              </w:rPr>
              <w:fldChar w:fldCharType="begin"/>
            </w:r>
            <w:r>
              <w:rPr>
                <w:webHidden/>
              </w:rPr>
              <w:instrText xml:space="preserve"> PAGEREF _Toc181084857 \h </w:instrText>
            </w:r>
            <w:r>
              <w:rPr>
                <w:webHidden/>
              </w:rPr>
            </w:r>
            <w:r>
              <w:rPr>
                <w:webHidden/>
              </w:rPr>
              <w:fldChar w:fldCharType="separate"/>
            </w:r>
            <w:r>
              <w:rPr>
                <w:webHidden/>
              </w:rPr>
              <w:t>63</w:t>
            </w:r>
            <w:r>
              <w:rPr>
                <w:webHidden/>
              </w:rPr>
              <w:fldChar w:fldCharType="end"/>
            </w:r>
          </w:hyperlink>
        </w:p>
        <w:p w14:paraId="5799A0BB" w14:textId="7DF98B76" w:rsidR="00A00D64" w:rsidRDefault="00A00D64">
          <w:pPr>
            <w:pStyle w:val="TOC3"/>
            <w:rPr>
              <w:rFonts w:asciiTheme="minorHAnsi" w:eastAsiaTheme="minorEastAsia" w:hAnsiTheme="minorHAnsi" w:cstheme="minorBidi"/>
              <w:kern w:val="2"/>
              <w:sz w:val="24"/>
              <w14:ligatures w14:val="standardContextual"/>
            </w:rPr>
          </w:pPr>
          <w:hyperlink w:anchor="_Toc181084858" w:history="1">
            <w:r w:rsidRPr="00016437">
              <w:rPr>
                <w:rStyle w:val="Hyperlink"/>
              </w:rPr>
              <w:t>Te hunga Turi</w:t>
            </w:r>
            <w:r>
              <w:rPr>
                <w:webHidden/>
              </w:rPr>
              <w:tab/>
            </w:r>
            <w:r>
              <w:rPr>
                <w:webHidden/>
              </w:rPr>
              <w:fldChar w:fldCharType="begin"/>
            </w:r>
            <w:r>
              <w:rPr>
                <w:webHidden/>
              </w:rPr>
              <w:instrText xml:space="preserve"> PAGEREF _Toc181084858 \h </w:instrText>
            </w:r>
            <w:r>
              <w:rPr>
                <w:webHidden/>
              </w:rPr>
            </w:r>
            <w:r>
              <w:rPr>
                <w:webHidden/>
              </w:rPr>
              <w:fldChar w:fldCharType="separate"/>
            </w:r>
            <w:r>
              <w:rPr>
                <w:webHidden/>
              </w:rPr>
              <w:t>64</w:t>
            </w:r>
            <w:r>
              <w:rPr>
                <w:webHidden/>
              </w:rPr>
              <w:fldChar w:fldCharType="end"/>
            </w:r>
          </w:hyperlink>
        </w:p>
        <w:p w14:paraId="3BB8132E" w14:textId="556CE91D" w:rsidR="00A00D64" w:rsidRDefault="00A00D64">
          <w:pPr>
            <w:pStyle w:val="TOC3"/>
            <w:rPr>
              <w:rFonts w:asciiTheme="minorHAnsi" w:eastAsiaTheme="minorEastAsia" w:hAnsiTheme="minorHAnsi" w:cstheme="minorBidi"/>
              <w:kern w:val="2"/>
              <w:sz w:val="24"/>
              <w14:ligatures w14:val="standardContextual"/>
            </w:rPr>
          </w:pPr>
          <w:hyperlink w:anchor="_Toc181084859" w:history="1">
            <w:r w:rsidRPr="00016437">
              <w:rPr>
                <w:rStyle w:val="Hyperlink"/>
              </w:rPr>
              <w:t>Deaf</w:t>
            </w:r>
            <w:r>
              <w:rPr>
                <w:webHidden/>
              </w:rPr>
              <w:tab/>
            </w:r>
            <w:r>
              <w:rPr>
                <w:webHidden/>
              </w:rPr>
              <w:fldChar w:fldCharType="begin"/>
            </w:r>
            <w:r>
              <w:rPr>
                <w:webHidden/>
              </w:rPr>
              <w:instrText xml:space="preserve"> PAGEREF _Toc181084859 \h </w:instrText>
            </w:r>
            <w:r>
              <w:rPr>
                <w:webHidden/>
              </w:rPr>
            </w:r>
            <w:r>
              <w:rPr>
                <w:webHidden/>
              </w:rPr>
              <w:fldChar w:fldCharType="separate"/>
            </w:r>
            <w:r>
              <w:rPr>
                <w:webHidden/>
              </w:rPr>
              <w:t>64</w:t>
            </w:r>
            <w:r>
              <w:rPr>
                <w:webHidden/>
              </w:rPr>
              <w:fldChar w:fldCharType="end"/>
            </w:r>
          </w:hyperlink>
        </w:p>
        <w:p w14:paraId="1FC49F1C" w14:textId="5540E207" w:rsidR="00A00D64" w:rsidRDefault="00A00D64">
          <w:pPr>
            <w:pStyle w:val="TOC2"/>
            <w:rPr>
              <w:rFonts w:asciiTheme="minorHAnsi" w:eastAsiaTheme="minorEastAsia" w:hAnsiTheme="minorHAnsi" w:cstheme="minorBidi"/>
              <w:b w:val="0"/>
              <w:kern w:val="2"/>
              <w:sz w:val="24"/>
              <w14:ligatures w14:val="standardContextual"/>
            </w:rPr>
          </w:pPr>
          <w:hyperlink w:anchor="_Toc181084860" w:history="1">
            <w:r w:rsidRPr="00016437">
              <w:rPr>
                <w:rStyle w:val="Hyperlink"/>
              </w:rPr>
              <w:t>I kaha te whāia o ngāi Pasifika</w:t>
            </w:r>
            <w:r>
              <w:rPr>
                <w:webHidden/>
              </w:rPr>
              <w:tab/>
            </w:r>
            <w:r>
              <w:rPr>
                <w:webHidden/>
              </w:rPr>
              <w:fldChar w:fldCharType="begin"/>
            </w:r>
            <w:r>
              <w:rPr>
                <w:webHidden/>
              </w:rPr>
              <w:instrText xml:space="preserve"> PAGEREF _Toc181084860 \h </w:instrText>
            </w:r>
            <w:r>
              <w:rPr>
                <w:webHidden/>
              </w:rPr>
            </w:r>
            <w:r>
              <w:rPr>
                <w:webHidden/>
              </w:rPr>
              <w:fldChar w:fldCharType="separate"/>
            </w:r>
            <w:r>
              <w:rPr>
                <w:webHidden/>
              </w:rPr>
              <w:t>64</w:t>
            </w:r>
            <w:r>
              <w:rPr>
                <w:webHidden/>
              </w:rPr>
              <w:fldChar w:fldCharType="end"/>
            </w:r>
          </w:hyperlink>
        </w:p>
        <w:p w14:paraId="5518AF04" w14:textId="03B4A4AF" w:rsidR="00A00D64" w:rsidRDefault="00A00D64">
          <w:pPr>
            <w:pStyle w:val="TOC2"/>
            <w:rPr>
              <w:rFonts w:asciiTheme="minorHAnsi" w:eastAsiaTheme="minorEastAsia" w:hAnsiTheme="minorHAnsi" w:cstheme="minorBidi"/>
              <w:b w:val="0"/>
              <w:kern w:val="2"/>
              <w:sz w:val="24"/>
              <w14:ligatures w14:val="standardContextual"/>
            </w:rPr>
          </w:pPr>
          <w:hyperlink w:anchor="_Toc181084861" w:history="1">
            <w:r w:rsidRPr="00016437">
              <w:rPr>
                <w:rStyle w:val="Hyperlink"/>
              </w:rPr>
              <w:t>Pacific Peoples increasingly targeted</w:t>
            </w:r>
            <w:r>
              <w:rPr>
                <w:webHidden/>
              </w:rPr>
              <w:tab/>
            </w:r>
            <w:r>
              <w:rPr>
                <w:webHidden/>
              </w:rPr>
              <w:fldChar w:fldCharType="begin"/>
            </w:r>
            <w:r>
              <w:rPr>
                <w:webHidden/>
              </w:rPr>
              <w:instrText xml:space="preserve"> PAGEREF _Toc181084861 \h </w:instrText>
            </w:r>
            <w:r>
              <w:rPr>
                <w:webHidden/>
              </w:rPr>
            </w:r>
            <w:r>
              <w:rPr>
                <w:webHidden/>
              </w:rPr>
              <w:fldChar w:fldCharType="separate"/>
            </w:r>
            <w:r>
              <w:rPr>
                <w:webHidden/>
              </w:rPr>
              <w:t>64</w:t>
            </w:r>
            <w:r>
              <w:rPr>
                <w:webHidden/>
              </w:rPr>
              <w:fldChar w:fldCharType="end"/>
            </w:r>
          </w:hyperlink>
        </w:p>
        <w:p w14:paraId="2EFF0EFC" w14:textId="56C29055" w:rsidR="00A00D64" w:rsidRDefault="00A00D64">
          <w:pPr>
            <w:pStyle w:val="TOC2"/>
            <w:rPr>
              <w:rFonts w:asciiTheme="minorHAnsi" w:eastAsiaTheme="minorEastAsia" w:hAnsiTheme="minorHAnsi" w:cstheme="minorBidi"/>
              <w:b w:val="0"/>
              <w:kern w:val="2"/>
              <w:sz w:val="24"/>
              <w14:ligatures w14:val="standardContextual"/>
            </w:rPr>
          </w:pPr>
          <w:hyperlink w:anchor="_Toc181084862" w:history="1">
            <w:r w:rsidRPr="00016437">
              <w:rPr>
                <w:rStyle w:val="Hyperlink"/>
              </w:rPr>
              <w:t>Te āmaimai mō te taiharatanga rangatahi</w:t>
            </w:r>
            <w:r>
              <w:rPr>
                <w:webHidden/>
              </w:rPr>
              <w:tab/>
            </w:r>
            <w:r>
              <w:rPr>
                <w:webHidden/>
              </w:rPr>
              <w:fldChar w:fldCharType="begin"/>
            </w:r>
            <w:r>
              <w:rPr>
                <w:webHidden/>
              </w:rPr>
              <w:instrText xml:space="preserve"> PAGEREF _Toc181084862 \h </w:instrText>
            </w:r>
            <w:r>
              <w:rPr>
                <w:webHidden/>
              </w:rPr>
            </w:r>
            <w:r>
              <w:rPr>
                <w:webHidden/>
              </w:rPr>
              <w:fldChar w:fldCharType="separate"/>
            </w:r>
            <w:r>
              <w:rPr>
                <w:webHidden/>
              </w:rPr>
              <w:t>64</w:t>
            </w:r>
            <w:r>
              <w:rPr>
                <w:webHidden/>
              </w:rPr>
              <w:fldChar w:fldCharType="end"/>
            </w:r>
          </w:hyperlink>
        </w:p>
        <w:p w14:paraId="09EEADEB" w14:textId="7829E28E" w:rsidR="00A00D64" w:rsidRDefault="00A00D64">
          <w:pPr>
            <w:pStyle w:val="TOC2"/>
            <w:rPr>
              <w:rFonts w:asciiTheme="minorHAnsi" w:eastAsiaTheme="minorEastAsia" w:hAnsiTheme="minorHAnsi" w:cstheme="minorBidi"/>
              <w:b w:val="0"/>
              <w:kern w:val="2"/>
              <w:sz w:val="24"/>
              <w14:ligatures w14:val="standardContextual"/>
            </w:rPr>
          </w:pPr>
          <w:hyperlink w:anchor="_Toc181084863" w:history="1">
            <w:r w:rsidRPr="00016437">
              <w:rPr>
                <w:rStyle w:val="Hyperlink"/>
              </w:rPr>
              <w:t>Concern about juvenile delinquency</w:t>
            </w:r>
            <w:r>
              <w:rPr>
                <w:webHidden/>
              </w:rPr>
              <w:tab/>
            </w:r>
            <w:r>
              <w:rPr>
                <w:webHidden/>
              </w:rPr>
              <w:fldChar w:fldCharType="begin"/>
            </w:r>
            <w:r>
              <w:rPr>
                <w:webHidden/>
              </w:rPr>
              <w:instrText xml:space="preserve"> PAGEREF _Toc181084863 \h </w:instrText>
            </w:r>
            <w:r>
              <w:rPr>
                <w:webHidden/>
              </w:rPr>
            </w:r>
            <w:r>
              <w:rPr>
                <w:webHidden/>
              </w:rPr>
              <w:fldChar w:fldCharType="separate"/>
            </w:r>
            <w:r>
              <w:rPr>
                <w:webHidden/>
              </w:rPr>
              <w:t>64</w:t>
            </w:r>
            <w:r>
              <w:rPr>
                <w:webHidden/>
              </w:rPr>
              <w:fldChar w:fldCharType="end"/>
            </w:r>
          </w:hyperlink>
        </w:p>
        <w:p w14:paraId="2492D814" w14:textId="66084888" w:rsidR="00A00D64" w:rsidRDefault="00A00D64">
          <w:pPr>
            <w:pStyle w:val="TOC2"/>
            <w:rPr>
              <w:rFonts w:asciiTheme="minorHAnsi" w:eastAsiaTheme="minorEastAsia" w:hAnsiTheme="minorHAnsi" w:cstheme="minorBidi"/>
              <w:b w:val="0"/>
              <w:kern w:val="2"/>
              <w:sz w:val="24"/>
              <w14:ligatures w14:val="standardContextual"/>
            </w:rPr>
          </w:pPr>
          <w:hyperlink w:anchor="_Toc181084864" w:history="1">
            <w:r w:rsidRPr="00016437">
              <w:rPr>
                <w:rStyle w:val="Hyperlink"/>
              </w:rPr>
              <w:t>Ka whanake te hauora hinengaro tamariki</w:t>
            </w:r>
            <w:r>
              <w:rPr>
                <w:webHidden/>
              </w:rPr>
              <w:tab/>
            </w:r>
            <w:r>
              <w:rPr>
                <w:webHidden/>
              </w:rPr>
              <w:fldChar w:fldCharType="begin"/>
            </w:r>
            <w:r>
              <w:rPr>
                <w:webHidden/>
              </w:rPr>
              <w:instrText xml:space="preserve"> PAGEREF _Toc181084864 \h </w:instrText>
            </w:r>
            <w:r>
              <w:rPr>
                <w:webHidden/>
              </w:rPr>
            </w:r>
            <w:r>
              <w:rPr>
                <w:webHidden/>
              </w:rPr>
              <w:fldChar w:fldCharType="separate"/>
            </w:r>
            <w:r>
              <w:rPr>
                <w:webHidden/>
              </w:rPr>
              <w:t>65</w:t>
            </w:r>
            <w:r>
              <w:rPr>
                <w:webHidden/>
              </w:rPr>
              <w:fldChar w:fldCharType="end"/>
            </w:r>
          </w:hyperlink>
        </w:p>
        <w:p w14:paraId="30784A96" w14:textId="2765DBAB" w:rsidR="00A00D64" w:rsidRDefault="00A00D64">
          <w:pPr>
            <w:pStyle w:val="TOC2"/>
            <w:rPr>
              <w:rFonts w:asciiTheme="minorHAnsi" w:eastAsiaTheme="minorEastAsia" w:hAnsiTheme="minorHAnsi" w:cstheme="minorBidi"/>
              <w:b w:val="0"/>
              <w:kern w:val="2"/>
              <w:sz w:val="24"/>
              <w14:ligatures w14:val="standardContextual"/>
            </w:rPr>
          </w:pPr>
          <w:hyperlink w:anchor="_Toc181084865" w:history="1">
            <w:r w:rsidRPr="00016437">
              <w:rPr>
                <w:rStyle w:val="Hyperlink"/>
              </w:rPr>
              <w:t>Child psychiatry develops</w:t>
            </w:r>
            <w:r>
              <w:rPr>
                <w:webHidden/>
              </w:rPr>
              <w:tab/>
            </w:r>
            <w:r>
              <w:rPr>
                <w:webHidden/>
              </w:rPr>
              <w:fldChar w:fldCharType="begin"/>
            </w:r>
            <w:r>
              <w:rPr>
                <w:webHidden/>
              </w:rPr>
              <w:instrText xml:space="preserve"> PAGEREF _Toc181084865 \h </w:instrText>
            </w:r>
            <w:r>
              <w:rPr>
                <w:webHidden/>
              </w:rPr>
            </w:r>
            <w:r>
              <w:rPr>
                <w:webHidden/>
              </w:rPr>
              <w:fldChar w:fldCharType="separate"/>
            </w:r>
            <w:r>
              <w:rPr>
                <w:webHidden/>
              </w:rPr>
              <w:t>65</w:t>
            </w:r>
            <w:r>
              <w:rPr>
                <w:webHidden/>
              </w:rPr>
              <w:fldChar w:fldCharType="end"/>
            </w:r>
          </w:hyperlink>
        </w:p>
        <w:p w14:paraId="11D235BC" w14:textId="745C5386" w:rsidR="00A00D64" w:rsidRDefault="00A00D64">
          <w:pPr>
            <w:pStyle w:val="TOC2"/>
            <w:rPr>
              <w:rFonts w:asciiTheme="minorHAnsi" w:eastAsiaTheme="minorEastAsia" w:hAnsiTheme="minorHAnsi" w:cstheme="minorBidi"/>
              <w:b w:val="0"/>
              <w:kern w:val="2"/>
              <w:sz w:val="24"/>
              <w14:ligatures w14:val="standardContextual"/>
            </w:rPr>
          </w:pPr>
          <w:hyperlink w:anchor="_Toc181084866" w:history="1">
            <w:r w:rsidRPr="00016437">
              <w:rPr>
                <w:rStyle w:val="Hyperlink"/>
              </w:rPr>
              <w:t>Te iti o te aroā ki te tūkino tamariki</w:t>
            </w:r>
            <w:r>
              <w:rPr>
                <w:webHidden/>
              </w:rPr>
              <w:tab/>
            </w:r>
            <w:r>
              <w:rPr>
                <w:webHidden/>
              </w:rPr>
              <w:fldChar w:fldCharType="begin"/>
            </w:r>
            <w:r>
              <w:rPr>
                <w:webHidden/>
              </w:rPr>
              <w:instrText xml:space="preserve"> PAGEREF _Toc181084866 \h </w:instrText>
            </w:r>
            <w:r>
              <w:rPr>
                <w:webHidden/>
              </w:rPr>
            </w:r>
            <w:r>
              <w:rPr>
                <w:webHidden/>
              </w:rPr>
              <w:fldChar w:fldCharType="separate"/>
            </w:r>
            <w:r>
              <w:rPr>
                <w:webHidden/>
              </w:rPr>
              <w:t>66</w:t>
            </w:r>
            <w:r>
              <w:rPr>
                <w:webHidden/>
              </w:rPr>
              <w:fldChar w:fldCharType="end"/>
            </w:r>
          </w:hyperlink>
        </w:p>
        <w:p w14:paraId="48642D96" w14:textId="7DA123B4" w:rsidR="00A00D64" w:rsidRDefault="00A00D64">
          <w:pPr>
            <w:pStyle w:val="TOC2"/>
            <w:rPr>
              <w:rFonts w:asciiTheme="minorHAnsi" w:eastAsiaTheme="minorEastAsia" w:hAnsiTheme="minorHAnsi" w:cstheme="minorBidi"/>
              <w:b w:val="0"/>
              <w:kern w:val="2"/>
              <w:sz w:val="24"/>
              <w14:ligatures w14:val="standardContextual"/>
            </w:rPr>
          </w:pPr>
          <w:hyperlink w:anchor="_Toc181084867" w:history="1">
            <w:r w:rsidRPr="00016437">
              <w:rPr>
                <w:rStyle w:val="Hyperlink"/>
              </w:rPr>
              <w:t>Little awareness of child abuse and neglect</w:t>
            </w:r>
            <w:r>
              <w:rPr>
                <w:webHidden/>
              </w:rPr>
              <w:tab/>
            </w:r>
            <w:r>
              <w:rPr>
                <w:webHidden/>
              </w:rPr>
              <w:fldChar w:fldCharType="begin"/>
            </w:r>
            <w:r>
              <w:rPr>
                <w:webHidden/>
              </w:rPr>
              <w:instrText xml:space="preserve"> PAGEREF _Toc181084867 \h </w:instrText>
            </w:r>
            <w:r>
              <w:rPr>
                <w:webHidden/>
              </w:rPr>
            </w:r>
            <w:r>
              <w:rPr>
                <w:webHidden/>
              </w:rPr>
              <w:fldChar w:fldCharType="separate"/>
            </w:r>
            <w:r>
              <w:rPr>
                <w:webHidden/>
              </w:rPr>
              <w:t>66</w:t>
            </w:r>
            <w:r>
              <w:rPr>
                <w:webHidden/>
              </w:rPr>
              <w:fldChar w:fldCharType="end"/>
            </w:r>
          </w:hyperlink>
        </w:p>
        <w:p w14:paraId="4635A77D" w14:textId="6A9AC9B8" w:rsidR="00A00D64" w:rsidRDefault="00A00D64">
          <w:pPr>
            <w:pStyle w:val="TOC2"/>
            <w:rPr>
              <w:rFonts w:asciiTheme="minorHAnsi" w:eastAsiaTheme="minorEastAsia" w:hAnsiTheme="minorHAnsi" w:cstheme="minorBidi"/>
              <w:b w:val="0"/>
              <w:kern w:val="2"/>
              <w:sz w:val="24"/>
              <w14:ligatures w14:val="standardContextual"/>
            </w:rPr>
          </w:pPr>
          <w:hyperlink w:anchor="_Toc181084868" w:history="1">
            <w:r w:rsidRPr="00016437">
              <w:rPr>
                <w:rStyle w:val="Hyperlink"/>
              </w:rPr>
              <w:t>Te haere tonutanga o ngā wero me ngā porotū</w:t>
            </w:r>
            <w:r>
              <w:rPr>
                <w:webHidden/>
              </w:rPr>
              <w:tab/>
            </w:r>
            <w:r>
              <w:rPr>
                <w:webHidden/>
              </w:rPr>
              <w:fldChar w:fldCharType="begin"/>
            </w:r>
            <w:r>
              <w:rPr>
                <w:webHidden/>
              </w:rPr>
              <w:instrText xml:space="preserve"> PAGEREF _Toc181084868 \h </w:instrText>
            </w:r>
            <w:r>
              <w:rPr>
                <w:webHidden/>
              </w:rPr>
            </w:r>
            <w:r>
              <w:rPr>
                <w:webHidden/>
              </w:rPr>
              <w:fldChar w:fldCharType="separate"/>
            </w:r>
            <w:r>
              <w:rPr>
                <w:webHidden/>
              </w:rPr>
              <w:t>67</w:t>
            </w:r>
            <w:r>
              <w:rPr>
                <w:webHidden/>
              </w:rPr>
              <w:fldChar w:fldCharType="end"/>
            </w:r>
          </w:hyperlink>
        </w:p>
        <w:p w14:paraId="136731A4" w14:textId="03E2D161" w:rsidR="00A00D64" w:rsidRDefault="00A00D64">
          <w:pPr>
            <w:pStyle w:val="TOC2"/>
            <w:rPr>
              <w:rFonts w:asciiTheme="minorHAnsi" w:eastAsiaTheme="minorEastAsia" w:hAnsiTheme="minorHAnsi" w:cstheme="minorBidi"/>
              <w:b w:val="0"/>
              <w:kern w:val="2"/>
              <w:sz w:val="24"/>
              <w14:ligatures w14:val="standardContextual"/>
            </w:rPr>
          </w:pPr>
          <w:hyperlink w:anchor="_Toc181084869" w:history="1">
            <w:r w:rsidRPr="00016437">
              <w:rPr>
                <w:rStyle w:val="Hyperlink"/>
              </w:rPr>
              <w:t>Continuing challenges and activism</w:t>
            </w:r>
            <w:r>
              <w:rPr>
                <w:webHidden/>
              </w:rPr>
              <w:tab/>
            </w:r>
            <w:r>
              <w:rPr>
                <w:webHidden/>
              </w:rPr>
              <w:fldChar w:fldCharType="begin"/>
            </w:r>
            <w:r>
              <w:rPr>
                <w:webHidden/>
              </w:rPr>
              <w:instrText xml:space="preserve"> PAGEREF _Toc181084869 \h </w:instrText>
            </w:r>
            <w:r>
              <w:rPr>
                <w:webHidden/>
              </w:rPr>
            </w:r>
            <w:r>
              <w:rPr>
                <w:webHidden/>
              </w:rPr>
              <w:fldChar w:fldCharType="separate"/>
            </w:r>
            <w:r>
              <w:rPr>
                <w:webHidden/>
              </w:rPr>
              <w:t>67</w:t>
            </w:r>
            <w:r>
              <w:rPr>
                <w:webHidden/>
              </w:rPr>
              <w:fldChar w:fldCharType="end"/>
            </w:r>
          </w:hyperlink>
        </w:p>
        <w:p w14:paraId="78E82223" w14:textId="6661F8DD" w:rsidR="00A00D64" w:rsidRDefault="00A00D64">
          <w:pPr>
            <w:pStyle w:val="TOC2"/>
            <w:rPr>
              <w:rFonts w:asciiTheme="minorHAnsi" w:eastAsiaTheme="minorEastAsia" w:hAnsiTheme="minorHAnsi" w:cstheme="minorBidi"/>
              <w:b w:val="0"/>
              <w:kern w:val="2"/>
              <w:sz w:val="24"/>
              <w14:ligatures w14:val="standardContextual"/>
            </w:rPr>
          </w:pPr>
          <w:hyperlink w:anchor="_Toc181084870" w:history="1">
            <w:r w:rsidRPr="00016437">
              <w:rPr>
                <w:rStyle w:val="Hyperlink"/>
              </w:rPr>
              <w:t>Kāore he tautoko tokoora, ka heke ngā āhuatanga ohanga</w:t>
            </w:r>
            <w:r>
              <w:rPr>
                <w:webHidden/>
              </w:rPr>
              <w:tab/>
            </w:r>
            <w:r>
              <w:rPr>
                <w:webHidden/>
              </w:rPr>
              <w:fldChar w:fldCharType="begin"/>
            </w:r>
            <w:r>
              <w:rPr>
                <w:webHidden/>
              </w:rPr>
              <w:instrText xml:space="preserve"> PAGEREF _Toc181084870 \h </w:instrText>
            </w:r>
            <w:r>
              <w:rPr>
                <w:webHidden/>
              </w:rPr>
            </w:r>
            <w:r>
              <w:rPr>
                <w:webHidden/>
              </w:rPr>
              <w:fldChar w:fldCharType="separate"/>
            </w:r>
            <w:r>
              <w:rPr>
                <w:webHidden/>
              </w:rPr>
              <w:t>68</w:t>
            </w:r>
            <w:r>
              <w:rPr>
                <w:webHidden/>
              </w:rPr>
              <w:fldChar w:fldCharType="end"/>
            </w:r>
          </w:hyperlink>
        </w:p>
        <w:p w14:paraId="7C729671" w14:textId="616C846C" w:rsidR="00A00D64" w:rsidRDefault="00A00D64">
          <w:pPr>
            <w:pStyle w:val="TOC2"/>
            <w:rPr>
              <w:rFonts w:asciiTheme="minorHAnsi" w:eastAsiaTheme="minorEastAsia" w:hAnsiTheme="minorHAnsi" w:cstheme="minorBidi"/>
              <w:b w:val="0"/>
              <w:kern w:val="2"/>
              <w:sz w:val="24"/>
              <w14:ligatures w14:val="standardContextual"/>
            </w:rPr>
          </w:pPr>
          <w:hyperlink w:anchor="_Toc181084871" w:history="1">
            <w:r w:rsidRPr="00016437">
              <w:rPr>
                <w:rStyle w:val="Hyperlink"/>
              </w:rPr>
              <w:t>No dedicated welfare support, economic conditions decline</w:t>
            </w:r>
            <w:r>
              <w:rPr>
                <w:webHidden/>
              </w:rPr>
              <w:tab/>
            </w:r>
            <w:r>
              <w:rPr>
                <w:webHidden/>
              </w:rPr>
              <w:fldChar w:fldCharType="begin"/>
            </w:r>
            <w:r>
              <w:rPr>
                <w:webHidden/>
              </w:rPr>
              <w:instrText xml:space="preserve"> PAGEREF _Toc181084871 \h </w:instrText>
            </w:r>
            <w:r>
              <w:rPr>
                <w:webHidden/>
              </w:rPr>
            </w:r>
            <w:r>
              <w:rPr>
                <w:webHidden/>
              </w:rPr>
              <w:fldChar w:fldCharType="separate"/>
            </w:r>
            <w:r>
              <w:rPr>
                <w:webHidden/>
              </w:rPr>
              <w:t>68</w:t>
            </w:r>
            <w:r>
              <w:rPr>
                <w:webHidden/>
              </w:rPr>
              <w:fldChar w:fldCharType="end"/>
            </w:r>
          </w:hyperlink>
        </w:p>
        <w:p w14:paraId="53026576" w14:textId="13AF72CA"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72" w:history="1">
            <w:r w:rsidRPr="00016437">
              <w:rPr>
                <w:rStyle w:val="Hyperlink"/>
                <w:noProof/>
              </w:rPr>
              <w:t>Ūpoko 7: 1970–1999 – Te akaakatanga ā-ōhanga me te panonitanga pāpori</w:t>
            </w:r>
            <w:r>
              <w:rPr>
                <w:noProof/>
                <w:webHidden/>
              </w:rPr>
              <w:tab/>
            </w:r>
            <w:r>
              <w:rPr>
                <w:noProof/>
                <w:webHidden/>
              </w:rPr>
              <w:fldChar w:fldCharType="begin"/>
            </w:r>
            <w:r>
              <w:rPr>
                <w:noProof/>
                <w:webHidden/>
              </w:rPr>
              <w:instrText xml:space="preserve"> PAGEREF _Toc181084872 \h </w:instrText>
            </w:r>
            <w:r>
              <w:rPr>
                <w:noProof/>
                <w:webHidden/>
              </w:rPr>
            </w:r>
            <w:r>
              <w:rPr>
                <w:noProof/>
                <w:webHidden/>
              </w:rPr>
              <w:fldChar w:fldCharType="separate"/>
            </w:r>
            <w:r>
              <w:rPr>
                <w:noProof/>
                <w:webHidden/>
              </w:rPr>
              <w:t>70</w:t>
            </w:r>
            <w:r>
              <w:rPr>
                <w:noProof/>
                <w:webHidden/>
              </w:rPr>
              <w:fldChar w:fldCharType="end"/>
            </w:r>
          </w:hyperlink>
        </w:p>
        <w:p w14:paraId="1DFB35D0" w14:textId="6554C17C"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873" w:history="1">
            <w:r w:rsidRPr="00016437">
              <w:rPr>
                <w:rStyle w:val="Hyperlink"/>
                <w:noProof/>
              </w:rPr>
              <w:t>Chapter 7: 1970–1999 – Economic upheaval and social change</w:t>
            </w:r>
            <w:r>
              <w:rPr>
                <w:noProof/>
                <w:webHidden/>
              </w:rPr>
              <w:tab/>
            </w:r>
            <w:r>
              <w:rPr>
                <w:noProof/>
                <w:webHidden/>
              </w:rPr>
              <w:fldChar w:fldCharType="begin"/>
            </w:r>
            <w:r>
              <w:rPr>
                <w:noProof/>
                <w:webHidden/>
              </w:rPr>
              <w:instrText xml:space="preserve"> PAGEREF _Toc181084873 \h </w:instrText>
            </w:r>
            <w:r>
              <w:rPr>
                <w:noProof/>
                <w:webHidden/>
              </w:rPr>
            </w:r>
            <w:r>
              <w:rPr>
                <w:noProof/>
                <w:webHidden/>
              </w:rPr>
              <w:fldChar w:fldCharType="separate"/>
            </w:r>
            <w:r>
              <w:rPr>
                <w:noProof/>
                <w:webHidden/>
              </w:rPr>
              <w:t>70</w:t>
            </w:r>
            <w:r>
              <w:rPr>
                <w:noProof/>
                <w:webHidden/>
              </w:rPr>
              <w:fldChar w:fldCharType="end"/>
            </w:r>
          </w:hyperlink>
        </w:p>
        <w:p w14:paraId="494C2D27" w14:textId="1D8EAD84" w:rsidR="00A00D64" w:rsidRDefault="00A00D64">
          <w:pPr>
            <w:pStyle w:val="TOC2"/>
            <w:rPr>
              <w:rFonts w:asciiTheme="minorHAnsi" w:eastAsiaTheme="minorEastAsia" w:hAnsiTheme="minorHAnsi" w:cstheme="minorBidi"/>
              <w:b w:val="0"/>
              <w:kern w:val="2"/>
              <w:sz w:val="24"/>
              <w14:ligatures w14:val="standardContextual"/>
            </w:rPr>
          </w:pPr>
          <w:hyperlink w:anchor="_Toc181084874" w:history="1">
            <w:r w:rsidRPr="00016437">
              <w:rPr>
                <w:rStyle w:val="Hyperlink"/>
              </w:rPr>
              <w:t>Ka kaha ake te hononga o te Māori me te Karauna</w:t>
            </w:r>
            <w:r>
              <w:rPr>
                <w:webHidden/>
              </w:rPr>
              <w:tab/>
            </w:r>
            <w:r>
              <w:rPr>
                <w:webHidden/>
              </w:rPr>
              <w:fldChar w:fldCharType="begin"/>
            </w:r>
            <w:r>
              <w:rPr>
                <w:webHidden/>
              </w:rPr>
              <w:instrText xml:space="preserve"> PAGEREF _Toc181084874 \h </w:instrText>
            </w:r>
            <w:r>
              <w:rPr>
                <w:webHidden/>
              </w:rPr>
            </w:r>
            <w:r>
              <w:rPr>
                <w:webHidden/>
              </w:rPr>
              <w:fldChar w:fldCharType="separate"/>
            </w:r>
            <w:r>
              <w:rPr>
                <w:webHidden/>
              </w:rPr>
              <w:t>70</w:t>
            </w:r>
            <w:r>
              <w:rPr>
                <w:webHidden/>
              </w:rPr>
              <w:fldChar w:fldCharType="end"/>
            </w:r>
          </w:hyperlink>
        </w:p>
        <w:p w14:paraId="0A6CFAAD" w14:textId="748025A9" w:rsidR="00A00D64" w:rsidRDefault="00A00D64">
          <w:pPr>
            <w:pStyle w:val="TOC2"/>
            <w:rPr>
              <w:rFonts w:asciiTheme="minorHAnsi" w:eastAsiaTheme="minorEastAsia" w:hAnsiTheme="minorHAnsi" w:cstheme="minorBidi"/>
              <w:b w:val="0"/>
              <w:kern w:val="2"/>
              <w:sz w:val="24"/>
              <w14:ligatures w14:val="standardContextual"/>
            </w:rPr>
          </w:pPr>
          <w:hyperlink w:anchor="_Toc181084875" w:history="1">
            <w:r w:rsidRPr="00016437">
              <w:rPr>
                <w:rStyle w:val="Hyperlink"/>
              </w:rPr>
              <w:t>Māori–Crown relationship grows</w:t>
            </w:r>
            <w:r>
              <w:rPr>
                <w:webHidden/>
              </w:rPr>
              <w:tab/>
            </w:r>
            <w:r>
              <w:rPr>
                <w:webHidden/>
              </w:rPr>
              <w:fldChar w:fldCharType="begin"/>
            </w:r>
            <w:r>
              <w:rPr>
                <w:webHidden/>
              </w:rPr>
              <w:instrText xml:space="preserve"> PAGEREF _Toc181084875 \h </w:instrText>
            </w:r>
            <w:r>
              <w:rPr>
                <w:webHidden/>
              </w:rPr>
            </w:r>
            <w:r>
              <w:rPr>
                <w:webHidden/>
              </w:rPr>
              <w:fldChar w:fldCharType="separate"/>
            </w:r>
            <w:r>
              <w:rPr>
                <w:webHidden/>
              </w:rPr>
              <w:t>70</w:t>
            </w:r>
            <w:r>
              <w:rPr>
                <w:webHidden/>
              </w:rPr>
              <w:fldChar w:fldCharType="end"/>
            </w:r>
          </w:hyperlink>
        </w:p>
        <w:p w14:paraId="11D97998" w14:textId="44B81B04" w:rsidR="00A00D64" w:rsidRDefault="00A00D64">
          <w:pPr>
            <w:pStyle w:val="TOC2"/>
            <w:rPr>
              <w:rFonts w:asciiTheme="minorHAnsi" w:eastAsiaTheme="minorEastAsia" w:hAnsiTheme="minorHAnsi" w:cstheme="minorBidi"/>
              <w:b w:val="0"/>
              <w:kern w:val="2"/>
              <w:sz w:val="24"/>
              <w14:ligatures w14:val="standardContextual"/>
            </w:rPr>
          </w:pPr>
          <w:hyperlink w:anchor="_Toc181084876" w:history="1">
            <w:r w:rsidRPr="00016437">
              <w:rPr>
                <w:rStyle w:val="Hyperlink"/>
              </w:rPr>
              <w:t>Ka tīmata te tino kite i te Māori i ngā pūnaha taurima</w:t>
            </w:r>
            <w:r>
              <w:rPr>
                <w:webHidden/>
              </w:rPr>
              <w:tab/>
            </w:r>
            <w:r>
              <w:rPr>
                <w:webHidden/>
              </w:rPr>
              <w:fldChar w:fldCharType="begin"/>
            </w:r>
            <w:r>
              <w:rPr>
                <w:webHidden/>
              </w:rPr>
              <w:instrText xml:space="preserve"> PAGEREF _Toc181084876 \h </w:instrText>
            </w:r>
            <w:r>
              <w:rPr>
                <w:webHidden/>
              </w:rPr>
            </w:r>
            <w:r>
              <w:rPr>
                <w:webHidden/>
              </w:rPr>
              <w:fldChar w:fldCharType="separate"/>
            </w:r>
            <w:r>
              <w:rPr>
                <w:webHidden/>
              </w:rPr>
              <w:t>72</w:t>
            </w:r>
            <w:r>
              <w:rPr>
                <w:webHidden/>
              </w:rPr>
              <w:fldChar w:fldCharType="end"/>
            </w:r>
          </w:hyperlink>
        </w:p>
        <w:p w14:paraId="5F1A7F47" w14:textId="59AC9CDD" w:rsidR="00A00D64" w:rsidRDefault="00A00D64">
          <w:pPr>
            <w:pStyle w:val="TOC2"/>
            <w:rPr>
              <w:rFonts w:asciiTheme="minorHAnsi" w:eastAsiaTheme="minorEastAsia" w:hAnsiTheme="minorHAnsi" w:cstheme="minorBidi"/>
              <w:b w:val="0"/>
              <w:kern w:val="2"/>
              <w:sz w:val="24"/>
              <w14:ligatures w14:val="standardContextual"/>
            </w:rPr>
          </w:pPr>
          <w:hyperlink w:anchor="_Toc181084877" w:history="1">
            <w:r w:rsidRPr="00016437">
              <w:rPr>
                <w:rStyle w:val="Hyperlink"/>
              </w:rPr>
              <w:t>Māori begin to be over-represented in care</w:t>
            </w:r>
            <w:r>
              <w:rPr>
                <w:webHidden/>
              </w:rPr>
              <w:tab/>
            </w:r>
            <w:r>
              <w:rPr>
                <w:webHidden/>
              </w:rPr>
              <w:fldChar w:fldCharType="begin"/>
            </w:r>
            <w:r>
              <w:rPr>
                <w:webHidden/>
              </w:rPr>
              <w:instrText xml:space="preserve"> PAGEREF _Toc181084877 \h </w:instrText>
            </w:r>
            <w:r>
              <w:rPr>
                <w:webHidden/>
              </w:rPr>
            </w:r>
            <w:r>
              <w:rPr>
                <w:webHidden/>
              </w:rPr>
              <w:fldChar w:fldCharType="separate"/>
            </w:r>
            <w:r>
              <w:rPr>
                <w:webHidden/>
              </w:rPr>
              <w:t>72</w:t>
            </w:r>
            <w:r>
              <w:rPr>
                <w:webHidden/>
              </w:rPr>
              <w:fldChar w:fldCharType="end"/>
            </w:r>
          </w:hyperlink>
        </w:p>
        <w:p w14:paraId="1691B670" w14:textId="08D7B183" w:rsidR="00A00D64" w:rsidRDefault="00A00D64">
          <w:pPr>
            <w:pStyle w:val="TOC2"/>
            <w:rPr>
              <w:rFonts w:asciiTheme="minorHAnsi" w:eastAsiaTheme="minorEastAsia" w:hAnsiTheme="minorHAnsi" w:cstheme="minorBidi"/>
              <w:b w:val="0"/>
              <w:kern w:val="2"/>
              <w:sz w:val="24"/>
              <w14:ligatures w14:val="standardContextual"/>
            </w:rPr>
          </w:pPr>
          <w:hyperlink w:anchor="_Toc181084878" w:history="1">
            <w:r w:rsidRPr="00016437">
              <w:rPr>
                <w:rStyle w:val="Hyperlink"/>
              </w:rPr>
              <w:t>Ngā pāpātanga ki ngā iwi Pasifika i ngā urutomotanga atatū</w:t>
            </w:r>
            <w:r>
              <w:rPr>
                <w:webHidden/>
              </w:rPr>
              <w:tab/>
            </w:r>
            <w:r>
              <w:rPr>
                <w:webHidden/>
              </w:rPr>
              <w:fldChar w:fldCharType="begin"/>
            </w:r>
            <w:r>
              <w:rPr>
                <w:webHidden/>
              </w:rPr>
              <w:instrText xml:space="preserve"> PAGEREF _Toc181084878 \h </w:instrText>
            </w:r>
            <w:r>
              <w:rPr>
                <w:webHidden/>
              </w:rPr>
            </w:r>
            <w:r>
              <w:rPr>
                <w:webHidden/>
              </w:rPr>
              <w:fldChar w:fldCharType="separate"/>
            </w:r>
            <w:r>
              <w:rPr>
                <w:webHidden/>
              </w:rPr>
              <w:t>72</w:t>
            </w:r>
            <w:r>
              <w:rPr>
                <w:webHidden/>
              </w:rPr>
              <w:fldChar w:fldCharType="end"/>
            </w:r>
          </w:hyperlink>
        </w:p>
        <w:p w14:paraId="6F10B2E3" w14:textId="74F7F1AB" w:rsidR="00A00D64" w:rsidRDefault="00A00D64">
          <w:pPr>
            <w:pStyle w:val="TOC2"/>
            <w:rPr>
              <w:rFonts w:asciiTheme="minorHAnsi" w:eastAsiaTheme="minorEastAsia" w:hAnsiTheme="minorHAnsi" w:cstheme="minorBidi"/>
              <w:b w:val="0"/>
              <w:kern w:val="2"/>
              <w:sz w:val="24"/>
              <w14:ligatures w14:val="standardContextual"/>
            </w:rPr>
          </w:pPr>
          <w:hyperlink w:anchor="_Toc181084879" w:history="1">
            <w:r w:rsidRPr="00016437">
              <w:rPr>
                <w:rStyle w:val="Hyperlink"/>
              </w:rPr>
              <w:t>Pacific Peoples impacted by Dawn Raids</w:t>
            </w:r>
            <w:r>
              <w:rPr>
                <w:webHidden/>
              </w:rPr>
              <w:tab/>
            </w:r>
            <w:r>
              <w:rPr>
                <w:webHidden/>
              </w:rPr>
              <w:fldChar w:fldCharType="begin"/>
            </w:r>
            <w:r>
              <w:rPr>
                <w:webHidden/>
              </w:rPr>
              <w:instrText xml:space="preserve"> PAGEREF _Toc181084879 \h </w:instrText>
            </w:r>
            <w:r>
              <w:rPr>
                <w:webHidden/>
              </w:rPr>
            </w:r>
            <w:r>
              <w:rPr>
                <w:webHidden/>
              </w:rPr>
              <w:fldChar w:fldCharType="separate"/>
            </w:r>
            <w:r>
              <w:rPr>
                <w:webHidden/>
              </w:rPr>
              <w:t>72</w:t>
            </w:r>
            <w:r>
              <w:rPr>
                <w:webHidden/>
              </w:rPr>
              <w:fldChar w:fldCharType="end"/>
            </w:r>
          </w:hyperlink>
        </w:p>
        <w:p w14:paraId="6EABA440" w14:textId="1A2FC2EB" w:rsidR="00A00D64" w:rsidRDefault="00A00D64">
          <w:pPr>
            <w:pStyle w:val="TOC2"/>
            <w:rPr>
              <w:rFonts w:asciiTheme="minorHAnsi" w:eastAsiaTheme="minorEastAsia" w:hAnsiTheme="minorHAnsi" w:cstheme="minorBidi"/>
              <w:b w:val="0"/>
              <w:kern w:val="2"/>
              <w:sz w:val="24"/>
              <w14:ligatures w14:val="standardContextual"/>
            </w:rPr>
          </w:pPr>
          <w:hyperlink w:anchor="_Toc181084880" w:history="1">
            <w:r w:rsidRPr="00016437">
              <w:rPr>
                <w:rStyle w:val="Hyperlink"/>
              </w:rPr>
              <w:t>Ngā panonitanga ki ngā penihana tokoora me te whakahouhia ōhanga</w:t>
            </w:r>
            <w:r>
              <w:rPr>
                <w:webHidden/>
              </w:rPr>
              <w:tab/>
            </w:r>
            <w:r>
              <w:rPr>
                <w:webHidden/>
              </w:rPr>
              <w:fldChar w:fldCharType="begin"/>
            </w:r>
            <w:r>
              <w:rPr>
                <w:webHidden/>
              </w:rPr>
              <w:instrText xml:space="preserve"> PAGEREF _Toc181084880 \h </w:instrText>
            </w:r>
            <w:r>
              <w:rPr>
                <w:webHidden/>
              </w:rPr>
            </w:r>
            <w:r>
              <w:rPr>
                <w:webHidden/>
              </w:rPr>
              <w:fldChar w:fldCharType="separate"/>
            </w:r>
            <w:r>
              <w:rPr>
                <w:webHidden/>
              </w:rPr>
              <w:t>73</w:t>
            </w:r>
            <w:r>
              <w:rPr>
                <w:webHidden/>
              </w:rPr>
              <w:fldChar w:fldCharType="end"/>
            </w:r>
          </w:hyperlink>
        </w:p>
        <w:p w14:paraId="49C919C5" w14:textId="1E7D703A" w:rsidR="00A00D64" w:rsidRDefault="00A00D64">
          <w:pPr>
            <w:pStyle w:val="TOC2"/>
            <w:rPr>
              <w:rFonts w:asciiTheme="minorHAnsi" w:eastAsiaTheme="minorEastAsia" w:hAnsiTheme="minorHAnsi" w:cstheme="minorBidi"/>
              <w:b w:val="0"/>
              <w:kern w:val="2"/>
              <w:sz w:val="24"/>
              <w14:ligatures w14:val="standardContextual"/>
            </w:rPr>
          </w:pPr>
          <w:hyperlink w:anchor="_Toc181084881" w:history="1">
            <w:r w:rsidRPr="00016437">
              <w:rPr>
                <w:rStyle w:val="Hyperlink"/>
              </w:rPr>
              <w:t>Changes to welfare benefits and economic restructuring</w:t>
            </w:r>
            <w:r>
              <w:rPr>
                <w:webHidden/>
              </w:rPr>
              <w:tab/>
            </w:r>
            <w:r>
              <w:rPr>
                <w:webHidden/>
              </w:rPr>
              <w:fldChar w:fldCharType="begin"/>
            </w:r>
            <w:r>
              <w:rPr>
                <w:webHidden/>
              </w:rPr>
              <w:instrText xml:space="preserve"> PAGEREF _Toc181084881 \h </w:instrText>
            </w:r>
            <w:r>
              <w:rPr>
                <w:webHidden/>
              </w:rPr>
            </w:r>
            <w:r>
              <w:rPr>
                <w:webHidden/>
              </w:rPr>
              <w:fldChar w:fldCharType="separate"/>
            </w:r>
            <w:r>
              <w:rPr>
                <w:webHidden/>
              </w:rPr>
              <w:t>73</w:t>
            </w:r>
            <w:r>
              <w:rPr>
                <w:webHidden/>
              </w:rPr>
              <w:fldChar w:fldCharType="end"/>
            </w:r>
          </w:hyperlink>
        </w:p>
        <w:p w14:paraId="42EE7169" w14:textId="33E86D9C" w:rsidR="00A00D64" w:rsidRDefault="00A00D64">
          <w:pPr>
            <w:pStyle w:val="TOC3"/>
            <w:rPr>
              <w:rFonts w:asciiTheme="minorHAnsi" w:eastAsiaTheme="minorEastAsia" w:hAnsiTheme="minorHAnsi" w:cstheme="minorBidi"/>
              <w:kern w:val="2"/>
              <w:sz w:val="24"/>
              <w14:ligatures w14:val="standardContextual"/>
            </w:rPr>
          </w:pPr>
          <w:hyperlink w:anchor="_Toc181084882" w:history="1">
            <w:r w:rsidRPr="00016437">
              <w:rPr>
                <w:rStyle w:val="Hyperlink"/>
                <w:rFonts w:cs="Arial"/>
              </w:rPr>
              <w:t>Ka whakauruhia te penihana take kāinga</w:t>
            </w:r>
            <w:r>
              <w:rPr>
                <w:webHidden/>
              </w:rPr>
              <w:tab/>
            </w:r>
            <w:r>
              <w:rPr>
                <w:webHidden/>
              </w:rPr>
              <w:fldChar w:fldCharType="begin"/>
            </w:r>
            <w:r>
              <w:rPr>
                <w:webHidden/>
              </w:rPr>
              <w:instrText xml:space="preserve"> PAGEREF _Toc181084882 \h </w:instrText>
            </w:r>
            <w:r>
              <w:rPr>
                <w:webHidden/>
              </w:rPr>
            </w:r>
            <w:r>
              <w:rPr>
                <w:webHidden/>
              </w:rPr>
              <w:fldChar w:fldCharType="separate"/>
            </w:r>
            <w:r>
              <w:rPr>
                <w:webHidden/>
              </w:rPr>
              <w:t>73</w:t>
            </w:r>
            <w:r>
              <w:rPr>
                <w:webHidden/>
              </w:rPr>
              <w:fldChar w:fldCharType="end"/>
            </w:r>
          </w:hyperlink>
        </w:p>
        <w:p w14:paraId="508190A0" w14:textId="543206CF" w:rsidR="00A00D64" w:rsidRDefault="00A00D64">
          <w:pPr>
            <w:pStyle w:val="TOC3"/>
            <w:rPr>
              <w:rFonts w:asciiTheme="minorHAnsi" w:eastAsiaTheme="minorEastAsia" w:hAnsiTheme="minorHAnsi" w:cstheme="minorBidi"/>
              <w:kern w:val="2"/>
              <w:sz w:val="24"/>
              <w14:ligatures w14:val="standardContextual"/>
            </w:rPr>
          </w:pPr>
          <w:hyperlink w:anchor="_Toc181084883" w:history="1">
            <w:r w:rsidRPr="00016437">
              <w:rPr>
                <w:rStyle w:val="Hyperlink"/>
                <w:rFonts w:cs="Arial"/>
              </w:rPr>
              <w:t>Domestic Purposes Benefit introduced</w:t>
            </w:r>
            <w:r>
              <w:rPr>
                <w:webHidden/>
              </w:rPr>
              <w:tab/>
            </w:r>
            <w:r>
              <w:rPr>
                <w:webHidden/>
              </w:rPr>
              <w:fldChar w:fldCharType="begin"/>
            </w:r>
            <w:r>
              <w:rPr>
                <w:webHidden/>
              </w:rPr>
              <w:instrText xml:space="preserve"> PAGEREF _Toc181084883 \h </w:instrText>
            </w:r>
            <w:r>
              <w:rPr>
                <w:webHidden/>
              </w:rPr>
            </w:r>
            <w:r>
              <w:rPr>
                <w:webHidden/>
              </w:rPr>
              <w:fldChar w:fldCharType="separate"/>
            </w:r>
            <w:r>
              <w:rPr>
                <w:webHidden/>
              </w:rPr>
              <w:t>73</w:t>
            </w:r>
            <w:r>
              <w:rPr>
                <w:webHidden/>
              </w:rPr>
              <w:fldChar w:fldCharType="end"/>
            </w:r>
          </w:hyperlink>
        </w:p>
        <w:p w14:paraId="15962EE8" w14:textId="3B227B51" w:rsidR="00A00D64" w:rsidRDefault="00A00D64">
          <w:pPr>
            <w:pStyle w:val="TOC3"/>
            <w:rPr>
              <w:rFonts w:asciiTheme="minorHAnsi" w:eastAsiaTheme="minorEastAsia" w:hAnsiTheme="minorHAnsi" w:cstheme="minorBidi"/>
              <w:kern w:val="2"/>
              <w:sz w:val="24"/>
              <w14:ligatures w14:val="standardContextual"/>
            </w:rPr>
          </w:pPr>
          <w:hyperlink w:anchor="_Toc181084884" w:history="1">
            <w:r w:rsidRPr="00016437">
              <w:rPr>
                <w:rStyle w:val="Hyperlink"/>
                <w:rFonts w:cs="Arial"/>
              </w:rPr>
              <w:t>Ka whakauruhia he tautoko mō te hunga whaikaha</w:t>
            </w:r>
            <w:r>
              <w:rPr>
                <w:webHidden/>
              </w:rPr>
              <w:tab/>
            </w:r>
            <w:r>
              <w:rPr>
                <w:webHidden/>
              </w:rPr>
              <w:fldChar w:fldCharType="begin"/>
            </w:r>
            <w:r>
              <w:rPr>
                <w:webHidden/>
              </w:rPr>
              <w:instrText xml:space="preserve"> PAGEREF _Toc181084884 \h </w:instrText>
            </w:r>
            <w:r>
              <w:rPr>
                <w:webHidden/>
              </w:rPr>
            </w:r>
            <w:r>
              <w:rPr>
                <w:webHidden/>
              </w:rPr>
              <w:fldChar w:fldCharType="separate"/>
            </w:r>
            <w:r>
              <w:rPr>
                <w:webHidden/>
              </w:rPr>
              <w:t>74</w:t>
            </w:r>
            <w:r>
              <w:rPr>
                <w:webHidden/>
              </w:rPr>
              <w:fldChar w:fldCharType="end"/>
            </w:r>
          </w:hyperlink>
        </w:p>
        <w:p w14:paraId="3D923985" w14:textId="3287D863" w:rsidR="00A00D64" w:rsidRDefault="00A00D64">
          <w:pPr>
            <w:pStyle w:val="TOC3"/>
            <w:rPr>
              <w:rFonts w:asciiTheme="minorHAnsi" w:eastAsiaTheme="minorEastAsia" w:hAnsiTheme="minorHAnsi" w:cstheme="minorBidi"/>
              <w:kern w:val="2"/>
              <w:sz w:val="24"/>
              <w14:ligatures w14:val="standardContextual"/>
            </w:rPr>
          </w:pPr>
          <w:hyperlink w:anchor="_Toc181084885" w:history="1">
            <w:r w:rsidRPr="00016437">
              <w:rPr>
                <w:rStyle w:val="Hyperlink"/>
                <w:rFonts w:cs="Arial"/>
              </w:rPr>
              <w:t>Support for disabled people introduced</w:t>
            </w:r>
            <w:r>
              <w:rPr>
                <w:webHidden/>
              </w:rPr>
              <w:tab/>
            </w:r>
            <w:r>
              <w:rPr>
                <w:webHidden/>
              </w:rPr>
              <w:fldChar w:fldCharType="begin"/>
            </w:r>
            <w:r>
              <w:rPr>
                <w:webHidden/>
              </w:rPr>
              <w:instrText xml:space="preserve"> PAGEREF _Toc181084885 \h </w:instrText>
            </w:r>
            <w:r>
              <w:rPr>
                <w:webHidden/>
              </w:rPr>
            </w:r>
            <w:r>
              <w:rPr>
                <w:webHidden/>
              </w:rPr>
              <w:fldChar w:fldCharType="separate"/>
            </w:r>
            <w:r>
              <w:rPr>
                <w:webHidden/>
              </w:rPr>
              <w:t>74</w:t>
            </w:r>
            <w:r>
              <w:rPr>
                <w:webHidden/>
              </w:rPr>
              <w:fldChar w:fldCharType="end"/>
            </w:r>
          </w:hyperlink>
        </w:p>
        <w:p w14:paraId="2DB588D8" w14:textId="10A3BD33" w:rsidR="00A00D64" w:rsidRDefault="00A00D64">
          <w:pPr>
            <w:pStyle w:val="TOC3"/>
            <w:rPr>
              <w:rFonts w:asciiTheme="minorHAnsi" w:eastAsiaTheme="minorEastAsia" w:hAnsiTheme="minorHAnsi" w:cstheme="minorBidi"/>
              <w:kern w:val="2"/>
              <w:sz w:val="24"/>
              <w14:ligatures w14:val="standardContextual"/>
            </w:rPr>
          </w:pPr>
          <w:hyperlink w:anchor="_Toc181084886" w:history="1">
            <w:r w:rsidRPr="00016437">
              <w:rPr>
                <w:rStyle w:val="Hyperlink"/>
                <w:rFonts w:cs="Arial"/>
              </w:rPr>
              <w:t>Ngā whakahoutanga o ngā tau 1980</w:t>
            </w:r>
            <w:r>
              <w:rPr>
                <w:webHidden/>
              </w:rPr>
              <w:tab/>
            </w:r>
            <w:r>
              <w:rPr>
                <w:webHidden/>
              </w:rPr>
              <w:fldChar w:fldCharType="begin"/>
            </w:r>
            <w:r>
              <w:rPr>
                <w:webHidden/>
              </w:rPr>
              <w:instrText xml:space="preserve"> PAGEREF _Toc181084886 \h </w:instrText>
            </w:r>
            <w:r>
              <w:rPr>
                <w:webHidden/>
              </w:rPr>
            </w:r>
            <w:r>
              <w:rPr>
                <w:webHidden/>
              </w:rPr>
              <w:fldChar w:fldCharType="separate"/>
            </w:r>
            <w:r>
              <w:rPr>
                <w:webHidden/>
              </w:rPr>
              <w:t>75</w:t>
            </w:r>
            <w:r>
              <w:rPr>
                <w:webHidden/>
              </w:rPr>
              <w:fldChar w:fldCharType="end"/>
            </w:r>
          </w:hyperlink>
        </w:p>
        <w:p w14:paraId="284FA508" w14:textId="64A33682" w:rsidR="00A00D64" w:rsidRDefault="00A00D64">
          <w:pPr>
            <w:pStyle w:val="TOC3"/>
            <w:rPr>
              <w:rFonts w:asciiTheme="minorHAnsi" w:eastAsiaTheme="minorEastAsia" w:hAnsiTheme="minorHAnsi" w:cstheme="minorBidi"/>
              <w:kern w:val="2"/>
              <w:sz w:val="24"/>
              <w14:ligatures w14:val="standardContextual"/>
            </w:rPr>
          </w:pPr>
          <w:hyperlink w:anchor="_Toc181084887" w:history="1">
            <w:r w:rsidRPr="00016437">
              <w:rPr>
                <w:rStyle w:val="Hyperlink"/>
                <w:rFonts w:cs="Arial"/>
              </w:rPr>
              <w:t>1980s reforms</w:t>
            </w:r>
            <w:r>
              <w:rPr>
                <w:webHidden/>
              </w:rPr>
              <w:tab/>
            </w:r>
            <w:r>
              <w:rPr>
                <w:webHidden/>
              </w:rPr>
              <w:fldChar w:fldCharType="begin"/>
            </w:r>
            <w:r>
              <w:rPr>
                <w:webHidden/>
              </w:rPr>
              <w:instrText xml:space="preserve"> PAGEREF _Toc181084887 \h </w:instrText>
            </w:r>
            <w:r>
              <w:rPr>
                <w:webHidden/>
              </w:rPr>
            </w:r>
            <w:r>
              <w:rPr>
                <w:webHidden/>
              </w:rPr>
              <w:fldChar w:fldCharType="separate"/>
            </w:r>
            <w:r>
              <w:rPr>
                <w:webHidden/>
              </w:rPr>
              <w:t>75</w:t>
            </w:r>
            <w:r>
              <w:rPr>
                <w:webHidden/>
              </w:rPr>
              <w:fldChar w:fldCharType="end"/>
            </w:r>
          </w:hyperlink>
        </w:p>
        <w:p w14:paraId="127AE03A" w14:textId="4634254D" w:rsidR="00A00D64" w:rsidRDefault="00A00D64">
          <w:pPr>
            <w:pStyle w:val="TOC3"/>
            <w:rPr>
              <w:rFonts w:asciiTheme="minorHAnsi" w:eastAsiaTheme="minorEastAsia" w:hAnsiTheme="minorHAnsi" w:cstheme="minorBidi"/>
              <w:kern w:val="2"/>
              <w:sz w:val="24"/>
              <w14:ligatures w14:val="standardContextual"/>
            </w:rPr>
          </w:pPr>
          <w:hyperlink w:anchor="_Toc181084888" w:history="1">
            <w:r w:rsidRPr="00016437">
              <w:rPr>
                <w:rStyle w:val="Hyperlink"/>
                <w:rFonts w:cs="Arial"/>
              </w:rPr>
              <w:t>Ngā awenga o te paheketanga ōhanga i ngā tau 1990</w:t>
            </w:r>
            <w:r>
              <w:rPr>
                <w:webHidden/>
              </w:rPr>
              <w:tab/>
            </w:r>
            <w:r>
              <w:rPr>
                <w:webHidden/>
              </w:rPr>
              <w:fldChar w:fldCharType="begin"/>
            </w:r>
            <w:r>
              <w:rPr>
                <w:webHidden/>
              </w:rPr>
              <w:instrText xml:space="preserve"> PAGEREF _Toc181084888 \h </w:instrText>
            </w:r>
            <w:r>
              <w:rPr>
                <w:webHidden/>
              </w:rPr>
            </w:r>
            <w:r>
              <w:rPr>
                <w:webHidden/>
              </w:rPr>
              <w:fldChar w:fldCharType="separate"/>
            </w:r>
            <w:r>
              <w:rPr>
                <w:webHidden/>
              </w:rPr>
              <w:t>75</w:t>
            </w:r>
            <w:r>
              <w:rPr>
                <w:webHidden/>
              </w:rPr>
              <w:fldChar w:fldCharType="end"/>
            </w:r>
          </w:hyperlink>
        </w:p>
        <w:p w14:paraId="0EF8CD04" w14:textId="3A77F676" w:rsidR="00A00D64" w:rsidRDefault="00A00D64">
          <w:pPr>
            <w:pStyle w:val="TOC3"/>
            <w:rPr>
              <w:rFonts w:asciiTheme="minorHAnsi" w:eastAsiaTheme="minorEastAsia" w:hAnsiTheme="minorHAnsi" w:cstheme="minorBidi"/>
              <w:kern w:val="2"/>
              <w:sz w:val="24"/>
              <w14:ligatures w14:val="standardContextual"/>
            </w:rPr>
          </w:pPr>
          <w:hyperlink w:anchor="_Toc181084889" w:history="1">
            <w:r w:rsidRPr="00016437">
              <w:rPr>
                <w:rStyle w:val="Hyperlink"/>
                <w:rFonts w:cs="Arial"/>
              </w:rPr>
              <w:t>Impacts of recession in the 1990s</w:t>
            </w:r>
            <w:r>
              <w:rPr>
                <w:webHidden/>
              </w:rPr>
              <w:tab/>
            </w:r>
            <w:r>
              <w:rPr>
                <w:webHidden/>
              </w:rPr>
              <w:fldChar w:fldCharType="begin"/>
            </w:r>
            <w:r>
              <w:rPr>
                <w:webHidden/>
              </w:rPr>
              <w:instrText xml:space="preserve"> PAGEREF _Toc181084889 \h </w:instrText>
            </w:r>
            <w:r>
              <w:rPr>
                <w:webHidden/>
              </w:rPr>
            </w:r>
            <w:r>
              <w:rPr>
                <w:webHidden/>
              </w:rPr>
              <w:fldChar w:fldCharType="separate"/>
            </w:r>
            <w:r>
              <w:rPr>
                <w:webHidden/>
              </w:rPr>
              <w:t>75</w:t>
            </w:r>
            <w:r>
              <w:rPr>
                <w:webHidden/>
              </w:rPr>
              <w:fldChar w:fldCharType="end"/>
            </w:r>
          </w:hyperlink>
        </w:p>
        <w:p w14:paraId="79DDD1EA" w14:textId="54737044" w:rsidR="00A00D64" w:rsidRDefault="00A00D64">
          <w:pPr>
            <w:pStyle w:val="TOC2"/>
            <w:rPr>
              <w:rFonts w:asciiTheme="minorHAnsi" w:eastAsiaTheme="minorEastAsia" w:hAnsiTheme="minorHAnsi" w:cstheme="minorBidi"/>
              <w:b w:val="0"/>
              <w:kern w:val="2"/>
              <w:sz w:val="24"/>
              <w14:ligatures w14:val="standardContextual"/>
            </w:rPr>
          </w:pPr>
          <w:hyperlink w:anchor="_Toc181084890" w:history="1">
            <w:r w:rsidRPr="00016437">
              <w:rPr>
                <w:rStyle w:val="Hyperlink"/>
              </w:rPr>
              <w:t>Ka kapi haere ngā whare hauora hinengaro,hauora hinengaro tamariki hoki</w:t>
            </w:r>
            <w:r>
              <w:rPr>
                <w:webHidden/>
              </w:rPr>
              <w:tab/>
            </w:r>
            <w:r>
              <w:rPr>
                <w:webHidden/>
              </w:rPr>
              <w:fldChar w:fldCharType="begin"/>
            </w:r>
            <w:r>
              <w:rPr>
                <w:webHidden/>
              </w:rPr>
              <w:instrText xml:space="preserve"> PAGEREF _Toc181084890 \h </w:instrText>
            </w:r>
            <w:r>
              <w:rPr>
                <w:webHidden/>
              </w:rPr>
            </w:r>
            <w:r>
              <w:rPr>
                <w:webHidden/>
              </w:rPr>
              <w:fldChar w:fldCharType="separate"/>
            </w:r>
            <w:r>
              <w:rPr>
                <w:webHidden/>
              </w:rPr>
              <w:t>75</w:t>
            </w:r>
            <w:r>
              <w:rPr>
                <w:webHidden/>
              </w:rPr>
              <w:fldChar w:fldCharType="end"/>
            </w:r>
          </w:hyperlink>
        </w:p>
        <w:p w14:paraId="4DCAF871" w14:textId="195C4F69" w:rsidR="00A00D64" w:rsidRDefault="00A00D64">
          <w:pPr>
            <w:pStyle w:val="TOC2"/>
            <w:rPr>
              <w:rFonts w:asciiTheme="minorHAnsi" w:eastAsiaTheme="minorEastAsia" w:hAnsiTheme="minorHAnsi" w:cstheme="minorBidi"/>
              <w:b w:val="0"/>
              <w:kern w:val="2"/>
              <w:sz w:val="24"/>
              <w14:ligatures w14:val="standardContextual"/>
            </w:rPr>
          </w:pPr>
          <w:hyperlink w:anchor="_Toc181084891" w:history="1">
            <w:r w:rsidRPr="00016437">
              <w:rPr>
                <w:rStyle w:val="Hyperlink"/>
              </w:rPr>
              <w:t>Psychiatric and psychopaedic hospitals begin to close</w:t>
            </w:r>
            <w:r>
              <w:rPr>
                <w:webHidden/>
              </w:rPr>
              <w:tab/>
            </w:r>
            <w:r>
              <w:rPr>
                <w:webHidden/>
              </w:rPr>
              <w:fldChar w:fldCharType="begin"/>
            </w:r>
            <w:r>
              <w:rPr>
                <w:webHidden/>
              </w:rPr>
              <w:instrText xml:space="preserve"> PAGEREF _Toc181084891 \h </w:instrText>
            </w:r>
            <w:r>
              <w:rPr>
                <w:webHidden/>
              </w:rPr>
            </w:r>
            <w:r>
              <w:rPr>
                <w:webHidden/>
              </w:rPr>
              <w:fldChar w:fldCharType="separate"/>
            </w:r>
            <w:r>
              <w:rPr>
                <w:webHidden/>
              </w:rPr>
              <w:t>75</w:t>
            </w:r>
            <w:r>
              <w:rPr>
                <w:webHidden/>
              </w:rPr>
              <w:fldChar w:fldCharType="end"/>
            </w:r>
          </w:hyperlink>
        </w:p>
        <w:p w14:paraId="7EA9D965" w14:textId="55508076" w:rsidR="00A00D64" w:rsidRDefault="00A00D64">
          <w:pPr>
            <w:pStyle w:val="TOC2"/>
            <w:rPr>
              <w:rFonts w:asciiTheme="minorHAnsi" w:eastAsiaTheme="minorEastAsia" w:hAnsiTheme="minorHAnsi" w:cstheme="minorBidi"/>
              <w:b w:val="0"/>
              <w:kern w:val="2"/>
              <w:sz w:val="24"/>
              <w14:ligatures w14:val="standardContextual"/>
            </w:rPr>
          </w:pPr>
          <w:hyperlink w:anchor="_Toc181084892" w:history="1">
            <w:r w:rsidRPr="00016437">
              <w:rPr>
                <w:rStyle w:val="Hyperlink"/>
              </w:rPr>
              <w:t>Ka piki te aroā ki te whanaketanga me te tūkinotanga tamariki</w:t>
            </w:r>
            <w:r>
              <w:rPr>
                <w:webHidden/>
              </w:rPr>
              <w:tab/>
            </w:r>
            <w:r>
              <w:rPr>
                <w:webHidden/>
              </w:rPr>
              <w:fldChar w:fldCharType="begin"/>
            </w:r>
            <w:r>
              <w:rPr>
                <w:webHidden/>
              </w:rPr>
              <w:instrText xml:space="preserve"> PAGEREF _Toc181084892 \h </w:instrText>
            </w:r>
            <w:r>
              <w:rPr>
                <w:webHidden/>
              </w:rPr>
            </w:r>
            <w:r>
              <w:rPr>
                <w:webHidden/>
              </w:rPr>
              <w:fldChar w:fldCharType="separate"/>
            </w:r>
            <w:r>
              <w:rPr>
                <w:webHidden/>
              </w:rPr>
              <w:t>77</w:t>
            </w:r>
            <w:r>
              <w:rPr>
                <w:webHidden/>
              </w:rPr>
              <w:fldChar w:fldCharType="end"/>
            </w:r>
          </w:hyperlink>
        </w:p>
        <w:p w14:paraId="5505E96E" w14:textId="148997B4" w:rsidR="00A00D64" w:rsidRDefault="00A00D64">
          <w:pPr>
            <w:pStyle w:val="TOC2"/>
            <w:rPr>
              <w:rFonts w:asciiTheme="minorHAnsi" w:eastAsiaTheme="minorEastAsia" w:hAnsiTheme="minorHAnsi" w:cstheme="minorBidi"/>
              <w:b w:val="0"/>
              <w:kern w:val="2"/>
              <w:sz w:val="24"/>
              <w14:ligatures w14:val="standardContextual"/>
            </w:rPr>
          </w:pPr>
          <w:hyperlink w:anchor="_Toc181084893" w:history="1">
            <w:r w:rsidRPr="00016437">
              <w:rPr>
                <w:rStyle w:val="Hyperlink"/>
              </w:rPr>
              <w:t>Increasing awareness of child development, abuse and trauma</w:t>
            </w:r>
            <w:r>
              <w:rPr>
                <w:webHidden/>
              </w:rPr>
              <w:tab/>
            </w:r>
            <w:r>
              <w:rPr>
                <w:webHidden/>
              </w:rPr>
              <w:fldChar w:fldCharType="begin"/>
            </w:r>
            <w:r>
              <w:rPr>
                <w:webHidden/>
              </w:rPr>
              <w:instrText xml:space="preserve"> PAGEREF _Toc181084893 \h </w:instrText>
            </w:r>
            <w:r>
              <w:rPr>
                <w:webHidden/>
              </w:rPr>
            </w:r>
            <w:r>
              <w:rPr>
                <w:webHidden/>
              </w:rPr>
              <w:fldChar w:fldCharType="separate"/>
            </w:r>
            <w:r>
              <w:rPr>
                <w:webHidden/>
              </w:rPr>
              <w:t>77</w:t>
            </w:r>
            <w:r>
              <w:rPr>
                <w:webHidden/>
              </w:rPr>
              <w:fldChar w:fldCharType="end"/>
            </w:r>
          </w:hyperlink>
        </w:p>
        <w:p w14:paraId="5ED916F9" w14:textId="351B2996" w:rsidR="00A00D64" w:rsidRDefault="00A00D64">
          <w:pPr>
            <w:pStyle w:val="TOC3"/>
            <w:rPr>
              <w:rFonts w:asciiTheme="minorHAnsi" w:eastAsiaTheme="minorEastAsia" w:hAnsiTheme="minorHAnsi" w:cstheme="minorBidi"/>
              <w:kern w:val="2"/>
              <w:sz w:val="24"/>
              <w14:ligatures w14:val="standardContextual"/>
            </w:rPr>
          </w:pPr>
          <w:hyperlink w:anchor="_Toc181084894" w:history="1">
            <w:r w:rsidRPr="00016437">
              <w:rPr>
                <w:rStyle w:val="Hyperlink"/>
                <w:rFonts w:cs="Arial"/>
              </w:rPr>
              <w:t>Te whakapiki mātauranga o te whanaketanga tamariki</w:t>
            </w:r>
            <w:r>
              <w:rPr>
                <w:webHidden/>
              </w:rPr>
              <w:tab/>
            </w:r>
            <w:r>
              <w:rPr>
                <w:webHidden/>
              </w:rPr>
              <w:fldChar w:fldCharType="begin"/>
            </w:r>
            <w:r>
              <w:rPr>
                <w:webHidden/>
              </w:rPr>
              <w:instrText xml:space="preserve"> PAGEREF _Toc181084894 \h </w:instrText>
            </w:r>
            <w:r>
              <w:rPr>
                <w:webHidden/>
              </w:rPr>
            </w:r>
            <w:r>
              <w:rPr>
                <w:webHidden/>
              </w:rPr>
              <w:fldChar w:fldCharType="separate"/>
            </w:r>
            <w:r>
              <w:rPr>
                <w:webHidden/>
              </w:rPr>
              <w:t>77</w:t>
            </w:r>
            <w:r>
              <w:rPr>
                <w:webHidden/>
              </w:rPr>
              <w:fldChar w:fldCharType="end"/>
            </w:r>
          </w:hyperlink>
        </w:p>
        <w:p w14:paraId="49532B85" w14:textId="19BCC28D" w:rsidR="00A00D64" w:rsidRDefault="00A00D64">
          <w:pPr>
            <w:pStyle w:val="TOC3"/>
            <w:rPr>
              <w:rFonts w:asciiTheme="minorHAnsi" w:eastAsiaTheme="minorEastAsia" w:hAnsiTheme="minorHAnsi" w:cstheme="minorBidi"/>
              <w:kern w:val="2"/>
              <w:sz w:val="24"/>
              <w14:ligatures w14:val="standardContextual"/>
            </w:rPr>
          </w:pPr>
          <w:hyperlink w:anchor="_Toc181084895" w:history="1">
            <w:r w:rsidRPr="00016437">
              <w:rPr>
                <w:rStyle w:val="Hyperlink"/>
                <w:rFonts w:cs="Arial"/>
              </w:rPr>
              <w:t>Increasing knowledge of child development</w:t>
            </w:r>
            <w:r>
              <w:rPr>
                <w:webHidden/>
              </w:rPr>
              <w:tab/>
            </w:r>
            <w:r>
              <w:rPr>
                <w:webHidden/>
              </w:rPr>
              <w:fldChar w:fldCharType="begin"/>
            </w:r>
            <w:r>
              <w:rPr>
                <w:webHidden/>
              </w:rPr>
              <w:instrText xml:space="preserve"> PAGEREF _Toc181084895 \h </w:instrText>
            </w:r>
            <w:r>
              <w:rPr>
                <w:webHidden/>
              </w:rPr>
            </w:r>
            <w:r>
              <w:rPr>
                <w:webHidden/>
              </w:rPr>
              <w:fldChar w:fldCharType="separate"/>
            </w:r>
            <w:r>
              <w:rPr>
                <w:webHidden/>
              </w:rPr>
              <w:t>77</w:t>
            </w:r>
            <w:r>
              <w:rPr>
                <w:webHidden/>
              </w:rPr>
              <w:fldChar w:fldCharType="end"/>
            </w:r>
          </w:hyperlink>
        </w:p>
        <w:p w14:paraId="16B957B9" w14:textId="31CF0D94" w:rsidR="00A00D64" w:rsidRDefault="00A00D64">
          <w:pPr>
            <w:pStyle w:val="TOC3"/>
            <w:rPr>
              <w:rFonts w:asciiTheme="minorHAnsi" w:eastAsiaTheme="minorEastAsia" w:hAnsiTheme="minorHAnsi" w:cstheme="minorBidi"/>
              <w:kern w:val="2"/>
              <w:sz w:val="24"/>
              <w14:ligatures w14:val="standardContextual"/>
            </w:rPr>
          </w:pPr>
          <w:hyperlink w:anchor="_Toc181084896" w:history="1">
            <w:r w:rsidRPr="00016437">
              <w:rPr>
                <w:rStyle w:val="Hyperlink"/>
                <w:rFonts w:cs="Arial"/>
              </w:rPr>
              <w:t>Ka nui haere te aroā ki te tūkinotanga tamariki</w:t>
            </w:r>
            <w:r>
              <w:rPr>
                <w:webHidden/>
              </w:rPr>
              <w:tab/>
            </w:r>
            <w:r>
              <w:rPr>
                <w:webHidden/>
              </w:rPr>
              <w:fldChar w:fldCharType="begin"/>
            </w:r>
            <w:r>
              <w:rPr>
                <w:webHidden/>
              </w:rPr>
              <w:instrText xml:space="preserve"> PAGEREF _Toc181084896 \h </w:instrText>
            </w:r>
            <w:r>
              <w:rPr>
                <w:webHidden/>
              </w:rPr>
            </w:r>
            <w:r>
              <w:rPr>
                <w:webHidden/>
              </w:rPr>
              <w:fldChar w:fldCharType="separate"/>
            </w:r>
            <w:r>
              <w:rPr>
                <w:webHidden/>
              </w:rPr>
              <w:t>78</w:t>
            </w:r>
            <w:r>
              <w:rPr>
                <w:webHidden/>
              </w:rPr>
              <w:fldChar w:fldCharType="end"/>
            </w:r>
          </w:hyperlink>
        </w:p>
        <w:p w14:paraId="5F6715D8" w14:textId="7401CBCF" w:rsidR="00A00D64" w:rsidRDefault="00A00D64">
          <w:pPr>
            <w:pStyle w:val="TOC3"/>
            <w:rPr>
              <w:rFonts w:asciiTheme="minorHAnsi" w:eastAsiaTheme="minorEastAsia" w:hAnsiTheme="minorHAnsi" w:cstheme="minorBidi"/>
              <w:kern w:val="2"/>
              <w:sz w:val="24"/>
              <w14:ligatures w14:val="standardContextual"/>
            </w:rPr>
          </w:pPr>
          <w:hyperlink w:anchor="_Toc181084897" w:history="1">
            <w:r w:rsidRPr="00016437">
              <w:rPr>
                <w:rStyle w:val="Hyperlink"/>
                <w:rFonts w:cs="Arial"/>
              </w:rPr>
              <w:t>Greater awareness of child abuse</w:t>
            </w:r>
            <w:r>
              <w:rPr>
                <w:webHidden/>
              </w:rPr>
              <w:tab/>
            </w:r>
            <w:r>
              <w:rPr>
                <w:webHidden/>
              </w:rPr>
              <w:fldChar w:fldCharType="begin"/>
            </w:r>
            <w:r>
              <w:rPr>
                <w:webHidden/>
              </w:rPr>
              <w:instrText xml:space="preserve"> PAGEREF _Toc181084897 \h </w:instrText>
            </w:r>
            <w:r>
              <w:rPr>
                <w:webHidden/>
              </w:rPr>
            </w:r>
            <w:r>
              <w:rPr>
                <w:webHidden/>
              </w:rPr>
              <w:fldChar w:fldCharType="separate"/>
            </w:r>
            <w:r>
              <w:rPr>
                <w:webHidden/>
              </w:rPr>
              <w:t>78</w:t>
            </w:r>
            <w:r>
              <w:rPr>
                <w:webHidden/>
              </w:rPr>
              <w:fldChar w:fldCharType="end"/>
            </w:r>
          </w:hyperlink>
        </w:p>
        <w:p w14:paraId="10BDDDCF" w14:textId="1886A662" w:rsidR="00A00D64" w:rsidRDefault="00A00D64">
          <w:pPr>
            <w:pStyle w:val="TOC3"/>
            <w:rPr>
              <w:rFonts w:asciiTheme="minorHAnsi" w:eastAsiaTheme="minorEastAsia" w:hAnsiTheme="minorHAnsi" w:cstheme="minorBidi"/>
              <w:kern w:val="2"/>
              <w:sz w:val="24"/>
              <w14:ligatures w14:val="standardContextual"/>
            </w:rPr>
          </w:pPr>
          <w:hyperlink w:anchor="_Toc181084898" w:history="1">
            <w:r w:rsidRPr="00016437">
              <w:rPr>
                <w:rStyle w:val="Hyperlink"/>
                <w:rFonts w:cs="Arial"/>
              </w:rPr>
              <w:t>Ka tipu te māramatanga ki te whakahapatanga</w:t>
            </w:r>
            <w:r>
              <w:rPr>
                <w:webHidden/>
              </w:rPr>
              <w:tab/>
            </w:r>
            <w:r>
              <w:rPr>
                <w:webHidden/>
              </w:rPr>
              <w:fldChar w:fldCharType="begin"/>
            </w:r>
            <w:r>
              <w:rPr>
                <w:webHidden/>
              </w:rPr>
              <w:instrText xml:space="preserve"> PAGEREF _Toc181084898 \h </w:instrText>
            </w:r>
            <w:r>
              <w:rPr>
                <w:webHidden/>
              </w:rPr>
            </w:r>
            <w:r>
              <w:rPr>
                <w:webHidden/>
              </w:rPr>
              <w:fldChar w:fldCharType="separate"/>
            </w:r>
            <w:r>
              <w:rPr>
                <w:webHidden/>
              </w:rPr>
              <w:t>78</w:t>
            </w:r>
            <w:r>
              <w:rPr>
                <w:webHidden/>
              </w:rPr>
              <w:fldChar w:fldCharType="end"/>
            </w:r>
          </w:hyperlink>
        </w:p>
        <w:p w14:paraId="5EF2F59C" w14:textId="7B140CBD" w:rsidR="00A00D64" w:rsidRDefault="00A00D64">
          <w:pPr>
            <w:pStyle w:val="TOC3"/>
            <w:rPr>
              <w:rFonts w:asciiTheme="minorHAnsi" w:eastAsiaTheme="minorEastAsia" w:hAnsiTheme="minorHAnsi" w:cstheme="minorBidi"/>
              <w:kern w:val="2"/>
              <w:sz w:val="24"/>
              <w14:ligatures w14:val="standardContextual"/>
            </w:rPr>
          </w:pPr>
          <w:hyperlink w:anchor="_Toc181084899" w:history="1">
            <w:r w:rsidRPr="00016437">
              <w:rPr>
                <w:rStyle w:val="Hyperlink"/>
                <w:rFonts w:cs="Arial"/>
                <w:shd w:val="clear" w:color="auto" w:fill="FFFFFF"/>
              </w:rPr>
              <w:t>Understanding of trauma grows</w:t>
            </w:r>
            <w:r>
              <w:rPr>
                <w:webHidden/>
              </w:rPr>
              <w:tab/>
            </w:r>
            <w:r>
              <w:rPr>
                <w:webHidden/>
              </w:rPr>
              <w:fldChar w:fldCharType="begin"/>
            </w:r>
            <w:r>
              <w:rPr>
                <w:webHidden/>
              </w:rPr>
              <w:instrText xml:space="preserve"> PAGEREF _Toc181084899 \h </w:instrText>
            </w:r>
            <w:r>
              <w:rPr>
                <w:webHidden/>
              </w:rPr>
            </w:r>
            <w:r>
              <w:rPr>
                <w:webHidden/>
              </w:rPr>
              <w:fldChar w:fldCharType="separate"/>
            </w:r>
            <w:r>
              <w:rPr>
                <w:webHidden/>
              </w:rPr>
              <w:t>78</w:t>
            </w:r>
            <w:r>
              <w:rPr>
                <w:webHidden/>
              </w:rPr>
              <w:fldChar w:fldCharType="end"/>
            </w:r>
          </w:hyperlink>
        </w:p>
        <w:p w14:paraId="29C55058" w14:textId="34D5C244" w:rsidR="00A00D64" w:rsidRDefault="00A00D64">
          <w:pPr>
            <w:pStyle w:val="TOC3"/>
            <w:rPr>
              <w:rFonts w:asciiTheme="minorHAnsi" w:eastAsiaTheme="minorEastAsia" w:hAnsiTheme="minorHAnsi" w:cstheme="minorBidi"/>
              <w:kern w:val="2"/>
              <w:sz w:val="24"/>
              <w14:ligatures w14:val="standardContextual"/>
            </w:rPr>
          </w:pPr>
          <w:hyperlink w:anchor="_Toc181084900" w:history="1">
            <w:r w:rsidRPr="00016437">
              <w:rPr>
                <w:rStyle w:val="Hyperlink"/>
              </w:rPr>
              <w:t>He whakamārama mō te whakahapatanga</w:t>
            </w:r>
            <w:r>
              <w:rPr>
                <w:webHidden/>
              </w:rPr>
              <w:tab/>
            </w:r>
            <w:r>
              <w:rPr>
                <w:webHidden/>
              </w:rPr>
              <w:fldChar w:fldCharType="begin"/>
            </w:r>
            <w:r>
              <w:rPr>
                <w:webHidden/>
              </w:rPr>
              <w:instrText xml:space="preserve"> PAGEREF _Toc181084900 \h </w:instrText>
            </w:r>
            <w:r>
              <w:rPr>
                <w:webHidden/>
              </w:rPr>
            </w:r>
            <w:r>
              <w:rPr>
                <w:webHidden/>
              </w:rPr>
              <w:fldChar w:fldCharType="separate"/>
            </w:r>
            <w:r>
              <w:rPr>
                <w:webHidden/>
              </w:rPr>
              <w:t>79</w:t>
            </w:r>
            <w:r>
              <w:rPr>
                <w:webHidden/>
              </w:rPr>
              <w:fldChar w:fldCharType="end"/>
            </w:r>
          </w:hyperlink>
        </w:p>
        <w:p w14:paraId="11A7FE50" w14:textId="16A3C8B2" w:rsidR="00A00D64" w:rsidRDefault="00A00D64">
          <w:pPr>
            <w:pStyle w:val="TOC3"/>
            <w:rPr>
              <w:rFonts w:asciiTheme="minorHAnsi" w:eastAsiaTheme="minorEastAsia" w:hAnsiTheme="minorHAnsi" w:cstheme="minorBidi"/>
              <w:kern w:val="2"/>
              <w:sz w:val="24"/>
              <w14:ligatures w14:val="standardContextual"/>
            </w:rPr>
          </w:pPr>
          <w:hyperlink w:anchor="_Toc181084901" w:history="1">
            <w:r w:rsidRPr="00016437">
              <w:rPr>
                <w:rStyle w:val="Hyperlink"/>
              </w:rPr>
              <w:t>Some understanding of neglect</w:t>
            </w:r>
            <w:r>
              <w:rPr>
                <w:webHidden/>
              </w:rPr>
              <w:tab/>
            </w:r>
            <w:r>
              <w:rPr>
                <w:webHidden/>
              </w:rPr>
              <w:fldChar w:fldCharType="begin"/>
            </w:r>
            <w:r>
              <w:rPr>
                <w:webHidden/>
              </w:rPr>
              <w:instrText xml:space="preserve"> PAGEREF _Toc181084901 \h </w:instrText>
            </w:r>
            <w:r>
              <w:rPr>
                <w:webHidden/>
              </w:rPr>
            </w:r>
            <w:r>
              <w:rPr>
                <w:webHidden/>
              </w:rPr>
              <w:fldChar w:fldCharType="separate"/>
            </w:r>
            <w:r>
              <w:rPr>
                <w:webHidden/>
              </w:rPr>
              <w:t>79</w:t>
            </w:r>
            <w:r>
              <w:rPr>
                <w:webHidden/>
              </w:rPr>
              <w:fldChar w:fldCharType="end"/>
            </w:r>
          </w:hyperlink>
        </w:p>
        <w:p w14:paraId="74D3FB55" w14:textId="0B81B288" w:rsidR="00A00D64" w:rsidRDefault="00A00D64">
          <w:pPr>
            <w:pStyle w:val="TOC2"/>
            <w:rPr>
              <w:rFonts w:asciiTheme="minorHAnsi" w:eastAsiaTheme="minorEastAsia" w:hAnsiTheme="minorHAnsi" w:cstheme="minorBidi"/>
              <w:b w:val="0"/>
              <w:kern w:val="2"/>
              <w:sz w:val="24"/>
              <w14:ligatures w14:val="standardContextual"/>
            </w:rPr>
          </w:pPr>
          <w:hyperlink w:anchor="_Toc181084902" w:history="1">
            <w:r w:rsidRPr="00016437">
              <w:rPr>
                <w:rStyle w:val="Hyperlink"/>
              </w:rPr>
              <w:t>Te tipu o te aroā ki ngā mōtika tangata</w:t>
            </w:r>
            <w:r>
              <w:rPr>
                <w:webHidden/>
              </w:rPr>
              <w:tab/>
            </w:r>
            <w:r>
              <w:rPr>
                <w:webHidden/>
              </w:rPr>
              <w:fldChar w:fldCharType="begin"/>
            </w:r>
            <w:r>
              <w:rPr>
                <w:webHidden/>
              </w:rPr>
              <w:instrText xml:space="preserve"> PAGEREF _Toc181084902 \h </w:instrText>
            </w:r>
            <w:r>
              <w:rPr>
                <w:webHidden/>
              </w:rPr>
            </w:r>
            <w:r>
              <w:rPr>
                <w:webHidden/>
              </w:rPr>
              <w:fldChar w:fldCharType="separate"/>
            </w:r>
            <w:r>
              <w:rPr>
                <w:webHidden/>
              </w:rPr>
              <w:t>79</w:t>
            </w:r>
            <w:r>
              <w:rPr>
                <w:webHidden/>
              </w:rPr>
              <w:fldChar w:fldCharType="end"/>
            </w:r>
          </w:hyperlink>
        </w:p>
        <w:p w14:paraId="035DD588" w14:textId="53FED43B" w:rsidR="00A00D64" w:rsidRDefault="00A00D64">
          <w:pPr>
            <w:pStyle w:val="TOC2"/>
            <w:rPr>
              <w:rFonts w:asciiTheme="minorHAnsi" w:eastAsiaTheme="minorEastAsia" w:hAnsiTheme="minorHAnsi" w:cstheme="minorBidi"/>
              <w:b w:val="0"/>
              <w:kern w:val="2"/>
              <w:sz w:val="24"/>
              <w14:ligatures w14:val="standardContextual"/>
            </w:rPr>
          </w:pPr>
          <w:hyperlink w:anchor="_Toc181084903" w:history="1">
            <w:r w:rsidRPr="00016437">
              <w:rPr>
                <w:rStyle w:val="Hyperlink"/>
              </w:rPr>
              <w:t>Increased awareness of human rights</w:t>
            </w:r>
            <w:r>
              <w:rPr>
                <w:webHidden/>
              </w:rPr>
              <w:tab/>
            </w:r>
            <w:r>
              <w:rPr>
                <w:webHidden/>
              </w:rPr>
              <w:fldChar w:fldCharType="begin"/>
            </w:r>
            <w:r>
              <w:rPr>
                <w:webHidden/>
              </w:rPr>
              <w:instrText xml:space="preserve"> PAGEREF _Toc181084903 \h </w:instrText>
            </w:r>
            <w:r>
              <w:rPr>
                <w:webHidden/>
              </w:rPr>
            </w:r>
            <w:r>
              <w:rPr>
                <w:webHidden/>
              </w:rPr>
              <w:fldChar w:fldCharType="separate"/>
            </w:r>
            <w:r>
              <w:rPr>
                <w:webHidden/>
              </w:rPr>
              <w:t>79</w:t>
            </w:r>
            <w:r>
              <w:rPr>
                <w:webHidden/>
              </w:rPr>
              <w:fldChar w:fldCharType="end"/>
            </w:r>
          </w:hyperlink>
        </w:p>
        <w:p w14:paraId="41D57A61" w14:textId="632FD95F" w:rsidR="00A00D64" w:rsidRDefault="00A00D64">
          <w:pPr>
            <w:pStyle w:val="TOC3"/>
            <w:rPr>
              <w:rFonts w:asciiTheme="minorHAnsi" w:eastAsiaTheme="minorEastAsia" w:hAnsiTheme="minorHAnsi" w:cstheme="minorBidi"/>
              <w:kern w:val="2"/>
              <w:sz w:val="24"/>
              <w14:ligatures w14:val="standardContextual"/>
            </w:rPr>
          </w:pPr>
          <w:hyperlink w:anchor="_Toc181084904" w:history="1">
            <w:r w:rsidRPr="00016437">
              <w:rPr>
                <w:rStyle w:val="Hyperlink"/>
                <w:rFonts w:cs="Arial"/>
              </w:rPr>
              <w:t>Mōtika Māori</w:t>
            </w:r>
            <w:r>
              <w:rPr>
                <w:webHidden/>
              </w:rPr>
              <w:tab/>
            </w:r>
            <w:r>
              <w:rPr>
                <w:webHidden/>
              </w:rPr>
              <w:fldChar w:fldCharType="begin"/>
            </w:r>
            <w:r>
              <w:rPr>
                <w:webHidden/>
              </w:rPr>
              <w:instrText xml:space="preserve"> PAGEREF _Toc181084904 \h </w:instrText>
            </w:r>
            <w:r>
              <w:rPr>
                <w:webHidden/>
              </w:rPr>
            </w:r>
            <w:r>
              <w:rPr>
                <w:webHidden/>
              </w:rPr>
              <w:fldChar w:fldCharType="separate"/>
            </w:r>
            <w:r>
              <w:rPr>
                <w:webHidden/>
              </w:rPr>
              <w:t>80</w:t>
            </w:r>
            <w:r>
              <w:rPr>
                <w:webHidden/>
              </w:rPr>
              <w:fldChar w:fldCharType="end"/>
            </w:r>
          </w:hyperlink>
        </w:p>
        <w:p w14:paraId="35C4A904" w14:textId="44A020EC" w:rsidR="00A00D64" w:rsidRDefault="00A00D64">
          <w:pPr>
            <w:pStyle w:val="TOC3"/>
            <w:rPr>
              <w:rFonts w:asciiTheme="minorHAnsi" w:eastAsiaTheme="minorEastAsia" w:hAnsiTheme="minorHAnsi" w:cstheme="minorBidi"/>
              <w:kern w:val="2"/>
              <w:sz w:val="24"/>
              <w14:ligatures w14:val="standardContextual"/>
            </w:rPr>
          </w:pPr>
          <w:hyperlink w:anchor="_Toc181084905" w:history="1">
            <w:r w:rsidRPr="00016437">
              <w:rPr>
                <w:rStyle w:val="Hyperlink"/>
                <w:rFonts w:cs="Arial"/>
              </w:rPr>
              <w:t>Māori rights</w:t>
            </w:r>
            <w:r>
              <w:rPr>
                <w:webHidden/>
              </w:rPr>
              <w:tab/>
            </w:r>
            <w:r>
              <w:rPr>
                <w:webHidden/>
              </w:rPr>
              <w:fldChar w:fldCharType="begin"/>
            </w:r>
            <w:r>
              <w:rPr>
                <w:webHidden/>
              </w:rPr>
              <w:instrText xml:space="preserve"> PAGEREF _Toc181084905 \h </w:instrText>
            </w:r>
            <w:r>
              <w:rPr>
                <w:webHidden/>
              </w:rPr>
            </w:r>
            <w:r>
              <w:rPr>
                <w:webHidden/>
              </w:rPr>
              <w:fldChar w:fldCharType="separate"/>
            </w:r>
            <w:r>
              <w:rPr>
                <w:webHidden/>
              </w:rPr>
              <w:t>80</w:t>
            </w:r>
            <w:r>
              <w:rPr>
                <w:webHidden/>
              </w:rPr>
              <w:fldChar w:fldCharType="end"/>
            </w:r>
          </w:hyperlink>
        </w:p>
        <w:p w14:paraId="5494C6C2" w14:textId="484A631E" w:rsidR="00A00D64" w:rsidRDefault="00A00D64">
          <w:pPr>
            <w:pStyle w:val="TOC3"/>
            <w:rPr>
              <w:rFonts w:asciiTheme="minorHAnsi" w:eastAsiaTheme="minorEastAsia" w:hAnsiTheme="minorHAnsi" w:cstheme="minorBidi"/>
              <w:kern w:val="2"/>
              <w:sz w:val="24"/>
              <w14:ligatures w14:val="standardContextual"/>
            </w:rPr>
          </w:pPr>
          <w:hyperlink w:anchor="_Toc181084906" w:history="1">
            <w:r w:rsidRPr="00016437">
              <w:rPr>
                <w:rStyle w:val="Hyperlink"/>
                <w:rFonts w:cs="Arial"/>
              </w:rPr>
              <w:t>Mōtika Turi</w:t>
            </w:r>
            <w:r>
              <w:rPr>
                <w:webHidden/>
              </w:rPr>
              <w:tab/>
            </w:r>
            <w:r>
              <w:rPr>
                <w:webHidden/>
              </w:rPr>
              <w:fldChar w:fldCharType="begin"/>
            </w:r>
            <w:r>
              <w:rPr>
                <w:webHidden/>
              </w:rPr>
              <w:instrText xml:space="preserve"> PAGEREF _Toc181084906 \h </w:instrText>
            </w:r>
            <w:r>
              <w:rPr>
                <w:webHidden/>
              </w:rPr>
            </w:r>
            <w:r>
              <w:rPr>
                <w:webHidden/>
              </w:rPr>
              <w:fldChar w:fldCharType="separate"/>
            </w:r>
            <w:r>
              <w:rPr>
                <w:webHidden/>
              </w:rPr>
              <w:t>81</w:t>
            </w:r>
            <w:r>
              <w:rPr>
                <w:webHidden/>
              </w:rPr>
              <w:fldChar w:fldCharType="end"/>
            </w:r>
          </w:hyperlink>
        </w:p>
        <w:p w14:paraId="6A99E52E" w14:textId="78D09C5B" w:rsidR="00A00D64" w:rsidRDefault="00A00D64">
          <w:pPr>
            <w:pStyle w:val="TOC3"/>
            <w:rPr>
              <w:rFonts w:asciiTheme="minorHAnsi" w:eastAsiaTheme="minorEastAsia" w:hAnsiTheme="minorHAnsi" w:cstheme="minorBidi"/>
              <w:kern w:val="2"/>
              <w:sz w:val="24"/>
              <w14:ligatures w14:val="standardContextual"/>
            </w:rPr>
          </w:pPr>
          <w:hyperlink w:anchor="_Toc181084907" w:history="1">
            <w:r w:rsidRPr="00016437">
              <w:rPr>
                <w:rStyle w:val="Hyperlink"/>
                <w:rFonts w:cs="Arial"/>
              </w:rPr>
              <w:t>Deaf rights</w:t>
            </w:r>
            <w:r>
              <w:rPr>
                <w:webHidden/>
              </w:rPr>
              <w:tab/>
            </w:r>
            <w:r>
              <w:rPr>
                <w:webHidden/>
              </w:rPr>
              <w:fldChar w:fldCharType="begin"/>
            </w:r>
            <w:r>
              <w:rPr>
                <w:webHidden/>
              </w:rPr>
              <w:instrText xml:space="preserve"> PAGEREF _Toc181084907 \h </w:instrText>
            </w:r>
            <w:r>
              <w:rPr>
                <w:webHidden/>
              </w:rPr>
            </w:r>
            <w:r>
              <w:rPr>
                <w:webHidden/>
              </w:rPr>
              <w:fldChar w:fldCharType="separate"/>
            </w:r>
            <w:r>
              <w:rPr>
                <w:webHidden/>
              </w:rPr>
              <w:t>81</w:t>
            </w:r>
            <w:r>
              <w:rPr>
                <w:webHidden/>
              </w:rPr>
              <w:fldChar w:fldCharType="end"/>
            </w:r>
          </w:hyperlink>
        </w:p>
        <w:p w14:paraId="2CF9F459" w14:textId="5EA541B4" w:rsidR="00A00D64" w:rsidRDefault="00A00D64">
          <w:pPr>
            <w:pStyle w:val="TOC3"/>
            <w:rPr>
              <w:rFonts w:asciiTheme="minorHAnsi" w:eastAsiaTheme="minorEastAsia" w:hAnsiTheme="minorHAnsi" w:cstheme="minorBidi"/>
              <w:kern w:val="2"/>
              <w:sz w:val="24"/>
              <w14:ligatures w14:val="standardContextual"/>
            </w:rPr>
          </w:pPr>
          <w:hyperlink w:anchor="_Toc181084908" w:history="1">
            <w:r w:rsidRPr="00016437">
              <w:rPr>
                <w:rStyle w:val="Hyperlink"/>
                <w:rFonts w:cs="Arial"/>
              </w:rPr>
              <w:t>Mōtika whaikaha</w:t>
            </w:r>
            <w:r>
              <w:rPr>
                <w:webHidden/>
              </w:rPr>
              <w:tab/>
            </w:r>
            <w:r>
              <w:rPr>
                <w:webHidden/>
              </w:rPr>
              <w:fldChar w:fldCharType="begin"/>
            </w:r>
            <w:r>
              <w:rPr>
                <w:webHidden/>
              </w:rPr>
              <w:instrText xml:space="preserve"> PAGEREF _Toc181084908 \h </w:instrText>
            </w:r>
            <w:r>
              <w:rPr>
                <w:webHidden/>
              </w:rPr>
            </w:r>
            <w:r>
              <w:rPr>
                <w:webHidden/>
              </w:rPr>
              <w:fldChar w:fldCharType="separate"/>
            </w:r>
            <w:r>
              <w:rPr>
                <w:webHidden/>
              </w:rPr>
              <w:t>82</w:t>
            </w:r>
            <w:r>
              <w:rPr>
                <w:webHidden/>
              </w:rPr>
              <w:fldChar w:fldCharType="end"/>
            </w:r>
          </w:hyperlink>
        </w:p>
        <w:p w14:paraId="0C1FBD9F" w14:textId="3A1C8121" w:rsidR="00A00D64" w:rsidRDefault="00A00D64">
          <w:pPr>
            <w:pStyle w:val="TOC3"/>
            <w:rPr>
              <w:rFonts w:asciiTheme="minorHAnsi" w:eastAsiaTheme="minorEastAsia" w:hAnsiTheme="minorHAnsi" w:cstheme="minorBidi"/>
              <w:kern w:val="2"/>
              <w:sz w:val="24"/>
              <w14:ligatures w14:val="standardContextual"/>
            </w:rPr>
          </w:pPr>
          <w:hyperlink w:anchor="_Toc181084909" w:history="1">
            <w:r w:rsidRPr="00016437">
              <w:rPr>
                <w:rStyle w:val="Hyperlink"/>
                <w:rFonts w:cs="Arial"/>
              </w:rPr>
              <w:t>Disability rights</w:t>
            </w:r>
            <w:r>
              <w:rPr>
                <w:webHidden/>
              </w:rPr>
              <w:tab/>
            </w:r>
            <w:r>
              <w:rPr>
                <w:webHidden/>
              </w:rPr>
              <w:fldChar w:fldCharType="begin"/>
            </w:r>
            <w:r>
              <w:rPr>
                <w:webHidden/>
              </w:rPr>
              <w:instrText xml:space="preserve"> PAGEREF _Toc181084909 \h </w:instrText>
            </w:r>
            <w:r>
              <w:rPr>
                <w:webHidden/>
              </w:rPr>
            </w:r>
            <w:r>
              <w:rPr>
                <w:webHidden/>
              </w:rPr>
              <w:fldChar w:fldCharType="separate"/>
            </w:r>
            <w:r>
              <w:rPr>
                <w:webHidden/>
              </w:rPr>
              <w:t>82</w:t>
            </w:r>
            <w:r>
              <w:rPr>
                <w:webHidden/>
              </w:rPr>
              <w:fldChar w:fldCharType="end"/>
            </w:r>
          </w:hyperlink>
        </w:p>
        <w:p w14:paraId="38BA3496" w14:textId="41B05509" w:rsidR="00A00D64" w:rsidRDefault="00A00D64">
          <w:pPr>
            <w:pStyle w:val="TOC3"/>
            <w:rPr>
              <w:rFonts w:asciiTheme="minorHAnsi" w:eastAsiaTheme="minorEastAsia" w:hAnsiTheme="minorHAnsi" w:cstheme="minorBidi"/>
              <w:kern w:val="2"/>
              <w:sz w:val="24"/>
              <w14:ligatures w14:val="standardContextual"/>
            </w:rPr>
          </w:pPr>
          <w:hyperlink w:anchor="_Toc181084910" w:history="1">
            <w:r w:rsidRPr="00016437">
              <w:rPr>
                <w:rStyle w:val="Hyperlink"/>
                <w:rFonts w:cs="Arial"/>
              </w:rPr>
              <w:t>Mōtika Takatāpui</w:t>
            </w:r>
            <w:r>
              <w:rPr>
                <w:webHidden/>
              </w:rPr>
              <w:tab/>
            </w:r>
            <w:r>
              <w:rPr>
                <w:webHidden/>
              </w:rPr>
              <w:fldChar w:fldCharType="begin"/>
            </w:r>
            <w:r>
              <w:rPr>
                <w:webHidden/>
              </w:rPr>
              <w:instrText xml:space="preserve"> PAGEREF _Toc181084910 \h </w:instrText>
            </w:r>
            <w:r>
              <w:rPr>
                <w:webHidden/>
              </w:rPr>
            </w:r>
            <w:r>
              <w:rPr>
                <w:webHidden/>
              </w:rPr>
              <w:fldChar w:fldCharType="separate"/>
            </w:r>
            <w:r>
              <w:rPr>
                <w:webHidden/>
              </w:rPr>
              <w:t>83</w:t>
            </w:r>
            <w:r>
              <w:rPr>
                <w:webHidden/>
              </w:rPr>
              <w:fldChar w:fldCharType="end"/>
            </w:r>
          </w:hyperlink>
        </w:p>
        <w:p w14:paraId="5A801E54" w14:textId="1A8C932C" w:rsidR="00A00D64" w:rsidRDefault="00A00D64">
          <w:pPr>
            <w:pStyle w:val="TOC3"/>
            <w:rPr>
              <w:rFonts w:asciiTheme="minorHAnsi" w:eastAsiaTheme="minorEastAsia" w:hAnsiTheme="minorHAnsi" w:cstheme="minorBidi"/>
              <w:kern w:val="2"/>
              <w:sz w:val="24"/>
              <w14:ligatures w14:val="standardContextual"/>
            </w:rPr>
          </w:pPr>
          <w:hyperlink w:anchor="_Toc181084911" w:history="1">
            <w:r w:rsidRPr="00016437">
              <w:rPr>
                <w:rStyle w:val="Hyperlink"/>
                <w:rFonts w:cs="Arial"/>
              </w:rPr>
              <w:t>Gay rights</w:t>
            </w:r>
            <w:r>
              <w:rPr>
                <w:webHidden/>
              </w:rPr>
              <w:tab/>
            </w:r>
            <w:r>
              <w:rPr>
                <w:webHidden/>
              </w:rPr>
              <w:fldChar w:fldCharType="begin"/>
            </w:r>
            <w:r>
              <w:rPr>
                <w:webHidden/>
              </w:rPr>
              <w:instrText xml:space="preserve"> PAGEREF _Toc181084911 \h </w:instrText>
            </w:r>
            <w:r>
              <w:rPr>
                <w:webHidden/>
              </w:rPr>
            </w:r>
            <w:r>
              <w:rPr>
                <w:webHidden/>
              </w:rPr>
              <w:fldChar w:fldCharType="separate"/>
            </w:r>
            <w:r>
              <w:rPr>
                <w:webHidden/>
              </w:rPr>
              <w:t>83</w:t>
            </w:r>
            <w:r>
              <w:rPr>
                <w:webHidden/>
              </w:rPr>
              <w:fldChar w:fldCharType="end"/>
            </w:r>
          </w:hyperlink>
        </w:p>
        <w:p w14:paraId="0018736E" w14:textId="09FE460A" w:rsidR="00A00D64" w:rsidRDefault="00A00D64">
          <w:pPr>
            <w:pStyle w:val="TOC3"/>
            <w:rPr>
              <w:rFonts w:asciiTheme="minorHAnsi" w:eastAsiaTheme="minorEastAsia" w:hAnsiTheme="minorHAnsi" w:cstheme="minorBidi"/>
              <w:kern w:val="2"/>
              <w:sz w:val="24"/>
              <w14:ligatures w14:val="standardContextual"/>
            </w:rPr>
          </w:pPr>
          <w:hyperlink w:anchor="_Toc181084912" w:history="1">
            <w:r w:rsidRPr="00016437">
              <w:rPr>
                <w:rStyle w:val="Hyperlink"/>
                <w:rFonts w:cs="Arial"/>
                <w:shd w:val="clear" w:color="auto" w:fill="FFFFFF"/>
              </w:rPr>
              <w:t>Mōtika tamariki</w:t>
            </w:r>
            <w:r>
              <w:rPr>
                <w:webHidden/>
              </w:rPr>
              <w:tab/>
            </w:r>
            <w:r>
              <w:rPr>
                <w:webHidden/>
              </w:rPr>
              <w:fldChar w:fldCharType="begin"/>
            </w:r>
            <w:r>
              <w:rPr>
                <w:webHidden/>
              </w:rPr>
              <w:instrText xml:space="preserve"> PAGEREF _Toc181084912 \h </w:instrText>
            </w:r>
            <w:r>
              <w:rPr>
                <w:webHidden/>
              </w:rPr>
            </w:r>
            <w:r>
              <w:rPr>
                <w:webHidden/>
              </w:rPr>
              <w:fldChar w:fldCharType="separate"/>
            </w:r>
            <w:r>
              <w:rPr>
                <w:webHidden/>
              </w:rPr>
              <w:t>84</w:t>
            </w:r>
            <w:r>
              <w:rPr>
                <w:webHidden/>
              </w:rPr>
              <w:fldChar w:fldCharType="end"/>
            </w:r>
          </w:hyperlink>
        </w:p>
        <w:p w14:paraId="4511008D" w14:textId="06D1D167" w:rsidR="00A00D64" w:rsidRDefault="00A00D64">
          <w:pPr>
            <w:pStyle w:val="TOC3"/>
            <w:rPr>
              <w:rFonts w:asciiTheme="minorHAnsi" w:eastAsiaTheme="minorEastAsia" w:hAnsiTheme="minorHAnsi" w:cstheme="minorBidi"/>
              <w:kern w:val="2"/>
              <w:sz w:val="24"/>
              <w14:ligatures w14:val="standardContextual"/>
            </w:rPr>
          </w:pPr>
          <w:hyperlink w:anchor="_Toc181084913" w:history="1">
            <w:r w:rsidRPr="00016437">
              <w:rPr>
                <w:rStyle w:val="Hyperlink"/>
                <w:rFonts w:cs="Arial"/>
                <w:shd w:val="clear" w:color="auto" w:fill="FFFFFF"/>
              </w:rPr>
              <w:t>Rights of children</w:t>
            </w:r>
            <w:r>
              <w:rPr>
                <w:webHidden/>
              </w:rPr>
              <w:tab/>
            </w:r>
            <w:r>
              <w:rPr>
                <w:webHidden/>
              </w:rPr>
              <w:fldChar w:fldCharType="begin"/>
            </w:r>
            <w:r>
              <w:rPr>
                <w:webHidden/>
              </w:rPr>
              <w:instrText xml:space="preserve"> PAGEREF _Toc181084913 \h </w:instrText>
            </w:r>
            <w:r>
              <w:rPr>
                <w:webHidden/>
              </w:rPr>
            </w:r>
            <w:r>
              <w:rPr>
                <w:webHidden/>
              </w:rPr>
              <w:fldChar w:fldCharType="separate"/>
            </w:r>
            <w:r>
              <w:rPr>
                <w:webHidden/>
              </w:rPr>
              <w:t>84</w:t>
            </w:r>
            <w:r>
              <w:rPr>
                <w:webHidden/>
              </w:rPr>
              <w:fldChar w:fldCharType="end"/>
            </w:r>
          </w:hyperlink>
        </w:p>
        <w:p w14:paraId="384F06E7" w14:textId="1171EB4A" w:rsidR="00A00D64" w:rsidRDefault="00A00D64">
          <w:pPr>
            <w:pStyle w:val="TOC3"/>
            <w:rPr>
              <w:rFonts w:asciiTheme="minorHAnsi" w:eastAsiaTheme="minorEastAsia" w:hAnsiTheme="minorHAnsi" w:cstheme="minorBidi"/>
              <w:kern w:val="2"/>
              <w:sz w:val="24"/>
              <w14:ligatures w14:val="standardContextual"/>
            </w:rPr>
          </w:pPr>
          <w:hyperlink w:anchor="_Toc181084914" w:history="1">
            <w:r w:rsidRPr="00016437">
              <w:rPr>
                <w:rStyle w:val="Hyperlink"/>
                <w:rFonts w:cs="Arial"/>
              </w:rPr>
              <w:t>Mōtika iwi Pasifika</w:t>
            </w:r>
            <w:r>
              <w:rPr>
                <w:webHidden/>
              </w:rPr>
              <w:tab/>
            </w:r>
            <w:r>
              <w:rPr>
                <w:webHidden/>
              </w:rPr>
              <w:fldChar w:fldCharType="begin"/>
            </w:r>
            <w:r>
              <w:rPr>
                <w:webHidden/>
              </w:rPr>
              <w:instrText xml:space="preserve"> PAGEREF _Toc181084914 \h </w:instrText>
            </w:r>
            <w:r>
              <w:rPr>
                <w:webHidden/>
              </w:rPr>
            </w:r>
            <w:r>
              <w:rPr>
                <w:webHidden/>
              </w:rPr>
              <w:fldChar w:fldCharType="separate"/>
            </w:r>
            <w:r>
              <w:rPr>
                <w:webHidden/>
              </w:rPr>
              <w:t>84</w:t>
            </w:r>
            <w:r>
              <w:rPr>
                <w:webHidden/>
              </w:rPr>
              <w:fldChar w:fldCharType="end"/>
            </w:r>
          </w:hyperlink>
        </w:p>
        <w:p w14:paraId="4AC89FB0" w14:textId="7A5DF21B" w:rsidR="00A00D64" w:rsidRDefault="00A00D64">
          <w:pPr>
            <w:pStyle w:val="TOC3"/>
            <w:rPr>
              <w:rFonts w:asciiTheme="minorHAnsi" w:eastAsiaTheme="minorEastAsia" w:hAnsiTheme="minorHAnsi" w:cstheme="minorBidi"/>
              <w:kern w:val="2"/>
              <w:sz w:val="24"/>
              <w14:ligatures w14:val="standardContextual"/>
            </w:rPr>
          </w:pPr>
          <w:hyperlink w:anchor="_Toc181084915" w:history="1">
            <w:r w:rsidRPr="00016437">
              <w:rPr>
                <w:rStyle w:val="Hyperlink"/>
                <w:rFonts w:cs="Arial"/>
              </w:rPr>
              <w:t>Pacific Peoples’ rights</w:t>
            </w:r>
            <w:r>
              <w:rPr>
                <w:webHidden/>
              </w:rPr>
              <w:tab/>
            </w:r>
            <w:r>
              <w:rPr>
                <w:webHidden/>
              </w:rPr>
              <w:fldChar w:fldCharType="begin"/>
            </w:r>
            <w:r>
              <w:rPr>
                <w:webHidden/>
              </w:rPr>
              <w:instrText xml:space="preserve"> PAGEREF _Toc181084915 \h </w:instrText>
            </w:r>
            <w:r>
              <w:rPr>
                <w:webHidden/>
              </w:rPr>
            </w:r>
            <w:r>
              <w:rPr>
                <w:webHidden/>
              </w:rPr>
              <w:fldChar w:fldCharType="separate"/>
            </w:r>
            <w:r>
              <w:rPr>
                <w:webHidden/>
              </w:rPr>
              <w:t>84</w:t>
            </w:r>
            <w:r>
              <w:rPr>
                <w:webHidden/>
              </w:rPr>
              <w:fldChar w:fldCharType="end"/>
            </w:r>
          </w:hyperlink>
        </w:p>
        <w:p w14:paraId="0DA2FFA1" w14:textId="2B95CF2E"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16" w:history="1">
            <w:r w:rsidRPr="00016437">
              <w:rPr>
                <w:rStyle w:val="Hyperlink"/>
                <w:noProof/>
              </w:rPr>
              <w:t>Ūpoko 8: Ngā raraunga hangapori mō te wā Pakirehua</w:t>
            </w:r>
            <w:r>
              <w:rPr>
                <w:noProof/>
                <w:webHidden/>
              </w:rPr>
              <w:tab/>
            </w:r>
            <w:r>
              <w:rPr>
                <w:noProof/>
                <w:webHidden/>
              </w:rPr>
              <w:fldChar w:fldCharType="begin"/>
            </w:r>
            <w:r>
              <w:rPr>
                <w:noProof/>
                <w:webHidden/>
              </w:rPr>
              <w:instrText xml:space="preserve"> PAGEREF _Toc181084916 \h </w:instrText>
            </w:r>
            <w:r>
              <w:rPr>
                <w:noProof/>
                <w:webHidden/>
              </w:rPr>
            </w:r>
            <w:r>
              <w:rPr>
                <w:noProof/>
                <w:webHidden/>
              </w:rPr>
              <w:fldChar w:fldCharType="separate"/>
            </w:r>
            <w:r>
              <w:rPr>
                <w:noProof/>
                <w:webHidden/>
              </w:rPr>
              <w:t>85</w:t>
            </w:r>
            <w:r>
              <w:rPr>
                <w:noProof/>
                <w:webHidden/>
              </w:rPr>
              <w:fldChar w:fldCharType="end"/>
            </w:r>
          </w:hyperlink>
        </w:p>
        <w:p w14:paraId="41356B0D" w14:textId="603E1A72"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17" w:history="1">
            <w:r w:rsidRPr="00016437">
              <w:rPr>
                <w:rStyle w:val="Hyperlink"/>
                <w:noProof/>
              </w:rPr>
              <w:t>Chapter 8: Demographic data for the Inquiry period</w:t>
            </w:r>
            <w:r>
              <w:rPr>
                <w:noProof/>
                <w:webHidden/>
              </w:rPr>
              <w:tab/>
            </w:r>
            <w:r>
              <w:rPr>
                <w:noProof/>
                <w:webHidden/>
              </w:rPr>
              <w:fldChar w:fldCharType="begin"/>
            </w:r>
            <w:r>
              <w:rPr>
                <w:noProof/>
                <w:webHidden/>
              </w:rPr>
              <w:instrText xml:space="preserve"> PAGEREF _Toc181084917 \h </w:instrText>
            </w:r>
            <w:r>
              <w:rPr>
                <w:noProof/>
                <w:webHidden/>
              </w:rPr>
            </w:r>
            <w:r>
              <w:rPr>
                <w:noProof/>
                <w:webHidden/>
              </w:rPr>
              <w:fldChar w:fldCharType="separate"/>
            </w:r>
            <w:r>
              <w:rPr>
                <w:noProof/>
                <w:webHidden/>
              </w:rPr>
              <w:t>85</w:t>
            </w:r>
            <w:r>
              <w:rPr>
                <w:noProof/>
                <w:webHidden/>
              </w:rPr>
              <w:fldChar w:fldCharType="end"/>
            </w:r>
          </w:hyperlink>
        </w:p>
        <w:p w14:paraId="3958A7F7" w14:textId="1AC5213E" w:rsidR="00A00D64" w:rsidRDefault="00A00D64">
          <w:pPr>
            <w:pStyle w:val="TOC2"/>
            <w:rPr>
              <w:rFonts w:asciiTheme="minorHAnsi" w:eastAsiaTheme="minorEastAsia" w:hAnsiTheme="minorHAnsi" w:cstheme="minorBidi"/>
              <w:b w:val="0"/>
              <w:kern w:val="2"/>
              <w:sz w:val="24"/>
              <w14:ligatures w14:val="standardContextual"/>
            </w:rPr>
          </w:pPr>
          <w:hyperlink w:anchor="_Toc181084918" w:history="1">
            <w:r w:rsidRPr="00016437">
              <w:rPr>
                <w:rStyle w:val="Hyperlink"/>
              </w:rPr>
              <w:t>Raraunga e hāngai ana ki te iwi Māori</w:t>
            </w:r>
            <w:r>
              <w:rPr>
                <w:webHidden/>
              </w:rPr>
              <w:tab/>
            </w:r>
            <w:r>
              <w:rPr>
                <w:webHidden/>
              </w:rPr>
              <w:fldChar w:fldCharType="begin"/>
            </w:r>
            <w:r>
              <w:rPr>
                <w:webHidden/>
              </w:rPr>
              <w:instrText xml:space="preserve"> PAGEREF _Toc181084918 \h </w:instrText>
            </w:r>
            <w:r>
              <w:rPr>
                <w:webHidden/>
              </w:rPr>
            </w:r>
            <w:r>
              <w:rPr>
                <w:webHidden/>
              </w:rPr>
              <w:fldChar w:fldCharType="separate"/>
            </w:r>
            <w:r>
              <w:rPr>
                <w:webHidden/>
              </w:rPr>
              <w:t>85</w:t>
            </w:r>
            <w:r>
              <w:rPr>
                <w:webHidden/>
              </w:rPr>
              <w:fldChar w:fldCharType="end"/>
            </w:r>
          </w:hyperlink>
        </w:p>
        <w:p w14:paraId="19308B32" w14:textId="3082AB79" w:rsidR="00A00D64" w:rsidRDefault="00A00D64">
          <w:pPr>
            <w:pStyle w:val="TOC2"/>
            <w:rPr>
              <w:rFonts w:asciiTheme="minorHAnsi" w:eastAsiaTheme="minorEastAsia" w:hAnsiTheme="minorHAnsi" w:cstheme="minorBidi"/>
              <w:b w:val="0"/>
              <w:kern w:val="2"/>
              <w:sz w:val="24"/>
              <w14:ligatures w14:val="standardContextual"/>
            </w:rPr>
          </w:pPr>
          <w:hyperlink w:anchor="_Toc181084919" w:history="1">
            <w:r w:rsidRPr="00016437">
              <w:rPr>
                <w:rStyle w:val="Hyperlink"/>
              </w:rPr>
              <w:t>Data relating to Māori</w:t>
            </w:r>
            <w:r>
              <w:rPr>
                <w:webHidden/>
              </w:rPr>
              <w:tab/>
            </w:r>
            <w:r>
              <w:rPr>
                <w:webHidden/>
              </w:rPr>
              <w:fldChar w:fldCharType="begin"/>
            </w:r>
            <w:r>
              <w:rPr>
                <w:webHidden/>
              </w:rPr>
              <w:instrText xml:space="preserve"> PAGEREF _Toc181084919 \h </w:instrText>
            </w:r>
            <w:r>
              <w:rPr>
                <w:webHidden/>
              </w:rPr>
            </w:r>
            <w:r>
              <w:rPr>
                <w:webHidden/>
              </w:rPr>
              <w:fldChar w:fldCharType="separate"/>
            </w:r>
            <w:r>
              <w:rPr>
                <w:webHidden/>
              </w:rPr>
              <w:t>85</w:t>
            </w:r>
            <w:r>
              <w:rPr>
                <w:webHidden/>
              </w:rPr>
              <w:fldChar w:fldCharType="end"/>
            </w:r>
          </w:hyperlink>
        </w:p>
        <w:p w14:paraId="7658B62E" w14:textId="143B87F9" w:rsidR="00A00D64" w:rsidRDefault="00A00D64">
          <w:pPr>
            <w:pStyle w:val="TOC2"/>
            <w:rPr>
              <w:rFonts w:asciiTheme="minorHAnsi" w:eastAsiaTheme="minorEastAsia" w:hAnsiTheme="minorHAnsi" w:cstheme="minorBidi"/>
              <w:b w:val="0"/>
              <w:kern w:val="2"/>
              <w:sz w:val="24"/>
              <w14:ligatures w14:val="standardContextual"/>
            </w:rPr>
          </w:pPr>
          <w:hyperlink w:anchor="_Toc181084920" w:history="1">
            <w:r w:rsidRPr="00016437">
              <w:rPr>
                <w:rStyle w:val="Hyperlink"/>
              </w:rPr>
              <w:t>Ngā raraunga e hāngai ana ki te hunga Turi, whaikaha me te hunga e rongo ana i te wairangitanga</w:t>
            </w:r>
            <w:r>
              <w:rPr>
                <w:webHidden/>
              </w:rPr>
              <w:tab/>
            </w:r>
            <w:r>
              <w:rPr>
                <w:webHidden/>
              </w:rPr>
              <w:fldChar w:fldCharType="begin"/>
            </w:r>
            <w:r>
              <w:rPr>
                <w:webHidden/>
              </w:rPr>
              <w:instrText xml:space="preserve"> PAGEREF _Toc181084920 \h </w:instrText>
            </w:r>
            <w:r>
              <w:rPr>
                <w:webHidden/>
              </w:rPr>
            </w:r>
            <w:r>
              <w:rPr>
                <w:webHidden/>
              </w:rPr>
              <w:fldChar w:fldCharType="separate"/>
            </w:r>
            <w:r>
              <w:rPr>
                <w:webHidden/>
              </w:rPr>
              <w:t>85</w:t>
            </w:r>
            <w:r>
              <w:rPr>
                <w:webHidden/>
              </w:rPr>
              <w:fldChar w:fldCharType="end"/>
            </w:r>
          </w:hyperlink>
        </w:p>
        <w:p w14:paraId="44520BAE" w14:textId="62774519" w:rsidR="00A00D64" w:rsidRDefault="00A00D64">
          <w:pPr>
            <w:pStyle w:val="TOC2"/>
            <w:rPr>
              <w:rFonts w:asciiTheme="minorHAnsi" w:eastAsiaTheme="minorEastAsia" w:hAnsiTheme="minorHAnsi" w:cstheme="minorBidi"/>
              <w:b w:val="0"/>
              <w:kern w:val="2"/>
              <w:sz w:val="24"/>
              <w14:ligatures w14:val="standardContextual"/>
            </w:rPr>
          </w:pPr>
          <w:hyperlink w:anchor="_Toc181084921" w:history="1">
            <w:r w:rsidRPr="00016437">
              <w:rPr>
                <w:rStyle w:val="Hyperlink"/>
              </w:rPr>
              <w:t>Data relating to Deaf, disabled people, and people experiencing mental distress</w:t>
            </w:r>
            <w:r>
              <w:rPr>
                <w:webHidden/>
              </w:rPr>
              <w:tab/>
            </w:r>
            <w:r>
              <w:rPr>
                <w:webHidden/>
              </w:rPr>
              <w:fldChar w:fldCharType="begin"/>
            </w:r>
            <w:r>
              <w:rPr>
                <w:webHidden/>
              </w:rPr>
              <w:instrText xml:space="preserve"> PAGEREF _Toc181084921 \h </w:instrText>
            </w:r>
            <w:r>
              <w:rPr>
                <w:webHidden/>
              </w:rPr>
            </w:r>
            <w:r>
              <w:rPr>
                <w:webHidden/>
              </w:rPr>
              <w:fldChar w:fldCharType="separate"/>
            </w:r>
            <w:r>
              <w:rPr>
                <w:webHidden/>
              </w:rPr>
              <w:t>85</w:t>
            </w:r>
            <w:r>
              <w:rPr>
                <w:webHidden/>
              </w:rPr>
              <w:fldChar w:fldCharType="end"/>
            </w:r>
          </w:hyperlink>
        </w:p>
        <w:p w14:paraId="1A96ED8D" w14:textId="11A1A9D6" w:rsidR="00A00D64" w:rsidRDefault="00A00D64">
          <w:pPr>
            <w:pStyle w:val="TOC2"/>
            <w:rPr>
              <w:rFonts w:asciiTheme="minorHAnsi" w:eastAsiaTheme="minorEastAsia" w:hAnsiTheme="minorHAnsi" w:cstheme="minorBidi"/>
              <w:b w:val="0"/>
              <w:kern w:val="2"/>
              <w:sz w:val="24"/>
              <w14:ligatures w14:val="standardContextual"/>
            </w:rPr>
          </w:pPr>
          <w:hyperlink w:anchor="_Toc181084922" w:history="1">
            <w:r w:rsidRPr="00016437">
              <w:rPr>
                <w:rStyle w:val="Hyperlink"/>
              </w:rPr>
              <w:t>Raraunga e hāngai ana ki ngā iwi Pasifika</w:t>
            </w:r>
            <w:r>
              <w:rPr>
                <w:webHidden/>
              </w:rPr>
              <w:tab/>
            </w:r>
            <w:r>
              <w:rPr>
                <w:webHidden/>
              </w:rPr>
              <w:fldChar w:fldCharType="begin"/>
            </w:r>
            <w:r>
              <w:rPr>
                <w:webHidden/>
              </w:rPr>
              <w:instrText xml:space="preserve"> PAGEREF _Toc181084922 \h </w:instrText>
            </w:r>
            <w:r>
              <w:rPr>
                <w:webHidden/>
              </w:rPr>
            </w:r>
            <w:r>
              <w:rPr>
                <w:webHidden/>
              </w:rPr>
              <w:fldChar w:fldCharType="separate"/>
            </w:r>
            <w:r>
              <w:rPr>
                <w:webHidden/>
              </w:rPr>
              <w:t>86</w:t>
            </w:r>
            <w:r>
              <w:rPr>
                <w:webHidden/>
              </w:rPr>
              <w:fldChar w:fldCharType="end"/>
            </w:r>
          </w:hyperlink>
        </w:p>
        <w:p w14:paraId="2B23FDCF" w14:textId="57E07713" w:rsidR="00A00D64" w:rsidRDefault="00A00D64">
          <w:pPr>
            <w:pStyle w:val="TOC2"/>
            <w:rPr>
              <w:rFonts w:asciiTheme="minorHAnsi" w:eastAsiaTheme="minorEastAsia" w:hAnsiTheme="minorHAnsi" w:cstheme="minorBidi"/>
              <w:b w:val="0"/>
              <w:kern w:val="2"/>
              <w:sz w:val="24"/>
              <w14:ligatures w14:val="standardContextual"/>
            </w:rPr>
          </w:pPr>
          <w:hyperlink w:anchor="_Toc181084923" w:history="1">
            <w:r w:rsidRPr="00016437">
              <w:rPr>
                <w:rStyle w:val="Hyperlink"/>
              </w:rPr>
              <w:t>Data relating to Pacific Peoples</w:t>
            </w:r>
            <w:r>
              <w:rPr>
                <w:webHidden/>
              </w:rPr>
              <w:tab/>
            </w:r>
            <w:r>
              <w:rPr>
                <w:webHidden/>
              </w:rPr>
              <w:fldChar w:fldCharType="begin"/>
            </w:r>
            <w:r>
              <w:rPr>
                <w:webHidden/>
              </w:rPr>
              <w:instrText xml:space="preserve"> PAGEREF _Toc181084923 \h </w:instrText>
            </w:r>
            <w:r>
              <w:rPr>
                <w:webHidden/>
              </w:rPr>
            </w:r>
            <w:r>
              <w:rPr>
                <w:webHidden/>
              </w:rPr>
              <w:fldChar w:fldCharType="separate"/>
            </w:r>
            <w:r>
              <w:rPr>
                <w:webHidden/>
              </w:rPr>
              <w:t>86</w:t>
            </w:r>
            <w:r>
              <w:rPr>
                <w:webHidden/>
              </w:rPr>
              <w:fldChar w:fldCharType="end"/>
            </w:r>
          </w:hyperlink>
        </w:p>
        <w:p w14:paraId="1ECCC1E5" w14:textId="2979419E" w:rsidR="00A00D64" w:rsidRDefault="00A00D64">
          <w:pPr>
            <w:pStyle w:val="TOC2"/>
            <w:rPr>
              <w:rFonts w:asciiTheme="minorHAnsi" w:eastAsiaTheme="minorEastAsia" w:hAnsiTheme="minorHAnsi" w:cstheme="minorBidi"/>
              <w:b w:val="0"/>
              <w:kern w:val="2"/>
              <w:sz w:val="24"/>
              <w14:ligatures w14:val="standardContextual"/>
            </w:rPr>
          </w:pPr>
          <w:hyperlink w:anchor="_Toc181084924" w:history="1">
            <w:r w:rsidRPr="00016437">
              <w:rPr>
                <w:rStyle w:val="Hyperlink"/>
              </w:rPr>
              <w:t>Raraunga e hāngai ana ki ngā tūhono whakapono</w:t>
            </w:r>
            <w:r>
              <w:rPr>
                <w:webHidden/>
              </w:rPr>
              <w:tab/>
            </w:r>
            <w:r>
              <w:rPr>
                <w:webHidden/>
              </w:rPr>
              <w:fldChar w:fldCharType="begin"/>
            </w:r>
            <w:r>
              <w:rPr>
                <w:webHidden/>
              </w:rPr>
              <w:instrText xml:space="preserve"> PAGEREF _Toc181084924 \h </w:instrText>
            </w:r>
            <w:r>
              <w:rPr>
                <w:webHidden/>
              </w:rPr>
            </w:r>
            <w:r>
              <w:rPr>
                <w:webHidden/>
              </w:rPr>
              <w:fldChar w:fldCharType="separate"/>
            </w:r>
            <w:r>
              <w:rPr>
                <w:webHidden/>
              </w:rPr>
              <w:t>86</w:t>
            </w:r>
            <w:r>
              <w:rPr>
                <w:webHidden/>
              </w:rPr>
              <w:fldChar w:fldCharType="end"/>
            </w:r>
          </w:hyperlink>
        </w:p>
        <w:p w14:paraId="303743E9" w14:textId="254CA372" w:rsidR="00A00D64" w:rsidRDefault="00A00D64">
          <w:pPr>
            <w:pStyle w:val="TOC2"/>
            <w:rPr>
              <w:rFonts w:asciiTheme="minorHAnsi" w:eastAsiaTheme="minorEastAsia" w:hAnsiTheme="minorHAnsi" w:cstheme="minorBidi"/>
              <w:b w:val="0"/>
              <w:kern w:val="2"/>
              <w:sz w:val="24"/>
              <w14:ligatures w14:val="standardContextual"/>
            </w:rPr>
          </w:pPr>
          <w:hyperlink w:anchor="_Toc181084925" w:history="1">
            <w:r w:rsidRPr="00016437">
              <w:rPr>
                <w:rStyle w:val="Hyperlink"/>
              </w:rPr>
              <w:t>Data relating to religious affiliation</w:t>
            </w:r>
            <w:r>
              <w:rPr>
                <w:webHidden/>
              </w:rPr>
              <w:tab/>
            </w:r>
            <w:r>
              <w:rPr>
                <w:webHidden/>
              </w:rPr>
              <w:fldChar w:fldCharType="begin"/>
            </w:r>
            <w:r>
              <w:rPr>
                <w:webHidden/>
              </w:rPr>
              <w:instrText xml:space="preserve"> PAGEREF _Toc181084925 \h </w:instrText>
            </w:r>
            <w:r>
              <w:rPr>
                <w:webHidden/>
              </w:rPr>
            </w:r>
            <w:r>
              <w:rPr>
                <w:webHidden/>
              </w:rPr>
              <w:fldChar w:fldCharType="separate"/>
            </w:r>
            <w:r>
              <w:rPr>
                <w:webHidden/>
              </w:rPr>
              <w:t>86</w:t>
            </w:r>
            <w:r>
              <w:rPr>
                <w:webHidden/>
              </w:rPr>
              <w:fldChar w:fldCharType="end"/>
            </w:r>
          </w:hyperlink>
        </w:p>
        <w:p w14:paraId="533513B1" w14:textId="63D9382F"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26" w:history="1">
            <w:r w:rsidRPr="00016437">
              <w:rPr>
                <w:rStyle w:val="Hyperlink"/>
                <w:noProof/>
              </w:rPr>
              <w:t>Ngā wheako o te purapura ora</w:t>
            </w:r>
            <w:r>
              <w:rPr>
                <w:noProof/>
                <w:webHidden/>
              </w:rPr>
              <w:tab/>
            </w:r>
            <w:r>
              <w:rPr>
                <w:noProof/>
                <w:webHidden/>
              </w:rPr>
              <w:fldChar w:fldCharType="begin"/>
            </w:r>
            <w:r>
              <w:rPr>
                <w:noProof/>
                <w:webHidden/>
              </w:rPr>
              <w:instrText xml:space="preserve"> PAGEREF _Toc181084926 \h </w:instrText>
            </w:r>
            <w:r>
              <w:rPr>
                <w:noProof/>
                <w:webHidden/>
              </w:rPr>
            </w:r>
            <w:r>
              <w:rPr>
                <w:noProof/>
                <w:webHidden/>
              </w:rPr>
              <w:fldChar w:fldCharType="separate"/>
            </w:r>
            <w:r>
              <w:rPr>
                <w:noProof/>
                <w:webHidden/>
              </w:rPr>
              <w:t>88</w:t>
            </w:r>
            <w:r>
              <w:rPr>
                <w:noProof/>
                <w:webHidden/>
              </w:rPr>
              <w:fldChar w:fldCharType="end"/>
            </w:r>
          </w:hyperlink>
        </w:p>
        <w:p w14:paraId="3641432B" w14:textId="7BC2CFF6"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27" w:history="1">
            <w:r w:rsidRPr="00016437">
              <w:rPr>
                <w:rStyle w:val="Hyperlink"/>
                <w:noProof/>
              </w:rPr>
              <w:t>Survivor experience: Andrew Brown</w:t>
            </w:r>
            <w:r>
              <w:rPr>
                <w:noProof/>
                <w:webHidden/>
              </w:rPr>
              <w:tab/>
            </w:r>
            <w:r>
              <w:rPr>
                <w:noProof/>
                <w:webHidden/>
              </w:rPr>
              <w:fldChar w:fldCharType="begin"/>
            </w:r>
            <w:r>
              <w:rPr>
                <w:noProof/>
                <w:webHidden/>
              </w:rPr>
              <w:instrText xml:space="preserve"> PAGEREF _Toc181084927 \h </w:instrText>
            </w:r>
            <w:r>
              <w:rPr>
                <w:noProof/>
                <w:webHidden/>
              </w:rPr>
            </w:r>
            <w:r>
              <w:rPr>
                <w:noProof/>
                <w:webHidden/>
              </w:rPr>
              <w:fldChar w:fldCharType="separate"/>
            </w:r>
            <w:r>
              <w:rPr>
                <w:noProof/>
                <w:webHidden/>
              </w:rPr>
              <w:t>88</w:t>
            </w:r>
            <w:r>
              <w:rPr>
                <w:noProof/>
                <w:webHidden/>
              </w:rPr>
              <w:fldChar w:fldCharType="end"/>
            </w:r>
          </w:hyperlink>
        </w:p>
        <w:p w14:paraId="00BAA89C" w14:textId="3936B73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28" w:history="1">
            <w:r w:rsidRPr="00016437">
              <w:rPr>
                <w:rStyle w:val="Hyperlink"/>
                <w:noProof/>
              </w:rPr>
              <w:t>Ngā wheako o te purapura ora</w:t>
            </w:r>
            <w:r>
              <w:rPr>
                <w:noProof/>
                <w:webHidden/>
              </w:rPr>
              <w:tab/>
            </w:r>
            <w:r>
              <w:rPr>
                <w:noProof/>
                <w:webHidden/>
              </w:rPr>
              <w:fldChar w:fldCharType="begin"/>
            </w:r>
            <w:r>
              <w:rPr>
                <w:noProof/>
                <w:webHidden/>
              </w:rPr>
              <w:instrText xml:space="preserve"> PAGEREF _Toc181084928 \h </w:instrText>
            </w:r>
            <w:r>
              <w:rPr>
                <w:noProof/>
                <w:webHidden/>
              </w:rPr>
            </w:r>
            <w:r>
              <w:rPr>
                <w:noProof/>
                <w:webHidden/>
              </w:rPr>
              <w:fldChar w:fldCharType="separate"/>
            </w:r>
            <w:r>
              <w:rPr>
                <w:noProof/>
                <w:webHidden/>
              </w:rPr>
              <w:t>92</w:t>
            </w:r>
            <w:r>
              <w:rPr>
                <w:noProof/>
                <w:webHidden/>
              </w:rPr>
              <w:fldChar w:fldCharType="end"/>
            </w:r>
          </w:hyperlink>
        </w:p>
        <w:p w14:paraId="13E30FF0" w14:textId="5AF59531"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29" w:history="1">
            <w:r w:rsidRPr="00016437">
              <w:rPr>
                <w:rStyle w:val="Hyperlink"/>
                <w:noProof/>
              </w:rPr>
              <w:t>Survivor experience: Kamahl Tupetagi</w:t>
            </w:r>
            <w:r>
              <w:rPr>
                <w:noProof/>
                <w:webHidden/>
              </w:rPr>
              <w:tab/>
            </w:r>
            <w:r>
              <w:rPr>
                <w:noProof/>
                <w:webHidden/>
              </w:rPr>
              <w:fldChar w:fldCharType="begin"/>
            </w:r>
            <w:r>
              <w:rPr>
                <w:noProof/>
                <w:webHidden/>
              </w:rPr>
              <w:instrText xml:space="preserve"> PAGEREF _Toc181084929 \h </w:instrText>
            </w:r>
            <w:r>
              <w:rPr>
                <w:noProof/>
                <w:webHidden/>
              </w:rPr>
            </w:r>
            <w:r>
              <w:rPr>
                <w:noProof/>
                <w:webHidden/>
              </w:rPr>
              <w:fldChar w:fldCharType="separate"/>
            </w:r>
            <w:r>
              <w:rPr>
                <w:noProof/>
                <w:webHidden/>
              </w:rPr>
              <w:t>92</w:t>
            </w:r>
            <w:r>
              <w:rPr>
                <w:noProof/>
                <w:webHidden/>
              </w:rPr>
              <w:fldChar w:fldCharType="end"/>
            </w:r>
          </w:hyperlink>
        </w:p>
        <w:p w14:paraId="08E72490" w14:textId="3104A0BF"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30" w:history="1">
            <w:r w:rsidRPr="00016437">
              <w:rPr>
                <w:rStyle w:val="Hyperlink"/>
                <w:noProof/>
              </w:rPr>
              <w:t>Ūpoko 9: Te pūnaha kāwana o Aotearoa</w:t>
            </w:r>
            <w:r>
              <w:rPr>
                <w:noProof/>
                <w:webHidden/>
              </w:rPr>
              <w:tab/>
            </w:r>
            <w:r>
              <w:rPr>
                <w:noProof/>
                <w:webHidden/>
              </w:rPr>
              <w:fldChar w:fldCharType="begin"/>
            </w:r>
            <w:r>
              <w:rPr>
                <w:noProof/>
                <w:webHidden/>
              </w:rPr>
              <w:instrText xml:space="preserve"> PAGEREF _Toc181084930 \h </w:instrText>
            </w:r>
            <w:r>
              <w:rPr>
                <w:noProof/>
                <w:webHidden/>
              </w:rPr>
            </w:r>
            <w:r>
              <w:rPr>
                <w:noProof/>
                <w:webHidden/>
              </w:rPr>
              <w:fldChar w:fldCharType="separate"/>
            </w:r>
            <w:r>
              <w:rPr>
                <w:noProof/>
                <w:webHidden/>
              </w:rPr>
              <w:t>96</w:t>
            </w:r>
            <w:r>
              <w:rPr>
                <w:noProof/>
                <w:webHidden/>
              </w:rPr>
              <w:fldChar w:fldCharType="end"/>
            </w:r>
          </w:hyperlink>
        </w:p>
        <w:p w14:paraId="26725409" w14:textId="170EE9EB"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31" w:history="1">
            <w:r w:rsidRPr="00016437">
              <w:rPr>
                <w:rStyle w:val="Hyperlink"/>
                <w:noProof/>
              </w:rPr>
              <w:t>Chapter 9: Aotearoa New Zealand’s system of government</w:t>
            </w:r>
            <w:r>
              <w:rPr>
                <w:noProof/>
                <w:webHidden/>
              </w:rPr>
              <w:tab/>
            </w:r>
            <w:r>
              <w:rPr>
                <w:noProof/>
                <w:webHidden/>
              </w:rPr>
              <w:fldChar w:fldCharType="begin"/>
            </w:r>
            <w:r>
              <w:rPr>
                <w:noProof/>
                <w:webHidden/>
              </w:rPr>
              <w:instrText xml:space="preserve"> PAGEREF _Toc181084931 \h </w:instrText>
            </w:r>
            <w:r>
              <w:rPr>
                <w:noProof/>
                <w:webHidden/>
              </w:rPr>
            </w:r>
            <w:r>
              <w:rPr>
                <w:noProof/>
                <w:webHidden/>
              </w:rPr>
              <w:fldChar w:fldCharType="separate"/>
            </w:r>
            <w:r>
              <w:rPr>
                <w:noProof/>
                <w:webHidden/>
              </w:rPr>
              <w:t>96</w:t>
            </w:r>
            <w:r>
              <w:rPr>
                <w:noProof/>
                <w:webHidden/>
              </w:rPr>
              <w:fldChar w:fldCharType="end"/>
            </w:r>
          </w:hyperlink>
        </w:p>
        <w:p w14:paraId="0B0EA372" w14:textId="4F6FC4B5" w:rsidR="00A00D64" w:rsidRDefault="00A00D64">
          <w:pPr>
            <w:pStyle w:val="TOC2"/>
            <w:rPr>
              <w:rFonts w:asciiTheme="minorHAnsi" w:eastAsiaTheme="minorEastAsia" w:hAnsiTheme="minorHAnsi" w:cstheme="minorBidi"/>
              <w:b w:val="0"/>
              <w:kern w:val="2"/>
              <w:sz w:val="24"/>
              <w14:ligatures w14:val="standardContextual"/>
            </w:rPr>
          </w:pPr>
          <w:hyperlink w:anchor="_Toc181084932" w:history="1">
            <w:r w:rsidRPr="00016437">
              <w:rPr>
                <w:rStyle w:val="Hyperlink"/>
              </w:rPr>
              <w:t>He turepapa kāwana ā-kupu tā Aotearoa</w:t>
            </w:r>
            <w:r>
              <w:rPr>
                <w:webHidden/>
              </w:rPr>
              <w:tab/>
            </w:r>
            <w:r>
              <w:rPr>
                <w:webHidden/>
              </w:rPr>
              <w:fldChar w:fldCharType="begin"/>
            </w:r>
            <w:r>
              <w:rPr>
                <w:webHidden/>
              </w:rPr>
              <w:instrText xml:space="preserve"> PAGEREF _Toc181084932 \h </w:instrText>
            </w:r>
            <w:r>
              <w:rPr>
                <w:webHidden/>
              </w:rPr>
            </w:r>
            <w:r>
              <w:rPr>
                <w:webHidden/>
              </w:rPr>
              <w:fldChar w:fldCharType="separate"/>
            </w:r>
            <w:r>
              <w:rPr>
                <w:webHidden/>
              </w:rPr>
              <w:t>97</w:t>
            </w:r>
            <w:r>
              <w:rPr>
                <w:webHidden/>
              </w:rPr>
              <w:fldChar w:fldCharType="end"/>
            </w:r>
          </w:hyperlink>
        </w:p>
        <w:p w14:paraId="4BA0F0CB" w14:textId="4671CB6E" w:rsidR="00A00D64" w:rsidRDefault="00A00D64">
          <w:pPr>
            <w:pStyle w:val="TOC2"/>
            <w:rPr>
              <w:rFonts w:asciiTheme="minorHAnsi" w:eastAsiaTheme="minorEastAsia" w:hAnsiTheme="minorHAnsi" w:cstheme="minorBidi"/>
              <w:b w:val="0"/>
              <w:kern w:val="2"/>
              <w:sz w:val="24"/>
              <w14:ligatures w14:val="standardContextual"/>
            </w:rPr>
          </w:pPr>
          <w:hyperlink w:anchor="_Toc181084933" w:history="1">
            <w:r w:rsidRPr="00016437">
              <w:rPr>
                <w:rStyle w:val="Hyperlink"/>
              </w:rPr>
              <w:t>Aotearoa New Zealand has an unwritten Constitution</w:t>
            </w:r>
            <w:r>
              <w:rPr>
                <w:webHidden/>
              </w:rPr>
              <w:tab/>
            </w:r>
            <w:r>
              <w:rPr>
                <w:webHidden/>
              </w:rPr>
              <w:fldChar w:fldCharType="begin"/>
            </w:r>
            <w:r>
              <w:rPr>
                <w:webHidden/>
              </w:rPr>
              <w:instrText xml:space="preserve"> PAGEREF _Toc181084933 \h </w:instrText>
            </w:r>
            <w:r>
              <w:rPr>
                <w:webHidden/>
              </w:rPr>
            </w:r>
            <w:r>
              <w:rPr>
                <w:webHidden/>
              </w:rPr>
              <w:fldChar w:fldCharType="separate"/>
            </w:r>
            <w:r>
              <w:rPr>
                <w:webHidden/>
              </w:rPr>
              <w:t>97</w:t>
            </w:r>
            <w:r>
              <w:rPr>
                <w:webHidden/>
              </w:rPr>
              <w:fldChar w:fldCharType="end"/>
            </w:r>
          </w:hyperlink>
        </w:p>
        <w:p w14:paraId="7842698E" w14:textId="3B35D0E3" w:rsidR="00A00D64" w:rsidRDefault="00A00D64">
          <w:pPr>
            <w:pStyle w:val="TOC2"/>
            <w:rPr>
              <w:rFonts w:asciiTheme="minorHAnsi" w:eastAsiaTheme="minorEastAsia" w:hAnsiTheme="minorHAnsi" w:cstheme="minorBidi"/>
              <w:b w:val="0"/>
              <w:kern w:val="2"/>
              <w:sz w:val="24"/>
              <w14:ligatures w14:val="standardContextual"/>
            </w:rPr>
          </w:pPr>
          <w:hyperlink w:anchor="_Toc181084934" w:history="1">
            <w:r w:rsidRPr="00016437">
              <w:rPr>
                <w:rStyle w:val="Hyperlink"/>
              </w:rPr>
              <w:t>Pāremata (Te whakature)</w:t>
            </w:r>
            <w:r>
              <w:rPr>
                <w:webHidden/>
              </w:rPr>
              <w:tab/>
            </w:r>
            <w:r>
              <w:rPr>
                <w:webHidden/>
              </w:rPr>
              <w:fldChar w:fldCharType="begin"/>
            </w:r>
            <w:r>
              <w:rPr>
                <w:webHidden/>
              </w:rPr>
              <w:instrText xml:space="preserve"> PAGEREF _Toc181084934 \h </w:instrText>
            </w:r>
            <w:r>
              <w:rPr>
                <w:webHidden/>
              </w:rPr>
            </w:r>
            <w:r>
              <w:rPr>
                <w:webHidden/>
              </w:rPr>
              <w:fldChar w:fldCharType="separate"/>
            </w:r>
            <w:r>
              <w:rPr>
                <w:webHidden/>
              </w:rPr>
              <w:t>97</w:t>
            </w:r>
            <w:r>
              <w:rPr>
                <w:webHidden/>
              </w:rPr>
              <w:fldChar w:fldCharType="end"/>
            </w:r>
          </w:hyperlink>
        </w:p>
        <w:p w14:paraId="26D871F6" w14:textId="1D64FF4E" w:rsidR="00A00D64" w:rsidRDefault="00A00D64">
          <w:pPr>
            <w:pStyle w:val="TOC2"/>
            <w:rPr>
              <w:rFonts w:asciiTheme="minorHAnsi" w:eastAsiaTheme="minorEastAsia" w:hAnsiTheme="minorHAnsi" w:cstheme="minorBidi"/>
              <w:b w:val="0"/>
              <w:kern w:val="2"/>
              <w:sz w:val="24"/>
              <w14:ligatures w14:val="standardContextual"/>
            </w:rPr>
          </w:pPr>
          <w:hyperlink w:anchor="_Toc181084935" w:history="1">
            <w:r w:rsidRPr="00016437">
              <w:rPr>
                <w:rStyle w:val="Hyperlink"/>
              </w:rPr>
              <w:t>Parliament (The Legislature)</w:t>
            </w:r>
            <w:r>
              <w:rPr>
                <w:webHidden/>
              </w:rPr>
              <w:tab/>
            </w:r>
            <w:r>
              <w:rPr>
                <w:webHidden/>
              </w:rPr>
              <w:fldChar w:fldCharType="begin"/>
            </w:r>
            <w:r>
              <w:rPr>
                <w:webHidden/>
              </w:rPr>
              <w:instrText xml:space="preserve"> PAGEREF _Toc181084935 \h </w:instrText>
            </w:r>
            <w:r>
              <w:rPr>
                <w:webHidden/>
              </w:rPr>
            </w:r>
            <w:r>
              <w:rPr>
                <w:webHidden/>
              </w:rPr>
              <w:fldChar w:fldCharType="separate"/>
            </w:r>
            <w:r>
              <w:rPr>
                <w:webHidden/>
              </w:rPr>
              <w:t>97</w:t>
            </w:r>
            <w:r>
              <w:rPr>
                <w:webHidden/>
              </w:rPr>
              <w:fldChar w:fldCharType="end"/>
            </w:r>
          </w:hyperlink>
        </w:p>
        <w:p w14:paraId="5898AA21" w14:textId="29B86714" w:rsidR="00A00D64" w:rsidRDefault="00A00D64">
          <w:pPr>
            <w:pStyle w:val="TOC2"/>
            <w:rPr>
              <w:rFonts w:asciiTheme="minorHAnsi" w:eastAsiaTheme="minorEastAsia" w:hAnsiTheme="minorHAnsi" w:cstheme="minorBidi"/>
              <w:b w:val="0"/>
              <w:kern w:val="2"/>
              <w:sz w:val="24"/>
              <w14:ligatures w14:val="standardContextual"/>
            </w:rPr>
          </w:pPr>
          <w:hyperlink w:anchor="_Toc181084936" w:history="1">
            <w:r w:rsidRPr="00016437">
              <w:rPr>
                <w:rStyle w:val="Hyperlink"/>
              </w:rPr>
              <w:t>Pūnaha whakawā</w:t>
            </w:r>
            <w:r>
              <w:rPr>
                <w:webHidden/>
              </w:rPr>
              <w:tab/>
            </w:r>
            <w:r>
              <w:rPr>
                <w:webHidden/>
              </w:rPr>
              <w:fldChar w:fldCharType="begin"/>
            </w:r>
            <w:r>
              <w:rPr>
                <w:webHidden/>
              </w:rPr>
              <w:instrText xml:space="preserve"> PAGEREF _Toc181084936 \h </w:instrText>
            </w:r>
            <w:r>
              <w:rPr>
                <w:webHidden/>
              </w:rPr>
            </w:r>
            <w:r>
              <w:rPr>
                <w:webHidden/>
              </w:rPr>
              <w:fldChar w:fldCharType="separate"/>
            </w:r>
            <w:r>
              <w:rPr>
                <w:webHidden/>
              </w:rPr>
              <w:t>98</w:t>
            </w:r>
            <w:r>
              <w:rPr>
                <w:webHidden/>
              </w:rPr>
              <w:fldChar w:fldCharType="end"/>
            </w:r>
          </w:hyperlink>
        </w:p>
        <w:p w14:paraId="73C3A3EE" w14:textId="780C603D" w:rsidR="00A00D64" w:rsidRDefault="00A00D64">
          <w:pPr>
            <w:pStyle w:val="TOC2"/>
            <w:rPr>
              <w:rFonts w:asciiTheme="minorHAnsi" w:eastAsiaTheme="minorEastAsia" w:hAnsiTheme="minorHAnsi" w:cstheme="minorBidi"/>
              <w:b w:val="0"/>
              <w:kern w:val="2"/>
              <w:sz w:val="24"/>
              <w14:ligatures w14:val="standardContextual"/>
            </w:rPr>
          </w:pPr>
          <w:hyperlink w:anchor="_Toc181084937" w:history="1">
            <w:r w:rsidRPr="00016437">
              <w:rPr>
                <w:rStyle w:val="Hyperlink"/>
                <w:shd w:val="clear" w:color="auto" w:fill="FFFFFF"/>
              </w:rPr>
              <w:t>Judiciary</w:t>
            </w:r>
            <w:r>
              <w:rPr>
                <w:webHidden/>
              </w:rPr>
              <w:tab/>
            </w:r>
            <w:r>
              <w:rPr>
                <w:webHidden/>
              </w:rPr>
              <w:fldChar w:fldCharType="begin"/>
            </w:r>
            <w:r>
              <w:rPr>
                <w:webHidden/>
              </w:rPr>
              <w:instrText xml:space="preserve"> PAGEREF _Toc181084937 \h </w:instrText>
            </w:r>
            <w:r>
              <w:rPr>
                <w:webHidden/>
              </w:rPr>
            </w:r>
            <w:r>
              <w:rPr>
                <w:webHidden/>
              </w:rPr>
              <w:fldChar w:fldCharType="separate"/>
            </w:r>
            <w:r>
              <w:rPr>
                <w:webHidden/>
              </w:rPr>
              <w:t>98</w:t>
            </w:r>
            <w:r>
              <w:rPr>
                <w:webHidden/>
              </w:rPr>
              <w:fldChar w:fldCharType="end"/>
            </w:r>
          </w:hyperlink>
        </w:p>
        <w:p w14:paraId="3374C98A" w14:textId="089185CA" w:rsidR="00A00D64" w:rsidRDefault="00A00D64">
          <w:pPr>
            <w:pStyle w:val="TOC2"/>
            <w:rPr>
              <w:rFonts w:asciiTheme="minorHAnsi" w:eastAsiaTheme="minorEastAsia" w:hAnsiTheme="minorHAnsi" w:cstheme="minorBidi"/>
              <w:b w:val="0"/>
              <w:kern w:val="2"/>
              <w:sz w:val="24"/>
              <w14:ligatures w14:val="standardContextual"/>
            </w:rPr>
          </w:pPr>
          <w:hyperlink w:anchor="_Toc181084938" w:history="1">
            <w:r w:rsidRPr="00016437">
              <w:rPr>
                <w:rStyle w:val="Hyperlink"/>
              </w:rPr>
              <w:t>Kāwanatanga (Te peka whakahaere)</w:t>
            </w:r>
            <w:r>
              <w:rPr>
                <w:webHidden/>
              </w:rPr>
              <w:tab/>
            </w:r>
            <w:r>
              <w:rPr>
                <w:webHidden/>
              </w:rPr>
              <w:fldChar w:fldCharType="begin"/>
            </w:r>
            <w:r>
              <w:rPr>
                <w:webHidden/>
              </w:rPr>
              <w:instrText xml:space="preserve"> PAGEREF _Toc181084938 \h </w:instrText>
            </w:r>
            <w:r>
              <w:rPr>
                <w:webHidden/>
              </w:rPr>
            </w:r>
            <w:r>
              <w:rPr>
                <w:webHidden/>
              </w:rPr>
              <w:fldChar w:fldCharType="separate"/>
            </w:r>
            <w:r>
              <w:rPr>
                <w:webHidden/>
              </w:rPr>
              <w:t>98</w:t>
            </w:r>
            <w:r>
              <w:rPr>
                <w:webHidden/>
              </w:rPr>
              <w:fldChar w:fldCharType="end"/>
            </w:r>
          </w:hyperlink>
        </w:p>
        <w:p w14:paraId="22647226" w14:textId="10F24806" w:rsidR="00A00D64" w:rsidRDefault="00A00D64">
          <w:pPr>
            <w:pStyle w:val="TOC2"/>
            <w:rPr>
              <w:rFonts w:asciiTheme="minorHAnsi" w:eastAsiaTheme="minorEastAsia" w:hAnsiTheme="minorHAnsi" w:cstheme="minorBidi"/>
              <w:b w:val="0"/>
              <w:kern w:val="2"/>
              <w:sz w:val="24"/>
              <w14:ligatures w14:val="standardContextual"/>
            </w:rPr>
          </w:pPr>
          <w:hyperlink w:anchor="_Toc181084939" w:history="1">
            <w:r w:rsidRPr="00016437">
              <w:rPr>
                <w:rStyle w:val="Hyperlink"/>
              </w:rPr>
              <w:t>Government (The Executive Branch)</w:t>
            </w:r>
            <w:r>
              <w:rPr>
                <w:webHidden/>
              </w:rPr>
              <w:tab/>
            </w:r>
            <w:r>
              <w:rPr>
                <w:webHidden/>
              </w:rPr>
              <w:fldChar w:fldCharType="begin"/>
            </w:r>
            <w:r>
              <w:rPr>
                <w:webHidden/>
              </w:rPr>
              <w:instrText xml:space="preserve"> PAGEREF _Toc181084939 \h </w:instrText>
            </w:r>
            <w:r>
              <w:rPr>
                <w:webHidden/>
              </w:rPr>
            </w:r>
            <w:r>
              <w:rPr>
                <w:webHidden/>
              </w:rPr>
              <w:fldChar w:fldCharType="separate"/>
            </w:r>
            <w:r>
              <w:rPr>
                <w:webHidden/>
              </w:rPr>
              <w:t>98</w:t>
            </w:r>
            <w:r>
              <w:rPr>
                <w:webHidden/>
              </w:rPr>
              <w:fldChar w:fldCharType="end"/>
            </w:r>
          </w:hyperlink>
        </w:p>
        <w:p w14:paraId="027BEC6E" w14:textId="539C53C5" w:rsidR="00A00D64" w:rsidRDefault="00A00D64">
          <w:pPr>
            <w:pStyle w:val="TOC2"/>
            <w:rPr>
              <w:rFonts w:asciiTheme="minorHAnsi" w:eastAsiaTheme="minorEastAsia" w:hAnsiTheme="minorHAnsi" w:cstheme="minorBidi"/>
              <w:b w:val="0"/>
              <w:kern w:val="2"/>
              <w:sz w:val="24"/>
              <w14:ligatures w14:val="standardContextual"/>
            </w:rPr>
          </w:pPr>
          <w:hyperlink w:anchor="_Toc181084940" w:history="1">
            <w:r w:rsidRPr="00016437">
              <w:rPr>
                <w:rStyle w:val="Hyperlink"/>
              </w:rPr>
              <w:t>Te rāngai tūmatawhānui</w:t>
            </w:r>
            <w:r>
              <w:rPr>
                <w:webHidden/>
              </w:rPr>
              <w:tab/>
            </w:r>
            <w:r>
              <w:rPr>
                <w:webHidden/>
              </w:rPr>
              <w:fldChar w:fldCharType="begin"/>
            </w:r>
            <w:r>
              <w:rPr>
                <w:webHidden/>
              </w:rPr>
              <w:instrText xml:space="preserve"> PAGEREF _Toc181084940 \h </w:instrText>
            </w:r>
            <w:r>
              <w:rPr>
                <w:webHidden/>
              </w:rPr>
            </w:r>
            <w:r>
              <w:rPr>
                <w:webHidden/>
              </w:rPr>
              <w:fldChar w:fldCharType="separate"/>
            </w:r>
            <w:r>
              <w:rPr>
                <w:webHidden/>
              </w:rPr>
              <w:t>99</w:t>
            </w:r>
            <w:r>
              <w:rPr>
                <w:webHidden/>
              </w:rPr>
              <w:fldChar w:fldCharType="end"/>
            </w:r>
          </w:hyperlink>
        </w:p>
        <w:p w14:paraId="6729FC85" w14:textId="293D716B" w:rsidR="00A00D64" w:rsidRDefault="00A00D64">
          <w:pPr>
            <w:pStyle w:val="TOC2"/>
            <w:rPr>
              <w:rFonts w:asciiTheme="minorHAnsi" w:eastAsiaTheme="minorEastAsia" w:hAnsiTheme="minorHAnsi" w:cstheme="minorBidi"/>
              <w:b w:val="0"/>
              <w:kern w:val="2"/>
              <w:sz w:val="24"/>
              <w14:ligatures w14:val="standardContextual"/>
            </w:rPr>
          </w:pPr>
          <w:hyperlink w:anchor="_Toc181084941" w:history="1">
            <w:r w:rsidRPr="00016437">
              <w:rPr>
                <w:rStyle w:val="Hyperlink"/>
              </w:rPr>
              <w:t>The public service</w:t>
            </w:r>
            <w:r>
              <w:rPr>
                <w:webHidden/>
              </w:rPr>
              <w:tab/>
            </w:r>
            <w:r>
              <w:rPr>
                <w:webHidden/>
              </w:rPr>
              <w:fldChar w:fldCharType="begin"/>
            </w:r>
            <w:r>
              <w:rPr>
                <w:webHidden/>
              </w:rPr>
              <w:instrText xml:space="preserve"> PAGEREF _Toc181084941 \h </w:instrText>
            </w:r>
            <w:r>
              <w:rPr>
                <w:webHidden/>
              </w:rPr>
            </w:r>
            <w:r>
              <w:rPr>
                <w:webHidden/>
              </w:rPr>
              <w:fldChar w:fldCharType="separate"/>
            </w:r>
            <w:r>
              <w:rPr>
                <w:webHidden/>
              </w:rPr>
              <w:t>99</w:t>
            </w:r>
            <w:r>
              <w:rPr>
                <w:webHidden/>
              </w:rPr>
              <w:fldChar w:fldCharType="end"/>
            </w:r>
          </w:hyperlink>
        </w:p>
        <w:p w14:paraId="50C95BE0" w14:textId="521B9415" w:rsidR="00A00D64" w:rsidRDefault="00A00D64">
          <w:pPr>
            <w:pStyle w:val="TOC3"/>
            <w:rPr>
              <w:rFonts w:asciiTheme="minorHAnsi" w:eastAsiaTheme="minorEastAsia" w:hAnsiTheme="minorHAnsi" w:cstheme="minorBidi"/>
              <w:kern w:val="2"/>
              <w:sz w:val="24"/>
              <w14:ligatures w14:val="standardContextual"/>
            </w:rPr>
          </w:pPr>
          <w:hyperlink w:anchor="_Toc181084942" w:history="1">
            <w:r w:rsidRPr="00016437">
              <w:rPr>
                <w:rStyle w:val="Hyperlink"/>
              </w:rPr>
              <w:t>Te Kawa Mataaho</w:t>
            </w:r>
            <w:r>
              <w:rPr>
                <w:webHidden/>
              </w:rPr>
              <w:tab/>
            </w:r>
            <w:r>
              <w:rPr>
                <w:webHidden/>
              </w:rPr>
              <w:fldChar w:fldCharType="begin"/>
            </w:r>
            <w:r>
              <w:rPr>
                <w:webHidden/>
              </w:rPr>
              <w:instrText xml:space="preserve"> PAGEREF _Toc181084942 \h </w:instrText>
            </w:r>
            <w:r>
              <w:rPr>
                <w:webHidden/>
              </w:rPr>
            </w:r>
            <w:r>
              <w:rPr>
                <w:webHidden/>
              </w:rPr>
              <w:fldChar w:fldCharType="separate"/>
            </w:r>
            <w:r>
              <w:rPr>
                <w:webHidden/>
              </w:rPr>
              <w:t>100</w:t>
            </w:r>
            <w:r>
              <w:rPr>
                <w:webHidden/>
              </w:rPr>
              <w:fldChar w:fldCharType="end"/>
            </w:r>
          </w:hyperlink>
        </w:p>
        <w:p w14:paraId="57D67DE2" w14:textId="16F3A9B2" w:rsidR="00A00D64" w:rsidRDefault="00A00D64">
          <w:pPr>
            <w:pStyle w:val="TOC3"/>
            <w:rPr>
              <w:rFonts w:asciiTheme="minorHAnsi" w:eastAsiaTheme="minorEastAsia" w:hAnsiTheme="minorHAnsi" w:cstheme="minorBidi"/>
              <w:kern w:val="2"/>
              <w:sz w:val="24"/>
              <w14:ligatures w14:val="standardContextual"/>
            </w:rPr>
          </w:pPr>
          <w:hyperlink w:anchor="_Toc181084943" w:history="1">
            <w:r w:rsidRPr="00016437">
              <w:rPr>
                <w:rStyle w:val="Hyperlink"/>
              </w:rPr>
              <w:t>The Public Service Commission</w:t>
            </w:r>
            <w:r>
              <w:rPr>
                <w:webHidden/>
              </w:rPr>
              <w:tab/>
            </w:r>
            <w:r>
              <w:rPr>
                <w:webHidden/>
              </w:rPr>
              <w:fldChar w:fldCharType="begin"/>
            </w:r>
            <w:r>
              <w:rPr>
                <w:webHidden/>
              </w:rPr>
              <w:instrText xml:space="preserve"> PAGEREF _Toc181084943 \h </w:instrText>
            </w:r>
            <w:r>
              <w:rPr>
                <w:webHidden/>
              </w:rPr>
            </w:r>
            <w:r>
              <w:rPr>
                <w:webHidden/>
              </w:rPr>
              <w:fldChar w:fldCharType="separate"/>
            </w:r>
            <w:r>
              <w:rPr>
                <w:webHidden/>
              </w:rPr>
              <w:t>100</w:t>
            </w:r>
            <w:r>
              <w:rPr>
                <w:webHidden/>
              </w:rPr>
              <w:fldChar w:fldCharType="end"/>
            </w:r>
          </w:hyperlink>
        </w:p>
        <w:p w14:paraId="5AA83B50" w14:textId="03343F12" w:rsidR="00A00D64" w:rsidRDefault="00A00D64">
          <w:pPr>
            <w:pStyle w:val="TOC3"/>
            <w:rPr>
              <w:rFonts w:asciiTheme="minorHAnsi" w:eastAsiaTheme="minorEastAsia" w:hAnsiTheme="minorHAnsi" w:cstheme="minorBidi"/>
              <w:kern w:val="2"/>
              <w:sz w:val="24"/>
              <w14:ligatures w14:val="standardContextual"/>
            </w:rPr>
          </w:pPr>
          <w:hyperlink w:anchor="_Toc181084944" w:history="1">
            <w:r w:rsidRPr="00016437">
              <w:rPr>
                <w:rStyle w:val="Hyperlink"/>
              </w:rPr>
              <w:t>Te Tai Ōhanga</w:t>
            </w:r>
            <w:r>
              <w:rPr>
                <w:webHidden/>
              </w:rPr>
              <w:tab/>
            </w:r>
            <w:r>
              <w:rPr>
                <w:webHidden/>
              </w:rPr>
              <w:fldChar w:fldCharType="begin"/>
            </w:r>
            <w:r>
              <w:rPr>
                <w:webHidden/>
              </w:rPr>
              <w:instrText xml:space="preserve"> PAGEREF _Toc181084944 \h </w:instrText>
            </w:r>
            <w:r>
              <w:rPr>
                <w:webHidden/>
              </w:rPr>
            </w:r>
            <w:r>
              <w:rPr>
                <w:webHidden/>
              </w:rPr>
              <w:fldChar w:fldCharType="separate"/>
            </w:r>
            <w:r>
              <w:rPr>
                <w:webHidden/>
              </w:rPr>
              <w:t>101</w:t>
            </w:r>
            <w:r>
              <w:rPr>
                <w:webHidden/>
              </w:rPr>
              <w:fldChar w:fldCharType="end"/>
            </w:r>
          </w:hyperlink>
        </w:p>
        <w:p w14:paraId="02F861B4" w14:textId="6525AF8F" w:rsidR="00A00D64" w:rsidRDefault="00A00D64">
          <w:pPr>
            <w:pStyle w:val="TOC3"/>
            <w:rPr>
              <w:rFonts w:asciiTheme="minorHAnsi" w:eastAsiaTheme="minorEastAsia" w:hAnsiTheme="minorHAnsi" w:cstheme="minorBidi"/>
              <w:kern w:val="2"/>
              <w:sz w:val="24"/>
              <w14:ligatures w14:val="standardContextual"/>
            </w:rPr>
          </w:pPr>
          <w:hyperlink w:anchor="_Toc181084945" w:history="1">
            <w:r w:rsidRPr="00016437">
              <w:rPr>
                <w:rStyle w:val="Hyperlink"/>
              </w:rPr>
              <w:t>The Treasury</w:t>
            </w:r>
            <w:r>
              <w:rPr>
                <w:webHidden/>
              </w:rPr>
              <w:tab/>
            </w:r>
            <w:r>
              <w:rPr>
                <w:webHidden/>
              </w:rPr>
              <w:fldChar w:fldCharType="begin"/>
            </w:r>
            <w:r>
              <w:rPr>
                <w:webHidden/>
              </w:rPr>
              <w:instrText xml:space="preserve"> PAGEREF _Toc181084945 \h </w:instrText>
            </w:r>
            <w:r>
              <w:rPr>
                <w:webHidden/>
              </w:rPr>
            </w:r>
            <w:r>
              <w:rPr>
                <w:webHidden/>
              </w:rPr>
              <w:fldChar w:fldCharType="separate"/>
            </w:r>
            <w:r>
              <w:rPr>
                <w:webHidden/>
              </w:rPr>
              <w:t>101</w:t>
            </w:r>
            <w:r>
              <w:rPr>
                <w:webHidden/>
              </w:rPr>
              <w:fldChar w:fldCharType="end"/>
            </w:r>
          </w:hyperlink>
        </w:p>
        <w:p w14:paraId="0DC8F09D" w14:textId="48A0DDF3" w:rsidR="00A00D64" w:rsidRDefault="00A00D64">
          <w:pPr>
            <w:pStyle w:val="TOC3"/>
            <w:rPr>
              <w:rFonts w:asciiTheme="minorHAnsi" w:eastAsiaTheme="minorEastAsia" w:hAnsiTheme="minorHAnsi" w:cstheme="minorBidi"/>
              <w:kern w:val="2"/>
              <w:sz w:val="24"/>
              <w14:ligatures w14:val="standardContextual"/>
            </w:rPr>
          </w:pPr>
          <w:hyperlink w:anchor="_Toc181084946" w:history="1">
            <w:r w:rsidRPr="00016437">
              <w:rPr>
                <w:rStyle w:val="Hyperlink"/>
              </w:rPr>
              <w:t>Te tari o te Pirimia me te Komiti Matua</w:t>
            </w:r>
            <w:r>
              <w:rPr>
                <w:webHidden/>
              </w:rPr>
              <w:tab/>
            </w:r>
            <w:r>
              <w:rPr>
                <w:webHidden/>
              </w:rPr>
              <w:fldChar w:fldCharType="begin"/>
            </w:r>
            <w:r>
              <w:rPr>
                <w:webHidden/>
              </w:rPr>
              <w:instrText xml:space="preserve"> PAGEREF _Toc181084946 \h </w:instrText>
            </w:r>
            <w:r>
              <w:rPr>
                <w:webHidden/>
              </w:rPr>
            </w:r>
            <w:r>
              <w:rPr>
                <w:webHidden/>
              </w:rPr>
              <w:fldChar w:fldCharType="separate"/>
            </w:r>
            <w:r>
              <w:rPr>
                <w:webHidden/>
              </w:rPr>
              <w:t>101</w:t>
            </w:r>
            <w:r>
              <w:rPr>
                <w:webHidden/>
              </w:rPr>
              <w:fldChar w:fldCharType="end"/>
            </w:r>
          </w:hyperlink>
        </w:p>
        <w:p w14:paraId="70C36FAE" w14:textId="499BF99A" w:rsidR="00A00D64" w:rsidRDefault="00A00D64">
          <w:pPr>
            <w:pStyle w:val="TOC3"/>
            <w:rPr>
              <w:rFonts w:asciiTheme="minorHAnsi" w:eastAsiaTheme="minorEastAsia" w:hAnsiTheme="minorHAnsi" w:cstheme="minorBidi"/>
              <w:kern w:val="2"/>
              <w:sz w:val="24"/>
              <w14:ligatures w14:val="standardContextual"/>
            </w:rPr>
          </w:pPr>
          <w:hyperlink w:anchor="_Toc181084947" w:history="1">
            <w:r w:rsidRPr="00016437">
              <w:rPr>
                <w:rStyle w:val="Hyperlink"/>
              </w:rPr>
              <w:t>Department of the Prime Minister and Cabinet</w:t>
            </w:r>
            <w:r>
              <w:rPr>
                <w:webHidden/>
              </w:rPr>
              <w:tab/>
            </w:r>
            <w:r>
              <w:rPr>
                <w:webHidden/>
              </w:rPr>
              <w:fldChar w:fldCharType="begin"/>
            </w:r>
            <w:r>
              <w:rPr>
                <w:webHidden/>
              </w:rPr>
              <w:instrText xml:space="preserve"> PAGEREF _Toc181084947 \h </w:instrText>
            </w:r>
            <w:r>
              <w:rPr>
                <w:webHidden/>
              </w:rPr>
            </w:r>
            <w:r>
              <w:rPr>
                <w:webHidden/>
              </w:rPr>
              <w:fldChar w:fldCharType="separate"/>
            </w:r>
            <w:r>
              <w:rPr>
                <w:webHidden/>
              </w:rPr>
              <w:t>101</w:t>
            </w:r>
            <w:r>
              <w:rPr>
                <w:webHidden/>
              </w:rPr>
              <w:fldChar w:fldCharType="end"/>
            </w:r>
          </w:hyperlink>
        </w:p>
        <w:p w14:paraId="14A06358" w14:textId="24A2C7A8" w:rsidR="00A00D64" w:rsidRDefault="00A00D64">
          <w:pPr>
            <w:pStyle w:val="TOC3"/>
            <w:rPr>
              <w:rFonts w:asciiTheme="minorHAnsi" w:eastAsiaTheme="minorEastAsia" w:hAnsiTheme="minorHAnsi" w:cstheme="minorBidi"/>
              <w:kern w:val="2"/>
              <w:sz w:val="24"/>
              <w14:ligatures w14:val="standardContextual"/>
            </w:rPr>
          </w:pPr>
          <w:hyperlink w:anchor="_Toc181084948" w:history="1">
            <w:r w:rsidRPr="00016437">
              <w:rPr>
                <w:rStyle w:val="Hyperlink"/>
              </w:rPr>
              <w:t>Te Tari o te Tumuaki o te Mana Arotake</w:t>
            </w:r>
            <w:r>
              <w:rPr>
                <w:webHidden/>
              </w:rPr>
              <w:tab/>
            </w:r>
            <w:r>
              <w:rPr>
                <w:webHidden/>
              </w:rPr>
              <w:fldChar w:fldCharType="begin"/>
            </w:r>
            <w:r>
              <w:rPr>
                <w:webHidden/>
              </w:rPr>
              <w:instrText xml:space="preserve"> PAGEREF _Toc181084948 \h </w:instrText>
            </w:r>
            <w:r>
              <w:rPr>
                <w:webHidden/>
              </w:rPr>
            </w:r>
            <w:r>
              <w:rPr>
                <w:webHidden/>
              </w:rPr>
              <w:fldChar w:fldCharType="separate"/>
            </w:r>
            <w:r>
              <w:rPr>
                <w:webHidden/>
              </w:rPr>
              <w:t>101</w:t>
            </w:r>
            <w:r>
              <w:rPr>
                <w:webHidden/>
              </w:rPr>
              <w:fldChar w:fldCharType="end"/>
            </w:r>
          </w:hyperlink>
        </w:p>
        <w:p w14:paraId="680FE7A1" w14:textId="7DFDDF9E" w:rsidR="00A00D64" w:rsidRDefault="00A00D64">
          <w:pPr>
            <w:pStyle w:val="TOC3"/>
            <w:rPr>
              <w:rFonts w:asciiTheme="minorHAnsi" w:eastAsiaTheme="minorEastAsia" w:hAnsiTheme="minorHAnsi" w:cstheme="minorBidi"/>
              <w:kern w:val="2"/>
              <w:sz w:val="24"/>
              <w14:ligatures w14:val="standardContextual"/>
            </w:rPr>
          </w:pPr>
          <w:hyperlink w:anchor="_Toc181084949" w:history="1">
            <w:r w:rsidRPr="00016437">
              <w:rPr>
                <w:rStyle w:val="Hyperlink"/>
              </w:rPr>
              <w:t>The Office of the Auditor General</w:t>
            </w:r>
            <w:r>
              <w:rPr>
                <w:webHidden/>
              </w:rPr>
              <w:tab/>
            </w:r>
            <w:r>
              <w:rPr>
                <w:webHidden/>
              </w:rPr>
              <w:fldChar w:fldCharType="begin"/>
            </w:r>
            <w:r>
              <w:rPr>
                <w:webHidden/>
              </w:rPr>
              <w:instrText xml:space="preserve"> PAGEREF _Toc181084949 \h </w:instrText>
            </w:r>
            <w:r>
              <w:rPr>
                <w:webHidden/>
              </w:rPr>
            </w:r>
            <w:r>
              <w:rPr>
                <w:webHidden/>
              </w:rPr>
              <w:fldChar w:fldCharType="separate"/>
            </w:r>
            <w:r>
              <w:rPr>
                <w:webHidden/>
              </w:rPr>
              <w:t>101</w:t>
            </w:r>
            <w:r>
              <w:rPr>
                <w:webHidden/>
              </w:rPr>
              <w:fldChar w:fldCharType="end"/>
            </w:r>
          </w:hyperlink>
        </w:p>
        <w:p w14:paraId="45360253" w14:textId="33046966" w:rsidR="00A00D64" w:rsidRDefault="00A00D64">
          <w:pPr>
            <w:pStyle w:val="TOC2"/>
            <w:rPr>
              <w:rFonts w:asciiTheme="minorHAnsi" w:eastAsiaTheme="minorEastAsia" w:hAnsiTheme="minorHAnsi" w:cstheme="minorBidi"/>
              <w:b w:val="0"/>
              <w:kern w:val="2"/>
              <w:sz w:val="24"/>
              <w14:ligatures w14:val="standardContextual"/>
            </w:rPr>
          </w:pPr>
          <w:hyperlink w:anchor="_Toc181084950" w:history="1">
            <w:r w:rsidRPr="00016437">
              <w:rPr>
                <w:rStyle w:val="Hyperlink"/>
              </w:rPr>
              <w:t>Te whakahaerenga Kāwanatanga 1950–1999</w:t>
            </w:r>
            <w:r>
              <w:rPr>
                <w:webHidden/>
              </w:rPr>
              <w:tab/>
            </w:r>
            <w:r>
              <w:rPr>
                <w:webHidden/>
              </w:rPr>
              <w:fldChar w:fldCharType="begin"/>
            </w:r>
            <w:r>
              <w:rPr>
                <w:webHidden/>
              </w:rPr>
              <w:instrText xml:space="preserve"> PAGEREF _Toc181084950 \h </w:instrText>
            </w:r>
            <w:r>
              <w:rPr>
                <w:webHidden/>
              </w:rPr>
            </w:r>
            <w:r>
              <w:rPr>
                <w:webHidden/>
              </w:rPr>
              <w:fldChar w:fldCharType="separate"/>
            </w:r>
            <w:r>
              <w:rPr>
                <w:webHidden/>
              </w:rPr>
              <w:t>102</w:t>
            </w:r>
            <w:r>
              <w:rPr>
                <w:webHidden/>
              </w:rPr>
              <w:fldChar w:fldCharType="end"/>
            </w:r>
          </w:hyperlink>
        </w:p>
        <w:p w14:paraId="44040723" w14:textId="028BAEFC" w:rsidR="00A00D64" w:rsidRDefault="00A00D64">
          <w:pPr>
            <w:pStyle w:val="TOC2"/>
            <w:rPr>
              <w:rFonts w:asciiTheme="minorHAnsi" w:eastAsiaTheme="minorEastAsia" w:hAnsiTheme="minorHAnsi" w:cstheme="minorBidi"/>
              <w:b w:val="0"/>
              <w:kern w:val="2"/>
              <w:sz w:val="24"/>
              <w14:ligatures w14:val="standardContextual"/>
            </w:rPr>
          </w:pPr>
          <w:hyperlink w:anchor="_Toc181084951" w:history="1">
            <w:r w:rsidRPr="00016437">
              <w:rPr>
                <w:rStyle w:val="Hyperlink"/>
              </w:rPr>
              <w:t>State administration 1950–1999</w:t>
            </w:r>
            <w:r>
              <w:rPr>
                <w:webHidden/>
              </w:rPr>
              <w:tab/>
            </w:r>
            <w:r>
              <w:rPr>
                <w:webHidden/>
              </w:rPr>
              <w:fldChar w:fldCharType="begin"/>
            </w:r>
            <w:r>
              <w:rPr>
                <w:webHidden/>
              </w:rPr>
              <w:instrText xml:space="preserve"> PAGEREF _Toc181084951 \h </w:instrText>
            </w:r>
            <w:r>
              <w:rPr>
                <w:webHidden/>
              </w:rPr>
            </w:r>
            <w:r>
              <w:rPr>
                <w:webHidden/>
              </w:rPr>
              <w:fldChar w:fldCharType="separate"/>
            </w:r>
            <w:r>
              <w:rPr>
                <w:webHidden/>
              </w:rPr>
              <w:t>102</w:t>
            </w:r>
            <w:r>
              <w:rPr>
                <w:webHidden/>
              </w:rPr>
              <w:fldChar w:fldCharType="end"/>
            </w:r>
          </w:hyperlink>
        </w:p>
        <w:p w14:paraId="6992B383" w14:textId="68EF7618" w:rsidR="00A00D64" w:rsidRDefault="00A00D64">
          <w:pPr>
            <w:pStyle w:val="TOC3"/>
            <w:rPr>
              <w:rFonts w:asciiTheme="minorHAnsi" w:eastAsiaTheme="minorEastAsia" w:hAnsiTheme="minorHAnsi" w:cstheme="minorBidi"/>
              <w:kern w:val="2"/>
              <w:sz w:val="24"/>
              <w14:ligatures w14:val="standardContextual"/>
            </w:rPr>
          </w:pPr>
          <w:hyperlink w:anchor="_Toc181084952" w:history="1">
            <w:r w:rsidRPr="00016437">
              <w:rPr>
                <w:rStyle w:val="Hyperlink"/>
              </w:rPr>
              <w:t>Ngā tau 1950–1980: Mai i te waeture ki te whakahou</w:t>
            </w:r>
            <w:r>
              <w:rPr>
                <w:webHidden/>
              </w:rPr>
              <w:tab/>
            </w:r>
            <w:r>
              <w:rPr>
                <w:webHidden/>
              </w:rPr>
              <w:fldChar w:fldCharType="begin"/>
            </w:r>
            <w:r>
              <w:rPr>
                <w:webHidden/>
              </w:rPr>
              <w:instrText xml:space="preserve"> PAGEREF _Toc181084952 \h </w:instrText>
            </w:r>
            <w:r>
              <w:rPr>
                <w:webHidden/>
              </w:rPr>
            </w:r>
            <w:r>
              <w:rPr>
                <w:webHidden/>
              </w:rPr>
              <w:fldChar w:fldCharType="separate"/>
            </w:r>
            <w:r>
              <w:rPr>
                <w:webHidden/>
              </w:rPr>
              <w:t>102</w:t>
            </w:r>
            <w:r>
              <w:rPr>
                <w:webHidden/>
              </w:rPr>
              <w:fldChar w:fldCharType="end"/>
            </w:r>
          </w:hyperlink>
        </w:p>
        <w:p w14:paraId="3BFD94B6" w14:textId="69C742EF" w:rsidR="00A00D64" w:rsidRDefault="00A00D64">
          <w:pPr>
            <w:pStyle w:val="TOC3"/>
            <w:rPr>
              <w:rFonts w:asciiTheme="minorHAnsi" w:eastAsiaTheme="minorEastAsia" w:hAnsiTheme="minorHAnsi" w:cstheme="minorBidi"/>
              <w:kern w:val="2"/>
              <w:sz w:val="24"/>
              <w14:ligatures w14:val="standardContextual"/>
            </w:rPr>
          </w:pPr>
          <w:hyperlink w:anchor="_Toc181084953" w:history="1">
            <w:r w:rsidRPr="00016437">
              <w:rPr>
                <w:rStyle w:val="Hyperlink"/>
              </w:rPr>
              <w:t>1950–1980s: From regulation to reform</w:t>
            </w:r>
            <w:r>
              <w:rPr>
                <w:webHidden/>
              </w:rPr>
              <w:tab/>
            </w:r>
            <w:r>
              <w:rPr>
                <w:webHidden/>
              </w:rPr>
              <w:fldChar w:fldCharType="begin"/>
            </w:r>
            <w:r>
              <w:rPr>
                <w:webHidden/>
              </w:rPr>
              <w:instrText xml:space="preserve"> PAGEREF _Toc181084953 \h </w:instrText>
            </w:r>
            <w:r>
              <w:rPr>
                <w:webHidden/>
              </w:rPr>
            </w:r>
            <w:r>
              <w:rPr>
                <w:webHidden/>
              </w:rPr>
              <w:fldChar w:fldCharType="separate"/>
            </w:r>
            <w:r>
              <w:rPr>
                <w:webHidden/>
              </w:rPr>
              <w:t>102</w:t>
            </w:r>
            <w:r>
              <w:rPr>
                <w:webHidden/>
              </w:rPr>
              <w:fldChar w:fldCharType="end"/>
            </w:r>
          </w:hyperlink>
        </w:p>
        <w:p w14:paraId="0A3EE815" w14:textId="1AE58926" w:rsidR="00A00D64" w:rsidRDefault="00A00D64">
          <w:pPr>
            <w:pStyle w:val="TOC3"/>
            <w:rPr>
              <w:rFonts w:asciiTheme="minorHAnsi" w:eastAsiaTheme="minorEastAsia" w:hAnsiTheme="minorHAnsi" w:cstheme="minorBidi"/>
              <w:kern w:val="2"/>
              <w:sz w:val="24"/>
              <w14:ligatures w14:val="standardContextual"/>
            </w:rPr>
          </w:pPr>
          <w:hyperlink w:anchor="_Toc181084954" w:history="1">
            <w:r w:rsidRPr="00016437">
              <w:rPr>
                <w:rStyle w:val="Hyperlink"/>
              </w:rPr>
              <w:t>Mai i te tau 1989: Te whakaurunga o te whāomo me te kirimana</w:t>
            </w:r>
            <w:r>
              <w:rPr>
                <w:webHidden/>
              </w:rPr>
              <w:tab/>
            </w:r>
            <w:r>
              <w:rPr>
                <w:webHidden/>
              </w:rPr>
              <w:fldChar w:fldCharType="begin"/>
            </w:r>
            <w:r>
              <w:rPr>
                <w:webHidden/>
              </w:rPr>
              <w:instrText xml:space="preserve"> PAGEREF _Toc181084954 \h </w:instrText>
            </w:r>
            <w:r>
              <w:rPr>
                <w:webHidden/>
              </w:rPr>
            </w:r>
            <w:r>
              <w:rPr>
                <w:webHidden/>
              </w:rPr>
              <w:fldChar w:fldCharType="separate"/>
            </w:r>
            <w:r>
              <w:rPr>
                <w:webHidden/>
              </w:rPr>
              <w:t>103</w:t>
            </w:r>
            <w:r>
              <w:rPr>
                <w:webHidden/>
              </w:rPr>
              <w:fldChar w:fldCharType="end"/>
            </w:r>
          </w:hyperlink>
        </w:p>
        <w:p w14:paraId="2A5A1891" w14:textId="05006657" w:rsidR="00A00D64" w:rsidRDefault="00A00D64">
          <w:pPr>
            <w:pStyle w:val="TOC3"/>
            <w:rPr>
              <w:rFonts w:asciiTheme="minorHAnsi" w:eastAsiaTheme="minorEastAsia" w:hAnsiTheme="minorHAnsi" w:cstheme="minorBidi"/>
              <w:kern w:val="2"/>
              <w:sz w:val="24"/>
              <w14:ligatures w14:val="standardContextual"/>
            </w:rPr>
          </w:pPr>
          <w:hyperlink w:anchor="_Toc181084955" w:history="1">
            <w:r w:rsidRPr="00016437">
              <w:rPr>
                <w:rStyle w:val="Hyperlink"/>
              </w:rPr>
              <w:t>From1989: the introduction of efficiency and contracting</w:t>
            </w:r>
            <w:r>
              <w:rPr>
                <w:webHidden/>
              </w:rPr>
              <w:tab/>
            </w:r>
            <w:r>
              <w:rPr>
                <w:webHidden/>
              </w:rPr>
              <w:fldChar w:fldCharType="begin"/>
            </w:r>
            <w:r>
              <w:rPr>
                <w:webHidden/>
              </w:rPr>
              <w:instrText xml:space="preserve"> PAGEREF _Toc181084955 \h </w:instrText>
            </w:r>
            <w:r>
              <w:rPr>
                <w:webHidden/>
              </w:rPr>
            </w:r>
            <w:r>
              <w:rPr>
                <w:webHidden/>
              </w:rPr>
              <w:fldChar w:fldCharType="separate"/>
            </w:r>
            <w:r>
              <w:rPr>
                <w:webHidden/>
              </w:rPr>
              <w:t>103</w:t>
            </w:r>
            <w:r>
              <w:rPr>
                <w:webHidden/>
              </w:rPr>
              <w:fldChar w:fldCharType="end"/>
            </w:r>
          </w:hyperlink>
        </w:p>
        <w:p w14:paraId="5D6D2939" w14:textId="64A68855" w:rsidR="00A00D64" w:rsidRDefault="00A00D64">
          <w:pPr>
            <w:pStyle w:val="TOC3"/>
            <w:rPr>
              <w:rFonts w:asciiTheme="minorHAnsi" w:eastAsiaTheme="minorEastAsia" w:hAnsiTheme="minorHAnsi" w:cstheme="minorBidi"/>
              <w:kern w:val="2"/>
              <w:sz w:val="24"/>
              <w14:ligatures w14:val="standardContextual"/>
            </w:rPr>
          </w:pPr>
          <w:hyperlink w:anchor="_Toc181084956" w:history="1">
            <w:r w:rsidRPr="00016437">
              <w:rPr>
                <w:rStyle w:val="Hyperlink"/>
              </w:rPr>
              <w:t>Te tiaki kōrero me te tuari mōhiotanga</w:t>
            </w:r>
            <w:r>
              <w:rPr>
                <w:webHidden/>
              </w:rPr>
              <w:tab/>
            </w:r>
            <w:r>
              <w:rPr>
                <w:webHidden/>
              </w:rPr>
              <w:fldChar w:fldCharType="begin"/>
            </w:r>
            <w:r>
              <w:rPr>
                <w:webHidden/>
              </w:rPr>
              <w:instrText xml:space="preserve"> PAGEREF _Toc181084956 \h </w:instrText>
            </w:r>
            <w:r>
              <w:rPr>
                <w:webHidden/>
              </w:rPr>
            </w:r>
            <w:r>
              <w:rPr>
                <w:webHidden/>
              </w:rPr>
              <w:fldChar w:fldCharType="separate"/>
            </w:r>
            <w:r>
              <w:rPr>
                <w:webHidden/>
              </w:rPr>
              <w:t>103</w:t>
            </w:r>
            <w:r>
              <w:rPr>
                <w:webHidden/>
              </w:rPr>
              <w:fldChar w:fldCharType="end"/>
            </w:r>
          </w:hyperlink>
        </w:p>
        <w:p w14:paraId="3FD3528A" w14:textId="049B6925" w:rsidR="00A00D64" w:rsidRDefault="00A00D64">
          <w:pPr>
            <w:pStyle w:val="TOC3"/>
            <w:rPr>
              <w:rFonts w:asciiTheme="minorHAnsi" w:eastAsiaTheme="minorEastAsia" w:hAnsiTheme="minorHAnsi" w:cstheme="minorBidi"/>
              <w:kern w:val="2"/>
              <w:sz w:val="24"/>
              <w14:ligatures w14:val="standardContextual"/>
            </w:rPr>
          </w:pPr>
          <w:hyperlink w:anchor="_Toc181084957" w:history="1">
            <w:r w:rsidRPr="00016437">
              <w:rPr>
                <w:rStyle w:val="Hyperlink"/>
              </w:rPr>
              <w:t>Record keeping and information sharing</w:t>
            </w:r>
            <w:r>
              <w:rPr>
                <w:webHidden/>
              </w:rPr>
              <w:tab/>
            </w:r>
            <w:r>
              <w:rPr>
                <w:webHidden/>
              </w:rPr>
              <w:fldChar w:fldCharType="begin"/>
            </w:r>
            <w:r>
              <w:rPr>
                <w:webHidden/>
              </w:rPr>
              <w:instrText xml:space="preserve"> PAGEREF _Toc181084957 \h </w:instrText>
            </w:r>
            <w:r>
              <w:rPr>
                <w:webHidden/>
              </w:rPr>
            </w:r>
            <w:r>
              <w:rPr>
                <w:webHidden/>
              </w:rPr>
              <w:fldChar w:fldCharType="separate"/>
            </w:r>
            <w:r>
              <w:rPr>
                <w:webHidden/>
              </w:rPr>
              <w:t>103</w:t>
            </w:r>
            <w:r>
              <w:rPr>
                <w:webHidden/>
              </w:rPr>
              <w:fldChar w:fldCharType="end"/>
            </w:r>
          </w:hyperlink>
        </w:p>
        <w:p w14:paraId="29124204" w14:textId="68847F54"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58" w:history="1">
            <w:r w:rsidRPr="00016437">
              <w:rPr>
                <w:rStyle w:val="Hyperlink"/>
                <w:noProof/>
              </w:rPr>
              <w:t>Ūpoko 10: Ngā whakaritenga taurima ā-Kāwanatanga i te wā Pakirehua</w:t>
            </w:r>
            <w:r>
              <w:rPr>
                <w:noProof/>
                <w:webHidden/>
              </w:rPr>
              <w:tab/>
            </w:r>
            <w:r>
              <w:rPr>
                <w:noProof/>
                <w:webHidden/>
              </w:rPr>
              <w:fldChar w:fldCharType="begin"/>
            </w:r>
            <w:r>
              <w:rPr>
                <w:noProof/>
                <w:webHidden/>
              </w:rPr>
              <w:instrText xml:space="preserve"> PAGEREF _Toc181084958 \h </w:instrText>
            </w:r>
            <w:r>
              <w:rPr>
                <w:noProof/>
                <w:webHidden/>
              </w:rPr>
            </w:r>
            <w:r>
              <w:rPr>
                <w:noProof/>
                <w:webHidden/>
              </w:rPr>
              <w:fldChar w:fldCharType="separate"/>
            </w:r>
            <w:r>
              <w:rPr>
                <w:noProof/>
                <w:webHidden/>
              </w:rPr>
              <w:t>117</w:t>
            </w:r>
            <w:r>
              <w:rPr>
                <w:noProof/>
                <w:webHidden/>
              </w:rPr>
              <w:fldChar w:fldCharType="end"/>
            </w:r>
          </w:hyperlink>
        </w:p>
        <w:p w14:paraId="3C7B4AAD" w14:textId="3F8D88FB"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4959" w:history="1">
            <w:r w:rsidRPr="00016437">
              <w:rPr>
                <w:rStyle w:val="Hyperlink"/>
                <w:noProof/>
              </w:rPr>
              <w:t>Chapter 10: State-based care settings during the Inquiry period</w:t>
            </w:r>
            <w:r>
              <w:rPr>
                <w:noProof/>
                <w:webHidden/>
              </w:rPr>
              <w:tab/>
            </w:r>
            <w:r>
              <w:rPr>
                <w:noProof/>
                <w:webHidden/>
              </w:rPr>
              <w:fldChar w:fldCharType="begin"/>
            </w:r>
            <w:r>
              <w:rPr>
                <w:noProof/>
                <w:webHidden/>
              </w:rPr>
              <w:instrText xml:space="preserve"> PAGEREF _Toc181084959 \h </w:instrText>
            </w:r>
            <w:r>
              <w:rPr>
                <w:noProof/>
                <w:webHidden/>
              </w:rPr>
            </w:r>
            <w:r>
              <w:rPr>
                <w:noProof/>
                <w:webHidden/>
              </w:rPr>
              <w:fldChar w:fldCharType="separate"/>
            </w:r>
            <w:r>
              <w:rPr>
                <w:noProof/>
                <w:webHidden/>
              </w:rPr>
              <w:t>117</w:t>
            </w:r>
            <w:r>
              <w:rPr>
                <w:noProof/>
                <w:webHidden/>
              </w:rPr>
              <w:fldChar w:fldCharType="end"/>
            </w:r>
          </w:hyperlink>
        </w:p>
        <w:p w14:paraId="60ECA3AA" w14:textId="675D5EBD" w:rsidR="00A00D64" w:rsidRDefault="00A00D64">
          <w:pPr>
            <w:pStyle w:val="TOC2"/>
            <w:rPr>
              <w:rFonts w:asciiTheme="minorHAnsi" w:eastAsiaTheme="minorEastAsia" w:hAnsiTheme="minorHAnsi" w:cstheme="minorBidi"/>
              <w:b w:val="0"/>
              <w:kern w:val="2"/>
              <w:sz w:val="24"/>
              <w14:ligatures w14:val="standardContextual"/>
            </w:rPr>
          </w:pPr>
          <w:hyperlink w:anchor="_Toc181084960" w:history="1">
            <w:r w:rsidRPr="00016437">
              <w:rPr>
                <w:rStyle w:val="Hyperlink"/>
              </w:rPr>
              <w:t>Tokoora Pāpori</w:t>
            </w:r>
            <w:r>
              <w:rPr>
                <w:webHidden/>
              </w:rPr>
              <w:tab/>
            </w:r>
            <w:r>
              <w:rPr>
                <w:webHidden/>
              </w:rPr>
              <w:fldChar w:fldCharType="begin"/>
            </w:r>
            <w:r>
              <w:rPr>
                <w:webHidden/>
              </w:rPr>
              <w:instrText xml:space="preserve"> PAGEREF _Toc181084960 \h </w:instrText>
            </w:r>
            <w:r>
              <w:rPr>
                <w:webHidden/>
              </w:rPr>
            </w:r>
            <w:r>
              <w:rPr>
                <w:webHidden/>
              </w:rPr>
              <w:fldChar w:fldCharType="separate"/>
            </w:r>
            <w:r>
              <w:rPr>
                <w:webHidden/>
              </w:rPr>
              <w:t>117</w:t>
            </w:r>
            <w:r>
              <w:rPr>
                <w:webHidden/>
              </w:rPr>
              <w:fldChar w:fldCharType="end"/>
            </w:r>
          </w:hyperlink>
        </w:p>
        <w:p w14:paraId="714FA246" w14:textId="22B4E71E" w:rsidR="00A00D64" w:rsidRDefault="00A00D64">
          <w:pPr>
            <w:pStyle w:val="TOC2"/>
            <w:rPr>
              <w:rFonts w:asciiTheme="minorHAnsi" w:eastAsiaTheme="minorEastAsia" w:hAnsiTheme="minorHAnsi" w:cstheme="minorBidi"/>
              <w:b w:val="0"/>
              <w:kern w:val="2"/>
              <w:sz w:val="24"/>
              <w14:ligatures w14:val="standardContextual"/>
            </w:rPr>
          </w:pPr>
          <w:hyperlink w:anchor="_Toc181084961" w:history="1">
            <w:r w:rsidRPr="00016437">
              <w:rPr>
                <w:rStyle w:val="Hyperlink"/>
              </w:rPr>
              <w:t>Social welfare 1950–1999</w:t>
            </w:r>
            <w:r>
              <w:rPr>
                <w:webHidden/>
              </w:rPr>
              <w:tab/>
            </w:r>
            <w:r>
              <w:rPr>
                <w:webHidden/>
              </w:rPr>
              <w:fldChar w:fldCharType="begin"/>
            </w:r>
            <w:r>
              <w:rPr>
                <w:webHidden/>
              </w:rPr>
              <w:instrText xml:space="preserve"> PAGEREF _Toc181084961 \h </w:instrText>
            </w:r>
            <w:r>
              <w:rPr>
                <w:webHidden/>
              </w:rPr>
            </w:r>
            <w:r>
              <w:rPr>
                <w:webHidden/>
              </w:rPr>
              <w:fldChar w:fldCharType="separate"/>
            </w:r>
            <w:r>
              <w:rPr>
                <w:webHidden/>
              </w:rPr>
              <w:t>117</w:t>
            </w:r>
            <w:r>
              <w:rPr>
                <w:webHidden/>
              </w:rPr>
              <w:fldChar w:fldCharType="end"/>
            </w:r>
          </w:hyperlink>
        </w:p>
        <w:p w14:paraId="17113864" w14:textId="035BFAE2" w:rsidR="00A00D64" w:rsidRDefault="00A00D64">
          <w:pPr>
            <w:pStyle w:val="TOC3"/>
            <w:rPr>
              <w:rFonts w:asciiTheme="minorHAnsi" w:eastAsiaTheme="minorEastAsia" w:hAnsiTheme="minorHAnsi" w:cstheme="minorBidi"/>
              <w:kern w:val="2"/>
              <w:sz w:val="24"/>
              <w14:ligatures w14:val="standardContextual"/>
            </w:rPr>
          </w:pPr>
          <w:hyperlink w:anchor="_Toc181084962" w:history="1">
            <w:r w:rsidRPr="00016437">
              <w:rPr>
                <w:rStyle w:val="Hyperlink"/>
                <w:lang w:val="en-US"/>
              </w:rPr>
              <w:t>Te ture Tokoora Tamariki</w:t>
            </w:r>
            <w:r>
              <w:rPr>
                <w:webHidden/>
              </w:rPr>
              <w:tab/>
            </w:r>
            <w:r>
              <w:rPr>
                <w:webHidden/>
              </w:rPr>
              <w:fldChar w:fldCharType="begin"/>
            </w:r>
            <w:r>
              <w:rPr>
                <w:webHidden/>
              </w:rPr>
              <w:instrText xml:space="preserve"> PAGEREF _Toc181084962 \h </w:instrText>
            </w:r>
            <w:r>
              <w:rPr>
                <w:webHidden/>
              </w:rPr>
            </w:r>
            <w:r>
              <w:rPr>
                <w:webHidden/>
              </w:rPr>
              <w:fldChar w:fldCharType="separate"/>
            </w:r>
            <w:r>
              <w:rPr>
                <w:webHidden/>
              </w:rPr>
              <w:t>117</w:t>
            </w:r>
            <w:r>
              <w:rPr>
                <w:webHidden/>
              </w:rPr>
              <w:fldChar w:fldCharType="end"/>
            </w:r>
          </w:hyperlink>
        </w:p>
        <w:p w14:paraId="0AAD099B" w14:textId="0FFC8F3D" w:rsidR="00A00D64" w:rsidRDefault="00A00D64">
          <w:pPr>
            <w:pStyle w:val="TOC3"/>
            <w:rPr>
              <w:rFonts w:asciiTheme="minorHAnsi" w:eastAsiaTheme="minorEastAsia" w:hAnsiTheme="minorHAnsi" w:cstheme="minorBidi"/>
              <w:kern w:val="2"/>
              <w:sz w:val="24"/>
              <w14:ligatures w14:val="standardContextual"/>
            </w:rPr>
          </w:pPr>
          <w:hyperlink w:anchor="_Toc181084963" w:history="1">
            <w:r w:rsidRPr="00016437">
              <w:rPr>
                <w:rStyle w:val="Hyperlink"/>
              </w:rPr>
              <w:t>Child Welfare legislation</w:t>
            </w:r>
            <w:r>
              <w:rPr>
                <w:webHidden/>
              </w:rPr>
              <w:tab/>
            </w:r>
            <w:r>
              <w:rPr>
                <w:webHidden/>
              </w:rPr>
              <w:fldChar w:fldCharType="begin"/>
            </w:r>
            <w:r>
              <w:rPr>
                <w:webHidden/>
              </w:rPr>
              <w:instrText xml:space="preserve"> PAGEREF _Toc181084963 \h </w:instrText>
            </w:r>
            <w:r>
              <w:rPr>
                <w:webHidden/>
              </w:rPr>
            </w:r>
            <w:r>
              <w:rPr>
                <w:webHidden/>
              </w:rPr>
              <w:fldChar w:fldCharType="separate"/>
            </w:r>
            <w:r>
              <w:rPr>
                <w:webHidden/>
              </w:rPr>
              <w:t>117</w:t>
            </w:r>
            <w:r>
              <w:rPr>
                <w:webHidden/>
              </w:rPr>
              <w:fldChar w:fldCharType="end"/>
            </w:r>
          </w:hyperlink>
        </w:p>
        <w:p w14:paraId="2B563868" w14:textId="10C2C5EE" w:rsidR="00A00D64" w:rsidRDefault="00A00D64">
          <w:pPr>
            <w:pStyle w:val="TOC2"/>
            <w:rPr>
              <w:rFonts w:asciiTheme="minorHAnsi" w:eastAsiaTheme="minorEastAsia" w:hAnsiTheme="minorHAnsi" w:cstheme="minorBidi"/>
              <w:b w:val="0"/>
              <w:kern w:val="2"/>
              <w:sz w:val="24"/>
              <w14:ligatures w14:val="standardContextual"/>
            </w:rPr>
          </w:pPr>
          <w:hyperlink w:anchor="_Toc181084964" w:history="1">
            <w:r w:rsidRPr="00016437">
              <w:rPr>
                <w:rStyle w:val="Hyperlink"/>
              </w:rPr>
              <w:t>Ngā whakaritenga tokoora pāpori</w:t>
            </w:r>
            <w:r>
              <w:rPr>
                <w:webHidden/>
              </w:rPr>
              <w:tab/>
            </w:r>
            <w:r>
              <w:rPr>
                <w:webHidden/>
              </w:rPr>
              <w:fldChar w:fldCharType="begin"/>
            </w:r>
            <w:r>
              <w:rPr>
                <w:webHidden/>
              </w:rPr>
              <w:instrText xml:space="preserve"> PAGEREF _Toc181084964 \h </w:instrText>
            </w:r>
            <w:r>
              <w:rPr>
                <w:webHidden/>
              </w:rPr>
            </w:r>
            <w:r>
              <w:rPr>
                <w:webHidden/>
              </w:rPr>
              <w:fldChar w:fldCharType="separate"/>
            </w:r>
            <w:r>
              <w:rPr>
                <w:webHidden/>
              </w:rPr>
              <w:t>128</w:t>
            </w:r>
            <w:r>
              <w:rPr>
                <w:webHidden/>
              </w:rPr>
              <w:fldChar w:fldCharType="end"/>
            </w:r>
          </w:hyperlink>
        </w:p>
        <w:p w14:paraId="25BEB0FE" w14:textId="12389297" w:rsidR="00A00D64" w:rsidRDefault="00A00D64">
          <w:pPr>
            <w:pStyle w:val="TOC2"/>
            <w:rPr>
              <w:rFonts w:asciiTheme="minorHAnsi" w:eastAsiaTheme="minorEastAsia" w:hAnsiTheme="minorHAnsi" w:cstheme="minorBidi"/>
              <w:b w:val="0"/>
              <w:kern w:val="2"/>
              <w:sz w:val="24"/>
              <w14:ligatures w14:val="standardContextual"/>
            </w:rPr>
          </w:pPr>
          <w:hyperlink w:anchor="_Toc181084965" w:history="1">
            <w:r w:rsidRPr="00016437">
              <w:rPr>
                <w:rStyle w:val="Hyperlink"/>
              </w:rPr>
              <w:t>Social welfare settings</w:t>
            </w:r>
            <w:r>
              <w:rPr>
                <w:webHidden/>
              </w:rPr>
              <w:tab/>
            </w:r>
            <w:r>
              <w:rPr>
                <w:webHidden/>
              </w:rPr>
              <w:fldChar w:fldCharType="begin"/>
            </w:r>
            <w:r>
              <w:rPr>
                <w:webHidden/>
              </w:rPr>
              <w:instrText xml:space="preserve"> PAGEREF _Toc181084965 \h </w:instrText>
            </w:r>
            <w:r>
              <w:rPr>
                <w:webHidden/>
              </w:rPr>
            </w:r>
            <w:r>
              <w:rPr>
                <w:webHidden/>
              </w:rPr>
              <w:fldChar w:fldCharType="separate"/>
            </w:r>
            <w:r>
              <w:rPr>
                <w:webHidden/>
              </w:rPr>
              <w:t>128</w:t>
            </w:r>
            <w:r>
              <w:rPr>
                <w:webHidden/>
              </w:rPr>
              <w:fldChar w:fldCharType="end"/>
            </w:r>
          </w:hyperlink>
        </w:p>
        <w:p w14:paraId="1F98D77E" w14:textId="0B93D9E8" w:rsidR="00A00D64" w:rsidRDefault="00A00D64">
          <w:pPr>
            <w:pStyle w:val="TOC3"/>
            <w:rPr>
              <w:rFonts w:asciiTheme="minorHAnsi" w:eastAsiaTheme="minorEastAsia" w:hAnsiTheme="minorHAnsi" w:cstheme="minorBidi"/>
              <w:kern w:val="2"/>
              <w:sz w:val="24"/>
              <w14:ligatures w14:val="standardContextual"/>
            </w:rPr>
          </w:pPr>
          <w:hyperlink w:anchor="_Toc181084966" w:history="1">
            <w:r w:rsidRPr="00016437">
              <w:rPr>
                <w:rStyle w:val="Hyperlink"/>
              </w:rPr>
              <w:t>Te taurimatanga i ngā kāinga atawhai me ngā kāinga whānau</w:t>
            </w:r>
            <w:r>
              <w:rPr>
                <w:webHidden/>
              </w:rPr>
              <w:tab/>
            </w:r>
            <w:r>
              <w:rPr>
                <w:webHidden/>
              </w:rPr>
              <w:fldChar w:fldCharType="begin"/>
            </w:r>
            <w:r>
              <w:rPr>
                <w:webHidden/>
              </w:rPr>
              <w:instrText xml:space="preserve"> PAGEREF _Toc181084966 \h </w:instrText>
            </w:r>
            <w:r>
              <w:rPr>
                <w:webHidden/>
              </w:rPr>
            </w:r>
            <w:r>
              <w:rPr>
                <w:webHidden/>
              </w:rPr>
              <w:fldChar w:fldCharType="separate"/>
            </w:r>
            <w:r>
              <w:rPr>
                <w:webHidden/>
              </w:rPr>
              <w:t>128</w:t>
            </w:r>
            <w:r>
              <w:rPr>
                <w:webHidden/>
              </w:rPr>
              <w:fldChar w:fldCharType="end"/>
            </w:r>
          </w:hyperlink>
        </w:p>
        <w:p w14:paraId="458FC0BC" w14:textId="5832C68D" w:rsidR="00A00D64" w:rsidRDefault="00A00D64">
          <w:pPr>
            <w:pStyle w:val="TOC3"/>
            <w:rPr>
              <w:rFonts w:asciiTheme="minorHAnsi" w:eastAsiaTheme="minorEastAsia" w:hAnsiTheme="minorHAnsi" w:cstheme="minorBidi"/>
              <w:kern w:val="2"/>
              <w:sz w:val="24"/>
              <w14:ligatures w14:val="standardContextual"/>
            </w:rPr>
          </w:pPr>
          <w:hyperlink w:anchor="_Toc181084967" w:history="1">
            <w:r w:rsidRPr="00016437">
              <w:rPr>
                <w:rStyle w:val="Hyperlink"/>
              </w:rPr>
              <w:t>Foster and Family Home care</w:t>
            </w:r>
            <w:r>
              <w:rPr>
                <w:webHidden/>
              </w:rPr>
              <w:tab/>
            </w:r>
            <w:r>
              <w:rPr>
                <w:webHidden/>
              </w:rPr>
              <w:fldChar w:fldCharType="begin"/>
            </w:r>
            <w:r>
              <w:rPr>
                <w:webHidden/>
              </w:rPr>
              <w:instrText xml:space="preserve"> PAGEREF _Toc181084967 \h </w:instrText>
            </w:r>
            <w:r>
              <w:rPr>
                <w:webHidden/>
              </w:rPr>
            </w:r>
            <w:r>
              <w:rPr>
                <w:webHidden/>
              </w:rPr>
              <w:fldChar w:fldCharType="separate"/>
            </w:r>
            <w:r>
              <w:rPr>
                <w:webHidden/>
              </w:rPr>
              <w:t>128</w:t>
            </w:r>
            <w:r>
              <w:rPr>
                <w:webHidden/>
              </w:rPr>
              <w:fldChar w:fldCharType="end"/>
            </w:r>
          </w:hyperlink>
        </w:p>
        <w:p w14:paraId="36E1BC79" w14:textId="2F49AE31" w:rsidR="00A00D64" w:rsidRDefault="00A00D64">
          <w:pPr>
            <w:pStyle w:val="TOC3"/>
            <w:rPr>
              <w:rFonts w:asciiTheme="minorHAnsi" w:eastAsiaTheme="minorEastAsia" w:hAnsiTheme="minorHAnsi" w:cstheme="minorBidi"/>
              <w:kern w:val="2"/>
              <w:sz w:val="24"/>
              <w14:ligatures w14:val="standardContextual"/>
            </w:rPr>
          </w:pPr>
          <w:hyperlink w:anchor="_Toc181084968" w:history="1">
            <w:r w:rsidRPr="00016437">
              <w:rPr>
                <w:rStyle w:val="Hyperlink"/>
              </w:rPr>
              <w:t>Kāinga tokoora</w:t>
            </w:r>
            <w:r>
              <w:rPr>
                <w:webHidden/>
              </w:rPr>
              <w:tab/>
            </w:r>
            <w:r>
              <w:rPr>
                <w:webHidden/>
              </w:rPr>
              <w:fldChar w:fldCharType="begin"/>
            </w:r>
            <w:r>
              <w:rPr>
                <w:webHidden/>
              </w:rPr>
              <w:instrText xml:space="preserve"> PAGEREF _Toc181084968 \h </w:instrText>
            </w:r>
            <w:r>
              <w:rPr>
                <w:webHidden/>
              </w:rPr>
            </w:r>
            <w:r>
              <w:rPr>
                <w:webHidden/>
              </w:rPr>
              <w:fldChar w:fldCharType="separate"/>
            </w:r>
            <w:r>
              <w:rPr>
                <w:webHidden/>
              </w:rPr>
              <w:t>128</w:t>
            </w:r>
            <w:r>
              <w:rPr>
                <w:webHidden/>
              </w:rPr>
              <w:fldChar w:fldCharType="end"/>
            </w:r>
          </w:hyperlink>
        </w:p>
        <w:p w14:paraId="0D082F13" w14:textId="7BEA283A" w:rsidR="00A00D64" w:rsidRDefault="00A00D64">
          <w:pPr>
            <w:pStyle w:val="TOC3"/>
            <w:rPr>
              <w:rFonts w:asciiTheme="minorHAnsi" w:eastAsiaTheme="minorEastAsia" w:hAnsiTheme="minorHAnsi" w:cstheme="minorBidi"/>
              <w:kern w:val="2"/>
              <w:sz w:val="24"/>
              <w14:ligatures w14:val="standardContextual"/>
            </w:rPr>
          </w:pPr>
          <w:hyperlink w:anchor="_Toc181084969" w:history="1">
            <w:r w:rsidRPr="00016437">
              <w:rPr>
                <w:rStyle w:val="Hyperlink"/>
              </w:rPr>
              <w:t>Social welfare residences</w:t>
            </w:r>
            <w:r>
              <w:rPr>
                <w:webHidden/>
              </w:rPr>
              <w:tab/>
            </w:r>
            <w:r>
              <w:rPr>
                <w:webHidden/>
              </w:rPr>
              <w:fldChar w:fldCharType="begin"/>
            </w:r>
            <w:r>
              <w:rPr>
                <w:webHidden/>
              </w:rPr>
              <w:instrText xml:space="preserve"> PAGEREF _Toc181084969 \h </w:instrText>
            </w:r>
            <w:r>
              <w:rPr>
                <w:webHidden/>
              </w:rPr>
            </w:r>
            <w:r>
              <w:rPr>
                <w:webHidden/>
              </w:rPr>
              <w:fldChar w:fldCharType="separate"/>
            </w:r>
            <w:r>
              <w:rPr>
                <w:webHidden/>
              </w:rPr>
              <w:t>128</w:t>
            </w:r>
            <w:r>
              <w:rPr>
                <w:webHidden/>
              </w:rPr>
              <w:fldChar w:fldCharType="end"/>
            </w:r>
          </w:hyperlink>
        </w:p>
        <w:p w14:paraId="0E029976" w14:textId="0C3A637F" w:rsidR="00A00D64" w:rsidRDefault="00A00D64">
          <w:pPr>
            <w:pStyle w:val="TOC2"/>
            <w:rPr>
              <w:rFonts w:asciiTheme="minorHAnsi" w:eastAsiaTheme="minorEastAsia" w:hAnsiTheme="minorHAnsi" w:cstheme="minorBidi"/>
              <w:b w:val="0"/>
              <w:kern w:val="2"/>
              <w:sz w:val="24"/>
              <w14:ligatures w14:val="standardContextual"/>
            </w:rPr>
          </w:pPr>
          <w:hyperlink w:anchor="_Toc181084970" w:history="1">
            <w:r w:rsidRPr="00016437">
              <w:rPr>
                <w:rStyle w:val="Hyperlink"/>
              </w:rPr>
              <w:t>Tamaiti atawhai</w:t>
            </w:r>
            <w:r>
              <w:rPr>
                <w:webHidden/>
              </w:rPr>
              <w:tab/>
            </w:r>
            <w:r>
              <w:rPr>
                <w:webHidden/>
              </w:rPr>
              <w:fldChar w:fldCharType="begin"/>
            </w:r>
            <w:r>
              <w:rPr>
                <w:webHidden/>
              </w:rPr>
              <w:instrText xml:space="preserve"> PAGEREF _Toc181084970 \h </w:instrText>
            </w:r>
            <w:r>
              <w:rPr>
                <w:webHidden/>
              </w:rPr>
            </w:r>
            <w:r>
              <w:rPr>
                <w:webHidden/>
              </w:rPr>
              <w:fldChar w:fldCharType="separate"/>
            </w:r>
            <w:r>
              <w:rPr>
                <w:webHidden/>
              </w:rPr>
              <w:t>129</w:t>
            </w:r>
            <w:r>
              <w:rPr>
                <w:webHidden/>
              </w:rPr>
              <w:fldChar w:fldCharType="end"/>
            </w:r>
          </w:hyperlink>
        </w:p>
        <w:p w14:paraId="14C60821" w14:textId="64B8DABB" w:rsidR="00A00D64" w:rsidRDefault="00A00D64">
          <w:pPr>
            <w:pStyle w:val="TOC2"/>
            <w:rPr>
              <w:rFonts w:asciiTheme="minorHAnsi" w:eastAsiaTheme="minorEastAsia" w:hAnsiTheme="minorHAnsi" w:cstheme="minorBidi"/>
              <w:b w:val="0"/>
              <w:kern w:val="2"/>
              <w:sz w:val="24"/>
              <w14:ligatures w14:val="standardContextual"/>
            </w:rPr>
          </w:pPr>
          <w:hyperlink w:anchor="_Toc181084971" w:history="1">
            <w:r w:rsidRPr="00016437">
              <w:rPr>
                <w:rStyle w:val="Hyperlink"/>
              </w:rPr>
              <w:t>Adoption</w:t>
            </w:r>
            <w:r>
              <w:rPr>
                <w:webHidden/>
              </w:rPr>
              <w:tab/>
            </w:r>
            <w:r>
              <w:rPr>
                <w:webHidden/>
              </w:rPr>
              <w:fldChar w:fldCharType="begin"/>
            </w:r>
            <w:r>
              <w:rPr>
                <w:webHidden/>
              </w:rPr>
              <w:instrText xml:space="preserve"> PAGEREF _Toc181084971 \h </w:instrText>
            </w:r>
            <w:r>
              <w:rPr>
                <w:webHidden/>
              </w:rPr>
            </w:r>
            <w:r>
              <w:rPr>
                <w:webHidden/>
              </w:rPr>
              <w:fldChar w:fldCharType="separate"/>
            </w:r>
            <w:r>
              <w:rPr>
                <w:webHidden/>
              </w:rPr>
              <w:t>129</w:t>
            </w:r>
            <w:r>
              <w:rPr>
                <w:webHidden/>
              </w:rPr>
              <w:fldChar w:fldCharType="end"/>
            </w:r>
          </w:hyperlink>
        </w:p>
        <w:p w14:paraId="0C329FAD" w14:textId="4005E845" w:rsidR="00A00D64" w:rsidRDefault="00A00D64">
          <w:pPr>
            <w:pStyle w:val="TOC3"/>
            <w:rPr>
              <w:rFonts w:asciiTheme="minorHAnsi" w:eastAsiaTheme="minorEastAsia" w:hAnsiTheme="minorHAnsi" w:cstheme="minorBidi"/>
              <w:kern w:val="2"/>
              <w:sz w:val="24"/>
              <w14:ligatures w14:val="standardContextual"/>
            </w:rPr>
          </w:pPr>
          <w:hyperlink w:anchor="_Toc181084972" w:history="1">
            <w:r w:rsidRPr="00016437">
              <w:rPr>
                <w:rStyle w:val="Hyperlink"/>
              </w:rPr>
              <w:t>Te Ture Whāngai 1955, te whāngai Māori me te whāngai</w:t>
            </w:r>
            <w:r>
              <w:rPr>
                <w:webHidden/>
              </w:rPr>
              <w:tab/>
            </w:r>
            <w:r>
              <w:rPr>
                <w:webHidden/>
              </w:rPr>
              <w:fldChar w:fldCharType="begin"/>
            </w:r>
            <w:r>
              <w:rPr>
                <w:webHidden/>
              </w:rPr>
              <w:instrText xml:space="preserve"> PAGEREF _Toc181084972 \h </w:instrText>
            </w:r>
            <w:r>
              <w:rPr>
                <w:webHidden/>
              </w:rPr>
            </w:r>
            <w:r>
              <w:rPr>
                <w:webHidden/>
              </w:rPr>
              <w:fldChar w:fldCharType="separate"/>
            </w:r>
            <w:r>
              <w:rPr>
                <w:webHidden/>
              </w:rPr>
              <w:t>132</w:t>
            </w:r>
            <w:r>
              <w:rPr>
                <w:webHidden/>
              </w:rPr>
              <w:fldChar w:fldCharType="end"/>
            </w:r>
          </w:hyperlink>
        </w:p>
        <w:p w14:paraId="0D24607B" w14:textId="0DB46A99" w:rsidR="00A00D64" w:rsidRDefault="00A00D64">
          <w:pPr>
            <w:pStyle w:val="TOC3"/>
            <w:rPr>
              <w:rFonts w:asciiTheme="minorHAnsi" w:eastAsiaTheme="minorEastAsia" w:hAnsiTheme="minorHAnsi" w:cstheme="minorBidi"/>
              <w:kern w:val="2"/>
              <w:sz w:val="24"/>
              <w14:ligatures w14:val="standardContextual"/>
            </w:rPr>
          </w:pPr>
          <w:hyperlink w:anchor="_Toc181084973" w:history="1">
            <w:r w:rsidRPr="00016437">
              <w:rPr>
                <w:rStyle w:val="Hyperlink"/>
              </w:rPr>
              <w:t>The Adoption Act 1955 and Māori whāngai and adoptions</w:t>
            </w:r>
            <w:r>
              <w:rPr>
                <w:webHidden/>
              </w:rPr>
              <w:tab/>
            </w:r>
            <w:r>
              <w:rPr>
                <w:webHidden/>
              </w:rPr>
              <w:fldChar w:fldCharType="begin"/>
            </w:r>
            <w:r>
              <w:rPr>
                <w:webHidden/>
              </w:rPr>
              <w:instrText xml:space="preserve"> PAGEREF _Toc181084973 \h </w:instrText>
            </w:r>
            <w:r>
              <w:rPr>
                <w:webHidden/>
              </w:rPr>
            </w:r>
            <w:r>
              <w:rPr>
                <w:webHidden/>
              </w:rPr>
              <w:fldChar w:fldCharType="separate"/>
            </w:r>
            <w:r>
              <w:rPr>
                <w:webHidden/>
              </w:rPr>
              <w:t>132</w:t>
            </w:r>
            <w:r>
              <w:rPr>
                <w:webHidden/>
              </w:rPr>
              <w:fldChar w:fldCharType="end"/>
            </w:r>
          </w:hyperlink>
        </w:p>
        <w:p w14:paraId="4795FDBD" w14:textId="561B4F69" w:rsidR="00A00D64" w:rsidRDefault="00A00D64">
          <w:pPr>
            <w:pStyle w:val="TOC2"/>
            <w:rPr>
              <w:rFonts w:asciiTheme="minorHAnsi" w:eastAsiaTheme="minorEastAsia" w:hAnsiTheme="minorHAnsi" w:cstheme="minorBidi"/>
              <w:b w:val="0"/>
              <w:kern w:val="2"/>
              <w:sz w:val="24"/>
              <w14:ligatures w14:val="standardContextual"/>
            </w:rPr>
          </w:pPr>
          <w:hyperlink w:anchor="_Toc181084974" w:history="1">
            <w:r w:rsidRPr="00016437">
              <w:rPr>
                <w:rStyle w:val="Hyperlink"/>
              </w:rPr>
              <w:t>Whakaritenga whakawhiti, whakaū ture hoki</w:t>
            </w:r>
            <w:r>
              <w:rPr>
                <w:webHidden/>
              </w:rPr>
              <w:tab/>
            </w:r>
            <w:r>
              <w:rPr>
                <w:webHidden/>
              </w:rPr>
              <w:fldChar w:fldCharType="begin"/>
            </w:r>
            <w:r>
              <w:rPr>
                <w:webHidden/>
              </w:rPr>
              <w:instrText xml:space="preserve"> PAGEREF _Toc181084974 \h </w:instrText>
            </w:r>
            <w:r>
              <w:rPr>
                <w:webHidden/>
              </w:rPr>
            </w:r>
            <w:r>
              <w:rPr>
                <w:webHidden/>
              </w:rPr>
              <w:fldChar w:fldCharType="separate"/>
            </w:r>
            <w:r>
              <w:rPr>
                <w:webHidden/>
              </w:rPr>
              <w:t>133</w:t>
            </w:r>
            <w:r>
              <w:rPr>
                <w:webHidden/>
              </w:rPr>
              <w:fldChar w:fldCharType="end"/>
            </w:r>
          </w:hyperlink>
        </w:p>
        <w:p w14:paraId="60341832" w14:textId="3FA22586" w:rsidR="00A00D64" w:rsidRDefault="00A00D64">
          <w:pPr>
            <w:pStyle w:val="TOC2"/>
            <w:rPr>
              <w:rFonts w:asciiTheme="minorHAnsi" w:eastAsiaTheme="minorEastAsia" w:hAnsiTheme="minorHAnsi" w:cstheme="minorBidi"/>
              <w:b w:val="0"/>
              <w:kern w:val="2"/>
              <w:sz w:val="24"/>
              <w14:ligatures w14:val="standardContextual"/>
            </w:rPr>
          </w:pPr>
          <w:hyperlink w:anchor="_Toc181084975" w:history="1">
            <w:r w:rsidRPr="00016437">
              <w:rPr>
                <w:rStyle w:val="Hyperlink"/>
              </w:rPr>
              <w:t>Transitional and law enforcement settings</w:t>
            </w:r>
            <w:r>
              <w:rPr>
                <w:webHidden/>
              </w:rPr>
              <w:tab/>
            </w:r>
            <w:r>
              <w:rPr>
                <w:webHidden/>
              </w:rPr>
              <w:fldChar w:fldCharType="begin"/>
            </w:r>
            <w:r>
              <w:rPr>
                <w:webHidden/>
              </w:rPr>
              <w:instrText xml:space="preserve"> PAGEREF _Toc181084975 \h </w:instrText>
            </w:r>
            <w:r>
              <w:rPr>
                <w:webHidden/>
              </w:rPr>
            </w:r>
            <w:r>
              <w:rPr>
                <w:webHidden/>
              </w:rPr>
              <w:fldChar w:fldCharType="separate"/>
            </w:r>
            <w:r>
              <w:rPr>
                <w:webHidden/>
              </w:rPr>
              <w:t>133</w:t>
            </w:r>
            <w:r>
              <w:rPr>
                <w:webHidden/>
              </w:rPr>
              <w:fldChar w:fldCharType="end"/>
            </w:r>
          </w:hyperlink>
        </w:p>
        <w:p w14:paraId="49911C84" w14:textId="63994A26" w:rsidR="00A00D64" w:rsidRDefault="00A00D64">
          <w:pPr>
            <w:pStyle w:val="TOC2"/>
            <w:rPr>
              <w:rFonts w:asciiTheme="minorHAnsi" w:eastAsiaTheme="minorEastAsia" w:hAnsiTheme="minorHAnsi" w:cstheme="minorBidi"/>
              <w:b w:val="0"/>
              <w:kern w:val="2"/>
              <w:sz w:val="24"/>
              <w14:ligatures w14:val="standardContextual"/>
            </w:rPr>
          </w:pPr>
          <w:hyperlink w:anchor="_Toc181084976" w:history="1">
            <w:r w:rsidRPr="00016437">
              <w:rPr>
                <w:rStyle w:val="Hyperlink"/>
              </w:rPr>
              <w:t>Te manatika taiohi</w:t>
            </w:r>
            <w:r>
              <w:rPr>
                <w:webHidden/>
              </w:rPr>
              <w:tab/>
            </w:r>
            <w:r>
              <w:rPr>
                <w:webHidden/>
              </w:rPr>
              <w:fldChar w:fldCharType="begin"/>
            </w:r>
            <w:r>
              <w:rPr>
                <w:webHidden/>
              </w:rPr>
              <w:instrText xml:space="preserve"> PAGEREF _Toc181084976 \h </w:instrText>
            </w:r>
            <w:r>
              <w:rPr>
                <w:webHidden/>
              </w:rPr>
            </w:r>
            <w:r>
              <w:rPr>
                <w:webHidden/>
              </w:rPr>
              <w:fldChar w:fldCharType="separate"/>
            </w:r>
            <w:r>
              <w:rPr>
                <w:webHidden/>
              </w:rPr>
              <w:t>134</w:t>
            </w:r>
            <w:r>
              <w:rPr>
                <w:webHidden/>
              </w:rPr>
              <w:fldChar w:fldCharType="end"/>
            </w:r>
          </w:hyperlink>
        </w:p>
        <w:p w14:paraId="5EFFD270" w14:textId="1FD16FB1" w:rsidR="00A00D64" w:rsidRDefault="00A00D64">
          <w:pPr>
            <w:pStyle w:val="TOC2"/>
            <w:rPr>
              <w:rFonts w:asciiTheme="minorHAnsi" w:eastAsiaTheme="minorEastAsia" w:hAnsiTheme="minorHAnsi" w:cstheme="minorBidi"/>
              <w:b w:val="0"/>
              <w:kern w:val="2"/>
              <w:sz w:val="24"/>
              <w14:ligatures w14:val="standardContextual"/>
            </w:rPr>
          </w:pPr>
          <w:hyperlink w:anchor="_Toc181084977" w:history="1">
            <w:r w:rsidRPr="00016437">
              <w:rPr>
                <w:rStyle w:val="Hyperlink"/>
              </w:rPr>
              <w:t>Youth justice</w:t>
            </w:r>
            <w:r>
              <w:rPr>
                <w:webHidden/>
              </w:rPr>
              <w:tab/>
            </w:r>
            <w:r>
              <w:rPr>
                <w:webHidden/>
              </w:rPr>
              <w:fldChar w:fldCharType="begin"/>
            </w:r>
            <w:r>
              <w:rPr>
                <w:webHidden/>
              </w:rPr>
              <w:instrText xml:space="preserve"> PAGEREF _Toc181084977 \h </w:instrText>
            </w:r>
            <w:r>
              <w:rPr>
                <w:webHidden/>
              </w:rPr>
            </w:r>
            <w:r>
              <w:rPr>
                <w:webHidden/>
              </w:rPr>
              <w:fldChar w:fldCharType="separate"/>
            </w:r>
            <w:r>
              <w:rPr>
                <w:webHidden/>
              </w:rPr>
              <w:t>134</w:t>
            </w:r>
            <w:r>
              <w:rPr>
                <w:webHidden/>
              </w:rPr>
              <w:fldChar w:fldCharType="end"/>
            </w:r>
          </w:hyperlink>
        </w:p>
        <w:p w14:paraId="1738EE67" w14:textId="198A7353" w:rsidR="00A00D64" w:rsidRDefault="00A00D64">
          <w:pPr>
            <w:pStyle w:val="TOC2"/>
            <w:rPr>
              <w:rFonts w:asciiTheme="minorHAnsi" w:eastAsiaTheme="minorEastAsia" w:hAnsiTheme="minorHAnsi" w:cstheme="minorBidi"/>
              <w:b w:val="0"/>
              <w:kern w:val="2"/>
              <w:sz w:val="24"/>
              <w14:ligatures w14:val="standardContextual"/>
            </w:rPr>
          </w:pPr>
          <w:hyperlink w:anchor="_Toc181084978" w:history="1">
            <w:r w:rsidRPr="00016437">
              <w:rPr>
                <w:rStyle w:val="Hyperlink"/>
              </w:rPr>
              <w:t>Te whaikahatanga me te whaioratanga</w:t>
            </w:r>
            <w:r>
              <w:rPr>
                <w:webHidden/>
              </w:rPr>
              <w:tab/>
            </w:r>
            <w:r>
              <w:rPr>
                <w:webHidden/>
              </w:rPr>
              <w:fldChar w:fldCharType="begin"/>
            </w:r>
            <w:r>
              <w:rPr>
                <w:webHidden/>
              </w:rPr>
              <w:instrText xml:space="preserve"> PAGEREF _Toc181084978 \h </w:instrText>
            </w:r>
            <w:r>
              <w:rPr>
                <w:webHidden/>
              </w:rPr>
            </w:r>
            <w:r>
              <w:rPr>
                <w:webHidden/>
              </w:rPr>
              <w:fldChar w:fldCharType="separate"/>
            </w:r>
            <w:r>
              <w:rPr>
                <w:webHidden/>
              </w:rPr>
              <w:t>136</w:t>
            </w:r>
            <w:r>
              <w:rPr>
                <w:webHidden/>
              </w:rPr>
              <w:fldChar w:fldCharType="end"/>
            </w:r>
          </w:hyperlink>
        </w:p>
        <w:p w14:paraId="7E1EA57A" w14:textId="6F9B8D43" w:rsidR="00A00D64" w:rsidRDefault="00A00D64">
          <w:pPr>
            <w:pStyle w:val="TOC2"/>
            <w:rPr>
              <w:rFonts w:asciiTheme="minorHAnsi" w:eastAsiaTheme="minorEastAsia" w:hAnsiTheme="minorHAnsi" w:cstheme="minorBidi"/>
              <w:b w:val="0"/>
              <w:kern w:val="2"/>
              <w:sz w:val="24"/>
              <w14:ligatures w14:val="standardContextual"/>
            </w:rPr>
          </w:pPr>
          <w:hyperlink w:anchor="_Toc181084979" w:history="1">
            <w:r w:rsidRPr="00016437">
              <w:rPr>
                <w:rStyle w:val="Hyperlink"/>
              </w:rPr>
              <w:t>Disability and Mental Health</w:t>
            </w:r>
            <w:r>
              <w:rPr>
                <w:webHidden/>
              </w:rPr>
              <w:tab/>
            </w:r>
            <w:r>
              <w:rPr>
                <w:webHidden/>
              </w:rPr>
              <w:fldChar w:fldCharType="begin"/>
            </w:r>
            <w:r>
              <w:rPr>
                <w:webHidden/>
              </w:rPr>
              <w:instrText xml:space="preserve"> PAGEREF _Toc181084979 \h </w:instrText>
            </w:r>
            <w:r>
              <w:rPr>
                <w:webHidden/>
              </w:rPr>
            </w:r>
            <w:r>
              <w:rPr>
                <w:webHidden/>
              </w:rPr>
              <w:fldChar w:fldCharType="separate"/>
            </w:r>
            <w:r>
              <w:rPr>
                <w:webHidden/>
              </w:rPr>
              <w:t>136</w:t>
            </w:r>
            <w:r>
              <w:rPr>
                <w:webHidden/>
              </w:rPr>
              <w:fldChar w:fldCharType="end"/>
            </w:r>
          </w:hyperlink>
        </w:p>
        <w:p w14:paraId="78BF4522" w14:textId="25D8158B" w:rsidR="00A00D64" w:rsidRDefault="00A00D64">
          <w:pPr>
            <w:pStyle w:val="TOC3"/>
            <w:rPr>
              <w:rFonts w:asciiTheme="minorHAnsi" w:eastAsiaTheme="minorEastAsia" w:hAnsiTheme="minorHAnsi" w:cstheme="minorBidi"/>
              <w:kern w:val="2"/>
              <w:sz w:val="24"/>
              <w14:ligatures w14:val="standardContextual"/>
            </w:rPr>
          </w:pPr>
          <w:hyperlink w:anchor="_Toc181084980" w:history="1">
            <w:r w:rsidRPr="00016437">
              <w:rPr>
                <w:rStyle w:val="Hyperlink"/>
                <w:lang w:val="en-US"/>
              </w:rPr>
              <w:t>I te Tari Hauora me ngā poari hohipera te haepapa matua</w:t>
            </w:r>
            <w:r>
              <w:rPr>
                <w:webHidden/>
              </w:rPr>
              <w:tab/>
            </w:r>
            <w:r>
              <w:rPr>
                <w:webHidden/>
              </w:rPr>
              <w:fldChar w:fldCharType="begin"/>
            </w:r>
            <w:r>
              <w:rPr>
                <w:webHidden/>
              </w:rPr>
              <w:instrText xml:space="preserve"> PAGEREF _Toc181084980 \h </w:instrText>
            </w:r>
            <w:r>
              <w:rPr>
                <w:webHidden/>
              </w:rPr>
            </w:r>
            <w:r>
              <w:rPr>
                <w:webHidden/>
              </w:rPr>
              <w:fldChar w:fldCharType="separate"/>
            </w:r>
            <w:r>
              <w:rPr>
                <w:webHidden/>
              </w:rPr>
              <w:t>136</w:t>
            </w:r>
            <w:r>
              <w:rPr>
                <w:webHidden/>
              </w:rPr>
              <w:fldChar w:fldCharType="end"/>
            </w:r>
          </w:hyperlink>
        </w:p>
        <w:p w14:paraId="5CCC2774" w14:textId="399DF15C" w:rsidR="00A00D64" w:rsidRDefault="00A00D64">
          <w:pPr>
            <w:pStyle w:val="TOC3"/>
            <w:rPr>
              <w:rFonts w:asciiTheme="minorHAnsi" w:eastAsiaTheme="minorEastAsia" w:hAnsiTheme="minorHAnsi" w:cstheme="minorBidi"/>
              <w:kern w:val="2"/>
              <w:sz w:val="24"/>
              <w14:ligatures w14:val="standardContextual"/>
            </w:rPr>
          </w:pPr>
          <w:hyperlink w:anchor="_Toc181084981" w:history="1">
            <w:r w:rsidRPr="00016437">
              <w:rPr>
                <w:rStyle w:val="Hyperlink"/>
              </w:rPr>
              <w:t>Department of Health and Hospital Boards had overall responsibility</w:t>
            </w:r>
            <w:r>
              <w:rPr>
                <w:webHidden/>
              </w:rPr>
              <w:tab/>
            </w:r>
            <w:r>
              <w:rPr>
                <w:webHidden/>
              </w:rPr>
              <w:fldChar w:fldCharType="begin"/>
            </w:r>
            <w:r>
              <w:rPr>
                <w:webHidden/>
              </w:rPr>
              <w:instrText xml:space="preserve"> PAGEREF _Toc181084981 \h </w:instrText>
            </w:r>
            <w:r>
              <w:rPr>
                <w:webHidden/>
              </w:rPr>
            </w:r>
            <w:r>
              <w:rPr>
                <w:webHidden/>
              </w:rPr>
              <w:fldChar w:fldCharType="separate"/>
            </w:r>
            <w:r>
              <w:rPr>
                <w:webHidden/>
              </w:rPr>
              <w:t>136</w:t>
            </w:r>
            <w:r>
              <w:rPr>
                <w:webHidden/>
              </w:rPr>
              <w:fldChar w:fldCharType="end"/>
            </w:r>
          </w:hyperlink>
        </w:p>
        <w:p w14:paraId="1F1281F5" w14:textId="6DDD675B" w:rsidR="00A00D64" w:rsidRDefault="00A00D64">
          <w:pPr>
            <w:pStyle w:val="TOC3"/>
            <w:rPr>
              <w:rFonts w:asciiTheme="minorHAnsi" w:eastAsiaTheme="minorEastAsia" w:hAnsiTheme="minorHAnsi" w:cstheme="minorBidi"/>
              <w:kern w:val="2"/>
              <w:sz w:val="24"/>
              <w14:ligatures w14:val="standardContextual"/>
            </w:rPr>
          </w:pPr>
          <w:hyperlink w:anchor="_Toc181084982" w:history="1">
            <w:r w:rsidRPr="00016437">
              <w:rPr>
                <w:rStyle w:val="Hyperlink"/>
                <w:lang w:val="en-US"/>
              </w:rPr>
              <w:t>Ngā ngaio hauora me ētahi atu kaimahi taurima</w:t>
            </w:r>
            <w:r>
              <w:rPr>
                <w:webHidden/>
              </w:rPr>
              <w:tab/>
            </w:r>
            <w:r>
              <w:rPr>
                <w:webHidden/>
              </w:rPr>
              <w:fldChar w:fldCharType="begin"/>
            </w:r>
            <w:r>
              <w:rPr>
                <w:webHidden/>
              </w:rPr>
              <w:instrText xml:space="preserve"> PAGEREF _Toc181084982 \h </w:instrText>
            </w:r>
            <w:r>
              <w:rPr>
                <w:webHidden/>
              </w:rPr>
            </w:r>
            <w:r>
              <w:rPr>
                <w:webHidden/>
              </w:rPr>
              <w:fldChar w:fldCharType="separate"/>
            </w:r>
            <w:r>
              <w:rPr>
                <w:webHidden/>
              </w:rPr>
              <w:t>137</w:t>
            </w:r>
            <w:r>
              <w:rPr>
                <w:webHidden/>
              </w:rPr>
              <w:fldChar w:fldCharType="end"/>
            </w:r>
          </w:hyperlink>
        </w:p>
        <w:p w14:paraId="24104E4D" w14:textId="7B837B3A" w:rsidR="00A00D64" w:rsidRDefault="00A00D64">
          <w:pPr>
            <w:pStyle w:val="TOC3"/>
            <w:rPr>
              <w:rFonts w:asciiTheme="minorHAnsi" w:eastAsiaTheme="minorEastAsia" w:hAnsiTheme="minorHAnsi" w:cstheme="minorBidi"/>
              <w:kern w:val="2"/>
              <w:sz w:val="24"/>
              <w14:ligatures w14:val="standardContextual"/>
            </w:rPr>
          </w:pPr>
          <w:hyperlink w:anchor="_Toc181084983" w:history="1">
            <w:r w:rsidRPr="00016437">
              <w:rPr>
                <w:rStyle w:val="Hyperlink"/>
              </w:rPr>
              <w:t>Health professionals and other care workers</w:t>
            </w:r>
            <w:r>
              <w:rPr>
                <w:webHidden/>
              </w:rPr>
              <w:tab/>
            </w:r>
            <w:r>
              <w:rPr>
                <w:webHidden/>
              </w:rPr>
              <w:fldChar w:fldCharType="begin"/>
            </w:r>
            <w:r>
              <w:rPr>
                <w:webHidden/>
              </w:rPr>
              <w:instrText xml:space="preserve"> PAGEREF _Toc181084983 \h </w:instrText>
            </w:r>
            <w:r>
              <w:rPr>
                <w:webHidden/>
              </w:rPr>
            </w:r>
            <w:r>
              <w:rPr>
                <w:webHidden/>
              </w:rPr>
              <w:fldChar w:fldCharType="separate"/>
            </w:r>
            <w:r>
              <w:rPr>
                <w:webHidden/>
              </w:rPr>
              <w:t>137</w:t>
            </w:r>
            <w:r>
              <w:rPr>
                <w:webHidden/>
              </w:rPr>
              <w:fldChar w:fldCharType="end"/>
            </w:r>
          </w:hyperlink>
        </w:p>
        <w:p w14:paraId="20989F97" w14:textId="6922E057" w:rsidR="00A00D64" w:rsidRDefault="00A00D64">
          <w:pPr>
            <w:pStyle w:val="TOC3"/>
            <w:rPr>
              <w:rFonts w:asciiTheme="minorHAnsi" w:eastAsiaTheme="minorEastAsia" w:hAnsiTheme="minorHAnsi" w:cstheme="minorBidi"/>
              <w:kern w:val="2"/>
              <w:sz w:val="24"/>
              <w14:ligatures w14:val="standardContextual"/>
            </w:rPr>
          </w:pPr>
          <w:hyperlink w:anchor="_Toc181084984" w:history="1">
            <w:r w:rsidRPr="00016437">
              <w:rPr>
                <w:rStyle w:val="Hyperlink"/>
              </w:rPr>
              <w:t>Ngā ture mō te whaikaha me te hauora hinengaro</w:t>
            </w:r>
            <w:r>
              <w:rPr>
                <w:webHidden/>
              </w:rPr>
              <w:tab/>
            </w:r>
            <w:r>
              <w:rPr>
                <w:webHidden/>
              </w:rPr>
              <w:fldChar w:fldCharType="begin"/>
            </w:r>
            <w:r>
              <w:rPr>
                <w:webHidden/>
              </w:rPr>
              <w:instrText xml:space="preserve"> PAGEREF _Toc181084984 \h </w:instrText>
            </w:r>
            <w:r>
              <w:rPr>
                <w:webHidden/>
              </w:rPr>
            </w:r>
            <w:r>
              <w:rPr>
                <w:webHidden/>
              </w:rPr>
              <w:fldChar w:fldCharType="separate"/>
            </w:r>
            <w:r>
              <w:rPr>
                <w:webHidden/>
              </w:rPr>
              <w:t>137</w:t>
            </w:r>
            <w:r>
              <w:rPr>
                <w:webHidden/>
              </w:rPr>
              <w:fldChar w:fldCharType="end"/>
            </w:r>
          </w:hyperlink>
        </w:p>
        <w:p w14:paraId="1A2F1F80" w14:textId="6D376108" w:rsidR="00A00D64" w:rsidRDefault="00A00D64">
          <w:pPr>
            <w:pStyle w:val="TOC3"/>
            <w:rPr>
              <w:rFonts w:asciiTheme="minorHAnsi" w:eastAsiaTheme="minorEastAsia" w:hAnsiTheme="minorHAnsi" w:cstheme="minorBidi"/>
              <w:kern w:val="2"/>
              <w:sz w:val="24"/>
              <w14:ligatures w14:val="standardContextual"/>
            </w:rPr>
          </w:pPr>
          <w:hyperlink w:anchor="_Toc181084985" w:history="1">
            <w:r w:rsidRPr="00016437">
              <w:rPr>
                <w:rStyle w:val="Hyperlink"/>
              </w:rPr>
              <w:t>Disability and mental health legislation</w:t>
            </w:r>
            <w:r>
              <w:rPr>
                <w:webHidden/>
              </w:rPr>
              <w:tab/>
            </w:r>
            <w:r>
              <w:rPr>
                <w:webHidden/>
              </w:rPr>
              <w:fldChar w:fldCharType="begin"/>
            </w:r>
            <w:r>
              <w:rPr>
                <w:webHidden/>
              </w:rPr>
              <w:instrText xml:space="preserve"> PAGEREF _Toc181084985 \h </w:instrText>
            </w:r>
            <w:r>
              <w:rPr>
                <w:webHidden/>
              </w:rPr>
            </w:r>
            <w:r>
              <w:rPr>
                <w:webHidden/>
              </w:rPr>
              <w:fldChar w:fldCharType="separate"/>
            </w:r>
            <w:r>
              <w:rPr>
                <w:webHidden/>
              </w:rPr>
              <w:t>137</w:t>
            </w:r>
            <w:r>
              <w:rPr>
                <w:webHidden/>
              </w:rPr>
              <w:fldChar w:fldCharType="end"/>
            </w:r>
          </w:hyperlink>
        </w:p>
        <w:p w14:paraId="1CD83B75" w14:textId="283694B6" w:rsidR="00A00D64" w:rsidRDefault="00A00D64">
          <w:pPr>
            <w:pStyle w:val="TOC3"/>
            <w:rPr>
              <w:rFonts w:asciiTheme="minorHAnsi" w:eastAsiaTheme="minorEastAsia" w:hAnsiTheme="minorHAnsi" w:cstheme="minorBidi"/>
              <w:kern w:val="2"/>
              <w:sz w:val="24"/>
              <w14:ligatures w14:val="standardContextual"/>
            </w:rPr>
          </w:pPr>
          <w:hyperlink w:anchor="_Toc181084986" w:history="1">
            <w:r w:rsidRPr="00016437">
              <w:rPr>
                <w:rStyle w:val="Hyperlink"/>
              </w:rPr>
              <w:t>Whare hauora hinengaro</w:t>
            </w:r>
            <w:r>
              <w:rPr>
                <w:webHidden/>
              </w:rPr>
              <w:tab/>
            </w:r>
            <w:r>
              <w:rPr>
                <w:webHidden/>
              </w:rPr>
              <w:fldChar w:fldCharType="begin"/>
            </w:r>
            <w:r>
              <w:rPr>
                <w:webHidden/>
              </w:rPr>
              <w:instrText xml:space="preserve"> PAGEREF _Toc181084986 \h </w:instrText>
            </w:r>
            <w:r>
              <w:rPr>
                <w:webHidden/>
              </w:rPr>
            </w:r>
            <w:r>
              <w:rPr>
                <w:webHidden/>
              </w:rPr>
              <w:fldChar w:fldCharType="separate"/>
            </w:r>
            <w:r>
              <w:rPr>
                <w:webHidden/>
              </w:rPr>
              <w:t>137</w:t>
            </w:r>
            <w:r>
              <w:rPr>
                <w:webHidden/>
              </w:rPr>
              <w:fldChar w:fldCharType="end"/>
            </w:r>
          </w:hyperlink>
        </w:p>
        <w:p w14:paraId="2E6DB5B2" w14:textId="225E38F1" w:rsidR="00A00D64" w:rsidRDefault="00A00D64">
          <w:pPr>
            <w:pStyle w:val="TOC3"/>
            <w:rPr>
              <w:rFonts w:asciiTheme="minorHAnsi" w:eastAsiaTheme="minorEastAsia" w:hAnsiTheme="minorHAnsi" w:cstheme="minorBidi"/>
              <w:kern w:val="2"/>
              <w:sz w:val="24"/>
              <w14:ligatures w14:val="standardContextual"/>
            </w:rPr>
          </w:pPr>
          <w:hyperlink w:anchor="_Toc181084987" w:history="1">
            <w:r w:rsidRPr="00016437">
              <w:rPr>
                <w:rStyle w:val="Hyperlink"/>
              </w:rPr>
              <w:t>Psychiatric hospitals</w:t>
            </w:r>
            <w:r>
              <w:rPr>
                <w:webHidden/>
              </w:rPr>
              <w:tab/>
            </w:r>
            <w:r>
              <w:rPr>
                <w:webHidden/>
              </w:rPr>
              <w:fldChar w:fldCharType="begin"/>
            </w:r>
            <w:r>
              <w:rPr>
                <w:webHidden/>
              </w:rPr>
              <w:instrText xml:space="preserve"> PAGEREF _Toc181084987 \h </w:instrText>
            </w:r>
            <w:r>
              <w:rPr>
                <w:webHidden/>
              </w:rPr>
            </w:r>
            <w:r>
              <w:rPr>
                <w:webHidden/>
              </w:rPr>
              <w:fldChar w:fldCharType="separate"/>
            </w:r>
            <w:r>
              <w:rPr>
                <w:webHidden/>
              </w:rPr>
              <w:t>137</w:t>
            </w:r>
            <w:r>
              <w:rPr>
                <w:webHidden/>
              </w:rPr>
              <w:fldChar w:fldCharType="end"/>
            </w:r>
          </w:hyperlink>
        </w:p>
        <w:p w14:paraId="41E03E5D" w14:textId="5BE4501E" w:rsidR="00A00D64" w:rsidRDefault="00A00D64">
          <w:pPr>
            <w:pStyle w:val="TOC3"/>
            <w:rPr>
              <w:rFonts w:asciiTheme="minorHAnsi" w:eastAsiaTheme="minorEastAsia" w:hAnsiTheme="minorHAnsi" w:cstheme="minorBidi"/>
              <w:kern w:val="2"/>
              <w:sz w:val="24"/>
              <w14:ligatures w14:val="standardContextual"/>
            </w:rPr>
          </w:pPr>
          <w:hyperlink w:anchor="_Toc181084988" w:history="1">
            <w:r w:rsidRPr="00016437">
              <w:rPr>
                <w:rStyle w:val="Hyperlink"/>
              </w:rPr>
              <w:t>Whare hauora hinengaro tamariki</w:t>
            </w:r>
            <w:r>
              <w:rPr>
                <w:webHidden/>
              </w:rPr>
              <w:tab/>
            </w:r>
            <w:r>
              <w:rPr>
                <w:webHidden/>
              </w:rPr>
              <w:fldChar w:fldCharType="begin"/>
            </w:r>
            <w:r>
              <w:rPr>
                <w:webHidden/>
              </w:rPr>
              <w:instrText xml:space="preserve"> PAGEREF _Toc181084988 \h </w:instrText>
            </w:r>
            <w:r>
              <w:rPr>
                <w:webHidden/>
              </w:rPr>
            </w:r>
            <w:r>
              <w:rPr>
                <w:webHidden/>
              </w:rPr>
              <w:fldChar w:fldCharType="separate"/>
            </w:r>
            <w:r>
              <w:rPr>
                <w:webHidden/>
              </w:rPr>
              <w:t>138</w:t>
            </w:r>
            <w:r>
              <w:rPr>
                <w:webHidden/>
              </w:rPr>
              <w:fldChar w:fldCharType="end"/>
            </w:r>
          </w:hyperlink>
        </w:p>
        <w:p w14:paraId="52C54150" w14:textId="371FE5FC" w:rsidR="00A00D64" w:rsidRDefault="00A00D64">
          <w:pPr>
            <w:pStyle w:val="TOC3"/>
            <w:rPr>
              <w:rFonts w:asciiTheme="minorHAnsi" w:eastAsiaTheme="minorEastAsia" w:hAnsiTheme="minorHAnsi" w:cstheme="minorBidi"/>
              <w:kern w:val="2"/>
              <w:sz w:val="24"/>
              <w14:ligatures w14:val="standardContextual"/>
            </w:rPr>
          </w:pPr>
          <w:hyperlink w:anchor="_Toc181084989" w:history="1">
            <w:r w:rsidRPr="00016437">
              <w:rPr>
                <w:rStyle w:val="Hyperlink"/>
              </w:rPr>
              <w:t>Psychopaedic hospitals</w:t>
            </w:r>
            <w:r>
              <w:rPr>
                <w:webHidden/>
              </w:rPr>
              <w:tab/>
            </w:r>
            <w:r>
              <w:rPr>
                <w:webHidden/>
              </w:rPr>
              <w:fldChar w:fldCharType="begin"/>
            </w:r>
            <w:r>
              <w:rPr>
                <w:webHidden/>
              </w:rPr>
              <w:instrText xml:space="preserve"> PAGEREF _Toc181084989 \h </w:instrText>
            </w:r>
            <w:r>
              <w:rPr>
                <w:webHidden/>
              </w:rPr>
            </w:r>
            <w:r>
              <w:rPr>
                <w:webHidden/>
              </w:rPr>
              <w:fldChar w:fldCharType="separate"/>
            </w:r>
            <w:r>
              <w:rPr>
                <w:webHidden/>
              </w:rPr>
              <w:t>138</w:t>
            </w:r>
            <w:r>
              <w:rPr>
                <w:webHidden/>
              </w:rPr>
              <w:fldChar w:fldCharType="end"/>
            </w:r>
          </w:hyperlink>
        </w:p>
        <w:p w14:paraId="7467777F" w14:textId="348AF0D8" w:rsidR="00A00D64" w:rsidRDefault="00A00D64">
          <w:pPr>
            <w:pStyle w:val="TOC3"/>
            <w:rPr>
              <w:rFonts w:asciiTheme="minorHAnsi" w:eastAsiaTheme="minorEastAsia" w:hAnsiTheme="minorHAnsi" w:cstheme="minorBidi"/>
              <w:kern w:val="2"/>
              <w:sz w:val="24"/>
              <w14:ligatures w14:val="standardContextual"/>
            </w:rPr>
          </w:pPr>
          <w:hyperlink w:anchor="_Toc181084990" w:history="1">
            <w:r w:rsidRPr="00016437">
              <w:rPr>
                <w:rStyle w:val="Hyperlink"/>
              </w:rPr>
              <w:t>Kāinga mō te hunga whaikaha ā-tinana</w:t>
            </w:r>
            <w:r>
              <w:rPr>
                <w:webHidden/>
              </w:rPr>
              <w:tab/>
            </w:r>
            <w:r>
              <w:rPr>
                <w:webHidden/>
              </w:rPr>
              <w:fldChar w:fldCharType="begin"/>
            </w:r>
            <w:r>
              <w:rPr>
                <w:webHidden/>
              </w:rPr>
              <w:instrText xml:space="preserve"> PAGEREF _Toc181084990 \h </w:instrText>
            </w:r>
            <w:r>
              <w:rPr>
                <w:webHidden/>
              </w:rPr>
            </w:r>
            <w:r>
              <w:rPr>
                <w:webHidden/>
              </w:rPr>
              <w:fldChar w:fldCharType="separate"/>
            </w:r>
            <w:r>
              <w:rPr>
                <w:webHidden/>
              </w:rPr>
              <w:t>139</w:t>
            </w:r>
            <w:r>
              <w:rPr>
                <w:webHidden/>
              </w:rPr>
              <w:fldChar w:fldCharType="end"/>
            </w:r>
          </w:hyperlink>
        </w:p>
        <w:p w14:paraId="40603062" w14:textId="1ED4471A" w:rsidR="00A00D64" w:rsidRDefault="00A00D64">
          <w:pPr>
            <w:pStyle w:val="TOC3"/>
            <w:rPr>
              <w:rFonts w:asciiTheme="minorHAnsi" w:eastAsiaTheme="minorEastAsia" w:hAnsiTheme="minorHAnsi" w:cstheme="minorBidi"/>
              <w:kern w:val="2"/>
              <w:sz w:val="24"/>
              <w14:ligatures w14:val="standardContextual"/>
            </w:rPr>
          </w:pPr>
          <w:hyperlink w:anchor="_Toc181084991" w:history="1">
            <w:r w:rsidRPr="00016437">
              <w:rPr>
                <w:rStyle w:val="Hyperlink"/>
              </w:rPr>
              <w:t>Homes for physically disabled people</w:t>
            </w:r>
            <w:r>
              <w:rPr>
                <w:webHidden/>
              </w:rPr>
              <w:tab/>
            </w:r>
            <w:r>
              <w:rPr>
                <w:webHidden/>
              </w:rPr>
              <w:fldChar w:fldCharType="begin"/>
            </w:r>
            <w:r>
              <w:rPr>
                <w:webHidden/>
              </w:rPr>
              <w:instrText xml:space="preserve"> PAGEREF _Toc181084991 \h </w:instrText>
            </w:r>
            <w:r>
              <w:rPr>
                <w:webHidden/>
              </w:rPr>
            </w:r>
            <w:r>
              <w:rPr>
                <w:webHidden/>
              </w:rPr>
              <w:fldChar w:fldCharType="separate"/>
            </w:r>
            <w:r>
              <w:rPr>
                <w:webHidden/>
              </w:rPr>
              <w:t>139</w:t>
            </w:r>
            <w:r>
              <w:rPr>
                <w:webHidden/>
              </w:rPr>
              <w:fldChar w:fldCharType="end"/>
            </w:r>
          </w:hyperlink>
        </w:p>
        <w:p w14:paraId="452CF326" w14:textId="75503625" w:rsidR="00A00D64" w:rsidRDefault="00A00D64">
          <w:pPr>
            <w:pStyle w:val="TOC3"/>
            <w:rPr>
              <w:rFonts w:asciiTheme="minorHAnsi" w:eastAsiaTheme="minorEastAsia" w:hAnsiTheme="minorHAnsi" w:cstheme="minorBidi"/>
              <w:kern w:val="2"/>
              <w:sz w:val="24"/>
              <w14:ligatures w14:val="standardContextual"/>
            </w:rPr>
          </w:pPr>
          <w:hyperlink w:anchor="_Toc181084992" w:history="1">
            <w:r w:rsidRPr="00016437">
              <w:rPr>
                <w:rStyle w:val="Hyperlink"/>
              </w:rPr>
              <w:t>Wāhi mahi āhuru</w:t>
            </w:r>
            <w:r>
              <w:rPr>
                <w:webHidden/>
              </w:rPr>
              <w:tab/>
            </w:r>
            <w:r>
              <w:rPr>
                <w:webHidden/>
              </w:rPr>
              <w:fldChar w:fldCharType="begin"/>
            </w:r>
            <w:r>
              <w:rPr>
                <w:webHidden/>
              </w:rPr>
              <w:instrText xml:space="preserve"> PAGEREF _Toc181084992 \h </w:instrText>
            </w:r>
            <w:r>
              <w:rPr>
                <w:webHidden/>
              </w:rPr>
            </w:r>
            <w:r>
              <w:rPr>
                <w:webHidden/>
              </w:rPr>
              <w:fldChar w:fldCharType="separate"/>
            </w:r>
            <w:r>
              <w:rPr>
                <w:webHidden/>
              </w:rPr>
              <w:t>139</w:t>
            </w:r>
            <w:r>
              <w:rPr>
                <w:webHidden/>
              </w:rPr>
              <w:fldChar w:fldCharType="end"/>
            </w:r>
          </w:hyperlink>
        </w:p>
        <w:p w14:paraId="6878C095" w14:textId="0D60FFF4" w:rsidR="00A00D64" w:rsidRDefault="00A00D64">
          <w:pPr>
            <w:pStyle w:val="TOC3"/>
            <w:rPr>
              <w:rFonts w:asciiTheme="minorHAnsi" w:eastAsiaTheme="minorEastAsia" w:hAnsiTheme="minorHAnsi" w:cstheme="minorBidi"/>
              <w:kern w:val="2"/>
              <w:sz w:val="24"/>
              <w14:ligatures w14:val="standardContextual"/>
            </w:rPr>
          </w:pPr>
          <w:hyperlink w:anchor="_Toc181084993" w:history="1">
            <w:r w:rsidRPr="00016437">
              <w:rPr>
                <w:rStyle w:val="Hyperlink"/>
              </w:rPr>
              <w:t>Sheltered workshops</w:t>
            </w:r>
            <w:r>
              <w:rPr>
                <w:webHidden/>
              </w:rPr>
              <w:tab/>
            </w:r>
            <w:r>
              <w:rPr>
                <w:webHidden/>
              </w:rPr>
              <w:fldChar w:fldCharType="begin"/>
            </w:r>
            <w:r>
              <w:rPr>
                <w:webHidden/>
              </w:rPr>
              <w:instrText xml:space="preserve"> PAGEREF _Toc181084993 \h </w:instrText>
            </w:r>
            <w:r>
              <w:rPr>
                <w:webHidden/>
              </w:rPr>
            </w:r>
            <w:r>
              <w:rPr>
                <w:webHidden/>
              </w:rPr>
              <w:fldChar w:fldCharType="separate"/>
            </w:r>
            <w:r>
              <w:rPr>
                <w:webHidden/>
              </w:rPr>
              <w:t>139</w:t>
            </w:r>
            <w:r>
              <w:rPr>
                <w:webHidden/>
              </w:rPr>
              <w:fldChar w:fldCharType="end"/>
            </w:r>
          </w:hyperlink>
        </w:p>
        <w:p w14:paraId="7B8114C7" w14:textId="33C29B68" w:rsidR="00A00D64" w:rsidRDefault="00A00D64">
          <w:pPr>
            <w:pStyle w:val="TOC3"/>
            <w:rPr>
              <w:rFonts w:asciiTheme="minorHAnsi" w:eastAsiaTheme="minorEastAsia" w:hAnsiTheme="minorHAnsi" w:cstheme="minorBidi"/>
              <w:kern w:val="2"/>
              <w:sz w:val="24"/>
              <w14:ligatures w14:val="standardContextual"/>
            </w:rPr>
          </w:pPr>
          <w:hyperlink w:anchor="_Toc181084994" w:history="1">
            <w:r w:rsidRPr="00016437">
              <w:rPr>
                <w:rStyle w:val="Hyperlink"/>
              </w:rPr>
              <w:t>Hōpuni hauora</w:t>
            </w:r>
            <w:r>
              <w:rPr>
                <w:webHidden/>
              </w:rPr>
              <w:tab/>
            </w:r>
            <w:r>
              <w:rPr>
                <w:webHidden/>
              </w:rPr>
              <w:fldChar w:fldCharType="begin"/>
            </w:r>
            <w:r>
              <w:rPr>
                <w:webHidden/>
              </w:rPr>
              <w:instrText xml:space="preserve"> PAGEREF _Toc181084994 \h </w:instrText>
            </w:r>
            <w:r>
              <w:rPr>
                <w:webHidden/>
              </w:rPr>
            </w:r>
            <w:r>
              <w:rPr>
                <w:webHidden/>
              </w:rPr>
              <w:fldChar w:fldCharType="separate"/>
            </w:r>
            <w:r>
              <w:rPr>
                <w:webHidden/>
              </w:rPr>
              <w:t>139</w:t>
            </w:r>
            <w:r>
              <w:rPr>
                <w:webHidden/>
              </w:rPr>
              <w:fldChar w:fldCharType="end"/>
            </w:r>
          </w:hyperlink>
        </w:p>
        <w:p w14:paraId="220711C7" w14:textId="0A1D2784" w:rsidR="00A00D64" w:rsidRDefault="00A00D64">
          <w:pPr>
            <w:pStyle w:val="TOC3"/>
            <w:rPr>
              <w:rFonts w:asciiTheme="minorHAnsi" w:eastAsiaTheme="minorEastAsia" w:hAnsiTheme="minorHAnsi" w:cstheme="minorBidi"/>
              <w:kern w:val="2"/>
              <w:sz w:val="24"/>
              <w14:ligatures w14:val="standardContextual"/>
            </w:rPr>
          </w:pPr>
          <w:hyperlink w:anchor="_Toc181084995" w:history="1">
            <w:r w:rsidRPr="00016437">
              <w:rPr>
                <w:rStyle w:val="Hyperlink"/>
              </w:rPr>
              <w:t>Health camps</w:t>
            </w:r>
            <w:r>
              <w:rPr>
                <w:webHidden/>
              </w:rPr>
              <w:tab/>
            </w:r>
            <w:r>
              <w:rPr>
                <w:webHidden/>
              </w:rPr>
              <w:fldChar w:fldCharType="begin"/>
            </w:r>
            <w:r>
              <w:rPr>
                <w:webHidden/>
              </w:rPr>
              <w:instrText xml:space="preserve"> PAGEREF _Toc181084995 \h </w:instrText>
            </w:r>
            <w:r>
              <w:rPr>
                <w:webHidden/>
              </w:rPr>
            </w:r>
            <w:r>
              <w:rPr>
                <w:webHidden/>
              </w:rPr>
              <w:fldChar w:fldCharType="separate"/>
            </w:r>
            <w:r>
              <w:rPr>
                <w:webHidden/>
              </w:rPr>
              <w:t>139</w:t>
            </w:r>
            <w:r>
              <w:rPr>
                <w:webHidden/>
              </w:rPr>
              <w:fldChar w:fldCharType="end"/>
            </w:r>
          </w:hyperlink>
        </w:p>
        <w:p w14:paraId="0441BFF6" w14:textId="6510122C" w:rsidR="00A00D64" w:rsidRDefault="00A00D64">
          <w:pPr>
            <w:pStyle w:val="TOC2"/>
            <w:rPr>
              <w:rFonts w:asciiTheme="minorHAnsi" w:eastAsiaTheme="minorEastAsia" w:hAnsiTheme="minorHAnsi" w:cstheme="minorBidi"/>
              <w:b w:val="0"/>
              <w:kern w:val="2"/>
              <w:sz w:val="24"/>
              <w14:ligatures w14:val="standardContextual"/>
            </w:rPr>
          </w:pPr>
          <w:hyperlink w:anchor="_Toc181084996" w:history="1">
            <w:r w:rsidRPr="00016437">
              <w:rPr>
                <w:rStyle w:val="Hyperlink"/>
              </w:rPr>
              <w:t>Mātauranga</w:t>
            </w:r>
            <w:r>
              <w:rPr>
                <w:webHidden/>
              </w:rPr>
              <w:tab/>
            </w:r>
            <w:r>
              <w:rPr>
                <w:webHidden/>
              </w:rPr>
              <w:fldChar w:fldCharType="begin"/>
            </w:r>
            <w:r>
              <w:rPr>
                <w:webHidden/>
              </w:rPr>
              <w:instrText xml:space="preserve"> PAGEREF _Toc181084996 \h </w:instrText>
            </w:r>
            <w:r>
              <w:rPr>
                <w:webHidden/>
              </w:rPr>
            </w:r>
            <w:r>
              <w:rPr>
                <w:webHidden/>
              </w:rPr>
              <w:fldChar w:fldCharType="separate"/>
            </w:r>
            <w:r>
              <w:rPr>
                <w:webHidden/>
              </w:rPr>
              <w:t>140</w:t>
            </w:r>
            <w:r>
              <w:rPr>
                <w:webHidden/>
              </w:rPr>
              <w:fldChar w:fldCharType="end"/>
            </w:r>
          </w:hyperlink>
        </w:p>
        <w:p w14:paraId="696DEA7A" w14:textId="4F6DAE32" w:rsidR="00A00D64" w:rsidRDefault="00A00D64">
          <w:pPr>
            <w:pStyle w:val="TOC2"/>
            <w:rPr>
              <w:rFonts w:asciiTheme="minorHAnsi" w:eastAsiaTheme="minorEastAsia" w:hAnsiTheme="minorHAnsi" w:cstheme="minorBidi"/>
              <w:b w:val="0"/>
              <w:kern w:val="2"/>
              <w:sz w:val="24"/>
              <w14:ligatures w14:val="standardContextual"/>
            </w:rPr>
          </w:pPr>
          <w:hyperlink w:anchor="_Toc181084997" w:history="1">
            <w:r w:rsidRPr="00016437">
              <w:rPr>
                <w:rStyle w:val="Hyperlink"/>
              </w:rPr>
              <w:t>Education</w:t>
            </w:r>
            <w:r>
              <w:rPr>
                <w:webHidden/>
              </w:rPr>
              <w:tab/>
            </w:r>
            <w:r>
              <w:rPr>
                <w:webHidden/>
              </w:rPr>
              <w:fldChar w:fldCharType="begin"/>
            </w:r>
            <w:r>
              <w:rPr>
                <w:webHidden/>
              </w:rPr>
              <w:instrText xml:space="preserve"> PAGEREF _Toc181084997 \h </w:instrText>
            </w:r>
            <w:r>
              <w:rPr>
                <w:webHidden/>
              </w:rPr>
            </w:r>
            <w:r>
              <w:rPr>
                <w:webHidden/>
              </w:rPr>
              <w:fldChar w:fldCharType="separate"/>
            </w:r>
            <w:r>
              <w:rPr>
                <w:webHidden/>
              </w:rPr>
              <w:t>140</w:t>
            </w:r>
            <w:r>
              <w:rPr>
                <w:webHidden/>
              </w:rPr>
              <w:fldChar w:fldCharType="end"/>
            </w:r>
          </w:hyperlink>
        </w:p>
        <w:p w14:paraId="38C9274F" w14:textId="25824F9B" w:rsidR="00A00D64" w:rsidRDefault="00A00D64">
          <w:pPr>
            <w:pStyle w:val="TOC3"/>
            <w:rPr>
              <w:rFonts w:asciiTheme="minorHAnsi" w:eastAsiaTheme="minorEastAsia" w:hAnsiTheme="minorHAnsi" w:cstheme="minorBidi"/>
              <w:kern w:val="2"/>
              <w:sz w:val="24"/>
              <w14:ligatures w14:val="standardContextual"/>
            </w:rPr>
          </w:pPr>
          <w:hyperlink w:anchor="_Toc181084998" w:history="1">
            <w:r w:rsidRPr="00016437">
              <w:rPr>
                <w:rStyle w:val="Hyperlink"/>
                <w:lang w:val="en-US"/>
              </w:rPr>
              <w:t>Te Ture Mātauranga me Te Tari Mātauranga</w:t>
            </w:r>
            <w:r>
              <w:rPr>
                <w:webHidden/>
              </w:rPr>
              <w:tab/>
            </w:r>
            <w:r>
              <w:rPr>
                <w:webHidden/>
              </w:rPr>
              <w:fldChar w:fldCharType="begin"/>
            </w:r>
            <w:r>
              <w:rPr>
                <w:webHidden/>
              </w:rPr>
              <w:instrText xml:space="preserve"> PAGEREF _Toc181084998 \h </w:instrText>
            </w:r>
            <w:r>
              <w:rPr>
                <w:webHidden/>
              </w:rPr>
            </w:r>
            <w:r>
              <w:rPr>
                <w:webHidden/>
              </w:rPr>
              <w:fldChar w:fldCharType="separate"/>
            </w:r>
            <w:r>
              <w:rPr>
                <w:webHidden/>
              </w:rPr>
              <w:t>140</w:t>
            </w:r>
            <w:r>
              <w:rPr>
                <w:webHidden/>
              </w:rPr>
              <w:fldChar w:fldCharType="end"/>
            </w:r>
          </w:hyperlink>
        </w:p>
        <w:p w14:paraId="17F5C523" w14:textId="54E6ED56" w:rsidR="00A00D64" w:rsidRDefault="00A00D64">
          <w:pPr>
            <w:pStyle w:val="TOC3"/>
            <w:rPr>
              <w:rFonts w:asciiTheme="minorHAnsi" w:eastAsiaTheme="minorEastAsia" w:hAnsiTheme="minorHAnsi" w:cstheme="minorBidi"/>
              <w:kern w:val="2"/>
              <w:sz w:val="24"/>
              <w14:ligatures w14:val="standardContextual"/>
            </w:rPr>
          </w:pPr>
          <w:hyperlink w:anchor="_Toc181084999" w:history="1">
            <w:r w:rsidRPr="00016437">
              <w:rPr>
                <w:rStyle w:val="Hyperlink"/>
              </w:rPr>
              <w:t>Education legislation and the Department of Education</w:t>
            </w:r>
            <w:r>
              <w:rPr>
                <w:webHidden/>
              </w:rPr>
              <w:tab/>
            </w:r>
            <w:r>
              <w:rPr>
                <w:webHidden/>
              </w:rPr>
              <w:fldChar w:fldCharType="begin"/>
            </w:r>
            <w:r>
              <w:rPr>
                <w:webHidden/>
              </w:rPr>
              <w:instrText xml:space="preserve"> PAGEREF _Toc181084999 \h </w:instrText>
            </w:r>
            <w:r>
              <w:rPr>
                <w:webHidden/>
              </w:rPr>
            </w:r>
            <w:r>
              <w:rPr>
                <w:webHidden/>
              </w:rPr>
              <w:fldChar w:fldCharType="separate"/>
            </w:r>
            <w:r>
              <w:rPr>
                <w:webHidden/>
              </w:rPr>
              <w:t>140</w:t>
            </w:r>
            <w:r>
              <w:rPr>
                <w:webHidden/>
              </w:rPr>
              <w:fldChar w:fldCharType="end"/>
            </w:r>
          </w:hyperlink>
        </w:p>
        <w:p w14:paraId="4A989579" w14:textId="11E9F385"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5000" w:history="1">
            <w:r w:rsidRPr="00016437">
              <w:rPr>
                <w:rStyle w:val="Hyperlink"/>
                <w:noProof/>
              </w:rPr>
              <w:t>Ūpoko 11: Ngā whare tūāpapa-whakapono i te wā Pakirehua</w:t>
            </w:r>
            <w:r>
              <w:rPr>
                <w:noProof/>
                <w:webHidden/>
              </w:rPr>
              <w:tab/>
            </w:r>
            <w:r>
              <w:rPr>
                <w:noProof/>
                <w:webHidden/>
              </w:rPr>
              <w:fldChar w:fldCharType="begin"/>
            </w:r>
            <w:r>
              <w:rPr>
                <w:noProof/>
                <w:webHidden/>
              </w:rPr>
              <w:instrText xml:space="preserve"> PAGEREF _Toc181085000 \h </w:instrText>
            </w:r>
            <w:r>
              <w:rPr>
                <w:noProof/>
                <w:webHidden/>
              </w:rPr>
            </w:r>
            <w:r>
              <w:rPr>
                <w:noProof/>
                <w:webHidden/>
              </w:rPr>
              <w:fldChar w:fldCharType="separate"/>
            </w:r>
            <w:r>
              <w:rPr>
                <w:noProof/>
                <w:webHidden/>
              </w:rPr>
              <w:t>145</w:t>
            </w:r>
            <w:r>
              <w:rPr>
                <w:noProof/>
                <w:webHidden/>
              </w:rPr>
              <w:fldChar w:fldCharType="end"/>
            </w:r>
          </w:hyperlink>
        </w:p>
        <w:p w14:paraId="5AAB20EA" w14:textId="67AFE9FD"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5001" w:history="1">
            <w:r w:rsidRPr="00016437">
              <w:rPr>
                <w:rStyle w:val="Hyperlink"/>
                <w:noProof/>
              </w:rPr>
              <w:t>Chapter 11: Faith-based institutions during the Inquiry period</w:t>
            </w:r>
            <w:r>
              <w:rPr>
                <w:noProof/>
                <w:webHidden/>
              </w:rPr>
              <w:tab/>
            </w:r>
            <w:r>
              <w:rPr>
                <w:noProof/>
                <w:webHidden/>
              </w:rPr>
              <w:fldChar w:fldCharType="begin"/>
            </w:r>
            <w:r>
              <w:rPr>
                <w:noProof/>
                <w:webHidden/>
              </w:rPr>
              <w:instrText xml:space="preserve"> PAGEREF _Toc181085001 \h </w:instrText>
            </w:r>
            <w:r>
              <w:rPr>
                <w:noProof/>
                <w:webHidden/>
              </w:rPr>
            </w:r>
            <w:r>
              <w:rPr>
                <w:noProof/>
                <w:webHidden/>
              </w:rPr>
              <w:fldChar w:fldCharType="separate"/>
            </w:r>
            <w:r>
              <w:rPr>
                <w:noProof/>
                <w:webHidden/>
              </w:rPr>
              <w:t>145</w:t>
            </w:r>
            <w:r>
              <w:rPr>
                <w:noProof/>
                <w:webHidden/>
              </w:rPr>
              <w:fldChar w:fldCharType="end"/>
            </w:r>
          </w:hyperlink>
        </w:p>
        <w:p w14:paraId="721AA8AA" w14:textId="43879041" w:rsidR="00A00D64" w:rsidRDefault="00A00D64">
          <w:pPr>
            <w:pStyle w:val="TOC2"/>
            <w:rPr>
              <w:rFonts w:asciiTheme="minorHAnsi" w:eastAsiaTheme="minorEastAsia" w:hAnsiTheme="minorHAnsi" w:cstheme="minorBidi"/>
              <w:b w:val="0"/>
              <w:kern w:val="2"/>
              <w:sz w:val="24"/>
              <w14:ligatures w14:val="standardContextual"/>
            </w:rPr>
          </w:pPr>
          <w:hyperlink w:anchor="_Toc181085002" w:history="1">
            <w:r w:rsidRPr="00016437">
              <w:rPr>
                <w:rStyle w:val="Hyperlink"/>
              </w:rPr>
              <w:t>I mahi tahi te rāngai whakapono me te Kāwanatanga</w:t>
            </w:r>
            <w:r>
              <w:rPr>
                <w:webHidden/>
              </w:rPr>
              <w:tab/>
            </w:r>
            <w:r>
              <w:rPr>
                <w:webHidden/>
              </w:rPr>
              <w:fldChar w:fldCharType="begin"/>
            </w:r>
            <w:r>
              <w:rPr>
                <w:webHidden/>
              </w:rPr>
              <w:instrText xml:space="preserve"> PAGEREF _Toc181085002 \h </w:instrText>
            </w:r>
            <w:r>
              <w:rPr>
                <w:webHidden/>
              </w:rPr>
            </w:r>
            <w:r>
              <w:rPr>
                <w:webHidden/>
              </w:rPr>
              <w:fldChar w:fldCharType="separate"/>
            </w:r>
            <w:r>
              <w:rPr>
                <w:webHidden/>
              </w:rPr>
              <w:t>145</w:t>
            </w:r>
            <w:r>
              <w:rPr>
                <w:webHidden/>
              </w:rPr>
              <w:fldChar w:fldCharType="end"/>
            </w:r>
          </w:hyperlink>
        </w:p>
        <w:p w14:paraId="03C58509" w14:textId="23A51D07" w:rsidR="00A00D64" w:rsidRDefault="00A00D64">
          <w:pPr>
            <w:pStyle w:val="TOC2"/>
            <w:rPr>
              <w:rFonts w:asciiTheme="minorHAnsi" w:eastAsiaTheme="minorEastAsia" w:hAnsiTheme="minorHAnsi" w:cstheme="minorBidi"/>
              <w:b w:val="0"/>
              <w:kern w:val="2"/>
              <w:sz w:val="24"/>
              <w14:ligatures w14:val="standardContextual"/>
            </w:rPr>
          </w:pPr>
          <w:hyperlink w:anchor="_Toc181085003" w:history="1">
            <w:r w:rsidRPr="00016437">
              <w:rPr>
                <w:rStyle w:val="Hyperlink"/>
              </w:rPr>
              <w:t>Faith and State worked together</w:t>
            </w:r>
            <w:r>
              <w:rPr>
                <w:webHidden/>
              </w:rPr>
              <w:tab/>
            </w:r>
            <w:r>
              <w:rPr>
                <w:webHidden/>
              </w:rPr>
              <w:fldChar w:fldCharType="begin"/>
            </w:r>
            <w:r>
              <w:rPr>
                <w:webHidden/>
              </w:rPr>
              <w:instrText xml:space="preserve"> PAGEREF _Toc181085003 \h </w:instrText>
            </w:r>
            <w:r>
              <w:rPr>
                <w:webHidden/>
              </w:rPr>
            </w:r>
            <w:r>
              <w:rPr>
                <w:webHidden/>
              </w:rPr>
              <w:fldChar w:fldCharType="separate"/>
            </w:r>
            <w:r>
              <w:rPr>
                <w:webHidden/>
              </w:rPr>
              <w:t>145</w:t>
            </w:r>
            <w:r>
              <w:rPr>
                <w:webHidden/>
              </w:rPr>
              <w:fldChar w:fldCharType="end"/>
            </w:r>
          </w:hyperlink>
        </w:p>
        <w:p w14:paraId="4B8D66BC" w14:textId="67DC0025" w:rsidR="00A00D64" w:rsidRDefault="00A00D64">
          <w:pPr>
            <w:pStyle w:val="TOC2"/>
            <w:rPr>
              <w:rFonts w:asciiTheme="minorHAnsi" w:eastAsiaTheme="minorEastAsia" w:hAnsiTheme="minorHAnsi" w:cstheme="minorBidi"/>
              <w:b w:val="0"/>
              <w:kern w:val="2"/>
              <w:sz w:val="24"/>
              <w14:ligatures w14:val="standardContextual"/>
            </w:rPr>
          </w:pPr>
          <w:hyperlink w:anchor="_Toc181085004" w:history="1">
            <w:r w:rsidRPr="00016437">
              <w:rPr>
                <w:rStyle w:val="Hyperlink"/>
              </w:rPr>
              <w:t>Ngā whakahaerenga o ngā hāhi</w:t>
            </w:r>
            <w:r>
              <w:rPr>
                <w:webHidden/>
              </w:rPr>
              <w:tab/>
            </w:r>
            <w:r>
              <w:rPr>
                <w:webHidden/>
              </w:rPr>
              <w:fldChar w:fldCharType="begin"/>
            </w:r>
            <w:r>
              <w:rPr>
                <w:webHidden/>
              </w:rPr>
              <w:instrText xml:space="preserve"> PAGEREF _Toc181085004 \h </w:instrText>
            </w:r>
            <w:r>
              <w:rPr>
                <w:webHidden/>
              </w:rPr>
            </w:r>
            <w:r>
              <w:rPr>
                <w:webHidden/>
              </w:rPr>
              <w:fldChar w:fldCharType="separate"/>
            </w:r>
            <w:r>
              <w:rPr>
                <w:webHidden/>
              </w:rPr>
              <w:t>146</w:t>
            </w:r>
            <w:r>
              <w:rPr>
                <w:webHidden/>
              </w:rPr>
              <w:fldChar w:fldCharType="end"/>
            </w:r>
          </w:hyperlink>
        </w:p>
        <w:p w14:paraId="0AAB2A8B" w14:textId="656F0C75" w:rsidR="00A00D64" w:rsidRDefault="00A00D64">
          <w:pPr>
            <w:pStyle w:val="TOC2"/>
            <w:rPr>
              <w:rFonts w:asciiTheme="minorHAnsi" w:eastAsiaTheme="minorEastAsia" w:hAnsiTheme="minorHAnsi" w:cstheme="minorBidi"/>
              <w:b w:val="0"/>
              <w:kern w:val="2"/>
              <w:sz w:val="24"/>
              <w14:ligatures w14:val="standardContextual"/>
            </w:rPr>
          </w:pPr>
          <w:hyperlink w:anchor="_Toc181085005" w:history="1">
            <w:r w:rsidRPr="00016437">
              <w:rPr>
                <w:rStyle w:val="Hyperlink"/>
              </w:rPr>
              <w:t>Governance structures of the faiths</w:t>
            </w:r>
            <w:r>
              <w:rPr>
                <w:webHidden/>
              </w:rPr>
              <w:tab/>
            </w:r>
            <w:r>
              <w:rPr>
                <w:webHidden/>
              </w:rPr>
              <w:fldChar w:fldCharType="begin"/>
            </w:r>
            <w:r>
              <w:rPr>
                <w:webHidden/>
              </w:rPr>
              <w:instrText xml:space="preserve"> PAGEREF _Toc181085005 \h </w:instrText>
            </w:r>
            <w:r>
              <w:rPr>
                <w:webHidden/>
              </w:rPr>
            </w:r>
            <w:r>
              <w:rPr>
                <w:webHidden/>
              </w:rPr>
              <w:fldChar w:fldCharType="separate"/>
            </w:r>
            <w:r>
              <w:rPr>
                <w:webHidden/>
              </w:rPr>
              <w:t>146</w:t>
            </w:r>
            <w:r>
              <w:rPr>
                <w:webHidden/>
              </w:rPr>
              <w:fldChar w:fldCharType="end"/>
            </w:r>
          </w:hyperlink>
        </w:p>
        <w:p w14:paraId="638BCDB7" w14:textId="15A2896B" w:rsidR="00A00D64" w:rsidRDefault="00A00D64">
          <w:pPr>
            <w:pStyle w:val="TOC3"/>
            <w:rPr>
              <w:rFonts w:asciiTheme="minorHAnsi" w:eastAsiaTheme="minorEastAsia" w:hAnsiTheme="minorHAnsi" w:cstheme="minorBidi"/>
              <w:kern w:val="2"/>
              <w:sz w:val="24"/>
              <w14:ligatures w14:val="standardContextual"/>
            </w:rPr>
          </w:pPr>
          <w:hyperlink w:anchor="_Toc181085006" w:history="1">
            <w:r w:rsidRPr="00016437">
              <w:rPr>
                <w:rStyle w:val="Hyperlink"/>
              </w:rPr>
              <w:t>Ngā Pīhopa me ngā kaiārahi whakaminenga o te Hāhi Katorika i Aotearoa</w:t>
            </w:r>
            <w:r>
              <w:rPr>
                <w:webHidden/>
              </w:rPr>
              <w:tab/>
            </w:r>
            <w:r>
              <w:rPr>
                <w:webHidden/>
              </w:rPr>
              <w:fldChar w:fldCharType="begin"/>
            </w:r>
            <w:r>
              <w:rPr>
                <w:webHidden/>
              </w:rPr>
              <w:instrText xml:space="preserve"> PAGEREF _Toc181085006 \h </w:instrText>
            </w:r>
            <w:r>
              <w:rPr>
                <w:webHidden/>
              </w:rPr>
            </w:r>
            <w:r>
              <w:rPr>
                <w:webHidden/>
              </w:rPr>
              <w:fldChar w:fldCharType="separate"/>
            </w:r>
            <w:r>
              <w:rPr>
                <w:webHidden/>
              </w:rPr>
              <w:t>147</w:t>
            </w:r>
            <w:r>
              <w:rPr>
                <w:webHidden/>
              </w:rPr>
              <w:fldChar w:fldCharType="end"/>
            </w:r>
          </w:hyperlink>
        </w:p>
        <w:p w14:paraId="055FE0AB" w14:textId="173BAA56" w:rsidR="00A00D64" w:rsidRDefault="00A00D64">
          <w:pPr>
            <w:pStyle w:val="TOC3"/>
            <w:rPr>
              <w:rFonts w:asciiTheme="minorHAnsi" w:eastAsiaTheme="minorEastAsia" w:hAnsiTheme="minorHAnsi" w:cstheme="minorBidi"/>
              <w:kern w:val="2"/>
              <w:sz w:val="24"/>
              <w14:ligatures w14:val="standardContextual"/>
            </w:rPr>
          </w:pPr>
          <w:hyperlink w:anchor="_Toc181085007" w:history="1">
            <w:r w:rsidRPr="00016437">
              <w:rPr>
                <w:rStyle w:val="Hyperlink"/>
              </w:rPr>
              <w:t>Bishops and congregational leaders of the Catholic Church in Aotearoa New Zealand</w:t>
            </w:r>
            <w:r>
              <w:rPr>
                <w:webHidden/>
              </w:rPr>
              <w:tab/>
            </w:r>
            <w:r>
              <w:rPr>
                <w:webHidden/>
              </w:rPr>
              <w:fldChar w:fldCharType="begin"/>
            </w:r>
            <w:r>
              <w:rPr>
                <w:webHidden/>
              </w:rPr>
              <w:instrText xml:space="preserve"> PAGEREF _Toc181085007 \h </w:instrText>
            </w:r>
            <w:r>
              <w:rPr>
                <w:webHidden/>
              </w:rPr>
            </w:r>
            <w:r>
              <w:rPr>
                <w:webHidden/>
              </w:rPr>
              <w:fldChar w:fldCharType="separate"/>
            </w:r>
            <w:r>
              <w:rPr>
                <w:webHidden/>
              </w:rPr>
              <w:t>147</w:t>
            </w:r>
            <w:r>
              <w:rPr>
                <w:webHidden/>
              </w:rPr>
              <w:fldChar w:fldCharType="end"/>
            </w:r>
          </w:hyperlink>
        </w:p>
        <w:p w14:paraId="4A3AA4E9" w14:textId="2B4403FA" w:rsidR="00A00D64" w:rsidRDefault="00A00D64">
          <w:pPr>
            <w:pStyle w:val="TOC3"/>
            <w:rPr>
              <w:rFonts w:asciiTheme="minorHAnsi" w:eastAsiaTheme="minorEastAsia" w:hAnsiTheme="minorHAnsi" w:cstheme="minorBidi"/>
              <w:kern w:val="2"/>
              <w:sz w:val="24"/>
              <w14:ligatures w14:val="standardContextual"/>
            </w:rPr>
          </w:pPr>
          <w:hyperlink w:anchor="_Toc181085008" w:history="1">
            <w:r w:rsidRPr="00016437">
              <w:rPr>
                <w:rStyle w:val="Hyperlink"/>
              </w:rPr>
              <w:t>Te Hāhi Mihingare</w:t>
            </w:r>
            <w:r>
              <w:rPr>
                <w:webHidden/>
              </w:rPr>
              <w:tab/>
            </w:r>
            <w:r>
              <w:rPr>
                <w:webHidden/>
              </w:rPr>
              <w:fldChar w:fldCharType="begin"/>
            </w:r>
            <w:r>
              <w:rPr>
                <w:webHidden/>
              </w:rPr>
              <w:instrText xml:space="preserve"> PAGEREF _Toc181085008 \h </w:instrText>
            </w:r>
            <w:r>
              <w:rPr>
                <w:webHidden/>
              </w:rPr>
            </w:r>
            <w:r>
              <w:rPr>
                <w:webHidden/>
              </w:rPr>
              <w:fldChar w:fldCharType="separate"/>
            </w:r>
            <w:r>
              <w:rPr>
                <w:webHidden/>
              </w:rPr>
              <w:t>149</w:t>
            </w:r>
            <w:r>
              <w:rPr>
                <w:webHidden/>
              </w:rPr>
              <w:fldChar w:fldCharType="end"/>
            </w:r>
          </w:hyperlink>
        </w:p>
        <w:p w14:paraId="46D55F9A" w14:textId="156BD9B8" w:rsidR="00A00D64" w:rsidRDefault="00A00D64">
          <w:pPr>
            <w:pStyle w:val="TOC3"/>
            <w:rPr>
              <w:rFonts w:asciiTheme="minorHAnsi" w:eastAsiaTheme="minorEastAsia" w:hAnsiTheme="minorHAnsi" w:cstheme="minorBidi"/>
              <w:kern w:val="2"/>
              <w:sz w:val="24"/>
              <w14:ligatures w14:val="standardContextual"/>
            </w:rPr>
          </w:pPr>
          <w:hyperlink w:anchor="_Toc181085009" w:history="1">
            <w:r w:rsidRPr="00016437">
              <w:rPr>
                <w:rStyle w:val="Hyperlink"/>
              </w:rPr>
              <w:t>Anglican Church</w:t>
            </w:r>
            <w:r>
              <w:rPr>
                <w:webHidden/>
              </w:rPr>
              <w:tab/>
            </w:r>
            <w:r>
              <w:rPr>
                <w:webHidden/>
              </w:rPr>
              <w:fldChar w:fldCharType="begin"/>
            </w:r>
            <w:r>
              <w:rPr>
                <w:webHidden/>
              </w:rPr>
              <w:instrText xml:space="preserve"> PAGEREF _Toc181085009 \h </w:instrText>
            </w:r>
            <w:r>
              <w:rPr>
                <w:webHidden/>
              </w:rPr>
            </w:r>
            <w:r>
              <w:rPr>
                <w:webHidden/>
              </w:rPr>
              <w:fldChar w:fldCharType="separate"/>
            </w:r>
            <w:r>
              <w:rPr>
                <w:webHidden/>
              </w:rPr>
              <w:t>149</w:t>
            </w:r>
            <w:r>
              <w:rPr>
                <w:webHidden/>
              </w:rPr>
              <w:fldChar w:fldCharType="end"/>
            </w:r>
          </w:hyperlink>
        </w:p>
        <w:p w14:paraId="02C17270" w14:textId="68D46171" w:rsidR="00A00D64" w:rsidRDefault="00A00D64">
          <w:pPr>
            <w:pStyle w:val="TOC3"/>
            <w:rPr>
              <w:rFonts w:asciiTheme="minorHAnsi" w:eastAsiaTheme="minorEastAsia" w:hAnsiTheme="minorHAnsi" w:cstheme="minorBidi"/>
              <w:kern w:val="2"/>
              <w:sz w:val="24"/>
              <w14:ligatures w14:val="standardContextual"/>
            </w:rPr>
          </w:pPr>
          <w:hyperlink w:anchor="_Toc181085010" w:history="1">
            <w:r w:rsidRPr="00016437">
              <w:rPr>
                <w:rStyle w:val="Hyperlink"/>
              </w:rPr>
              <w:t>Te Ope Whakaora ki Aotearoa, Whītī, Tonga me Hāmoa</w:t>
            </w:r>
            <w:r>
              <w:rPr>
                <w:webHidden/>
              </w:rPr>
              <w:tab/>
            </w:r>
            <w:r>
              <w:rPr>
                <w:webHidden/>
              </w:rPr>
              <w:fldChar w:fldCharType="begin"/>
            </w:r>
            <w:r>
              <w:rPr>
                <w:webHidden/>
              </w:rPr>
              <w:instrText xml:space="preserve"> PAGEREF _Toc181085010 \h </w:instrText>
            </w:r>
            <w:r>
              <w:rPr>
                <w:webHidden/>
              </w:rPr>
            </w:r>
            <w:r>
              <w:rPr>
                <w:webHidden/>
              </w:rPr>
              <w:fldChar w:fldCharType="separate"/>
            </w:r>
            <w:r>
              <w:rPr>
                <w:webHidden/>
              </w:rPr>
              <w:t>152</w:t>
            </w:r>
            <w:r>
              <w:rPr>
                <w:webHidden/>
              </w:rPr>
              <w:fldChar w:fldCharType="end"/>
            </w:r>
          </w:hyperlink>
        </w:p>
        <w:p w14:paraId="524FDDD8" w14:textId="0DAC3FB5" w:rsidR="00A00D64" w:rsidRDefault="00A00D64">
          <w:pPr>
            <w:pStyle w:val="TOC3"/>
            <w:rPr>
              <w:rFonts w:asciiTheme="minorHAnsi" w:eastAsiaTheme="minorEastAsia" w:hAnsiTheme="minorHAnsi" w:cstheme="minorBidi"/>
              <w:kern w:val="2"/>
              <w:sz w:val="24"/>
              <w14:ligatures w14:val="standardContextual"/>
            </w:rPr>
          </w:pPr>
          <w:hyperlink w:anchor="_Toc181085011" w:history="1">
            <w:r w:rsidRPr="00016437">
              <w:rPr>
                <w:rStyle w:val="Hyperlink"/>
              </w:rPr>
              <w:t>The Salvation Army New Zealand, Fiji, Tonga and Samoan Territory</w:t>
            </w:r>
            <w:r>
              <w:rPr>
                <w:webHidden/>
              </w:rPr>
              <w:tab/>
            </w:r>
            <w:r>
              <w:rPr>
                <w:webHidden/>
              </w:rPr>
              <w:fldChar w:fldCharType="begin"/>
            </w:r>
            <w:r>
              <w:rPr>
                <w:webHidden/>
              </w:rPr>
              <w:instrText xml:space="preserve"> PAGEREF _Toc181085011 \h </w:instrText>
            </w:r>
            <w:r>
              <w:rPr>
                <w:webHidden/>
              </w:rPr>
            </w:r>
            <w:r>
              <w:rPr>
                <w:webHidden/>
              </w:rPr>
              <w:fldChar w:fldCharType="separate"/>
            </w:r>
            <w:r>
              <w:rPr>
                <w:webHidden/>
              </w:rPr>
              <w:t>152</w:t>
            </w:r>
            <w:r>
              <w:rPr>
                <w:webHidden/>
              </w:rPr>
              <w:fldChar w:fldCharType="end"/>
            </w:r>
          </w:hyperlink>
        </w:p>
        <w:p w14:paraId="5CFE9949" w14:textId="3889CD39" w:rsidR="00A00D64" w:rsidRDefault="00A00D64">
          <w:pPr>
            <w:pStyle w:val="TOC3"/>
            <w:rPr>
              <w:rFonts w:asciiTheme="minorHAnsi" w:eastAsiaTheme="minorEastAsia" w:hAnsiTheme="minorHAnsi" w:cstheme="minorBidi"/>
              <w:kern w:val="2"/>
              <w:sz w:val="24"/>
              <w14:ligatures w14:val="standardContextual"/>
            </w:rPr>
          </w:pPr>
          <w:hyperlink w:anchor="_Toc181085012" w:history="1">
            <w:r w:rsidRPr="00016437">
              <w:rPr>
                <w:rStyle w:val="Hyperlink"/>
              </w:rPr>
              <w:t>Te Hāhi Weteriana</w:t>
            </w:r>
            <w:r>
              <w:rPr>
                <w:webHidden/>
              </w:rPr>
              <w:tab/>
            </w:r>
            <w:r>
              <w:rPr>
                <w:webHidden/>
              </w:rPr>
              <w:fldChar w:fldCharType="begin"/>
            </w:r>
            <w:r>
              <w:rPr>
                <w:webHidden/>
              </w:rPr>
              <w:instrText xml:space="preserve"> PAGEREF _Toc181085012 \h </w:instrText>
            </w:r>
            <w:r>
              <w:rPr>
                <w:webHidden/>
              </w:rPr>
            </w:r>
            <w:r>
              <w:rPr>
                <w:webHidden/>
              </w:rPr>
              <w:fldChar w:fldCharType="separate"/>
            </w:r>
            <w:r>
              <w:rPr>
                <w:webHidden/>
              </w:rPr>
              <w:t>153</w:t>
            </w:r>
            <w:r>
              <w:rPr>
                <w:webHidden/>
              </w:rPr>
              <w:fldChar w:fldCharType="end"/>
            </w:r>
          </w:hyperlink>
        </w:p>
        <w:p w14:paraId="2E4B72FE" w14:textId="43513FD5" w:rsidR="00A00D64" w:rsidRDefault="00A00D64">
          <w:pPr>
            <w:pStyle w:val="TOC3"/>
            <w:rPr>
              <w:rFonts w:asciiTheme="minorHAnsi" w:eastAsiaTheme="minorEastAsia" w:hAnsiTheme="minorHAnsi" w:cstheme="minorBidi"/>
              <w:kern w:val="2"/>
              <w:sz w:val="24"/>
              <w14:ligatures w14:val="standardContextual"/>
            </w:rPr>
          </w:pPr>
          <w:hyperlink w:anchor="_Toc181085013" w:history="1">
            <w:r w:rsidRPr="00016437">
              <w:rPr>
                <w:rStyle w:val="Hyperlink"/>
              </w:rPr>
              <w:t>Methodist Church</w:t>
            </w:r>
            <w:r>
              <w:rPr>
                <w:webHidden/>
              </w:rPr>
              <w:tab/>
            </w:r>
            <w:r>
              <w:rPr>
                <w:webHidden/>
              </w:rPr>
              <w:fldChar w:fldCharType="begin"/>
            </w:r>
            <w:r>
              <w:rPr>
                <w:webHidden/>
              </w:rPr>
              <w:instrText xml:space="preserve"> PAGEREF _Toc181085013 \h </w:instrText>
            </w:r>
            <w:r>
              <w:rPr>
                <w:webHidden/>
              </w:rPr>
            </w:r>
            <w:r>
              <w:rPr>
                <w:webHidden/>
              </w:rPr>
              <w:fldChar w:fldCharType="separate"/>
            </w:r>
            <w:r>
              <w:rPr>
                <w:webHidden/>
              </w:rPr>
              <w:t>153</w:t>
            </w:r>
            <w:r>
              <w:rPr>
                <w:webHidden/>
              </w:rPr>
              <w:fldChar w:fldCharType="end"/>
            </w:r>
          </w:hyperlink>
        </w:p>
        <w:p w14:paraId="1F873C36" w14:textId="508007F4" w:rsidR="00A00D64" w:rsidRDefault="00A00D64">
          <w:pPr>
            <w:pStyle w:val="TOC3"/>
            <w:rPr>
              <w:rFonts w:asciiTheme="minorHAnsi" w:eastAsiaTheme="minorEastAsia" w:hAnsiTheme="minorHAnsi" w:cstheme="minorBidi"/>
              <w:kern w:val="2"/>
              <w:sz w:val="24"/>
              <w14:ligatures w14:val="standardContextual"/>
            </w:rPr>
          </w:pPr>
          <w:hyperlink w:anchor="_Toc181085014" w:history="1">
            <w:r w:rsidRPr="00016437">
              <w:rPr>
                <w:rStyle w:val="Hyperlink"/>
                <w:lang w:val="en-US"/>
              </w:rPr>
              <w:t>Te Hāhi Perehipitīriana o Aotearoa</w:t>
            </w:r>
            <w:r>
              <w:rPr>
                <w:webHidden/>
              </w:rPr>
              <w:tab/>
            </w:r>
            <w:r>
              <w:rPr>
                <w:webHidden/>
              </w:rPr>
              <w:fldChar w:fldCharType="begin"/>
            </w:r>
            <w:r>
              <w:rPr>
                <w:webHidden/>
              </w:rPr>
              <w:instrText xml:space="preserve"> PAGEREF _Toc181085014 \h </w:instrText>
            </w:r>
            <w:r>
              <w:rPr>
                <w:webHidden/>
              </w:rPr>
            </w:r>
            <w:r>
              <w:rPr>
                <w:webHidden/>
              </w:rPr>
              <w:fldChar w:fldCharType="separate"/>
            </w:r>
            <w:r>
              <w:rPr>
                <w:webHidden/>
              </w:rPr>
              <w:t>154</w:t>
            </w:r>
            <w:r>
              <w:rPr>
                <w:webHidden/>
              </w:rPr>
              <w:fldChar w:fldCharType="end"/>
            </w:r>
          </w:hyperlink>
        </w:p>
        <w:p w14:paraId="221DB777" w14:textId="4CFD47F4" w:rsidR="00A00D64" w:rsidRDefault="00A00D64">
          <w:pPr>
            <w:pStyle w:val="TOC3"/>
            <w:rPr>
              <w:rFonts w:asciiTheme="minorHAnsi" w:eastAsiaTheme="minorEastAsia" w:hAnsiTheme="minorHAnsi" w:cstheme="minorBidi"/>
              <w:kern w:val="2"/>
              <w:sz w:val="24"/>
              <w14:ligatures w14:val="standardContextual"/>
            </w:rPr>
          </w:pPr>
          <w:hyperlink w:anchor="_Toc181085015" w:history="1">
            <w:r w:rsidRPr="00016437">
              <w:rPr>
                <w:rStyle w:val="Hyperlink"/>
                <w:lang w:val="en-US"/>
              </w:rPr>
              <w:t>Presbyterian Church of New Zealand</w:t>
            </w:r>
            <w:r>
              <w:rPr>
                <w:webHidden/>
              </w:rPr>
              <w:tab/>
            </w:r>
            <w:r>
              <w:rPr>
                <w:webHidden/>
              </w:rPr>
              <w:fldChar w:fldCharType="begin"/>
            </w:r>
            <w:r>
              <w:rPr>
                <w:webHidden/>
              </w:rPr>
              <w:instrText xml:space="preserve"> PAGEREF _Toc181085015 \h </w:instrText>
            </w:r>
            <w:r>
              <w:rPr>
                <w:webHidden/>
              </w:rPr>
            </w:r>
            <w:r>
              <w:rPr>
                <w:webHidden/>
              </w:rPr>
              <w:fldChar w:fldCharType="separate"/>
            </w:r>
            <w:r>
              <w:rPr>
                <w:webHidden/>
              </w:rPr>
              <w:t>154</w:t>
            </w:r>
            <w:r>
              <w:rPr>
                <w:webHidden/>
              </w:rPr>
              <w:fldChar w:fldCharType="end"/>
            </w:r>
          </w:hyperlink>
        </w:p>
        <w:p w14:paraId="69140D85" w14:textId="34025CE8" w:rsidR="00A00D64" w:rsidRDefault="00A00D64">
          <w:pPr>
            <w:pStyle w:val="TOC3"/>
            <w:rPr>
              <w:rFonts w:asciiTheme="minorHAnsi" w:eastAsiaTheme="minorEastAsia" w:hAnsiTheme="minorHAnsi" w:cstheme="minorBidi"/>
              <w:kern w:val="2"/>
              <w:sz w:val="24"/>
              <w14:ligatures w14:val="standardContextual"/>
            </w:rPr>
          </w:pPr>
          <w:hyperlink w:anchor="_Toc181085016" w:history="1">
            <w:r w:rsidRPr="00016437">
              <w:rPr>
                <w:rStyle w:val="Hyperlink"/>
              </w:rPr>
              <w:t>Te Hapori Karaitiana o Gloriavale</w:t>
            </w:r>
            <w:r>
              <w:rPr>
                <w:webHidden/>
              </w:rPr>
              <w:tab/>
            </w:r>
            <w:r>
              <w:rPr>
                <w:webHidden/>
              </w:rPr>
              <w:fldChar w:fldCharType="begin"/>
            </w:r>
            <w:r>
              <w:rPr>
                <w:webHidden/>
              </w:rPr>
              <w:instrText xml:space="preserve"> PAGEREF _Toc181085016 \h </w:instrText>
            </w:r>
            <w:r>
              <w:rPr>
                <w:webHidden/>
              </w:rPr>
            </w:r>
            <w:r>
              <w:rPr>
                <w:webHidden/>
              </w:rPr>
              <w:fldChar w:fldCharType="separate"/>
            </w:r>
            <w:r>
              <w:rPr>
                <w:webHidden/>
              </w:rPr>
              <w:t>156</w:t>
            </w:r>
            <w:r>
              <w:rPr>
                <w:webHidden/>
              </w:rPr>
              <w:fldChar w:fldCharType="end"/>
            </w:r>
          </w:hyperlink>
        </w:p>
        <w:p w14:paraId="4157977C" w14:textId="3D748E6F" w:rsidR="00A00D64" w:rsidRDefault="00A00D64">
          <w:pPr>
            <w:pStyle w:val="TOC3"/>
            <w:rPr>
              <w:rFonts w:asciiTheme="minorHAnsi" w:eastAsiaTheme="minorEastAsia" w:hAnsiTheme="minorHAnsi" w:cstheme="minorBidi"/>
              <w:kern w:val="2"/>
              <w:sz w:val="24"/>
              <w14:ligatures w14:val="standardContextual"/>
            </w:rPr>
          </w:pPr>
          <w:hyperlink w:anchor="_Toc181085017" w:history="1">
            <w:r w:rsidRPr="00016437">
              <w:rPr>
                <w:rStyle w:val="Hyperlink"/>
              </w:rPr>
              <w:t>Gloriavale Christian Community</w:t>
            </w:r>
            <w:r>
              <w:rPr>
                <w:webHidden/>
              </w:rPr>
              <w:tab/>
            </w:r>
            <w:r>
              <w:rPr>
                <w:webHidden/>
              </w:rPr>
              <w:fldChar w:fldCharType="begin"/>
            </w:r>
            <w:r>
              <w:rPr>
                <w:webHidden/>
              </w:rPr>
              <w:instrText xml:space="preserve"> PAGEREF _Toc181085017 \h </w:instrText>
            </w:r>
            <w:r>
              <w:rPr>
                <w:webHidden/>
              </w:rPr>
            </w:r>
            <w:r>
              <w:rPr>
                <w:webHidden/>
              </w:rPr>
              <w:fldChar w:fldCharType="separate"/>
            </w:r>
            <w:r>
              <w:rPr>
                <w:webHidden/>
              </w:rPr>
              <w:t>156</w:t>
            </w:r>
            <w:r>
              <w:rPr>
                <w:webHidden/>
              </w:rPr>
              <w:fldChar w:fldCharType="end"/>
            </w:r>
          </w:hyperlink>
        </w:p>
        <w:p w14:paraId="585B46AA" w14:textId="12D091E5" w:rsidR="00A00D64" w:rsidRDefault="00A00D64">
          <w:pPr>
            <w:pStyle w:val="TOC3"/>
            <w:rPr>
              <w:rFonts w:asciiTheme="minorHAnsi" w:eastAsiaTheme="minorEastAsia" w:hAnsiTheme="minorHAnsi" w:cstheme="minorBidi"/>
              <w:kern w:val="2"/>
              <w:sz w:val="24"/>
              <w14:ligatures w14:val="standardContextual"/>
            </w:rPr>
          </w:pPr>
          <w:hyperlink w:anchor="_Toc181085018" w:history="1">
            <w:r w:rsidRPr="00016437">
              <w:rPr>
                <w:rStyle w:val="Hyperlink"/>
                <w:rFonts w:eastAsia="Calibri"/>
                <w:shd w:val="clear" w:color="auto" w:fill="FFFFFF"/>
              </w:rPr>
              <w:t>Overview of structure and functions of the Gloriavale Christian Community</w:t>
            </w:r>
            <w:r>
              <w:rPr>
                <w:webHidden/>
              </w:rPr>
              <w:tab/>
            </w:r>
            <w:r>
              <w:rPr>
                <w:webHidden/>
              </w:rPr>
              <w:fldChar w:fldCharType="begin"/>
            </w:r>
            <w:r>
              <w:rPr>
                <w:webHidden/>
              </w:rPr>
              <w:instrText xml:space="preserve"> PAGEREF _Toc181085018 \h </w:instrText>
            </w:r>
            <w:r>
              <w:rPr>
                <w:webHidden/>
              </w:rPr>
            </w:r>
            <w:r>
              <w:rPr>
                <w:webHidden/>
              </w:rPr>
              <w:fldChar w:fldCharType="separate"/>
            </w:r>
            <w:r>
              <w:rPr>
                <w:webHidden/>
              </w:rPr>
              <w:t>157</w:t>
            </w:r>
            <w:r>
              <w:rPr>
                <w:webHidden/>
              </w:rPr>
              <w:fldChar w:fldCharType="end"/>
            </w:r>
          </w:hyperlink>
        </w:p>
        <w:p w14:paraId="40B2C0B3" w14:textId="7D3B7E52" w:rsidR="00A00D64" w:rsidRDefault="00A00D64">
          <w:pPr>
            <w:pStyle w:val="TOC3"/>
            <w:rPr>
              <w:rFonts w:asciiTheme="minorHAnsi" w:eastAsiaTheme="minorEastAsia" w:hAnsiTheme="minorHAnsi" w:cstheme="minorBidi"/>
              <w:kern w:val="2"/>
              <w:sz w:val="24"/>
              <w14:ligatures w14:val="standardContextual"/>
            </w:rPr>
          </w:pPr>
          <w:hyperlink w:anchor="_Toc181085019" w:history="1">
            <w:r w:rsidRPr="00016437">
              <w:rPr>
                <w:rStyle w:val="Hyperlink"/>
              </w:rPr>
              <w:t>Te Hāhi Karaitiana o Plymouth Brethren</w:t>
            </w:r>
            <w:r>
              <w:rPr>
                <w:webHidden/>
              </w:rPr>
              <w:tab/>
            </w:r>
            <w:r>
              <w:rPr>
                <w:webHidden/>
              </w:rPr>
              <w:fldChar w:fldCharType="begin"/>
            </w:r>
            <w:r>
              <w:rPr>
                <w:webHidden/>
              </w:rPr>
              <w:instrText xml:space="preserve"> PAGEREF _Toc181085019 \h </w:instrText>
            </w:r>
            <w:r>
              <w:rPr>
                <w:webHidden/>
              </w:rPr>
            </w:r>
            <w:r>
              <w:rPr>
                <w:webHidden/>
              </w:rPr>
              <w:fldChar w:fldCharType="separate"/>
            </w:r>
            <w:r>
              <w:rPr>
                <w:webHidden/>
              </w:rPr>
              <w:t>158</w:t>
            </w:r>
            <w:r>
              <w:rPr>
                <w:webHidden/>
              </w:rPr>
              <w:fldChar w:fldCharType="end"/>
            </w:r>
          </w:hyperlink>
        </w:p>
        <w:p w14:paraId="24975DCF" w14:textId="394C8446" w:rsidR="00A00D64" w:rsidRDefault="00A00D64">
          <w:pPr>
            <w:pStyle w:val="TOC3"/>
            <w:rPr>
              <w:rFonts w:asciiTheme="minorHAnsi" w:eastAsiaTheme="minorEastAsia" w:hAnsiTheme="minorHAnsi" w:cstheme="minorBidi"/>
              <w:kern w:val="2"/>
              <w:sz w:val="24"/>
              <w14:ligatures w14:val="standardContextual"/>
            </w:rPr>
          </w:pPr>
          <w:hyperlink w:anchor="_Toc181085020" w:history="1">
            <w:r w:rsidRPr="00016437">
              <w:rPr>
                <w:rStyle w:val="Hyperlink"/>
              </w:rPr>
              <w:t>Plymouth Brethren Christian Church</w:t>
            </w:r>
            <w:r>
              <w:rPr>
                <w:webHidden/>
              </w:rPr>
              <w:tab/>
            </w:r>
            <w:r>
              <w:rPr>
                <w:webHidden/>
              </w:rPr>
              <w:fldChar w:fldCharType="begin"/>
            </w:r>
            <w:r>
              <w:rPr>
                <w:webHidden/>
              </w:rPr>
              <w:instrText xml:space="preserve"> PAGEREF _Toc181085020 \h </w:instrText>
            </w:r>
            <w:r>
              <w:rPr>
                <w:webHidden/>
              </w:rPr>
            </w:r>
            <w:r>
              <w:rPr>
                <w:webHidden/>
              </w:rPr>
              <w:fldChar w:fldCharType="separate"/>
            </w:r>
            <w:r>
              <w:rPr>
                <w:webHidden/>
              </w:rPr>
              <w:t>158</w:t>
            </w:r>
            <w:r>
              <w:rPr>
                <w:webHidden/>
              </w:rPr>
              <w:fldChar w:fldCharType="end"/>
            </w:r>
          </w:hyperlink>
        </w:p>
        <w:p w14:paraId="5DF68C50" w14:textId="2979022B" w:rsidR="00A00D64" w:rsidRDefault="00A00D64">
          <w:pPr>
            <w:pStyle w:val="TOC3"/>
            <w:rPr>
              <w:rFonts w:asciiTheme="minorHAnsi" w:eastAsiaTheme="minorEastAsia" w:hAnsiTheme="minorHAnsi" w:cstheme="minorBidi"/>
              <w:kern w:val="2"/>
              <w:sz w:val="24"/>
              <w14:ligatures w14:val="standardContextual"/>
            </w:rPr>
          </w:pPr>
          <w:hyperlink w:anchor="_Toc181085021" w:history="1">
            <w:r w:rsidRPr="00016437">
              <w:rPr>
                <w:rStyle w:val="Hyperlink"/>
                <w:rFonts w:eastAsia="Calibri"/>
                <w:shd w:val="clear" w:color="auto" w:fill="FFFFFF"/>
              </w:rPr>
              <w:t>Overview of structure and functions of the Plymouth Brethren Christian Church</w:t>
            </w:r>
            <w:r>
              <w:rPr>
                <w:webHidden/>
              </w:rPr>
              <w:tab/>
            </w:r>
            <w:r>
              <w:rPr>
                <w:webHidden/>
              </w:rPr>
              <w:fldChar w:fldCharType="begin"/>
            </w:r>
            <w:r>
              <w:rPr>
                <w:webHidden/>
              </w:rPr>
              <w:instrText xml:space="preserve"> PAGEREF _Toc181085021 \h </w:instrText>
            </w:r>
            <w:r>
              <w:rPr>
                <w:webHidden/>
              </w:rPr>
            </w:r>
            <w:r>
              <w:rPr>
                <w:webHidden/>
              </w:rPr>
              <w:fldChar w:fldCharType="separate"/>
            </w:r>
            <w:r>
              <w:rPr>
                <w:webHidden/>
              </w:rPr>
              <w:t>159</w:t>
            </w:r>
            <w:r>
              <w:rPr>
                <w:webHidden/>
              </w:rPr>
              <w:fldChar w:fldCharType="end"/>
            </w:r>
          </w:hyperlink>
        </w:p>
        <w:p w14:paraId="5671C927" w14:textId="209C7F17" w:rsidR="00A00D64" w:rsidRDefault="00A00D64">
          <w:pPr>
            <w:pStyle w:val="TOC3"/>
            <w:rPr>
              <w:rFonts w:asciiTheme="minorHAnsi" w:eastAsiaTheme="minorEastAsia" w:hAnsiTheme="minorHAnsi" w:cstheme="minorBidi"/>
              <w:kern w:val="2"/>
              <w:sz w:val="24"/>
              <w14:ligatures w14:val="standardContextual"/>
            </w:rPr>
          </w:pPr>
          <w:hyperlink w:anchor="_Toc181085022" w:history="1">
            <w:r w:rsidRPr="00016437">
              <w:rPr>
                <w:rStyle w:val="Hyperlink"/>
              </w:rPr>
              <w:t>Ngā Kaiwhakapae o Ihowa</w:t>
            </w:r>
            <w:r>
              <w:rPr>
                <w:webHidden/>
              </w:rPr>
              <w:tab/>
            </w:r>
            <w:r>
              <w:rPr>
                <w:webHidden/>
              </w:rPr>
              <w:fldChar w:fldCharType="begin"/>
            </w:r>
            <w:r>
              <w:rPr>
                <w:webHidden/>
              </w:rPr>
              <w:instrText xml:space="preserve"> PAGEREF _Toc181085022 \h </w:instrText>
            </w:r>
            <w:r>
              <w:rPr>
                <w:webHidden/>
              </w:rPr>
            </w:r>
            <w:r>
              <w:rPr>
                <w:webHidden/>
              </w:rPr>
              <w:fldChar w:fldCharType="separate"/>
            </w:r>
            <w:r>
              <w:rPr>
                <w:webHidden/>
              </w:rPr>
              <w:t>159</w:t>
            </w:r>
            <w:r>
              <w:rPr>
                <w:webHidden/>
              </w:rPr>
              <w:fldChar w:fldCharType="end"/>
            </w:r>
          </w:hyperlink>
        </w:p>
        <w:p w14:paraId="663ED32E" w14:textId="5615B4F5" w:rsidR="00A00D64" w:rsidRDefault="00A00D64">
          <w:pPr>
            <w:pStyle w:val="TOC3"/>
            <w:rPr>
              <w:rFonts w:asciiTheme="minorHAnsi" w:eastAsiaTheme="minorEastAsia" w:hAnsiTheme="minorHAnsi" w:cstheme="minorBidi"/>
              <w:kern w:val="2"/>
              <w:sz w:val="24"/>
              <w14:ligatures w14:val="standardContextual"/>
            </w:rPr>
          </w:pPr>
          <w:hyperlink w:anchor="_Toc181085023" w:history="1">
            <w:r w:rsidRPr="00016437">
              <w:rPr>
                <w:rStyle w:val="Hyperlink"/>
              </w:rPr>
              <w:t>Jehovah’s Witnesses</w:t>
            </w:r>
            <w:r>
              <w:rPr>
                <w:webHidden/>
              </w:rPr>
              <w:tab/>
            </w:r>
            <w:r>
              <w:rPr>
                <w:webHidden/>
              </w:rPr>
              <w:fldChar w:fldCharType="begin"/>
            </w:r>
            <w:r>
              <w:rPr>
                <w:webHidden/>
              </w:rPr>
              <w:instrText xml:space="preserve"> PAGEREF _Toc181085023 \h </w:instrText>
            </w:r>
            <w:r>
              <w:rPr>
                <w:webHidden/>
              </w:rPr>
            </w:r>
            <w:r>
              <w:rPr>
                <w:webHidden/>
              </w:rPr>
              <w:fldChar w:fldCharType="separate"/>
            </w:r>
            <w:r>
              <w:rPr>
                <w:webHidden/>
              </w:rPr>
              <w:t>159</w:t>
            </w:r>
            <w:r>
              <w:rPr>
                <w:webHidden/>
              </w:rPr>
              <w:fldChar w:fldCharType="end"/>
            </w:r>
          </w:hyperlink>
        </w:p>
        <w:p w14:paraId="133868C6" w14:textId="2383BCA5" w:rsidR="00A00D64" w:rsidRDefault="00A00D64">
          <w:pPr>
            <w:pStyle w:val="TOC2"/>
            <w:rPr>
              <w:rFonts w:asciiTheme="minorHAnsi" w:eastAsiaTheme="minorEastAsia" w:hAnsiTheme="minorHAnsi" w:cstheme="minorBidi"/>
              <w:b w:val="0"/>
              <w:kern w:val="2"/>
              <w:sz w:val="24"/>
              <w14:ligatures w14:val="standardContextual"/>
            </w:rPr>
          </w:pPr>
          <w:hyperlink w:anchor="_Toc181085024" w:history="1">
            <w:r w:rsidRPr="00016437">
              <w:rPr>
                <w:rStyle w:val="Hyperlink"/>
              </w:rPr>
              <w:t>Ngā whakaritenga tuāpapa</w:t>
            </w:r>
            <w:r w:rsidRPr="00016437">
              <w:rPr>
                <w:rStyle w:val="Hyperlink"/>
                <w:rFonts w:ascii="Cambria Math" w:hAnsi="Cambria Math" w:cs="Cambria Math"/>
              </w:rPr>
              <w:t>‑</w:t>
            </w:r>
            <w:r w:rsidRPr="00016437">
              <w:rPr>
                <w:rStyle w:val="Hyperlink"/>
              </w:rPr>
              <w:t>whakapono i te w</w:t>
            </w:r>
            <w:r w:rsidRPr="00016437">
              <w:rPr>
                <w:rStyle w:val="Hyperlink"/>
                <w:rFonts w:cs="Arial"/>
              </w:rPr>
              <w:t>ā</w:t>
            </w:r>
            <w:r w:rsidRPr="00016437">
              <w:rPr>
                <w:rStyle w:val="Hyperlink"/>
              </w:rPr>
              <w:t xml:space="preserve"> o te Pakirehua</w:t>
            </w:r>
            <w:r>
              <w:rPr>
                <w:webHidden/>
              </w:rPr>
              <w:tab/>
            </w:r>
            <w:r>
              <w:rPr>
                <w:webHidden/>
              </w:rPr>
              <w:fldChar w:fldCharType="begin"/>
            </w:r>
            <w:r>
              <w:rPr>
                <w:webHidden/>
              </w:rPr>
              <w:instrText xml:space="preserve"> PAGEREF _Toc181085024 \h </w:instrText>
            </w:r>
            <w:r>
              <w:rPr>
                <w:webHidden/>
              </w:rPr>
            </w:r>
            <w:r>
              <w:rPr>
                <w:webHidden/>
              </w:rPr>
              <w:fldChar w:fldCharType="separate"/>
            </w:r>
            <w:r>
              <w:rPr>
                <w:webHidden/>
              </w:rPr>
              <w:t>161</w:t>
            </w:r>
            <w:r>
              <w:rPr>
                <w:webHidden/>
              </w:rPr>
              <w:fldChar w:fldCharType="end"/>
            </w:r>
          </w:hyperlink>
        </w:p>
        <w:p w14:paraId="76183E55" w14:textId="2FC766B3" w:rsidR="00A00D64" w:rsidRDefault="00A00D64">
          <w:pPr>
            <w:pStyle w:val="TOC2"/>
            <w:rPr>
              <w:rFonts w:asciiTheme="minorHAnsi" w:eastAsiaTheme="minorEastAsia" w:hAnsiTheme="minorHAnsi" w:cstheme="minorBidi"/>
              <w:b w:val="0"/>
              <w:kern w:val="2"/>
              <w:sz w:val="24"/>
              <w14:ligatures w14:val="standardContextual"/>
            </w:rPr>
          </w:pPr>
          <w:hyperlink w:anchor="_Toc181085025" w:history="1">
            <w:r w:rsidRPr="00016437">
              <w:rPr>
                <w:rStyle w:val="Hyperlink"/>
              </w:rPr>
              <w:t>Faith-based care settings during the Inquiry period</w:t>
            </w:r>
            <w:r>
              <w:rPr>
                <w:webHidden/>
              </w:rPr>
              <w:tab/>
            </w:r>
            <w:r>
              <w:rPr>
                <w:webHidden/>
              </w:rPr>
              <w:fldChar w:fldCharType="begin"/>
            </w:r>
            <w:r>
              <w:rPr>
                <w:webHidden/>
              </w:rPr>
              <w:instrText xml:space="preserve"> PAGEREF _Toc181085025 \h </w:instrText>
            </w:r>
            <w:r>
              <w:rPr>
                <w:webHidden/>
              </w:rPr>
            </w:r>
            <w:r>
              <w:rPr>
                <w:webHidden/>
              </w:rPr>
              <w:fldChar w:fldCharType="separate"/>
            </w:r>
            <w:r>
              <w:rPr>
                <w:webHidden/>
              </w:rPr>
              <w:t>161</w:t>
            </w:r>
            <w:r>
              <w:rPr>
                <w:webHidden/>
              </w:rPr>
              <w:fldChar w:fldCharType="end"/>
            </w:r>
          </w:hyperlink>
        </w:p>
        <w:p w14:paraId="1B1C2AE2" w14:textId="47F7D515" w:rsidR="00A00D64" w:rsidRDefault="00A00D64">
          <w:pPr>
            <w:pStyle w:val="TOC3"/>
            <w:rPr>
              <w:rFonts w:asciiTheme="minorHAnsi" w:eastAsiaTheme="minorEastAsia" w:hAnsiTheme="minorHAnsi" w:cstheme="minorBidi"/>
              <w:kern w:val="2"/>
              <w:sz w:val="24"/>
              <w14:ligatures w14:val="standardContextual"/>
            </w:rPr>
          </w:pPr>
          <w:hyperlink w:anchor="_Toc181085026" w:history="1">
            <w:r w:rsidRPr="00016437">
              <w:rPr>
                <w:rStyle w:val="Hyperlink"/>
              </w:rPr>
              <w:t>Kāinga taurima tamariki me ngā whare taurima tamariki pani</w:t>
            </w:r>
            <w:r>
              <w:rPr>
                <w:webHidden/>
              </w:rPr>
              <w:tab/>
            </w:r>
            <w:r>
              <w:rPr>
                <w:webHidden/>
              </w:rPr>
              <w:fldChar w:fldCharType="begin"/>
            </w:r>
            <w:r>
              <w:rPr>
                <w:webHidden/>
              </w:rPr>
              <w:instrText xml:space="preserve"> PAGEREF _Toc181085026 \h </w:instrText>
            </w:r>
            <w:r>
              <w:rPr>
                <w:webHidden/>
              </w:rPr>
            </w:r>
            <w:r>
              <w:rPr>
                <w:webHidden/>
              </w:rPr>
              <w:fldChar w:fldCharType="separate"/>
            </w:r>
            <w:r>
              <w:rPr>
                <w:webHidden/>
              </w:rPr>
              <w:t>161</w:t>
            </w:r>
            <w:r>
              <w:rPr>
                <w:webHidden/>
              </w:rPr>
              <w:fldChar w:fldCharType="end"/>
            </w:r>
          </w:hyperlink>
        </w:p>
        <w:p w14:paraId="22A5D813" w14:textId="66B4DF94" w:rsidR="00A00D64" w:rsidRDefault="00A00D64">
          <w:pPr>
            <w:pStyle w:val="TOC3"/>
            <w:rPr>
              <w:rFonts w:asciiTheme="minorHAnsi" w:eastAsiaTheme="minorEastAsia" w:hAnsiTheme="minorHAnsi" w:cstheme="minorBidi"/>
              <w:kern w:val="2"/>
              <w:sz w:val="24"/>
              <w14:ligatures w14:val="standardContextual"/>
            </w:rPr>
          </w:pPr>
          <w:hyperlink w:anchor="_Toc181085027" w:history="1">
            <w:r w:rsidRPr="00016437">
              <w:rPr>
                <w:rStyle w:val="Hyperlink"/>
              </w:rPr>
              <w:t>Faith-based children’s homes and orphanages</w:t>
            </w:r>
            <w:r>
              <w:rPr>
                <w:webHidden/>
              </w:rPr>
              <w:tab/>
            </w:r>
            <w:r>
              <w:rPr>
                <w:webHidden/>
              </w:rPr>
              <w:fldChar w:fldCharType="begin"/>
            </w:r>
            <w:r>
              <w:rPr>
                <w:webHidden/>
              </w:rPr>
              <w:instrText xml:space="preserve"> PAGEREF _Toc181085027 \h </w:instrText>
            </w:r>
            <w:r>
              <w:rPr>
                <w:webHidden/>
              </w:rPr>
            </w:r>
            <w:r>
              <w:rPr>
                <w:webHidden/>
              </w:rPr>
              <w:fldChar w:fldCharType="separate"/>
            </w:r>
            <w:r>
              <w:rPr>
                <w:webHidden/>
              </w:rPr>
              <w:t>161</w:t>
            </w:r>
            <w:r>
              <w:rPr>
                <w:webHidden/>
              </w:rPr>
              <w:fldChar w:fldCharType="end"/>
            </w:r>
          </w:hyperlink>
        </w:p>
        <w:p w14:paraId="4F5F1EAD" w14:textId="6E5C20F5" w:rsidR="00A00D64" w:rsidRDefault="00A00D64">
          <w:pPr>
            <w:pStyle w:val="TOC3"/>
            <w:rPr>
              <w:rFonts w:asciiTheme="minorHAnsi" w:eastAsiaTheme="minorEastAsia" w:hAnsiTheme="minorHAnsi" w:cstheme="minorBidi"/>
              <w:kern w:val="2"/>
              <w:sz w:val="24"/>
              <w14:ligatures w14:val="standardContextual"/>
            </w:rPr>
          </w:pPr>
          <w:hyperlink w:anchor="_Toc181085028" w:history="1">
            <w:r w:rsidRPr="00016437">
              <w:rPr>
                <w:rStyle w:val="Hyperlink"/>
              </w:rPr>
              <w:t>Kāinga atawhai tamariki</w:t>
            </w:r>
            <w:r>
              <w:rPr>
                <w:webHidden/>
              </w:rPr>
              <w:tab/>
            </w:r>
            <w:r>
              <w:rPr>
                <w:webHidden/>
              </w:rPr>
              <w:fldChar w:fldCharType="begin"/>
            </w:r>
            <w:r>
              <w:rPr>
                <w:webHidden/>
              </w:rPr>
              <w:instrText xml:space="preserve"> PAGEREF _Toc181085028 \h </w:instrText>
            </w:r>
            <w:r>
              <w:rPr>
                <w:webHidden/>
              </w:rPr>
            </w:r>
            <w:r>
              <w:rPr>
                <w:webHidden/>
              </w:rPr>
              <w:fldChar w:fldCharType="separate"/>
            </w:r>
            <w:r>
              <w:rPr>
                <w:webHidden/>
              </w:rPr>
              <w:t>162</w:t>
            </w:r>
            <w:r>
              <w:rPr>
                <w:webHidden/>
              </w:rPr>
              <w:fldChar w:fldCharType="end"/>
            </w:r>
          </w:hyperlink>
        </w:p>
        <w:p w14:paraId="0F28C185" w14:textId="446CC84E" w:rsidR="00A00D64" w:rsidRDefault="00A00D64">
          <w:pPr>
            <w:pStyle w:val="TOC3"/>
            <w:rPr>
              <w:rFonts w:asciiTheme="minorHAnsi" w:eastAsiaTheme="minorEastAsia" w:hAnsiTheme="minorHAnsi" w:cstheme="minorBidi"/>
              <w:kern w:val="2"/>
              <w:sz w:val="24"/>
              <w14:ligatures w14:val="standardContextual"/>
            </w:rPr>
          </w:pPr>
          <w:hyperlink w:anchor="_Toc181085029" w:history="1">
            <w:r w:rsidRPr="00016437">
              <w:rPr>
                <w:rStyle w:val="Hyperlink"/>
              </w:rPr>
              <w:t>Foster homes</w:t>
            </w:r>
            <w:r>
              <w:rPr>
                <w:webHidden/>
              </w:rPr>
              <w:tab/>
            </w:r>
            <w:r>
              <w:rPr>
                <w:webHidden/>
              </w:rPr>
              <w:fldChar w:fldCharType="begin"/>
            </w:r>
            <w:r>
              <w:rPr>
                <w:webHidden/>
              </w:rPr>
              <w:instrText xml:space="preserve"> PAGEREF _Toc181085029 \h </w:instrText>
            </w:r>
            <w:r>
              <w:rPr>
                <w:webHidden/>
              </w:rPr>
            </w:r>
            <w:r>
              <w:rPr>
                <w:webHidden/>
              </w:rPr>
              <w:fldChar w:fldCharType="separate"/>
            </w:r>
            <w:r>
              <w:rPr>
                <w:webHidden/>
              </w:rPr>
              <w:t>162</w:t>
            </w:r>
            <w:r>
              <w:rPr>
                <w:webHidden/>
              </w:rPr>
              <w:fldChar w:fldCharType="end"/>
            </w:r>
          </w:hyperlink>
        </w:p>
        <w:p w14:paraId="2994C9A9" w14:textId="7CB48F4B" w:rsidR="00A00D64" w:rsidRDefault="00A00D64">
          <w:pPr>
            <w:pStyle w:val="TOC3"/>
            <w:rPr>
              <w:rFonts w:asciiTheme="minorHAnsi" w:eastAsiaTheme="minorEastAsia" w:hAnsiTheme="minorHAnsi" w:cstheme="minorBidi"/>
              <w:kern w:val="2"/>
              <w:sz w:val="24"/>
              <w14:ligatures w14:val="standardContextual"/>
            </w:rPr>
          </w:pPr>
          <w:hyperlink w:anchor="_Toc181085030" w:history="1">
            <w:r w:rsidRPr="00016437">
              <w:rPr>
                <w:rStyle w:val="Hyperlink"/>
              </w:rPr>
              <w:t>Kāinga taurima māmā takakau</w:t>
            </w:r>
            <w:r>
              <w:rPr>
                <w:webHidden/>
              </w:rPr>
              <w:tab/>
            </w:r>
            <w:r>
              <w:rPr>
                <w:webHidden/>
              </w:rPr>
              <w:fldChar w:fldCharType="begin"/>
            </w:r>
            <w:r>
              <w:rPr>
                <w:webHidden/>
              </w:rPr>
              <w:instrText xml:space="preserve"> PAGEREF _Toc181085030 \h </w:instrText>
            </w:r>
            <w:r>
              <w:rPr>
                <w:webHidden/>
              </w:rPr>
            </w:r>
            <w:r>
              <w:rPr>
                <w:webHidden/>
              </w:rPr>
              <w:fldChar w:fldCharType="separate"/>
            </w:r>
            <w:r>
              <w:rPr>
                <w:webHidden/>
              </w:rPr>
              <w:t>162</w:t>
            </w:r>
            <w:r>
              <w:rPr>
                <w:webHidden/>
              </w:rPr>
              <w:fldChar w:fldCharType="end"/>
            </w:r>
          </w:hyperlink>
        </w:p>
        <w:p w14:paraId="4C0910AA" w14:textId="5BB8DD54" w:rsidR="00A00D64" w:rsidRDefault="00A00D64">
          <w:pPr>
            <w:pStyle w:val="TOC3"/>
            <w:rPr>
              <w:rFonts w:asciiTheme="minorHAnsi" w:eastAsiaTheme="minorEastAsia" w:hAnsiTheme="minorHAnsi" w:cstheme="minorBidi"/>
              <w:kern w:val="2"/>
              <w:sz w:val="24"/>
              <w14:ligatures w14:val="standardContextual"/>
            </w:rPr>
          </w:pPr>
          <w:hyperlink w:anchor="_Toc181085031" w:history="1">
            <w:r w:rsidRPr="00016437">
              <w:rPr>
                <w:rStyle w:val="Hyperlink"/>
              </w:rPr>
              <w:t>Unmarried mothers’ homes</w:t>
            </w:r>
            <w:r>
              <w:rPr>
                <w:webHidden/>
              </w:rPr>
              <w:tab/>
            </w:r>
            <w:r>
              <w:rPr>
                <w:webHidden/>
              </w:rPr>
              <w:fldChar w:fldCharType="begin"/>
            </w:r>
            <w:r>
              <w:rPr>
                <w:webHidden/>
              </w:rPr>
              <w:instrText xml:space="preserve"> PAGEREF _Toc181085031 \h </w:instrText>
            </w:r>
            <w:r>
              <w:rPr>
                <w:webHidden/>
              </w:rPr>
            </w:r>
            <w:r>
              <w:rPr>
                <w:webHidden/>
              </w:rPr>
              <w:fldChar w:fldCharType="separate"/>
            </w:r>
            <w:r>
              <w:rPr>
                <w:webHidden/>
              </w:rPr>
              <w:t>162</w:t>
            </w:r>
            <w:r>
              <w:rPr>
                <w:webHidden/>
              </w:rPr>
              <w:fldChar w:fldCharType="end"/>
            </w:r>
          </w:hyperlink>
        </w:p>
        <w:p w14:paraId="12D13369" w14:textId="20866035" w:rsidR="00A00D64" w:rsidRDefault="00A00D64">
          <w:pPr>
            <w:pStyle w:val="TOC3"/>
            <w:rPr>
              <w:rFonts w:asciiTheme="minorHAnsi" w:eastAsiaTheme="minorEastAsia" w:hAnsiTheme="minorHAnsi" w:cstheme="minorBidi"/>
              <w:kern w:val="2"/>
              <w:sz w:val="24"/>
              <w14:ligatures w14:val="standardContextual"/>
            </w:rPr>
          </w:pPr>
          <w:hyperlink w:anchor="_Toc181085032" w:history="1">
            <w:r w:rsidRPr="00016437">
              <w:rPr>
                <w:rStyle w:val="Hyperlink"/>
              </w:rPr>
              <w:t>Te whakapono me te whāngai</w:t>
            </w:r>
            <w:r>
              <w:rPr>
                <w:webHidden/>
              </w:rPr>
              <w:tab/>
            </w:r>
            <w:r>
              <w:rPr>
                <w:webHidden/>
              </w:rPr>
              <w:fldChar w:fldCharType="begin"/>
            </w:r>
            <w:r>
              <w:rPr>
                <w:webHidden/>
              </w:rPr>
              <w:instrText xml:space="preserve"> PAGEREF _Toc181085032 \h </w:instrText>
            </w:r>
            <w:r>
              <w:rPr>
                <w:webHidden/>
              </w:rPr>
            </w:r>
            <w:r>
              <w:rPr>
                <w:webHidden/>
              </w:rPr>
              <w:fldChar w:fldCharType="separate"/>
            </w:r>
            <w:r>
              <w:rPr>
                <w:webHidden/>
              </w:rPr>
              <w:t>163</w:t>
            </w:r>
            <w:r>
              <w:rPr>
                <w:webHidden/>
              </w:rPr>
              <w:fldChar w:fldCharType="end"/>
            </w:r>
          </w:hyperlink>
        </w:p>
        <w:p w14:paraId="7EADFAF6" w14:textId="1E63790A" w:rsidR="00A00D64" w:rsidRDefault="00A00D64">
          <w:pPr>
            <w:pStyle w:val="TOC3"/>
            <w:rPr>
              <w:rFonts w:asciiTheme="minorHAnsi" w:eastAsiaTheme="minorEastAsia" w:hAnsiTheme="minorHAnsi" w:cstheme="minorBidi"/>
              <w:kern w:val="2"/>
              <w:sz w:val="24"/>
              <w14:ligatures w14:val="standardContextual"/>
            </w:rPr>
          </w:pPr>
          <w:hyperlink w:anchor="_Toc181085033" w:history="1">
            <w:r w:rsidRPr="00016437">
              <w:rPr>
                <w:rStyle w:val="Hyperlink"/>
              </w:rPr>
              <w:t>Faith and adoption</w:t>
            </w:r>
            <w:r>
              <w:rPr>
                <w:webHidden/>
              </w:rPr>
              <w:tab/>
            </w:r>
            <w:r>
              <w:rPr>
                <w:webHidden/>
              </w:rPr>
              <w:fldChar w:fldCharType="begin"/>
            </w:r>
            <w:r>
              <w:rPr>
                <w:webHidden/>
              </w:rPr>
              <w:instrText xml:space="preserve"> PAGEREF _Toc181085033 \h </w:instrText>
            </w:r>
            <w:r>
              <w:rPr>
                <w:webHidden/>
              </w:rPr>
            </w:r>
            <w:r>
              <w:rPr>
                <w:webHidden/>
              </w:rPr>
              <w:fldChar w:fldCharType="separate"/>
            </w:r>
            <w:r>
              <w:rPr>
                <w:webHidden/>
              </w:rPr>
              <w:t>163</w:t>
            </w:r>
            <w:r>
              <w:rPr>
                <w:webHidden/>
              </w:rPr>
              <w:fldChar w:fldCharType="end"/>
            </w:r>
          </w:hyperlink>
        </w:p>
        <w:p w14:paraId="7381BBEE" w14:textId="52BB4974" w:rsidR="00A00D64" w:rsidRDefault="00A00D64">
          <w:pPr>
            <w:pStyle w:val="TOC3"/>
            <w:rPr>
              <w:rFonts w:asciiTheme="minorHAnsi" w:eastAsiaTheme="minorEastAsia" w:hAnsiTheme="minorHAnsi" w:cstheme="minorBidi"/>
              <w:kern w:val="2"/>
              <w:sz w:val="24"/>
              <w14:ligatures w14:val="standardContextual"/>
            </w:rPr>
          </w:pPr>
          <w:hyperlink w:anchor="_Toc181085034" w:history="1">
            <w:r w:rsidRPr="00016437">
              <w:rPr>
                <w:rStyle w:val="Hyperlink"/>
              </w:rPr>
              <w:t>Kura tūāpapa-whakapono me ngā whare mātauranga</w:t>
            </w:r>
            <w:r>
              <w:rPr>
                <w:webHidden/>
              </w:rPr>
              <w:tab/>
            </w:r>
            <w:r>
              <w:rPr>
                <w:webHidden/>
              </w:rPr>
              <w:fldChar w:fldCharType="begin"/>
            </w:r>
            <w:r>
              <w:rPr>
                <w:webHidden/>
              </w:rPr>
              <w:instrText xml:space="preserve"> PAGEREF _Toc181085034 \h </w:instrText>
            </w:r>
            <w:r>
              <w:rPr>
                <w:webHidden/>
              </w:rPr>
            </w:r>
            <w:r>
              <w:rPr>
                <w:webHidden/>
              </w:rPr>
              <w:fldChar w:fldCharType="separate"/>
            </w:r>
            <w:r>
              <w:rPr>
                <w:webHidden/>
              </w:rPr>
              <w:t>164</w:t>
            </w:r>
            <w:r>
              <w:rPr>
                <w:webHidden/>
              </w:rPr>
              <w:fldChar w:fldCharType="end"/>
            </w:r>
          </w:hyperlink>
        </w:p>
        <w:p w14:paraId="5313905F" w14:textId="297320F5" w:rsidR="00A00D64" w:rsidRDefault="00A00D64">
          <w:pPr>
            <w:pStyle w:val="TOC3"/>
            <w:rPr>
              <w:rFonts w:asciiTheme="minorHAnsi" w:eastAsiaTheme="minorEastAsia" w:hAnsiTheme="minorHAnsi" w:cstheme="minorBidi"/>
              <w:kern w:val="2"/>
              <w:sz w:val="24"/>
              <w14:ligatures w14:val="standardContextual"/>
            </w:rPr>
          </w:pPr>
          <w:hyperlink w:anchor="_Toc181085035" w:history="1">
            <w:r w:rsidRPr="00016437">
              <w:rPr>
                <w:rStyle w:val="Hyperlink"/>
              </w:rPr>
              <w:t>Faith-based schools and education facilities</w:t>
            </w:r>
            <w:r>
              <w:rPr>
                <w:webHidden/>
              </w:rPr>
              <w:tab/>
            </w:r>
            <w:r>
              <w:rPr>
                <w:webHidden/>
              </w:rPr>
              <w:fldChar w:fldCharType="begin"/>
            </w:r>
            <w:r>
              <w:rPr>
                <w:webHidden/>
              </w:rPr>
              <w:instrText xml:space="preserve"> PAGEREF _Toc181085035 \h </w:instrText>
            </w:r>
            <w:r>
              <w:rPr>
                <w:webHidden/>
              </w:rPr>
            </w:r>
            <w:r>
              <w:rPr>
                <w:webHidden/>
              </w:rPr>
              <w:fldChar w:fldCharType="separate"/>
            </w:r>
            <w:r>
              <w:rPr>
                <w:webHidden/>
              </w:rPr>
              <w:t>164</w:t>
            </w:r>
            <w:r>
              <w:rPr>
                <w:webHidden/>
              </w:rPr>
              <w:fldChar w:fldCharType="end"/>
            </w:r>
          </w:hyperlink>
        </w:p>
        <w:p w14:paraId="3096708B" w14:textId="21C020DA" w:rsidR="00A00D64" w:rsidRDefault="00A00D64">
          <w:pPr>
            <w:pStyle w:val="TOC3"/>
            <w:rPr>
              <w:rFonts w:asciiTheme="minorHAnsi" w:eastAsiaTheme="minorEastAsia" w:hAnsiTheme="minorHAnsi" w:cstheme="minorBidi"/>
              <w:kern w:val="2"/>
              <w:sz w:val="24"/>
              <w14:ligatures w14:val="standardContextual"/>
            </w:rPr>
          </w:pPr>
          <w:hyperlink w:anchor="_Toc181085036" w:history="1">
            <w:r w:rsidRPr="00016437">
              <w:rPr>
                <w:rStyle w:val="Hyperlink"/>
              </w:rPr>
              <w:t>Pehea te urunga o ngā tāngata ki ngā kura tūāpapa-whakapono</w:t>
            </w:r>
            <w:r>
              <w:rPr>
                <w:webHidden/>
              </w:rPr>
              <w:tab/>
            </w:r>
            <w:r>
              <w:rPr>
                <w:webHidden/>
              </w:rPr>
              <w:fldChar w:fldCharType="begin"/>
            </w:r>
            <w:r>
              <w:rPr>
                <w:webHidden/>
              </w:rPr>
              <w:instrText xml:space="preserve"> PAGEREF _Toc181085036 \h </w:instrText>
            </w:r>
            <w:r>
              <w:rPr>
                <w:webHidden/>
              </w:rPr>
            </w:r>
            <w:r>
              <w:rPr>
                <w:webHidden/>
              </w:rPr>
              <w:fldChar w:fldCharType="separate"/>
            </w:r>
            <w:r>
              <w:rPr>
                <w:webHidden/>
              </w:rPr>
              <w:t>165</w:t>
            </w:r>
            <w:r>
              <w:rPr>
                <w:webHidden/>
              </w:rPr>
              <w:fldChar w:fldCharType="end"/>
            </w:r>
          </w:hyperlink>
        </w:p>
        <w:p w14:paraId="16684AC8" w14:textId="609784D6" w:rsidR="00A00D64" w:rsidRDefault="00A00D64">
          <w:pPr>
            <w:pStyle w:val="TOC3"/>
            <w:rPr>
              <w:rFonts w:asciiTheme="minorHAnsi" w:eastAsiaTheme="minorEastAsia" w:hAnsiTheme="minorHAnsi" w:cstheme="minorBidi"/>
              <w:kern w:val="2"/>
              <w:sz w:val="24"/>
              <w14:ligatures w14:val="standardContextual"/>
            </w:rPr>
          </w:pPr>
          <w:hyperlink w:anchor="_Toc181085037" w:history="1">
            <w:r w:rsidRPr="00016437">
              <w:rPr>
                <w:rStyle w:val="Hyperlink"/>
              </w:rPr>
              <w:t>How people entered faith-based schools</w:t>
            </w:r>
            <w:r>
              <w:rPr>
                <w:webHidden/>
              </w:rPr>
              <w:tab/>
            </w:r>
            <w:r>
              <w:rPr>
                <w:webHidden/>
              </w:rPr>
              <w:fldChar w:fldCharType="begin"/>
            </w:r>
            <w:r>
              <w:rPr>
                <w:webHidden/>
              </w:rPr>
              <w:instrText xml:space="preserve"> PAGEREF _Toc181085037 \h </w:instrText>
            </w:r>
            <w:r>
              <w:rPr>
                <w:webHidden/>
              </w:rPr>
            </w:r>
            <w:r>
              <w:rPr>
                <w:webHidden/>
              </w:rPr>
              <w:fldChar w:fldCharType="separate"/>
            </w:r>
            <w:r>
              <w:rPr>
                <w:webHidden/>
              </w:rPr>
              <w:t>165</w:t>
            </w:r>
            <w:r>
              <w:rPr>
                <w:webHidden/>
              </w:rPr>
              <w:fldChar w:fldCharType="end"/>
            </w:r>
          </w:hyperlink>
        </w:p>
        <w:p w14:paraId="3A099CAB" w14:textId="0B15F93F" w:rsidR="00A00D64" w:rsidRDefault="00A00D64">
          <w:pPr>
            <w:pStyle w:val="TOC2"/>
            <w:rPr>
              <w:rFonts w:asciiTheme="minorHAnsi" w:eastAsiaTheme="minorEastAsia" w:hAnsiTheme="minorHAnsi" w:cstheme="minorBidi"/>
              <w:b w:val="0"/>
              <w:kern w:val="2"/>
              <w:sz w:val="24"/>
              <w14:ligatures w14:val="standardContextual"/>
            </w:rPr>
          </w:pPr>
          <w:hyperlink w:anchor="_Toc181085038" w:history="1">
            <w:r w:rsidRPr="00016437">
              <w:rPr>
                <w:rStyle w:val="Hyperlink"/>
              </w:rPr>
              <w:t>Te taurimatanga o te hunga Turi me te hunga whaikaha i ngā whakaritenga tūāpapa-whakapono</w:t>
            </w:r>
            <w:r>
              <w:rPr>
                <w:webHidden/>
              </w:rPr>
              <w:tab/>
            </w:r>
            <w:r>
              <w:rPr>
                <w:webHidden/>
              </w:rPr>
              <w:fldChar w:fldCharType="begin"/>
            </w:r>
            <w:r>
              <w:rPr>
                <w:webHidden/>
              </w:rPr>
              <w:instrText xml:space="preserve"> PAGEREF _Toc181085038 \h </w:instrText>
            </w:r>
            <w:r>
              <w:rPr>
                <w:webHidden/>
              </w:rPr>
            </w:r>
            <w:r>
              <w:rPr>
                <w:webHidden/>
              </w:rPr>
              <w:fldChar w:fldCharType="separate"/>
            </w:r>
            <w:r>
              <w:rPr>
                <w:webHidden/>
              </w:rPr>
              <w:t>167</w:t>
            </w:r>
            <w:r>
              <w:rPr>
                <w:webHidden/>
              </w:rPr>
              <w:fldChar w:fldCharType="end"/>
            </w:r>
          </w:hyperlink>
        </w:p>
        <w:p w14:paraId="1DCC26F0" w14:textId="11FD17BA" w:rsidR="00A00D64" w:rsidRDefault="00A00D64">
          <w:pPr>
            <w:pStyle w:val="TOC2"/>
            <w:rPr>
              <w:rFonts w:asciiTheme="minorHAnsi" w:eastAsiaTheme="minorEastAsia" w:hAnsiTheme="minorHAnsi" w:cstheme="minorBidi"/>
              <w:b w:val="0"/>
              <w:kern w:val="2"/>
              <w:sz w:val="24"/>
              <w14:ligatures w14:val="standardContextual"/>
            </w:rPr>
          </w:pPr>
          <w:hyperlink w:anchor="_Toc181085039" w:history="1">
            <w:r w:rsidRPr="00016437">
              <w:rPr>
                <w:rStyle w:val="Hyperlink"/>
              </w:rPr>
              <w:t>Care of Deaf people and disabled people in faith-based care settings</w:t>
            </w:r>
            <w:r>
              <w:rPr>
                <w:webHidden/>
              </w:rPr>
              <w:tab/>
            </w:r>
            <w:r>
              <w:rPr>
                <w:webHidden/>
              </w:rPr>
              <w:fldChar w:fldCharType="begin"/>
            </w:r>
            <w:r>
              <w:rPr>
                <w:webHidden/>
              </w:rPr>
              <w:instrText xml:space="preserve"> PAGEREF _Toc181085039 \h </w:instrText>
            </w:r>
            <w:r>
              <w:rPr>
                <w:webHidden/>
              </w:rPr>
            </w:r>
            <w:r>
              <w:rPr>
                <w:webHidden/>
              </w:rPr>
              <w:fldChar w:fldCharType="separate"/>
            </w:r>
            <w:r>
              <w:rPr>
                <w:webHidden/>
              </w:rPr>
              <w:t>167</w:t>
            </w:r>
            <w:r>
              <w:rPr>
                <w:webHidden/>
              </w:rPr>
              <w:fldChar w:fldCharType="end"/>
            </w:r>
          </w:hyperlink>
        </w:p>
        <w:p w14:paraId="3BFE7E5C" w14:textId="7DEE5E2E"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5040" w:history="1">
            <w:r w:rsidRPr="00016437">
              <w:rPr>
                <w:rStyle w:val="Hyperlink"/>
                <w:noProof/>
              </w:rPr>
              <w:t>He waiata aroha mō ngā purapura ora</w:t>
            </w:r>
            <w:r>
              <w:rPr>
                <w:noProof/>
                <w:webHidden/>
              </w:rPr>
              <w:tab/>
            </w:r>
            <w:r>
              <w:rPr>
                <w:noProof/>
                <w:webHidden/>
              </w:rPr>
              <w:fldChar w:fldCharType="begin"/>
            </w:r>
            <w:r>
              <w:rPr>
                <w:noProof/>
                <w:webHidden/>
              </w:rPr>
              <w:instrText xml:space="preserve"> PAGEREF _Toc181085040 \h </w:instrText>
            </w:r>
            <w:r>
              <w:rPr>
                <w:noProof/>
                <w:webHidden/>
              </w:rPr>
            </w:r>
            <w:r>
              <w:rPr>
                <w:noProof/>
                <w:webHidden/>
              </w:rPr>
              <w:fldChar w:fldCharType="separate"/>
            </w:r>
            <w:r>
              <w:rPr>
                <w:noProof/>
                <w:webHidden/>
              </w:rPr>
              <w:t>169</w:t>
            </w:r>
            <w:r>
              <w:rPr>
                <w:noProof/>
                <w:webHidden/>
              </w:rPr>
              <w:fldChar w:fldCharType="end"/>
            </w:r>
          </w:hyperlink>
        </w:p>
        <w:p w14:paraId="2D42599A" w14:textId="6019B0EC"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5041" w:history="1">
            <w:r w:rsidRPr="00016437">
              <w:rPr>
                <w:rStyle w:val="Hyperlink"/>
                <w:noProof/>
              </w:rPr>
              <w:t>A Love Song for the Living Seeds</w:t>
            </w:r>
            <w:r>
              <w:rPr>
                <w:noProof/>
                <w:webHidden/>
              </w:rPr>
              <w:tab/>
            </w:r>
            <w:r>
              <w:rPr>
                <w:noProof/>
                <w:webHidden/>
              </w:rPr>
              <w:fldChar w:fldCharType="begin"/>
            </w:r>
            <w:r>
              <w:rPr>
                <w:noProof/>
                <w:webHidden/>
              </w:rPr>
              <w:instrText xml:space="preserve"> PAGEREF _Toc181085041 \h </w:instrText>
            </w:r>
            <w:r>
              <w:rPr>
                <w:noProof/>
                <w:webHidden/>
              </w:rPr>
            </w:r>
            <w:r>
              <w:rPr>
                <w:noProof/>
                <w:webHidden/>
              </w:rPr>
              <w:fldChar w:fldCharType="separate"/>
            </w:r>
            <w:r>
              <w:rPr>
                <w:noProof/>
                <w:webHidden/>
              </w:rPr>
              <w:t>170</w:t>
            </w:r>
            <w:r>
              <w:rPr>
                <w:noProof/>
                <w:webHidden/>
              </w:rPr>
              <w:fldChar w:fldCharType="end"/>
            </w:r>
          </w:hyperlink>
        </w:p>
        <w:p w14:paraId="65743C0A" w14:textId="4E41AAE5" w:rsidR="00A00D64" w:rsidRDefault="00A00D64">
          <w:pPr>
            <w:pStyle w:val="TOC1"/>
            <w:rPr>
              <w:rFonts w:asciiTheme="minorHAnsi" w:eastAsiaTheme="minorEastAsia" w:hAnsiTheme="minorHAnsi" w:cstheme="minorBidi"/>
              <w:b w:val="0"/>
              <w:noProof/>
              <w:color w:val="auto"/>
              <w:kern w:val="2"/>
              <w:sz w:val="24"/>
              <w14:ligatures w14:val="standardContextual"/>
            </w:rPr>
          </w:pPr>
          <w:hyperlink w:anchor="_Toc181085042" w:history="1">
            <w:r w:rsidRPr="00016437">
              <w:rPr>
                <w:rStyle w:val="Hyperlink"/>
                <w:noProof/>
              </w:rPr>
              <w:t>Endnotes</w:t>
            </w:r>
            <w:r>
              <w:rPr>
                <w:noProof/>
                <w:webHidden/>
              </w:rPr>
              <w:tab/>
            </w:r>
            <w:r>
              <w:rPr>
                <w:noProof/>
                <w:webHidden/>
              </w:rPr>
              <w:fldChar w:fldCharType="begin"/>
            </w:r>
            <w:r>
              <w:rPr>
                <w:noProof/>
                <w:webHidden/>
              </w:rPr>
              <w:instrText xml:space="preserve"> PAGEREF _Toc181085042 \h </w:instrText>
            </w:r>
            <w:r>
              <w:rPr>
                <w:noProof/>
                <w:webHidden/>
              </w:rPr>
            </w:r>
            <w:r>
              <w:rPr>
                <w:noProof/>
                <w:webHidden/>
              </w:rPr>
              <w:fldChar w:fldCharType="separate"/>
            </w:r>
            <w:r>
              <w:rPr>
                <w:noProof/>
                <w:webHidden/>
              </w:rPr>
              <w:t>171</w:t>
            </w:r>
            <w:r>
              <w:rPr>
                <w:noProof/>
                <w:webHidden/>
              </w:rPr>
              <w:fldChar w:fldCharType="end"/>
            </w:r>
          </w:hyperlink>
        </w:p>
        <w:p w14:paraId="5BBD826A" w14:textId="37303655" w:rsidR="2E6C9B25" w:rsidRPr="004A0212" w:rsidRDefault="00604BA0" w:rsidP="00604BA0">
          <w:pPr>
            <w:pStyle w:val="TOC1"/>
            <w:rPr>
              <w:rStyle w:val="Hyperlink"/>
            </w:rPr>
          </w:pPr>
          <w:r>
            <w:rPr>
              <w:color w:val="1F546B"/>
            </w:rPr>
            <w:fldChar w:fldCharType="end"/>
          </w:r>
        </w:p>
      </w:sdtContent>
    </w:sdt>
    <w:p w14:paraId="5338C0A0" w14:textId="13945442" w:rsidR="0081438D" w:rsidRPr="004A0212" w:rsidRDefault="0081438D" w:rsidP="00B71C17">
      <w:pPr>
        <w:keepLines w:val="0"/>
        <w:widowControl w:val="0"/>
        <w:rPr>
          <w:rFonts w:ascii="Arial" w:hAnsi="Arial" w:cs="Arial"/>
          <w:sz w:val="22"/>
          <w:szCs w:val="22"/>
        </w:rPr>
      </w:pPr>
    </w:p>
    <w:p w14:paraId="7B32BD1E" w14:textId="77777777" w:rsidR="00E8546D" w:rsidRPr="004A0212" w:rsidRDefault="0081438D" w:rsidP="00282055">
      <w:pPr>
        <w:pStyle w:val="TOCHeading"/>
      </w:pPr>
      <w:r w:rsidRPr="004A0212">
        <w:br w:type="page"/>
      </w:r>
    </w:p>
    <w:p w14:paraId="49C4C576" w14:textId="77777777" w:rsidR="00A00D64" w:rsidRDefault="00651237" w:rsidP="00282055">
      <w:pPr>
        <w:pStyle w:val="Heading1"/>
        <w:rPr>
          <w:color w:val="3B5D1E" w:themeColor="accent4" w:themeShade="BF"/>
        </w:rPr>
      </w:pPr>
      <w:bookmarkStart w:id="7" w:name="_Toc332620977"/>
      <w:bookmarkStart w:id="8" w:name="_Toc147935369"/>
      <w:bookmarkStart w:id="9" w:name="_Toc148443548"/>
      <w:bookmarkStart w:id="10" w:name="_Toc150933070"/>
      <w:bookmarkStart w:id="11" w:name="_Toc150953387"/>
      <w:bookmarkStart w:id="12" w:name="_Toc181084740"/>
      <w:r w:rsidRPr="004A0212">
        <w:rPr>
          <w:color w:val="3B5D1E" w:themeColor="accent4" w:themeShade="BF"/>
        </w:rPr>
        <w:lastRenderedPageBreak/>
        <w:t>Kuputaka</w:t>
      </w:r>
      <w:bookmarkEnd w:id="12"/>
    </w:p>
    <w:p w14:paraId="0684D4E8" w14:textId="7D192C48" w:rsidR="00485CC6" w:rsidRPr="004A0212" w:rsidRDefault="2D59498B" w:rsidP="00282055">
      <w:pPr>
        <w:pStyle w:val="Heading1"/>
        <w:rPr>
          <w:color w:val="3B5D1E" w:themeColor="accent4" w:themeShade="BF"/>
        </w:rPr>
      </w:pPr>
      <w:bookmarkStart w:id="13" w:name="_Toc181084741"/>
      <w:r w:rsidRPr="004A0212">
        <w:rPr>
          <w:color w:val="3B5D1E" w:themeColor="accent4" w:themeShade="BF"/>
        </w:rPr>
        <w:t>Glossary</w:t>
      </w:r>
      <w:bookmarkEnd w:id="7"/>
      <w:bookmarkEnd w:id="13"/>
    </w:p>
    <w:tbl>
      <w:tblPr>
        <w:tblStyle w:val="TableGrid"/>
        <w:tblW w:w="4790" w:type="pct"/>
        <w:tblLook w:val="06A0" w:firstRow="1" w:lastRow="0" w:firstColumn="1" w:lastColumn="0" w:noHBand="1" w:noVBand="1"/>
      </w:tblPr>
      <w:tblGrid>
        <w:gridCol w:w="2221"/>
        <w:gridCol w:w="6416"/>
      </w:tblGrid>
      <w:tr w:rsidR="00B1794E" w:rsidRPr="004A0212" w14:paraId="258E844C" w14:textId="77777777" w:rsidTr="0065614E">
        <w:trPr>
          <w:trHeight w:val="300"/>
          <w:tblHeader/>
        </w:trPr>
        <w:tc>
          <w:tcPr>
            <w:tcW w:w="1286" w:type="pct"/>
            <w:shd w:val="clear" w:color="auto" w:fill="DAEECB" w:themeFill="accent4" w:themeFillTint="33"/>
          </w:tcPr>
          <w:p w14:paraId="34F5223E" w14:textId="77777777" w:rsidR="00B1794E" w:rsidRPr="004A0212" w:rsidRDefault="00B1794E" w:rsidP="006235F6">
            <w:pPr>
              <w:spacing w:after="120"/>
              <w:rPr>
                <w:rFonts w:ascii="Arial" w:hAnsi="Arial" w:cs="Arial"/>
                <w:b/>
                <w:color w:val="FFFFFF" w:themeColor="background1"/>
                <w:sz w:val="22"/>
                <w:szCs w:val="22"/>
              </w:rPr>
            </w:pPr>
            <w:r w:rsidRPr="007410B5">
              <w:rPr>
                <w:rFonts w:ascii="Arial" w:hAnsi="Arial" w:cs="Arial"/>
                <w:b/>
                <w:bCs/>
                <w:sz w:val="22"/>
                <w:szCs w:val="22"/>
              </w:rPr>
              <w:t>Term</w:t>
            </w:r>
          </w:p>
        </w:tc>
        <w:tc>
          <w:tcPr>
            <w:tcW w:w="3714" w:type="pct"/>
            <w:shd w:val="clear" w:color="auto" w:fill="DAEECB" w:themeFill="accent4" w:themeFillTint="33"/>
          </w:tcPr>
          <w:p w14:paraId="3B2F6DA7" w14:textId="77777777" w:rsidR="00B1794E" w:rsidRPr="004A0212" w:rsidRDefault="00B1794E" w:rsidP="006235F6">
            <w:pPr>
              <w:spacing w:after="120"/>
              <w:rPr>
                <w:rFonts w:ascii="Arial" w:hAnsi="Arial" w:cs="Arial"/>
                <w:b/>
                <w:color w:val="FFFFFF" w:themeColor="background1"/>
                <w:sz w:val="22"/>
                <w:szCs w:val="22"/>
              </w:rPr>
            </w:pPr>
            <w:r w:rsidRPr="007410B5">
              <w:rPr>
                <w:rFonts w:ascii="Arial" w:hAnsi="Arial" w:cs="Arial"/>
                <w:b/>
                <w:sz w:val="22"/>
                <w:szCs w:val="22"/>
              </w:rPr>
              <w:t>Explanation</w:t>
            </w:r>
          </w:p>
        </w:tc>
      </w:tr>
      <w:tr w:rsidR="00B1794E" w:rsidRPr="004A0212" w14:paraId="79F64856" w14:textId="77777777" w:rsidTr="006235F6">
        <w:trPr>
          <w:trHeight w:val="300"/>
        </w:trPr>
        <w:tc>
          <w:tcPr>
            <w:tcW w:w="1286" w:type="pct"/>
          </w:tcPr>
          <w:p w14:paraId="67762F46"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assimilation</w:t>
            </w:r>
          </w:p>
        </w:tc>
        <w:tc>
          <w:tcPr>
            <w:tcW w:w="3714" w:type="pct"/>
          </w:tcPr>
          <w:p w14:paraId="3C007E33" w14:textId="12A5523C" w:rsidR="00B1794E" w:rsidRPr="004A0212" w:rsidRDefault="00B1794E" w:rsidP="00AB1628">
            <w:pPr>
              <w:pStyle w:val="Tablenormal0"/>
              <w:rPr>
                <w:rFonts w:ascii="Arial" w:hAnsi="Arial" w:cs="Arial"/>
                <w:szCs w:val="22"/>
              </w:rPr>
            </w:pPr>
            <w:r w:rsidRPr="00AB1628">
              <w:rPr>
                <w:rFonts w:ascii="Arial" w:hAnsi="Arial" w:cs="Arial"/>
                <w:szCs w:val="22"/>
                <w:lang w:val="en-US"/>
              </w:rPr>
              <w:t xml:space="preserve">Government policy referring to the process through which individuals and groups of a minority culture are made to change their </w:t>
            </w:r>
            <w:r w:rsidR="00AC759E">
              <w:rPr>
                <w:rFonts w:ascii="Arial" w:hAnsi="Arial" w:cs="Arial"/>
                <w:szCs w:val="22"/>
                <w:lang w:val="en-US"/>
              </w:rPr>
              <w:t>attitudes</w:t>
            </w:r>
            <w:r w:rsidR="00276384">
              <w:rPr>
                <w:rFonts w:ascii="Arial" w:hAnsi="Arial" w:cs="Arial"/>
                <w:szCs w:val="22"/>
                <w:lang w:val="en-US"/>
              </w:rPr>
              <w:t xml:space="preserve">, </w:t>
            </w:r>
            <w:r w:rsidRPr="00AB1628">
              <w:rPr>
                <w:rFonts w:ascii="Arial" w:hAnsi="Arial" w:cs="Arial"/>
                <w:szCs w:val="22"/>
                <w:lang w:val="en-US"/>
              </w:rPr>
              <w:t>beliefs</w:t>
            </w:r>
            <w:r w:rsidR="00276384">
              <w:rPr>
                <w:rFonts w:ascii="Arial" w:hAnsi="Arial" w:cs="Arial"/>
                <w:szCs w:val="22"/>
                <w:lang w:val="en-US"/>
              </w:rPr>
              <w:t xml:space="preserve">, </w:t>
            </w:r>
            <w:r w:rsidRPr="00AB1628">
              <w:rPr>
                <w:rFonts w:ascii="Arial" w:hAnsi="Arial" w:cs="Arial"/>
                <w:szCs w:val="22"/>
                <w:lang w:val="en-US"/>
              </w:rPr>
              <w:t>practices and</w:t>
            </w:r>
            <w:r w:rsidR="006E36A1">
              <w:rPr>
                <w:rFonts w:ascii="Arial" w:hAnsi="Arial" w:cs="Arial"/>
                <w:szCs w:val="22"/>
                <w:lang w:val="en-US"/>
              </w:rPr>
              <w:t xml:space="preserve"> ways of </w:t>
            </w:r>
            <w:r w:rsidR="00B47227">
              <w:rPr>
                <w:rFonts w:ascii="Arial" w:hAnsi="Arial" w:cs="Arial"/>
                <w:szCs w:val="22"/>
                <w:lang w:val="en-US"/>
              </w:rPr>
              <w:t>life</w:t>
            </w:r>
            <w:r w:rsidR="006E36A1">
              <w:rPr>
                <w:rFonts w:ascii="Arial" w:hAnsi="Arial" w:cs="Arial"/>
                <w:szCs w:val="22"/>
                <w:lang w:val="en-US"/>
              </w:rPr>
              <w:t xml:space="preserve"> and</w:t>
            </w:r>
            <w:r w:rsidRPr="00AB1628">
              <w:rPr>
                <w:rFonts w:ascii="Arial" w:hAnsi="Arial" w:cs="Arial"/>
                <w:szCs w:val="22"/>
                <w:lang w:val="en-US"/>
              </w:rPr>
              <w:t xml:space="preserve"> must acquire the habits, attitudes and ways of life of the majority culture.</w:t>
            </w:r>
          </w:p>
        </w:tc>
      </w:tr>
      <w:tr w:rsidR="00B1794E" w:rsidRPr="004A0212" w14:paraId="0DAF7C22" w14:textId="77777777" w:rsidTr="006235F6">
        <w:trPr>
          <w:trHeight w:val="300"/>
        </w:trPr>
        <w:tc>
          <w:tcPr>
            <w:tcW w:w="1286" w:type="pct"/>
          </w:tcPr>
          <w:p w14:paraId="7841F4F7"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borstal</w:t>
            </w:r>
          </w:p>
        </w:tc>
        <w:tc>
          <w:tcPr>
            <w:tcW w:w="3714" w:type="pct"/>
          </w:tcPr>
          <w:p w14:paraId="155F8CF6" w14:textId="77777777" w:rsidR="00B1794E" w:rsidRPr="004A0212" w:rsidRDefault="00B1794E" w:rsidP="00AB1628">
            <w:pPr>
              <w:pStyle w:val="Tablenormal0"/>
              <w:rPr>
                <w:rFonts w:ascii="Arial" w:hAnsi="Arial" w:cs="Arial"/>
                <w:szCs w:val="22"/>
              </w:rPr>
            </w:pPr>
            <w:r w:rsidRPr="007030CA">
              <w:rPr>
                <w:rFonts w:ascii="Arial" w:hAnsi="Arial" w:cs="Arial"/>
                <w:szCs w:val="22"/>
              </w:rPr>
              <w:t xml:space="preserve">Institutions for young offenders (aged 15 to 21), aimed at reforming behaviour and preventing offenders from becoming “habitual criminals”. Borstals ran from 1924 until 1981 under the Prevention of Crime Act </w:t>
            </w:r>
            <w:r w:rsidRPr="00AB1628">
              <w:rPr>
                <w:rFonts w:ascii="Arial" w:hAnsi="Arial" w:cs="Arial"/>
                <w:szCs w:val="22"/>
                <w:lang w:val="en-US"/>
              </w:rPr>
              <w:t>(Borstal Institutions Establishment) Act 1924.</w:t>
            </w:r>
          </w:p>
        </w:tc>
      </w:tr>
      <w:tr w:rsidR="00B1794E" w:rsidRPr="004A0212" w14:paraId="1E7B0530" w14:textId="77777777" w:rsidTr="006235F6">
        <w:trPr>
          <w:trHeight w:val="300"/>
        </w:trPr>
        <w:tc>
          <w:tcPr>
            <w:tcW w:w="1286" w:type="pct"/>
          </w:tcPr>
          <w:p w14:paraId="2039D1C3"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cultural racism</w:t>
            </w:r>
          </w:p>
        </w:tc>
        <w:tc>
          <w:tcPr>
            <w:tcW w:w="3714" w:type="pct"/>
          </w:tcPr>
          <w:p w14:paraId="6530DC29" w14:textId="77777777" w:rsidR="00B1794E" w:rsidRPr="004A0212" w:rsidRDefault="00B1794E" w:rsidP="00AB1628">
            <w:pPr>
              <w:pStyle w:val="Tablenormal0"/>
              <w:rPr>
                <w:rFonts w:ascii="Arial" w:hAnsi="Arial" w:cs="Arial"/>
                <w:szCs w:val="22"/>
              </w:rPr>
            </w:pPr>
            <w:r w:rsidRPr="00AB1628">
              <w:rPr>
                <w:rFonts w:ascii="Arial" w:hAnsi="Arial" w:cs="Arial"/>
                <w:szCs w:val="22"/>
              </w:rPr>
              <w:t xml:space="preserve">Negative attitudes to the culture and lifestyles of </w:t>
            </w:r>
            <w:r w:rsidRPr="004A0212">
              <w:rPr>
                <w:rFonts w:ascii="Arial" w:hAnsi="Arial" w:cs="Arial"/>
                <w:szCs w:val="22"/>
              </w:rPr>
              <w:t>indigenous and minority culture.</w:t>
            </w:r>
          </w:p>
        </w:tc>
      </w:tr>
      <w:tr w:rsidR="00B1794E" w:rsidRPr="004A0212" w14:paraId="4B254900" w14:textId="77777777" w:rsidTr="006235F6">
        <w:trPr>
          <w:trHeight w:val="300"/>
        </w:trPr>
        <w:tc>
          <w:tcPr>
            <w:tcW w:w="1286" w:type="pct"/>
          </w:tcPr>
          <w:p w14:paraId="7082B250"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deinstitutionalisation</w:t>
            </w:r>
          </w:p>
        </w:tc>
        <w:tc>
          <w:tcPr>
            <w:tcW w:w="3714" w:type="pct"/>
          </w:tcPr>
          <w:p w14:paraId="60FFA9E3" w14:textId="6A126AE9" w:rsidR="00B1794E" w:rsidRPr="004A0212" w:rsidRDefault="00B1794E" w:rsidP="00AB1628">
            <w:pPr>
              <w:pStyle w:val="Tablenormal0"/>
              <w:rPr>
                <w:rFonts w:ascii="Arial" w:hAnsi="Arial" w:cs="Arial"/>
                <w:szCs w:val="22"/>
              </w:rPr>
            </w:pPr>
            <w:r w:rsidRPr="00AB1628">
              <w:rPr>
                <w:rFonts w:ascii="Arial" w:hAnsi="Arial" w:cs="Arial"/>
                <w:szCs w:val="22"/>
              </w:rPr>
              <w:t>The process of closing institutions that</w:t>
            </w:r>
            <w:r w:rsidR="00552461">
              <w:rPr>
                <w:rFonts w:ascii="Arial" w:hAnsi="Arial" w:cs="Arial"/>
                <w:szCs w:val="22"/>
              </w:rPr>
              <w:t xml:space="preserve"> housed disabled</w:t>
            </w:r>
            <w:r w:rsidRPr="004A0212">
              <w:rPr>
                <w:rFonts w:ascii="Arial" w:hAnsi="Arial" w:cs="Arial"/>
                <w:szCs w:val="22"/>
              </w:rPr>
              <w:t xml:space="preserve"> people based on government policy.</w:t>
            </w:r>
          </w:p>
        </w:tc>
      </w:tr>
      <w:tr w:rsidR="00B1794E" w:rsidRPr="004A0212" w14:paraId="066E4B9D" w14:textId="77777777" w:rsidTr="006235F6">
        <w:trPr>
          <w:trHeight w:val="300"/>
        </w:trPr>
        <w:tc>
          <w:tcPr>
            <w:tcW w:w="1286" w:type="pct"/>
          </w:tcPr>
          <w:p w14:paraId="706E4F2D"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 xml:space="preserve">disablism </w:t>
            </w:r>
          </w:p>
        </w:tc>
        <w:tc>
          <w:tcPr>
            <w:tcW w:w="3714" w:type="pct"/>
          </w:tcPr>
          <w:p w14:paraId="52E06ACE" w14:textId="77777777" w:rsidR="00B1794E" w:rsidRPr="004A0212" w:rsidRDefault="00B1794E" w:rsidP="00AB1628">
            <w:pPr>
              <w:pStyle w:val="Tablenormal0"/>
              <w:rPr>
                <w:rFonts w:ascii="Arial" w:hAnsi="Arial" w:cs="Arial"/>
                <w:szCs w:val="22"/>
              </w:rPr>
            </w:pPr>
            <w:r w:rsidRPr="00AB1628">
              <w:rPr>
                <w:rFonts w:ascii="Arial" w:hAnsi="Arial" w:cs="Arial"/>
                <w:szCs w:val="22"/>
              </w:rPr>
              <w:t xml:space="preserve">Conscious, direct discrimination against people who are disabled, based on their disability. </w:t>
            </w:r>
          </w:p>
        </w:tc>
      </w:tr>
      <w:tr w:rsidR="00B1794E" w:rsidRPr="004A0212" w14:paraId="762156CD" w14:textId="77777777" w:rsidTr="006235F6">
        <w:trPr>
          <w:trHeight w:val="300"/>
        </w:trPr>
        <w:tc>
          <w:tcPr>
            <w:tcW w:w="1286" w:type="pct"/>
          </w:tcPr>
          <w:p w14:paraId="5057734B"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eugenics</w:t>
            </w:r>
          </w:p>
        </w:tc>
        <w:tc>
          <w:tcPr>
            <w:tcW w:w="3714" w:type="pct"/>
          </w:tcPr>
          <w:p w14:paraId="45EED2FF" w14:textId="77777777" w:rsidR="00B1794E" w:rsidRPr="004A0212" w:rsidRDefault="00B1794E" w:rsidP="00AB1628">
            <w:pPr>
              <w:pStyle w:val="Tablenormal0"/>
              <w:rPr>
                <w:rFonts w:ascii="Arial" w:hAnsi="Arial" w:cs="Arial"/>
                <w:szCs w:val="22"/>
              </w:rPr>
            </w:pPr>
            <w:r w:rsidRPr="00AB1628">
              <w:rPr>
                <w:rFonts w:ascii="Arial" w:hAnsi="Arial" w:cs="Arial"/>
                <w:szCs w:val="22"/>
              </w:rPr>
              <w:t>A</w:t>
            </w:r>
            <w:r w:rsidRPr="004A0212">
              <w:rPr>
                <w:rFonts w:ascii="Arial" w:hAnsi="Arial" w:cs="Arial"/>
                <w:szCs w:val="22"/>
              </w:rPr>
              <w:t xml:space="preserve"> pseudo-science that aims to improve the genetic quality of the human population. This included altering gene pools by excluding people and groups deemed to be ‘inferior’. </w:t>
            </w:r>
          </w:p>
        </w:tc>
      </w:tr>
      <w:tr w:rsidR="00B1794E" w:rsidRPr="004A0212" w14:paraId="5C78D5FE" w14:textId="77777777" w:rsidTr="006235F6">
        <w:trPr>
          <w:trHeight w:val="300"/>
        </w:trPr>
        <w:tc>
          <w:tcPr>
            <w:tcW w:w="1286" w:type="pct"/>
          </w:tcPr>
          <w:p w14:paraId="780BF253" w14:textId="7DFE501B" w:rsidR="00B1794E" w:rsidRPr="004A0212" w:rsidRDefault="00B1794E" w:rsidP="006235F6">
            <w:pPr>
              <w:spacing w:after="120"/>
              <w:rPr>
                <w:rFonts w:ascii="Arial" w:hAnsi="Arial" w:cs="Arial"/>
                <w:sz w:val="22"/>
                <w:szCs w:val="22"/>
              </w:rPr>
            </w:pPr>
            <w:r w:rsidRPr="004A0212">
              <w:rPr>
                <w:rFonts w:ascii="Arial" w:hAnsi="Arial" w:cs="Arial"/>
                <w:sz w:val="22"/>
                <w:szCs w:val="22"/>
              </w:rPr>
              <w:t>institutional racism</w:t>
            </w:r>
            <w:r w:rsidRPr="00AB1628">
              <w:rPr>
                <w:rFonts w:ascii="Arial" w:hAnsi="Arial" w:cs="Arial"/>
                <w:sz w:val="22"/>
                <w:szCs w:val="22"/>
              </w:rPr>
              <w:t xml:space="preserve"> </w:t>
            </w:r>
          </w:p>
        </w:tc>
        <w:tc>
          <w:tcPr>
            <w:tcW w:w="3714" w:type="pct"/>
          </w:tcPr>
          <w:p w14:paraId="7855A980" w14:textId="77777777" w:rsidR="00DD7FE3" w:rsidRPr="00DD7FE3" w:rsidRDefault="00DD7FE3" w:rsidP="00DD7FE3">
            <w:pPr>
              <w:pStyle w:val="Tablenormal0"/>
              <w:rPr>
                <w:rFonts w:ascii="Arial" w:hAnsi="Arial" w:cs="Arial"/>
                <w:szCs w:val="22"/>
                <w:lang w:val="en-US"/>
              </w:rPr>
            </w:pPr>
            <w:r w:rsidRPr="00DD7FE3">
              <w:rPr>
                <w:rFonts w:ascii="Arial" w:hAnsi="Arial" w:cs="Arial"/>
                <w:szCs w:val="22"/>
                <w:lang w:val="en-US"/>
              </w:rPr>
              <w:t>Discriminatory policies and practices of institutions</w:t>
            </w:r>
          </w:p>
          <w:p w14:paraId="09547BB1" w14:textId="77777777" w:rsidR="00DD7FE3" w:rsidRPr="00DD7FE3" w:rsidRDefault="00DD7FE3" w:rsidP="00DD7FE3">
            <w:pPr>
              <w:pStyle w:val="Tablenormal0"/>
              <w:rPr>
                <w:rFonts w:ascii="Arial" w:hAnsi="Arial" w:cs="Arial"/>
                <w:szCs w:val="22"/>
                <w:lang w:val="en-US"/>
              </w:rPr>
            </w:pPr>
            <w:r w:rsidRPr="00DD7FE3">
              <w:rPr>
                <w:rFonts w:ascii="Arial" w:hAnsi="Arial" w:cs="Arial"/>
                <w:szCs w:val="22"/>
                <w:lang w:val="en-US"/>
              </w:rPr>
              <w:t>that routinely produce racially inequitable outcomes</w:t>
            </w:r>
          </w:p>
          <w:p w14:paraId="0919EBA1" w14:textId="77777777" w:rsidR="00DD7FE3" w:rsidRPr="00DD7FE3" w:rsidRDefault="00DD7FE3" w:rsidP="00DD7FE3">
            <w:pPr>
              <w:pStyle w:val="Tablenormal0"/>
              <w:rPr>
                <w:rFonts w:ascii="Arial" w:hAnsi="Arial" w:cs="Arial"/>
                <w:szCs w:val="22"/>
                <w:lang w:val="en-US"/>
              </w:rPr>
            </w:pPr>
            <w:r w:rsidRPr="00DD7FE3">
              <w:rPr>
                <w:rFonts w:ascii="Arial" w:hAnsi="Arial" w:cs="Arial"/>
                <w:szCs w:val="22"/>
                <w:lang w:val="en-US"/>
              </w:rPr>
              <w:t>for certain groups based on race, ethnicity, skin</w:t>
            </w:r>
          </w:p>
          <w:p w14:paraId="4271270D" w14:textId="77777777" w:rsidR="00DD7FE3" w:rsidRPr="00DD7FE3" w:rsidRDefault="00DD7FE3" w:rsidP="00DD7FE3">
            <w:pPr>
              <w:pStyle w:val="Tablenormal0"/>
              <w:rPr>
                <w:rFonts w:ascii="Arial" w:hAnsi="Arial" w:cs="Arial"/>
                <w:szCs w:val="22"/>
                <w:lang w:val="en-US"/>
              </w:rPr>
            </w:pPr>
            <w:r w:rsidRPr="00DD7FE3">
              <w:rPr>
                <w:rFonts w:ascii="Arial" w:hAnsi="Arial" w:cs="Arial"/>
                <w:szCs w:val="22"/>
                <w:lang w:val="en-US"/>
              </w:rPr>
              <w:t>colour or national origin, and advantage other groups</w:t>
            </w:r>
          </w:p>
          <w:p w14:paraId="7D5C6418" w14:textId="09F3F3F8" w:rsidR="00B1794E" w:rsidRPr="004A0212" w:rsidRDefault="00DD7FE3" w:rsidP="00DD7FE3">
            <w:pPr>
              <w:pStyle w:val="Tablenormal0"/>
              <w:rPr>
                <w:rFonts w:ascii="Arial" w:hAnsi="Arial" w:cs="Arial"/>
                <w:szCs w:val="22"/>
              </w:rPr>
            </w:pPr>
            <w:r w:rsidRPr="00DD7FE3">
              <w:rPr>
                <w:rFonts w:ascii="Arial" w:hAnsi="Arial" w:cs="Arial"/>
                <w:szCs w:val="22"/>
                <w:lang w:val="en-US"/>
              </w:rPr>
              <w:t>for the same reasons.</w:t>
            </w:r>
          </w:p>
        </w:tc>
      </w:tr>
      <w:tr w:rsidR="00B1794E" w:rsidRPr="004A0212" w14:paraId="10EB90AA" w14:textId="77777777" w:rsidTr="004A43CD">
        <w:trPr>
          <w:trHeight w:val="458"/>
        </w:trPr>
        <w:tc>
          <w:tcPr>
            <w:tcW w:w="1286" w:type="pct"/>
          </w:tcPr>
          <w:p w14:paraId="22B6530F"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Inquiry period</w:t>
            </w:r>
          </w:p>
        </w:tc>
        <w:tc>
          <w:tcPr>
            <w:tcW w:w="3714" w:type="pct"/>
          </w:tcPr>
          <w:p w14:paraId="7134C80D" w14:textId="25F46BE6" w:rsidR="00B1794E" w:rsidRPr="004A43CD" w:rsidRDefault="00B1794E" w:rsidP="00AB1628">
            <w:pPr>
              <w:pStyle w:val="Tablenormal0"/>
              <w:rPr>
                <w:rFonts w:ascii="Arial" w:eastAsia="Calibri" w:hAnsi="Arial" w:cs="Arial"/>
                <w:szCs w:val="22"/>
              </w:rPr>
            </w:pPr>
            <w:r w:rsidRPr="00AB1628">
              <w:rPr>
                <w:rFonts w:ascii="Arial" w:eastAsia="Calibri" w:hAnsi="Arial" w:cs="Arial"/>
                <w:szCs w:val="22"/>
              </w:rPr>
              <w:t xml:space="preserve">1 January 1950–31 December 1999 </w:t>
            </w:r>
          </w:p>
        </w:tc>
      </w:tr>
      <w:tr w:rsidR="00B1794E" w:rsidRPr="004A0212" w14:paraId="21DD523C" w14:textId="77777777" w:rsidTr="006235F6">
        <w:trPr>
          <w:trHeight w:val="300"/>
        </w:trPr>
        <w:tc>
          <w:tcPr>
            <w:tcW w:w="1286" w:type="pct"/>
          </w:tcPr>
          <w:p w14:paraId="381979A3"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mental distress</w:t>
            </w:r>
          </w:p>
        </w:tc>
        <w:tc>
          <w:tcPr>
            <w:tcW w:w="3714" w:type="pct"/>
          </w:tcPr>
          <w:p w14:paraId="445C3EAD" w14:textId="77777777" w:rsidR="00B1794E" w:rsidRPr="004A0212" w:rsidRDefault="00B1794E" w:rsidP="00AB1628">
            <w:pPr>
              <w:pStyle w:val="Tablenormal0"/>
              <w:rPr>
                <w:rFonts w:ascii="Arial" w:eastAsia="Arial" w:hAnsi="Arial" w:cs="Arial"/>
                <w:szCs w:val="22"/>
              </w:rPr>
            </w:pPr>
            <w:r w:rsidRPr="00AB1628">
              <w:rPr>
                <w:rFonts w:ascii="Arial" w:hAnsi="Arial" w:cs="Arial"/>
                <w:szCs w:val="22"/>
              </w:rPr>
              <w:t>A mental or emotional state that causes disruption to daily life and that can vary in length of time and intensity.</w:t>
            </w:r>
          </w:p>
        </w:tc>
      </w:tr>
      <w:tr w:rsidR="00B1794E" w:rsidRPr="004A0212" w14:paraId="4C886A0B" w14:textId="77777777" w:rsidTr="006235F6">
        <w:trPr>
          <w:trHeight w:val="300"/>
        </w:trPr>
        <w:tc>
          <w:tcPr>
            <w:tcW w:w="1286" w:type="pct"/>
          </w:tcPr>
          <w:p w14:paraId="42A8840A"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oralism</w:t>
            </w:r>
          </w:p>
        </w:tc>
        <w:tc>
          <w:tcPr>
            <w:tcW w:w="3714" w:type="pct"/>
          </w:tcPr>
          <w:p w14:paraId="09253445" w14:textId="77777777" w:rsidR="009045A3" w:rsidRPr="009045A3" w:rsidRDefault="009045A3" w:rsidP="009045A3">
            <w:pPr>
              <w:pStyle w:val="Tablenormal0"/>
              <w:rPr>
                <w:rFonts w:ascii="Arial" w:eastAsia="Arial" w:hAnsi="Arial" w:cs="Arial"/>
                <w:szCs w:val="22"/>
              </w:rPr>
            </w:pPr>
            <w:r w:rsidRPr="009045A3">
              <w:rPr>
                <w:rFonts w:ascii="Arial" w:eastAsia="Arial" w:hAnsi="Arial" w:cs="Arial"/>
                <w:szCs w:val="22"/>
              </w:rPr>
              <w:t>The system of teaching deaf people to communicate</w:t>
            </w:r>
          </w:p>
          <w:p w14:paraId="7352EB9E" w14:textId="77777777" w:rsidR="009045A3" w:rsidRPr="009045A3" w:rsidRDefault="009045A3" w:rsidP="009045A3">
            <w:pPr>
              <w:pStyle w:val="Tablenormal0"/>
              <w:rPr>
                <w:rFonts w:ascii="Arial" w:eastAsia="Arial" w:hAnsi="Arial" w:cs="Arial"/>
                <w:szCs w:val="22"/>
              </w:rPr>
            </w:pPr>
            <w:r w:rsidRPr="009045A3">
              <w:rPr>
                <w:rFonts w:ascii="Arial" w:eastAsia="Arial" w:hAnsi="Arial" w:cs="Arial"/>
                <w:szCs w:val="22"/>
              </w:rPr>
              <w:t>by the use of speech and lip-reading rather than sign</w:t>
            </w:r>
          </w:p>
          <w:p w14:paraId="55DE4EF8" w14:textId="4F260136" w:rsidR="00B1794E" w:rsidRPr="004A0212" w:rsidRDefault="009045A3" w:rsidP="009045A3">
            <w:pPr>
              <w:pStyle w:val="Tablenormal0"/>
              <w:rPr>
                <w:rFonts w:ascii="Arial" w:hAnsi="Arial" w:cs="Arial"/>
                <w:szCs w:val="22"/>
              </w:rPr>
            </w:pPr>
            <w:r w:rsidRPr="009045A3">
              <w:rPr>
                <w:rFonts w:ascii="Arial" w:eastAsia="Arial" w:hAnsi="Arial" w:cs="Arial"/>
                <w:szCs w:val="22"/>
              </w:rPr>
              <w:t>language.</w:t>
            </w:r>
          </w:p>
        </w:tc>
      </w:tr>
      <w:tr w:rsidR="00B1794E" w:rsidRPr="004A0212" w14:paraId="742E10DC" w14:textId="77777777" w:rsidTr="006235F6">
        <w:trPr>
          <w:trHeight w:val="300"/>
        </w:trPr>
        <w:tc>
          <w:tcPr>
            <w:tcW w:w="1286" w:type="pct"/>
          </w:tcPr>
          <w:p w14:paraId="2858FBB1" w14:textId="77777777" w:rsidR="00B1794E" w:rsidRPr="004A0212" w:rsidRDefault="00B1794E" w:rsidP="006235F6">
            <w:pPr>
              <w:spacing w:after="120"/>
              <w:rPr>
                <w:rFonts w:ascii="Arial" w:hAnsi="Arial" w:cs="Arial"/>
                <w:sz w:val="22"/>
                <w:szCs w:val="22"/>
              </w:rPr>
            </w:pPr>
            <w:r w:rsidRPr="004A0212">
              <w:rPr>
                <w:rFonts w:ascii="Arial" w:hAnsi="Arial" w:cs="Arial"/>
                <w:sz w:val="22"/>
                <w:szCs w:val="22"/>
              </w:rPr>
              <w:t xml:space="preserve">psychopaedic </w:t>
            </w:r>
          </w:p>
        </w:tc>
        <w:tc>
          <w:tcPr>
            <w:tcW w:w="3714" w:type="pct"/>
          </w:tcPr>
          <w:p w14:paraId="78BC8B04" w14:textId="77777777" w:rsidR="00B1794E" w:rsidRPr="004A0212" w:rsidRDefault="00B1794E" w:rsidP="00AB1628">
            <w:pPr>
              <w:pStyle w:val="Tablenormal0"/>
              <w:rPr>
                <w:rFonts w:ascii="Arial" w:hAnsi="Arial" w:cs="Arial"/>
                <w:szCs w:val="22"/>
              </w:rPr>
            </w:pPr>
            <w:r w:rsidRPr="00AB1628">
              <w:rPr>
                <w:rFonts w:ascii="Arial" w:hAnsi="Arial" w:cs="Arial"/>
                <w:szCs w:val="22"/>
              </w:rPr>
              <w:t>Outdated Aotearoa New Zealand term to distinguish people with a learning disability from people experiencing mental distress.</w:t>
            </w:r>
          </w:p>
        </w:tc>
      </w:tr>
      <w:tr w:rsidR="00B1794E" w:rsidRPr="004A0212" w14:paraId="6817AB8E" w14:textId="77777777" w:rsidTr="006235F6">
        <w:trPr>
          <w:trHeight w:val="300"/>
        </w:trPr>
        <w:tc>
          <w:tcPr>
            <w:tcW w:w="1286" w:type="pct"/>
          </w:tcPr>
          <w:p w14:paraId="2649C43B" w14:textId="0477D1F2" w:rsidR="00B1794E" w:rsidRPr="004A0212" w:rsidRDefault="00B1794E" w:rsidP="00AB1628">
            <w:pPr>
              <w:pStyle w:val="Tablenormal0"/>
              <w:rPr>
                <w:rFonts w:ascii="Arial" w:hAnsi="Arial" w:cs="Arial"/>
                <w:szCs w:val="22"/>
              </w:rPr>
            </w:pPr>
            <w:r w:rsidRPr="00AB1628">
              <w:rPr>
                <w:rFonts w:ascii="Arial" w:hAnsi="Arial" w:cs="Arial"/>
                <w:szCs w:val="22"/>
              </w:rPr>
              <w:t>tāngata whaikaha</w:t>
            </w:r>
            <w:r w:rsidR="005816E7">
              <w:rPr>
                <w:rFonts w:ascii="Arial" w:hAnsi="Arial" w:cs="Arial"/>
                <w:szCs w:val="22"/>
              </w:rPr>
              <w:t xml:space="preserve"> Māori </w:t>
            </w:r>
          </w:p>
        </w:tc>
        <w:tc>
          <w:tcPr>
            <w:tcW w:w="3714" w:type="pct"/>
          </w:tcPr>
          <w:p w14:paraId="76F9CC18" w14:textId="0D5BB6DB" w:rsidR="00B1794E" w:rsidRPr="004A0212" w:rsidRDefault="00B1794E" w:rsidP="00AB1628">
            <w:pPr>
              <w:pStyle w:val="Tablenormal0"/>
              <w:rPr>
                <w:rFonts w:ascii="Arial" w:hAnsi="Arial" w:cs="Arial"/>
                <w:szCs w:val="22"/>
              </w:rPr>
            </w:pPr>
            <w:r w:rsidRPr="00AB1628">
              <w:rPr>
                <w:rFonts w:ascii="Arial" w:hAnsi="Arial" w:cs="Arial"/>
                <w:szCs w:val="22"/>
              </w:rPr>
              <w:t xml:space="preserve">A reo Māori term for disabled people. </w:t>
            </w:r>
            <w:r w:rsidRPr="00BD129A">
              <w:rPr>
                <w:rFonts w:ascii="Arial" w:hAnsi="Arial" w:cs="Arial"/>
                <w:szCs w:val="22"/>
              </w:rPr>
              <w:t>It reflects a definition of people who are determined to do well.</w:t>
            </w:r>
          </w:p>
        </w:tc>
      </w:tr>
      <w:tr w:rsidR="00B1794E" w:rsidRPr="004A0212" w14:paraId="52C9CECB" w14:textId="77777777" w:rsidTr="006235F6">
        <w:trPr>
          <w:trHeight w:val="300"/>
        </w:trPr>
        <w:tc>
          <w:tcPr>
            <w:tcW w:w="1286" w:type="pct"/>
          </w:tcPr>
          <w:p w14:paraId="6F1D43B8" w14:textId="7DA6B341" w:rsidR="00B1794E" w:rsidRPr="004A0212" w:rsidRDefault="00B1794E" w:rsidP="00AB1628">
            <w:pPr>
              <w:pStyle w:val="Tablenormal0"/>
              <w:rPr>
                <w:rFonts w:ascii="Arial" w:hAnsi="Arial" w:cs="Arial"/>
                <w:szCs w:val="22"/>
              </w:rPr>
            </w:pPr>
            <w:r w:rsidRPr="00AB1628">
              <w:rPr>
                <w:rFonts w:ascii="Arial" w:hAnsi="Arial" w:cs="Arial"/>
                <w:szCs w:val="22"/>
              </w:rPr>
              <w:t xml:space="preserve">whānau hauā </w:t>
            </w:r>
            <w:r w:rsidR="005816E7">
              <w:rPr>
                <w:rFonts w:ascii="Arial" w:hAnsi="Arial" w:cs="Arial"/>
                <w:szCs w:val="22"/>
              </w:rPr>
              <w:t>Māori</w:t>
            </w:r>
          </w:p>
        </w:tc>
        <w:tc>
          <w:tcPr>
            <w:tcW w:w="3714" w:type="pct"/>
          </w:tcPr>
          <w:p w14:paraId="50BBE194" w14:textId="018BBB77" w:rsidR="00B1794E" w:rsidRPr="004A0212" w:rsidRDefault="00B1794E" w:rsidP="00AB1628">
            <w:pPr>
              <w:pStyle w:val="Tablenormal0"/>
              <w:rPr>
                <w:rFonts w:ascii="Arial" w:hAnsi="Arial" w:cs="Arial"/>
                <w:szCs w:val="22"/>
              </w:rPr>
            </w:pPr>
            <w:r w:rsidRPr="00AB1628">
              <w:rPr>
                <w:rFonts w:ascii="Arial" w:hAnsi="Arial" w:cs="Arial"/>
                <w:szCs w:val="22"/>
              </w:rPr>
              <w:t>A reo Māori</w:t>
            </w:r>
            <w:r w:rsidR="00BA7F15">
              <w:rPr>
                <w:rFonts w:ascii="Arial" w:hAnsi="Arial" w:cs="Arial"/>
                <w:szCs w:val="22"/>
              </w:rPr>
              <w:t xml:space="preserve"> term for a person </w:t>
            </w:r>
            <w:r w:rsidRPr="00AB1628">
              <w:rPr>
                <w:rFonts w:ascii="Arial" w:hAnsi="Arial" w:cs="Arial"/>
                <w:szCs w:val="22"/>
              </w:rPr>
              <w:t>with disabilities, which reflects te ao Māori perspectives and collective orientation.</w:t>
            </w:r>
          </w:p>
        </w:tc>
      </w:tr>
      <w:tr w:rsidR="00B1794E" w:rsidRPr="004A0212" w14:paraId="2602C635" w14:textId="77777777" w:rsidTr="006235F6">
        <w:trPr>
          <w:trHeight w:val="300"/>
        </w:trPr>
        <w:tc>
          <w:tcPr>
            <w:tcW w:w="1286" w:type="pct"/>
          </w:tcPr>
          <w:p w14:paraId="230F2E65" w14:textId="77777777" w:rsidR="00B1794E" w:rsidRPr="004A0212" w:rsidRDefault="00B1794E" w:rsidP="00AB1628">
            <w:pPr>
              <w:pStyle w:val="Tablenormal0"/>
              <w:rPr>
                <w:rFonts w:ascii="Arial" w:hAnsi="Arial" w:cs="Arial"/>
                <w:szCs w:val="22"/>
              </w:rPr>
            </w:pPr>
            <w:r w:rsidRPr="00AB1628">
              <w:rPr>
                <w:rFonts w:ascii="Arial" w:hAnsi="Arial" w:cs="Arial"/>
                <w:szCs w:val="22"/>
              </w:rPr>
              <w:lastRenderedPageBreak/>
              <w:t xml:space="preserve">whāngai </w:t>
            </w:r>
          </w:p>
        </w:tc>
        <w:tc>
          <w:tcPr>
            <w:tcW w:w="3714" w:type="pct"/>
          </w:tcPr>
          <w:p w14:paraId="18739AB5" w14:textId="45335E09" w:rsidR="00B1794E" w:rsidRPr="004A0212" w:rsidRDefault="00A90DC5" w:rsidP="00AB1628">
            <w:pPr>
              <w:pStyle w:val="Tablenormal0"/>
              <w:rPr>
                <w:rFonts w:ascii="Arial" w:hAnsi="Arial" w:cs="Arial"/>
                <w:szCs w:val="22"/>
              </w:rPr>
            </w:pPr>
            <w:r>
              <w:rPr>
                <w:rFonts w:ascii="Arial" w:hAnsi="Arial" w:cs="Arial"/>
                <w:szCs w:val="22"/>
                <w:bdr w:val="none" w:sz="0" w:space="0" w:color="auto" w:frame="1"/>
              </w:rPr>
              <w:t>A reo</w:t>
            </w:r>
            <w:r w:rsidR="009E2E53">
              <w:rPr>
                <w:rFonts w:ascii="Arial" w:hAnsi="Arial" w:cs="Arial"/>
                <w:szCs w:val="22"/>
                <w:bdr w:val="none" w:sz="0" w:space="0" w:color="auto" w:frame="1"/>
              </w:rPr>
              <w:t xml:space="preserve"> </w:t>
            </w:r>
            <w:r w:rsidR="00B1794E" w:rsidRPr="00AB1628">
              <w:rPr>
                <w:rFonts w:ascii="Arial" w:hAnsi="Arial" w:cs="Arial"/>
                <w:szCs w:val="22"/>
                <w:bdr w:val="none" w:sz="0" w:space="0" w:color="auto" w:frame="1"/>
              </w:rPr>
              <w:t xml:space="preserve">Māori </w:t>
            </w:r>
            <w:r w:rsidR="009E2E53">
              <w:rPr>
                <w:rFonts w:ascii="Arial" w:hAnsi="Arial" w:cs="Arial"/>
                <w:szCs w:val="22"/>
                <w:bdr w:val="none" w:sz="0" w:space="0" w:color="auto" w:frame="1"/>
              </w:rPr>
              <w:t xml:space="preserve">term for </w:t>
            </w:r>
            <w:r w:rsidR="00B1794E" w:rsidRPr="00AB1628">
              <w:rPr>
                <w:rFonts w:ascii="Arial" w:hAnsi="Arial" w:cs="Arial"/>
                <w:szCs w:val="22"/>
                <w:bdr w:val="none" w:sz="0" w:space="0" w:color="auto" w:frame="1"/>
              </w:rPr>
              <w:t>customary adoption or fostering of children</w:t>
            </w:r>
            <w:r w:rsidR="00B1794E" w:rsidRPr="00AB1628">
              <w:rPr>
                <w:rFonts w:ascii="Arial" w:hAnsi="Arial" w:cs="Arial"/>
                <w:szCs w:val="22"/>
              </w:rPr>
              <w:t xml:space="preserve"> or young people.</w:t>
            </w:r>
          </w:p>
        </w:tc>
      </w:tr>
    </w:tbl>
    <w:p w14:paraId="6CD39BDC" w14:textId="5CCB6771" w:rsidR="00756003" w:rsidRPr="00E7649C" w:rsidRDefault="00EA1511" w:rsidP="00DC5252">
      <w:pPr>
        <w:rPr>
          <w:rFonts w:ascii="Arial" w:hAnsi="Arial" w:cs="Arial"/>
          <w:sz w:val="22"/>
          <w:szCs w:val="22"/>
        </w:rPr>
      </w:pPr>
      <w:r w:rsidRPr="00D47E07">
        <w:rPr>
          <w:rFonts w:ascii="Arial" w:hAnsi="Arial" w:cs="Arial"/>
          <w:sz w:val="22"/>
          <w:szCs w:val="22"/>
        </w:rPr>
        <w:t>[</w:t>
      </w:r>
      <w:r w:rsidR="00BD7646">
        <w:rPr>
          <w:rFonts w:ascii="Arial" w:hAnsi="Arial" w:cs="Arial"/>
          <w:sz w:val="22"/>
          <w:szCs w:val="22"/>
        </w:rPr>
        <w:t>Q</w:t>
      </w:r>
      <w:r w:rsidRPr="00E7649C">
        <w:rPr>
          <w:rFonts w:ascii="Arial" w:hAnsi="Arial" w:cs="Arial"/>
          <w:sz w:val="22"/>
          <w:szCs w:val="22"/>
        </w:rPr>
        <w:t>uote]</w:t>
      </w:r>
    </w:p>
    <w:p w14:paraId="5F53E334" w14:textId="5E3216A2" w:rsidR="00D53893" w:rsidRPr="00E7649C" w:rsidRDefault="00D53893" w:rsidP="005219D0">
      <w:pPr>
        <w:pStyle w:val="AllQuotes"/>
        <w:rPr>
          <w:b/>
        </w:rPr>
      </w:pPr>
      <w:r w:rsidRPr="00E7649C">
        <w:rPr>
          <w:b/>
        </w:rPr>
        <w:t>“The most insidious and destructive form of racism, though, is institutional racism. It is the outcome of monocultural institutions which simply ignore and freeze out the cultures of those who do not belong to the majority.”</w:t>
      </w:r>
    </w:p>
    <w:p w14:paraId="6CAE6B29" w14:textId="77777777" w:rsidR="00796312" w:rsidRDefault="00D53893" w:rsidP="005219D0">
      <w:pPr>
        <w:pStyle w:val="AllQuotes"/>
        <w:rPr>
          <w:b/>
        </w:rPr>
      </w:pPr>
      <w:r w:rsidRPr="000D24E0">
        <w:rPr>
          <w:b/>
        </w:rPr>
        <w:t>M</w:t>
      </w:r>
      <w:r w:rsidRPr="000D24E0">
        <w:rPr>
          <w:rFonts w:hint="eastAsia"/>
          <w:b/>
        </w:rPr>
        <w:t>ā</w:t>
      </w:r>
      <w:r w:rsidRPr="000D24E0">
        <w:rPr>
          <w:b/>
        </w:rPr>
        <w:t>ori Perspective Advisory Committee</w:t>
      </w:r>
    </w:p>
    <w:p w14:paraId="3536ECF2" w14:textId="4F9B25BF" w:rsidR="00485CC6" w:rsidRPr="000D24E0" w:rsidRDefault="0098453C" w:rsidP="005219D0">
      <w:pPr>
        <w:pStyle w:val="AllQuotes"/>
        <w:rPr>
          <w:b/>
        </w:rPr>
      </w:pPr>
      <w:r w:rsidRPr="0098453C">
        <w:rPr>
          <w:b/>
          <w:color w:val="222222"/>
          <w:szCs w:val="22"/>
        </w:rPr>
        <w:t>Puao-te-Ata-Tū</w:t>
      </w:r>
      <w:r w:rsidR="00E03682" w:rsidRPr="000D24E0">
        <w:rPr>
          <w:b/>
        </w:rPr>
        <w:t xml:space="preserve"> </w:t>
      </w:r>
      <w:r w:rsidR="00485CC6" w:rsidRPr="000D24E0">
        <w:rPr>
          <w:b/>
        </w:rPr>
        <w:br w:type="page"/>
      </w:r>
    </w:p>
    <w:p w14:paraId="29AD2184" w14:textId="52F94B3F" w:rsidR="00A37FBE" w:rsidRPr="00966110" w:rsidRDefault="00BF103A" w:rsidP="00282055">
      <w:pPr>
        <w:pStyle w:val="Heading1"/>
        <w:rPr>
          <w:color w:val="3B5D1E" w:themeColor="accent4" w:themeShade="BF"/>
        </w:rPr>
      </w:pPr>
      <w:bookmarkStart w:id="14" w:name="_Toc1389813581"/>
      <w:bookmarkStart w:id="15" w:name="_Toc181084742"/>
      <w:r w:rsidRPr="00966110">
        <w:rPr>
          <w:color w:val="3B5D1E" w:themeColor="accent4" w:themeShade="BF"/>
        </w:rPr>
        <w:lastRenderedPageBreak/>
        <w:t>Ū</w:t>
      </w:r>
      <w:r w:rsidR="7E1F38AB" w:rsidRPr="00966110">
        <w:rPr>
          <w:color w:val="3B5D1E" w:themeColor="accent4" w:themeShade="BF"/>
        </w:rPr>
        <w:t xml:space="preserve">poko 1: </w:t>
      </w:r>
      <w:r w:rsidR="006D0F01" w:rsidRPr="00966110">
        <w:rPr>
          <w:color w:val="3B5D1E" w:themeColor="accent4" w:themeShade="BF"/>
        </w:rPr>
        <w:t xml:space="preserve">He </w:t>
      </w:r>
      <w:r w:rsidR="00DF4867" w:rsidRPr="00966110">
        <w:rPr>
          <w:color w:val="3B5D1E" w:themeColor="accent4" w:themeShade="BF"/>
        </w:rPr>
        <w:t>w</w:t>
      </w:r>
      <w:r w:rsidR="7E1F38AB" w:rsidRPr="00966110">
        <w:rPr>
          <w:color w:val="3B5D1E" w:themeColor="accent4" w:themeShade="BF"/>
        </w:rPr>
        <w:t>hakataki</w:t>
      </w:r>
      <w:bookmarkEnd w:id="15"/>
      <w:r w:rsidR="7E1F38AB" w:rsidRPr="00966110">
        <w:rPr>
          <w:color w:val="3B5D1E" w:themeColor="accent4" w:themeShade="BF"/>
        </w:rPr>
        <w:t xml:space="preserve"> </w:t>
      </w:r>
      <w:bookmarkEnd w:id="14"/>
    </w:p>
    <w:p w14:paraId="0DA86534" w14:textId="30AFD395" w:rsidR="00A4160B" w:rsidRPr="004A0212" w:rsidRDefault="2FE16B0F" w:rsidP="00282055">
      <w:pPr>
        <w:pStyle w:val="Heading1"/>
        <w:rPr>
          <w:color w:val="3B5D1E" w:themeColor="accent4" w:themeShade="BF"/>
        </w:rPr>
      </w:pPr>
      <w:bookmarkStart w:id="16" w:name="_Toc726860905"/>
      <w:bookmarkStart w:id="17" w:name="_Toc181084743"/>
      <w:r w:rsidRPr="004A0212">
        <w:rPr>
          <w:color w:val="3B5D1E" w:themeColor="accent4" w:themeShade="BF"/>
        </w:rPr>
        <w:t xml:space="preserve">Chapter </w:t>
      </w:r>
      <w:r w:rsidR="6CDF33CD" w:rsidRPr="004A0212">
        <w:rPr>
          <w:color w:val="3B5D1E" w:themeColor="accent4" w:themeShade="BF"/>
        </w:rPr>
        <w:t>1</w:t>
      </w:r>
      <w:r w:rsidRPr="004A0212">
        <w:rPr>
          <w:color w:val="3B5D1E" w:themeColor="accent4" w:themeShade="BF"/>
        </w:rPr>
        <w:t>: Introduction</w:t>
      </w:r>
      <w:bookmarkEnd w:id="8"/>
      <w:bookmarkEnd w:id="9"/>
      <w:bookmarkEnd w:id="10"/>
      <w:bookmarkEnd w:id="11"/>
      <w:bookmarkEnd w:id="17"/>
      <w:r w:rsidR="3FCC92DA" w:rsidRPr="004A0212">
        <w:rPr>
          <w:color w:val="3B5D1E" w:themeColor="accent4" w:themeShade="BF"/>
        </w:rPr>
        <w:t xml:space="preserve"> </w:t>
      </w:r>
      <w:bookmarkEnd w:id="16"/>
    </w:p>
    <w:p w14:paraId="152C8E0F" w14:textId="32B67B09" w:rsidR="00157DD1" w:rsidRPr="004A0212" w:rsidRDefault="003903B1" w:rsidP="007D73A6">
      <w:pPr>
        <w:pStyle w:val="AllNumbparas"/>
        <w:rPr>
          <w:rStyle w:val="normaltextrun"/>
          <w:color w:val="000000" w:themeColor="text1"/>
        </w:rPr>
      </w:pPr>
      <w:r w:rsidRPr="004A0212">
        <w:t xml:space="preserve">This </w:t>
      </w:r>
      <w:r w:rsidR="00E11556" w:rsidRPr="004A0212">
        <w:t>P</w:t>
      </w:r>
      <w:r w:rsidRPr="004A0212">
        <w:t xml:space="preserve">art </w:t>
      </w:r>
      <w:r w:rsidR="00D46DAD" w:rsidRPr="004A0212">
        <w:t xml:space="preserve">focuses on </w:t>
      </w:r>
      <w:r w:rsidR="00562963" w:rsidRPr="004A0212">
        <w:t>t</w:t>
      </w:r>
      <w:r w:rsidR="00ED5D8C" w:rsidRPr="004A0212">
        <w:t xml:space="preserve">he </w:t>
      </w:r>
      <w:r w:rsidR="008C3FB3" w:rsidRPr="004A0212">
        <w:t>social attitudes,</w:t>
      </w:r>
      <w:r w:rsidR="008C3FB3" w:rsidRPr="004A0212" w:rsidDel="00D92968">
        <w:t xml:space="preserve"> </w:t>
      </w:r>
      <w:r w:rsidR="007E22F1" w:rsidRPr="004A0212">
        <w:t>care practices</w:t>
      </w:r>
      <w:r w:rsidR="00D92968" w:rsidRPr="004A0212">
        <w:t>,</w:t>
      </w:r>
      <w:r w:rsidR="005478CD" w:rsidRPr="004A0212">
        <w:t xml:space="preserve"> </w:t>
      </w:r>
      <w:r w:rsidR="006607AF" w:rsidRPr="004A0212">
        <w:t xml:space="preserve">how </w:t>
      </w:r>
      <w:r w:rsidR="00D92968" w:rsidRPr="004A0212">
        <w:t xml:space="preserve">government </w:t>
      </w:r>
      <w:r w:rsidR="006607AF" w:rsidRPr="004A0212">
        <w:t xml:space="preserve">operated </w:t>
      </w:r>
      <w:r w:rsidR="00185650" w:rsidRPr="004A0212">
        <w:t>and important events that</w:t>
      </w:r>
      <w:r w:rsidR="00FD69C7" w:rsidRPr="004A0212">
        <w:t xml:space="preserve"> </w:t>
      </w:r>
      <w:r w:rsidR="00B75566" w:rsidRPr="004A0212">
        <w:t>influenced the</w:t>
      </w:r>
      <w:r w:rsidR="00185650" w:rsidRPr="004A0212">
        <w:t xml:space="preserve"> care </w:t>
      </w:r>
      <w:r w:rsidR="00185650" w:rsidRPr="004A0212">
        <w:rPr>
          <w:color w:val="000000" w:themeColor="text1"/>
        </w:rPr>
        <w:t>system</w:t>
      </w:r>
      <w:r w:rsidR="00B75566" w:rsidRPr="004A0212">
        <w:rPr>
          <w:color w:val="000000" w:themeColor="text1"/>
        </w:rPr>
        <w:t>s</w:t>
      </w:r>
      <w:r w:rsidR="005478CD" w:rsidRPr="004A0212">
        <w:rPr>
          <w:color w:val="000000" w:themeColor="text1"/>
        </w:rPr>
        <w:t xml:space="preserve"> in Aotearoa</w:t>
      </w:r>
      <w:r w:rsidR="00D441CD" w:rsidRPr="004A0212">
        <w:rPr>
          <w:color w:val="000000" w:themeColor="text1"/>
        </w:rPr>
        <w:t xml:space="preserve"> New Zealand</w:t>
      </w:r>
      <w:r w:rsidR="00A14712" w:rsidRPr="004A0212">
        <w:rPr>
          <w:color w:val="000000" w:themeColor="text1"/>
        </w:rPr>
        <w:t>.</w:t>
      </w:r>
      <w:r w:rsidR="00CA1869" w:rsidRPr="004A0212">
        <w:rPr>
          <w:color w:val="000000" w:themeColor="text1"/>
        </w:rPr>
        <w:t xml:space="preserve"> </w:t>
      </w:r>
      <w:r w:rsidR="00CA1869" w:rsidRPr="004A0212">
        <w:rPr>
          <w:rStyle w:val="normaltextrun"/>
          <w:color w:val="000000" w:themeColor="text1"/>
        </w:rPr>
        <w:t>It is not intended to be a comprehensive history, but highlights key themes and topics that are important context to what this Inquiry heard.</w:t>
      </w:r>
    </w:p>
    <w:p w14:paraId="41E5A24B" w14:textId="29289620" w:rsidR="00D74FCF" w:rsidRPr="004A0212" w:rsidRDefault="00A51F08" w:rsidP="007D73A6">
      <w:pPr>
        <w:pStyle w:val="AllNumbparas"/>
      </w:pPr>
      <w:r w:rsidRPr="004A0212">
        <w:t>Chapter 2 covers traditional societal attitudes to care, including M</w:t>
      </w:r>
      <w:r w:rsidR="009B11FC" w:rsidRPr="004A0212">
        <w:t>ā</w:t>
      </w:r>
      <w:r w:rsidRPr="004A0212">
        <w:t xml:space="preserve">ori, Pacific Peoples and </w:t>
      </w:r>
      <w:r w:rsidR="00A962F5" w:rsidRPr="004A0212">
        <w:t>Pākehā</w:t>
      </w:r>
      <w:r w:rsidR="009B11FC" w:rsidRPr="004A0212">
        <w:t xml:space="preserve">. </w:t>
      </w:r>
    </w:p>
    <w:p w14:paraId="3DA97A38" w14:textId="2EB4FE0C" w:rsidR="004C65E9" w:rsidRPr="004A0212" w:rsidRDefault="00FA582A" w:rsidP="007D73A6">
      <w:pPr>
        <w:pStyle w:val="AllNumbparas"/>
      </w:pPr>
      <w:r w:rsidRPr="004A0212">
        <w:t xml:space="preserve">Chapter 3 looks at </w:t>
      </w:r>
      <w:r w:rsidR="00075AAD" w:rsidRPr="004A0212">
        <w:t xml:space="preserve">Māori </w:t>
      </w:r>
      <w:r w:rsidR="00FF1DBC" w:rsidRPr="004A0212">
        <w:t xml:space="preserve">relationships </w:t>
      </w:r>
      <w:r w:rsidR="004C65E9" w:rsidRPr="004A0212">
        <w:t>and interactions</w:t>
      </w:r>
      <w:r w:rsidR="00075AAD" w:rsidRPr="004A0212">
        <w:t xml:space="preserve"> with faiths and </w:t>
      </w:r>
      <w:r w:rsidR="004643B8" w:rsidRPr="004A0212">
        <w:t>the</w:t>
      </w:r>
      <w:r w:rsidR="00075AAD" w:rsidRPr="004A0212">
        <w:t xml:space="preserve"> Crown</w:t>
      </w:r>
      <w:r w:rsidR="00814EFD" w:rsidRPr="004A0212">
        <w:t xml:space="preserve"> </w:t>
      </w:r>
      <w:r w:rsidRPr="004A0212">
        <w:t xml:space="preserve">including the signing of </w:t>
      </w:r>
      <w:r w:rsidR="004034CB" w:rsidRPr="004A0212">
        <w:t>He Whakaputanga o te Rangatiratanga o N</w:t>
      </w:r>
      <w:r w:rsidR="48293E5E" w:rsidRPr="004A0212">
        <w:t>i</w:t>
      </w:r>
      <w:r w:rsidR="004034CB" w:rsidRPr="004A0212">
        <w:t>u Tiren</w:t>
      </w:r>
      <w:r w:rsidR="225C2CCD" w:rsidRPr="004A0212">
        <w:t>e</w:t>
      </w:r>
      <w:r w:rsidR="004034CB" w:rsidRPr="004A0212">
        <w:t xml:space="preserve"> – the Declaration of Independence </w:t>
      </w:r>
      <w:r w:rsidR="001C334F" w:rsidRPr="004A0212">
        <w:t xml:space="preserve">and </w:t>
      </w:r>
      <w:r w:rsidR="00607E45">
        <w:t>t</w:t>
      </w:r>
      <w:r w:rsidR="001C334F" w:rsidRPr="004A0212">
        <w:t>e Tiriti</w:t>
      </w:r>
      <w:r w:rsidR="007E2BB8" w:rsidRPr="004A0212">
        <w:t xml:space="preserve"> o Waitangi</w:t>
      </w:r>
      <w:r w:rsidR="00332F40" w:rsidRPr="004A0212">
        <w:t>.</w:t>
      </w:r>
    </w:p>
    <w:p w14:paraId="28500C04" w14:textId="49545D72" w:rsidR="003F1292" w:rsidRPr="004A0212" w:rsidRDefault="003F1292" w:rsidP="007D73A6">
      <w:pPr>
        <w:pStyle w:val="AllNumbparas"/>
      </w:pPr>
      <w:r w:rsidRPr="004A0212">
        <w:t xml:space="preserve">Chapter 4 </w:t>
      </w:r>
      <w:r w:rsidR="00C013F2" w:rsidRPr="004A0212">
        <w:t xml:space="preserve">discusses the </w:t>
      </w:r>
      <w:r w:rsidR="00EC1956" w:rsidRPr="004A0212">
        <w:t>social attitudes, values and beliefs present before and during the Inquiry period (1950–1999) that were reflected in legislation, policy, and operational practice around care settings</w:t>
      </w:r>
      <w:r w:rsidR="006607AF" w:rsidRPr="004A0212">
        <w:t>.</w:t>
      </w:r>
    </w:p>
    <w:p w14:paraId="77058CE0" w14:textId="11859B84" w:rsidR="00537832" w:rsidRPr="004A0212" w:rsidRDefault="001C334F" w:rsidP="001C334F">
      <w:pPr>
        <w:pStyle w:val="AllNumbparas"/>
      </w:pPr>
      <w:r w:rsidRPr="004A0212">
        <w:t>Chapters 5</w:t>
      </w:r>
      <w:r w:rsidR="00DE23FD" w:rsidRPr="004A0212">
        <w:t xml:space="preserve"> – 7 </w:t>
      </w:r>
      <w:r w:rsidR="007C01AF" w:rsidRPr="004A0212">
        <w:t>cover</w:t>
      </w:r>
      <w:r w:rsidRPr="004A0212">
        <w:t xml:space="preserve"> </w:t>
      </w:r>
      <w:r w:rsidR="004D5745" w:rsidRPr="004A0212">
        <w:t xml:space="preserve">the decades of the Inquiry period with a focus on key events and developments for </w:t>
      </w:r>
      <w:r w:rsidR="00964F18" w:rsidRPr="004A0212">
        <w:t>Māori</w:t>
      </w:r>
      <w:r w:rsidR="004D5745" w:rsidRPr="004A0212">
        <w:t>, Pacific People</w:t>
      </w:r>
      <w:r w:rsidR="0010684E" w:rsidRPr="004A0212">
        <w:t>s</w:t>
      </w:r>
      <w:r w:rsidR="004D5745" w:rsidRPr="004A0212">
        <w:t>, Deaf</w:t>
      </w:r>
      <w:r w:rsidR="00457129" w:rsidRPr="004A0212">
        <w:t>,</w:t>
      </w:r>
      <w:r w:rsidR="004D5745" w:rsidRPr="004A0212">
        <w:t xml:space="preserve"> disabled people</w:t>
      </w:r>
      <w:r w:rsidR="007E2F99" w:rsidRPr="004A0212">
        <w:t xml:space="preserve"> and people experiencing mental distress</w:t>
      </w:r>
      <w:r w:rsidR="009F4F55" w:rsidRPr="004A0212">
        <w:t>. They also explore</w:t>
      </w:r>
      <w:r w:rsidR="00B456D4" w:rsidRPr="004A0212">
        <w:t xml:space="preserve"> </w:t>
      </w:r>
      <w:r w:rsidR="00537832" w:rsidRPr="004A0212">
        <w:t xml:space="preserve">areas such as human rights and understandings of child development, neurodivergence and trauma. It also looks at </w:t>
      </w:r>
      <w:r w:rsidR="00DC22AA" w:rsidRPr="004A0212">
        <w:t xml:space="preserve">poverty, </w:t>
      </w:r>
      <w:r w:rsidR="00606C8B" w:rsidRPr="004A0212">
        <w:t>available social support and economic conditions in each decade.</w:t>
      </w:r>
    </w:p>
    <w:p w14:paraId="7A2EC337" w14:textId="63CDF0A8" w:rsidR="000B5C99" w:rsidRPr="004A0212" w:rsidRDefault="006165B4" w:rsidP="002D105A">
      <w:pPr>
        <w:pStyle w:val="Numbparas"/>
      </w:pPr>
      <w:r w:rsidRPr="004A0212">
        <w:t>Chapter</w:t>
      </w:r>
      <w:r w:rsidR="008B37E2" w:rsidRPr="004A0212">
        <w:t xml:space="preserve"> </w:t>
      </w:r>
      <w:r w:rsidR="007019B2" w:rsidRPr="004A0212">
        <w:t>8</w:t>
      </w:r>
      <w:r w:rsidR="00DF6437" w:rsidRPr="004A0212">
        <w:t xml:space="preserve"> </w:t>
      </w:r>
      <w:r w:rsidR="00144FAD" w:rsidRPr="004A0212">
        <w:t>look</w:t>
      </w:r>
      <w:r w:rsidR="00E11556" w:rsidRPr="004A0212">
        <w:t>s</w:t>
      </w:r>
      <w:r w:rsidR="00144FAD" w:rsidRPr="004A0212">
        <w:t xml:space="preserve"> at available data on </w:t>
      </w:r>
      <w:r w:rsidR="00BF3011" w:rsidRPr="004A0212">
        <w:t xml:space="preserve">Māori, </w:t>
      </w:r>
      <w:r w:rsidR="002870D8" w:rsidRPr="004A0212">
        <w:t>Deaf</w:t>
      </w:r>
      <w:r w:rsidR="00F6194A" w:rsidRPr="004A0212">
        <w:t>,</w:t>
      </w:r>
      <w:r w:rsidR="00BF3011" w:rsidRPr="004A0212">
        <w:t xml:space="preserve"> </w:t>
      </w:r>
      <w:r w:rsidR="00F6194A" w:rsidRPr="004A0212">
        <w:t>disabled people, people experiencing mental distress</w:t>
      </w:r>
      <w:r w:rsidR="00C85891" w:rsidRPr="004A0212">
        <w:t xml:space="preserve"> </w:t>
      </w:r>
      <w:r w:rsidR="00BF3011" w:rsidRPr="004A0212">
        <w:t xml:space="preserve">and Pacific </w:t>
      </w:r>
      <w:r w:rsidR="00E11556" w:rsidRPr="004A0212">
        <w:t>P</w:t>
      </w:r>
      <w:r w:rsidR="00BF3011" w:rsidRPr="004A0212">
        <w:t>eoples</w:t>
      </w:r>
      <w:r w:rsidR="00144FAD" w:rsidRPr="004A0212">
        <w:t xml:space="preserve"> during the Inquiry period</w:t>
      </w:r>
      <w:r w:rsidR="00CC12CE" w:rsidRPr="004A0212">
        <w:t xml:space="preserve"> and how these populations changed </w:t>
      </w:r>
      <w:r w:rsidR="000B5C99" w:rsidRPr="004A0212">
        <w:t xml:space="preserve">over time. </w:t>
      </w:r>
      <w:r w:rsidR="00690D4A" w:rsidRPr="004A0212">
        <w:t xml:space="preserve">It also looks at the changes in religious affiliation between 1950–1999. </w:t>
      </w:r>
    </w:p>
    <w:p w14:paraId="36D471D0" w14:textId="5A02FC7E" w:rsidR="00E71DDF" w:rsidRPr="004A0212" w:rsidRDefault="00E71DDF" w:rsidP="00E71DDF">
      <w:pPr>
        <w:pStyle w:val="AllNumbparas"/>
      </w:pPr>
      <w:r w:rsidRPr="004A0212">
        <w:t xml:space="preserve">Chapter 9 gives an overview of </w:t>
      </w:r>
      <w:r w:rsidR="003E19A4" w:rsidRPr="004A0212">
        <w:t>how government makes decisions and operates</w:t>
      </w:r>
      <w:r w:rsidR="00CD0385" w:rsidRPr="004A0212">
        <w:t xml:space="preserve"> in </w:t>
      </w:r>
      <w:r w:rsidRPr="004A0212">
        <w:t>Aotearoa New Zealand</w:t>
      </w:r>
      <w:r w:rsidR="00CD0385" w:rsidRPr="004A0212">
        <w:t>,</w:t>
      </w:r>
      <w:r w:rsidRPr="004A0212">
        <w:t xml:space="preserve"> and of how the State sector was organised and run during the Inquiry period.</w:t>
      </w:r>
    </w:p>
    <w:p w14:paraId="347FD9D0" w14:textId="493B642B" w:rsidR="004E559A" w:rsidRPr="004A0212" w:rsidRDefault="000B5C99" w:rsidP="007D73A6">
      <w:pPr>
        <w:pStyle w:val="AllNumbparas"/>
      </w:pPr>
      <w:r w:rsidRPr="004A0212">
        <w:t xml:space="preserve">Chapter </w:t>
      </w:r>
      <w:r w:rsidR="00E71DDF" w:rsidRPr="004A0212">
        <w:t>10</w:t>
      </w:r>
      <w:r w:rsidR="00144FAD" w:rsidRPr="004A0212">
        <w:t xml:space="preserve"> </w:t>
      </w:r>
      <w:r w:rsidR="00E71DDF" w:rsidRPr="004A0212">
        <w:t>covers</w:t>
      </w:r>
      <w:r w:rsidR="006F1DAB" w:rsidRPr="004A0212">
        <w:t xml:space="preserve"> the </w:t>
      </w:r>
      <w:r w:rsidR="00822B8C" w:rsidRPr="004A0212">
        <w:t xml:space="preserve">State and faith-based care system </w:t>
      </w:r>
      <w:r w:rsidR="005A2E3B" w:rsidRPr="004A0212">
        <w:t>frameworks</w:t>
      </w:r>
      <w:r w:rsidR="006F1DAB" w:rsidRPr="004A0212">
        <w:t xml:space="preserve">. </w:t>
      </w:r>
      <w:r w:rsidR="004E559A" w:rsidRPr="004A0212">
        <w:t xml:space="preserve">This </w:t>
      </w:r>
      <w:r w:rsidR="00FD592A" w:rsidRPr="004A0212">
        <w:t xml:space="preserve">includes the </w:t>
      </w:r>
      <w:r w:rsidR="001D2FBD" w:rsidRPr="004A0212">
        <w:t>relevant legislation</w:t>
      </w:r>
      <w:r w:rsidR="00FD592A" w:rsidRPr="004A0212">
        <w:t xml:space="preserve">, </w:t>
      </w:r>
      <w:r w:rsidR="00CF3EA7" w:rsidRPr="004A0212">
        <w:t>approach</w:t>
      </w:r>
      <w:r w:rsidR="004643B8" w:rsidRPr="004A0212">
        <w:t>es</w:t>
      </w:r>
      <w:r w:rsidR="00CF3EA7" w:rsidRPr="004A0212">
        <w:t xml:space="preserve"> to car</w:t>
      </w:r>
      <w:r w:rsidR="00BF4FDD" w:rsidRPr="004A0212">
        <w:t xml:space="preserve">e, the different </w:t>
      </w:r>
      <w:r w:rsidR="00285560" w:rsidRPr="004A0212">
        <w:t xml:space="preserve">types of </w:t>
      </w:r>
      <w:r w:rsidR="00BF4FDD" w:rsidRPr="004A0212">
        <w:t>care settings</w:t>
      </w:r>
      <w:r w:rsidR="00690D4A" w:rsidRPr="004A0212">
        <w:t xml:space="preserve">, </w:t>
      </w:r>
      <w:r w:rsidR="001D2FBD" w:rsidRPr="004A0212">
        <w:t>the</w:t>
      </w:r>
      <w:r w:rsidR="007F56ED" w:rsidRPr="004A0212">
        <w:t xml:space="preserve"> governance structures of </w:t>
      </w:r>
      <w:r w:rsidR="00E71DDF" w:rsidRPr="004A0212">
        <w:t xml:space="preserve">the </w:t>
      </w:r>
      <w:r w:rsidR="00074E28" w:rsidRPr="004A0212">
        <w:t>f</w:t>
      </w:r>
      <w:r w:rsidR="00E71DDF" w:rsidRPr="004A0212">
        <w:t xml:space="preserve">aiths and key roles and responsibilities within State and </w:t>
      </w:r>
      <w:r w:rsidR="00074E28" w:rsidRPr="004A0212">
        <w:t>faith-</w:t>
      </w:r>
      <w:r w:rsidR="00E71DDF" w:rsidRPr="004A0212">
        <w:t>based care settings</w:t>
      </w:r>
      <w:r w:rsidR="00EB294C" w:rsidRPr="004A0212">
        <w:t>.</w:t>
      </w:r>
    </w:p>
    <w:p w14:paraId="7B4D2B49" w14:textId="3F9D4B6F" w:rsidR="00E71DDF" w:rsidRPr="004A0212" w:rsidRDefault="00E71DDF" w:rsidP="007D73A6">
      <w:pPr>
        <w:pStyle w:val="AllNumbparas"/>
      </w:pPr>
      <w:r w:rsidRPr="004A0212">
        <w:t xml:space="preserve">Chapter 11 outlines the different types of care settings that existed in Aotearoa New Zealand during the </w:t>
      </w:r>
      <w:r w:rsidR="0041445F" w:rsidRPr="004A0212">
        <w:t>Inquiry</w:t>
      </w:r>
      <w:r w:rsidRPr="004A0212">
        <w:t xml:space="preserve"> period.</w:t>
      </w:r>
    </w:p>
    <w:p w14:paraId="2C0E7120" w14:textId="181647D9" w:rsidR="00586C7E" w:rsidRPr="004A0212" w:rsidRDefault="00586C7E" w:rsidP="007D73A6">
      <w:pPr>
        <w:pStyle w:val="AllNumbparas"/>
        <w:numPr>
          <w:ilvl w:val="0"/>
          <w:numId w:val="0"/>
        </w:numPr>
        <w:ind w:left="851"/>
        <w:rPr>
          <w:color w:val="262626" w:themeColor="text1" w:themeTint="D9"/>
        </w:rPr>
      </w:pPr>
      <w:r w:rsidRPr="004A0212">
        <w:br w:type="page"/>
      </w:r>
    </w:p>
    <w:p w14:paraId="5566EF64" w14:textId="40C89664" w:rsidR="00A37FBE" w:rsidRPr="004A0212" w:rsidRDefault="00467001" w:rsidP="00282055">
      <w:pPr>
        <w:pStyle w:val="Heading1"/>
        <w:rPr>
          <w:color w:val="3B5D1E" w:themeColor="accent4" w:themeShade="BF"/>
        </w:rPr>
      </w:pPr>
      <w:bookmarkStart w:id="18" w:name="_Toc1194564153"/>
      <w:bookmarkStart w:id="19" w:name="_Toc150933071"/>
      <w:bookmarkStart w:id="20" w:name="_Toc150953388"/>
      <w:bookmarkStart w:id="21" w:name="_Toc147935370"/>
      <w:bookmarkStart w:id="22" w:name="_Toc148443549"/>
      <w:bookmarkStart w:id="23" w:name="_Toc181084744"/>
      <w:bookmarkEnd w:id="0"/>
      <w:r w:rsidRPr="004A0212">
        <w:rPr>
          <w:color w:val="3B5D1E" w:themeColor="accent4" w:themeShade="BF"/>
        </w:rPr>
        <w:lastRenderedPageBreak/>
        <w:t>Ū</w:t>
      </w:r>
      <w:r w:rsidR="7E1F38AB" w:rsidRPr="004A0212">
        <w:rPr>
          <w:color w:val="3B5D1E" w:themeColor="accent4" w:themeShade="BF"/>
        </w:rPr>
        <w:t>poko 2: Ngā waiaro</w:t>
      </w:r>
      <w:r w:rsidR="62FE1548" w:rsidRPr="004A0212">
        <w:rPr>
          <w:color w:val="3B5D1E" w:themeColor="accent4" w:themeShade="BF"/>
        </w:rPr>
        <w:t xml:space="preserve"> </w:t>
      </w:r>
      <w:r w:rsidR="7E1F38AB" w:rsidRPr="004A0212">
        <w:rPr>
          <w:color w:val="3B5D1E" w:themeColor="accent4" w:themeShade="BF"/>
        </w:rPr>
        <w:t>ā-pāpori tuku iho ki te taurimatanga</w:t>
      </w:r>
      <w:bookmarkEnd w:id="18"/>
      <w:bookmarkEnd w:id="23"/>
      <w:r w:rsidR="7E1F38AB" w:rsidRPr="004A0212">
        <w:rPr>
          <w:color w:val="3B5D1E" w:themeColor="accent4" w:themeShade="BF"/>
        </w:rPr>
        <w:t xml:space="preserve"> </w:t>
      </w:r>
    </w:p>
    <w:p w14:paraId="3846C572" w14:textId="3D99EEB2" w:rsidR="00E2005E" w:rsidRPr="004A0212" w:rsidRDefault="02B6074E" w:rsidP="00282055">
      <w:pPr>
        <w:pStyle w:val="Heading1"/>
        <w:rPr>
          <w:color w:val="3B5D1E" w:themeColor="accent4" w:themeShade="BF"/>
        </w:rPr>
      </w:pPr>
      <w:bookmarkStart w:id="24" w:name="_Toc82895409"/>
      <w:bookmarkStart w:id="25" w:name="_Toc181084745"/>
      <w:r w:rsidRPr="004A0212">
        <w:rPr>
          <w:color w:val="3B5D1E" w:themeColor="accent4" w:themeShade="BF"/>
        </w:rPr>
        <w:t xml:space="preserve">Chapter 2: </w:t>
      </w:r>
      <w:r w:rsidR="0051219F" w:rsidRPr="004A0212">
        <w:rPr>
          <w:color w:val="3B5D1E" w:themeColor="accent4" w:themeShade="BF"/>
        </w:rPr>
        <w:t>Traditional</w:t>
      </w:r>
      <w:r w:rsidR="6CAA79FF" w:rsidRPr="004A0212">
        <w:rPr>
          <w:color w:val="3B5D1E" w:themeColor="accent4" w:themeShade="BF"/>
        </w:rPr>
        <w:t xml:space="preserve"> </w:t>
      </w:r>
      <w:r w:rsidR="45DE66EF" w:rsidRPr="004A0212">
        <w:rPr>
          <w:color w:val="3B5D1E" w:themeColor="accent4" w:themeShade="BF"/>
        </w:rPr>
        <w:t xml:space="preserve">societal </w:t>
      </w:r>
      <w:r w:rsidR="6CAA79FF" w:rsidRPr="004A0212">
        <w:rPr>
          <w:color w:val="3B5D1E" w:themeColor="accent4" w:themeShade="BF"/>
        </w:rPr>
        <w:t>attitudes to care</w:t>
      </w:r>
      <w:bookmarkEnd w:id="19"/>
      <w:bookmarkEnd w:id="20"/>
      <w:bookmarkEnd w:id="24"/>
      <w:bookmarkEnd w:id="25"/>
    </w:p>
    <w:p w14:paraId="4D1D491A" w14:textId="77777777" w:rsidR="000F5DF0" w:rsidRPr="00282055" w:rsidRDefault="7E1F38AB" w:rsidP="00282055">
      <w:pPr>
        <w:pStyle w:val="Heading2"/>
      </w:pPr>
      <w:bookmarkStart w:id="26" w:name="_Toc150933072"/>
      <w:bookmarkStart w:id="27" w:name="_Toc150953389"/>
      <w:bookmarkStart w:id="28" w:name="_Toc1975175838"/>
      <w:bookmarkStart w:id="29" w:name="_Toc181084746"/>
      <w:r w:rsidRPr="00282055">
        <w:t>Ngā waiaro o te Māori ki te taurimatanga</w:t>
      </w:r>
      <w:bookmarkEnd w:id="29"/>
    </w:p>
    <w:p w14:paraId="25C9C8C6" w14:textId="1375E3F5" w:rsidR="00850186" w:rsidRPr="004A0212" w:rsidRDefault="31B27714" w:rsidP="00282055">
      <w:pPr>
        <w:pStyle w:val="Heading2"/>
      </w:pPr>
      <w:bookmarkStart w:id="30" w:name="_Toc181084747"/>
      <w:r w:rsidRPr="004A0212">
        <w:t>Māori attitudes</w:t>
      </w:r>
      <w:r w:rsidR="629FC0EA" w:rsidRPr="004A0212">
        <w:t xml:space="preserve"> to care</w:t>
      </w:r>
      <w:bookmarkEnd w:id="26"/>
      <w:bookmarkEnd w:id="27"/>
      <w:bookmarkEnd w:id="28"/>
      <w:bookmarkEnd w:id="30"/>
    </w:p>
    <w:p w14:paraId="30B12E6E" w14:textId="77777777" w:rsidR="000F5DF0" w:rsidRDefault="0DF34A1A" w:rsidP="00B1238B">
      <w:pPr>
        <w:pStyle w:val="Heading3"/>
        <w:rPr>
          <w:rFonts w:cs="Arial"/>
        </w:rPr>
      </w:pPr>
      <w:bookmarkStart w:id="31" w:name="_Toc147935394"/>
      <w:bookmarkStart w:id="32" w:name="_Toc148443575"/>
      <w:bookmarkStart w:id="33" w:name="_Toc150933073"/>
      <w:bookmarkStart w:id="34" w:name="_Toc150953390"/>
      <w:bookmarkStart w:id="35" w:name="_Toc1579126263"/>
      <w:bookmarkStart w:id="36" w:name="_Toc181084748"/>
      <w:r w:rsidRPr="004A0212">
        <w:rPr>
          <w:rFonts w:cs="Arial"/>
        </w:rPr>
        <w:t xml:space="preserve">Ngā </w:t>
      </w:r>
      <w:r w:rsidR="00A25B73" w:rsidRPr="000C0692">
        <w:rPr>
          <w:rFonts w:cs="Arial"/>
        </w:rPr>
        <w:t>ti</w:t>
      </w:r>
      <w:r w:rsidR="006E7A0C" w:rsidRPr="000C0692">
        <w:rPr>
          <w:rFonts w:cs="Arial"/>
        </w:rPr>
        <w:t>kanga</w:t>
      </w:r>
      <w:r w:rsidR="009F5FC1" w:rsidRPr="004A0212">
        <w:rPr>
          <w:rFonts w:cs="Arial"/>
        </w:rPr>
        <w:t xml:space="preserve"> </w:t>
      </w:r>
      <w:r w:rsidRPr="004A0212">
        <w:rPr>
          <w:rFonts w:cs="Arial"/>
        </w:rPr>
        <w:t>a te Māori ki te whakatipu tamariki</w:t>
      </w:r>
      <w:bookmarkEnd w:id="36"/>
    </w:p>
    <w:p w14:paraId="42BA2BB9" w14:textId="40DCAFB3" w:rsidR="00B1238B" w:rsidRPr="004A0212" w:rsidRDefault="0051219F" w:rsidP="00B1238B">
      <w:pPr>
        <w:pStyle w:val="Heading3"/>
        <w:rPr>
          <w:rFonts w:cs="Arial"/>
        </w:rPr>
      </w:pPr>
      <w:bookmarkStart w:id="37" w:name="_Toc181084749"/>
      <w:r w:rsidRPr="004A0212">
        <w:rPr>
          <w:rFonts w:cs="Arial"/>
        </w:rPr>
        <w:t>Traditional</w:t>
      </w:r>
      <w:r w:rsidR="3610D739" w:rsidRPr="004A0212">
        <w:rPr>
          <w:rFonts w:cs="Arial"/>
        </w:rPr>
        <w:t xml:space="preserve"> Māori models of parenting</w:t>
      </w:r>
      <w:bookmarkEnd w:id="31"/>
      <w:bookmarkEnd w:id="32"/>
      <w:bookmarkEnd w:id="33"/>
      <w:bookmarkEnd w:id="34"/>
      <w:bookmarkEnd w:id="35"/>
      <w:bookmarkEnd w:id="37"/>
    </w:p>
    <w:p w14:paraId="6AA27B5B" w14:textId="4553DF17" w:rsidR="00FE4E56" w:rsidRPr="004A0212" w:rsidRDefault="0BB3282F" w:rsidP="00FA5C42">
      <w:pPr>
        <w:pStyle w:val="AllNumbparas"/>
      </w:pPr>
      <w:r w:rsidRPr="004A0212">
        <w:t>Māori traditionally lived in</w:t>
      </w:r>
      <w:r w:rsidR="7B2206A0" w:rsidRPr="004A0212">
        <w:t xml:space="preserve"> papakāinga (village settlement</w:t>
      </w:r>
      <w:r w:rsidR="588FE3A9" w:rsidRPr="004A0212">
        <w:t>s</w:t>
      </w:r>
      <w:r w:rsidR="7B2206A0" w:rsidRPr="004A0212">
        <w:t xml:space="preserve">) </w:t>
      </w:r>
      <w:r w:rsidR="5DFC3E0D" w:rsidRPr="004A0212">
        <w:t>consisting</w:t>
      </w:r>
      <w:r w:rsidR="7B2206A0" w:rsidRPr="004A0212">
        <w:t xml:space="preserve"> of wh</w:t>
      </w:r>
      <w:r w:rsidR="0370446B" w:rsidRPr="004A0212">
        <w:t>ā</w:t>
      </w:r>
      <w:r w:rsidR="7B2206A0" w:rsidRPr="004A0212">
        <w:t>nau groups of 30 to 45 people</w:t>
      </w:r>
      <w:r w:rsidR="0AEF82BC" w:rsidRPr="004A0212">
        <w:t xml:space="preserve">. These were normally made up of </w:t>
      </w:r>
      <w:r w:rsidR="2E6A832E" w:rsidRPr="004A0212">
        <w:t>kuia and kaum</w:t>
      </w:r>
      <w:r w:rsidR="6596D925" w:rsidRPr="004A0212">
        <w:t>āt</w:t>
      </w:r>
      <w:r w:rsidR="2E6A832E" w:rsidRPr="004A0212">
        <w:t>ua (femal</w:t>
      </w:r>
      <w:r w:rsidR="5342B790" w:rsidRPr="004A0212">
        <w:t>e and male elders)</w:t>
      </w:r>
      <w:r w:rsidR="7B2206A0" w:rsidRPr="004A0212">
        <w:t xml:space="preserve">, pākeke (senior adults such as parents, uncles and aunts), and </w:t>
      </w:r>
      <w:r w:rsidR="4CD6459C" w:rsidRPr="004A0212">
        <w:t>tama</w:t>
      </w:r>
      <w:r w:rsidR="7B2206A0" w:rsidRPr="004A0212">
        <w:t xml:space="preserve"> and</w:t>
      </w:r>
      <w:r w:rsidR="708888F6" w:rsidRPr="004A0212">
        <w:t xml:space="preserve"> tamāhine</w:t>
      </w:r>
      <w:r w:rsidR="7B2206A0" w:rsidRPr="004A0212">
        <w:t xml:space="preserve"> together with their spouses and </w:t>
      </w:r>
      <w:r w:rsidR="7C151D1F" w:rsidRPr="004A0212">
        <w:t>tamariki</w:t>
      </w:r>
      <w:r w:rsidR="71E9AD68" w:rsidRPr="004A0212">
        <w:t xml:space="preserve"> (children)</w:t>
      </w:r>
      <w:r w:rsidR="7C151D1F" w:rsidRPr="004A0212">
        <w:t xml:space="preserve">. Everyone </w:t>
      </w:r>
      <w:r w:rsidR="7B2206A0" w:rsidRPr="004A0212">
        <w:t>help</w:t>
      </w:r>
      <w:r w:rsidR="7C151D1F" w:rsidRPr="004A0212">
        <w:t>ed</w:t>
      </w:r>
      <w:r w:rsidR="7B2206A0" w:rsidRPr="004A0212">
        <w:t xml:space="preserve"> to raise </w:t>
      </w:r>
      <w:r w:rsidR="7C306ACC" w:rsidRPr="004A0212">
        <w:t xml:space="preserve">the </w:t>
      </w:r>
      <w:r w:rsidR="7B2206A0" w:rsidRPr="004A0212">
        <w:t>tamariki. This practice reflected a fundamental belief that “the child is the child of the tribe</w:t>
      </w:r>
      <w:r w:rsidR="1423E855" w:rsidRPr="004A0212">
        <w:t>”</w:t>
      </w:r>
      <w:r w:rsidR="7B2206A0" w:rsidRPr="004A0212">
        <w:t>.</w:t>
      </w:r>
      <w:bookmarkEnd w:id="21"/>
      <w:bookmarkEnd w:id="22"/>
      <w:r w:rsidR="00FE4E56" w:rsidRPr="004A0212">
        <w:rPr>
          <w:rStyle w:val="StyleFootnoteReferenceFagoFunotenzeichenFagoFunotenzeichen"/>
        </w:rPr>
        <w:endnoteReference w:id="2"/>
      </w:r>
      <w:r w:rsidR="00FE4E56" w:rsidRPr="004A0212">
        <w:t xml:space="preserve"> </w:t>
      </w:r>
    </w:p>
    <w:p w14:paraId="76633D94" w14:textId="622FF9D4" w:rsidR="00FE4E56" w:rsidRPr="004A0212" w:rsidRDefault="00FE4E56" w:rsidP="007D73A6">
      <w:pPr>
        <w:pStyle w:val="AllNumbparas"/>
      </w:pPr>
      <w:r w:rsidRPr="004A0212">
        <w:t>Caring for and raising tamariki as a collective, with whānau members having different roles and responsibilities, meant that tamariki were brought up in an environment that knitted the whānau together. It also meant that multiple people were observing each other as a further way to ensure care for tamariki Māori.</w:t>
      </w:r>
      <w:r w:rsidRPr="004A0212">
        <w:rPr>
          <w:rStyle w:val="StyleFootnoteReferenceFagoFunotenzeichenFagoFunotenzeichen"/>
        </w:rPr>
        <w:endnoteReference w:id="3"/>
      </w:r>
    </w:p>
    <w:p w14:paraId="583E49B4" w14:textId="71B116A1" w:rsidR="00FE4E56" w:rsidRPr="004A0212" w:rsidRDefault="00FE4E56" w:rsidP="007D73A6">
      <w:pPr>
        <w:pStyle w:val="AllNumbparas"/>
        <w:rPr>
          <w:lang w:eastAsia="en-US"/>
        </w:rPr>
      </w:pPr>
      <w:r w:rsidRPr="004A0212">
        <w:t>Tamariki were generally treated with reverence in traditional Māori society and it was rare for adults to be violent towards them. Traditional whakataukī purākau speak to the high regard held for children. Dr Rawiri Taonui notes “the most insidious and destructive form of racism, though, is institutional racism. It is the outcome of monocultural institutions which simply ignore and freeze out the cultures of those who do not belong to the majority”.</w:t>
      </w:r>
      <w:r w:rsidRPr="004A0212">
        <w:rPr>
          <w:rStyle w:val="StyleFootnoteReferenceFagoFunotenzeichenFagoFunotenzeichen"/>
        </w:rPr>
        <w:endnoteReference w:id="4"/>
      </w:r>
      <w:r w:rsidRPr="004A0212">
        <w:t xml:space="preserve"> Wāhine (women) and tamariki were the bearers of future generations and any violence against them was generally viewed as a transgression against whakapapa.</w:t>
      </w:r>
      <w:r w:rsidRPr="004A0212">
        <w:rPr>
          <w:rStyle w:val="StyleFootnoteReferenceFagoFunotenzeichenFagoFunotenzeichen"/>
        </w:rPr>
        <w:endnoteReference w:id="5"/>
      </w:r>
    </w:p>
    <w:p w14:paraId="28D6CF06" w14:textId="77777777" w:rsidR="00FE4E56" w:rsidRDefault="00FE4E56">
      <w:pPr>
        <w:keepLines w:val="0"/>
        <w:rPr>
          <w:rFonts w:ascii="Arial" w:eastAsia="Calibri" w:hAnsi="Arial" w:cs="Arial"/>
          <w:bCs/>
          <w:color w:val="222222"/>
          <w:sz w:val="22"/>
          <w:szCs w:val="22"/>
          <w:shd w:val="clear" w:color="auto" w:fill="FFFFFF"/>
        </w:rPr>
      </w:pPr>
      <w:r>
        <w:br w:type="page"/>
      </w:r>
    </w:p>
    <w:p w14:paraId="432FF151" w14:textId="2FBE0BC8" w:rsidR="00FE4E56" w:rsidRPr="004A0212" w:rsidRDefault="00FE4E56" w:rsidP="007D73A6">
      <w:pPr>
        <w:pStyle w:val="AllNumbparas"/>
      </w:pPr>
      <w:r w:rsidRPr="004A0212">
        <w:lastRenderedPageBreak/>
        <w:t>As noted in Part 1, this is not to suggest that traditional Māori society did not have instances of abuse. What is clear from narratives within pūrākau (myths and legends), waiata (songs), and whakataukī (proverbs), as well as tikanga, is that abuse was not something condoned and that it carried consequences. There were culturally acceptable behaviours concerning the care, nurturing and protection of tamariki and other whānau members in traditional Māori society.</w:t>
      </w:r>
      <w:r w:rsidRPr="004A0212">
        <w:rPr>
          <w:rStyle w:val="StyleFootnoteReferenceFagoFunotenzeichenFagoFunotenzeichen"/>
        </w:rPr>
        <w:endnoteReference w:id="6"/>
      </w:r>
      <w:r w:rsidRPr="004A0212">
        <w:t xml:space="preserve"> Knowledge passed down through generations of pukenga (experts) speak to this. </w:t>
      </w:r>
    </w:p>
    <w:p w14:paraId="215A76B0" w14:textId="28DB752F" w:rsidR="00FE4E56" w:rsidRPr="004A0212" w:rsidRDefault="00FE4E56" w:rsidP="007D73A6">
      <w:pPr>
        <w:pStyle w:val="AllNumbparas"/>
      </w:pPr>
      <w:r w:rsidRPr="004A0212">
        <w:t xml:space="preserve">Early written material about care within Māori society has also been collected and published by non-Māori </w:t>
      </w:r>
      <w:r w:rsidRPr="004A0212">
        <w:rPr>
          <w:color w:val="000000" w:themeColor="text1"/>
        </w:rPr>
        <w:t xml:space="preserve">academics and researchers who studied and often lived with Māori communities. </w:t>
      </w:r>
      <w:r w:rsidRPr="004A0212">
        <w:rPr>
          <w:rStyle w:val="normaltextrun"/>
          <w:color w:val="000000" w:themeColor="text1"/>
        </w:rPr>
        <w:t>Many European traders and missionaries recorded observations in the early 19</w:t>
      </w:r>
      <w:r w:rsidRPr="004A0212">
        <w:rPr>
          <w:rStyle w:val="normaltextrun"/>
          <w:color w:val="000000" w:themeColor="text1"/>
          <w:vertAlign w:val="superscript"/>
        </w:rPr>
        <w:t>th</w:t>
      </w:r>
      <w:r w:rsidRPr="004A0212">
        <w:rPr>
          <w:rStyle w:val="normaltextrun"/>
          <w:color w:val="000000" w:themeColor="text1"/>
        </w:rPr>
        <w:t xml:space="preserve"> century of the loving care given to pēpi (babies) and tamariki by parents and other adults. </w:t>
      </w:r>
      <w:r w:rsidRPr="004A0212">
        <w:rPr>
          <w:color w:val="000000" w:themeColor="text1"/>
        </w:rPr>
        <w:t xml:space="preserve">Māori </w:t>
      </w:r>
      <w:r w:rsidRPr="004A0212">
        <w:t>fathers were nurturers and caregivers of young children in M</w:t>
      </w:r>
      <w:r w:rsidRPr="004A0212">
        <w:rPr>
          <w:rStyle w:val="normaltextrun"/>
          <w:color w:val="000000"/>
        </w:rPr>
        <w:t>ā</w:t>
      </w:r>
      <w:r w:rsidRPr="004A0212">
        <w:t xml:space="preserve">ori society. Reverend </w:t>
      </w:r>
      <w:r w:rsidRPr="004A0212">
        <w:rPr>
          <w:rStyle w:val="normaltextrun"/>
          <w:color w:val="000000"/>
        </w:rPr>
        <w:t>Samuel Marsden observed in 1814 that Māori were “kind to their women and children. I never observed a mark of violence on any of them”.</w:t>
      </w:r>
      <w:r w:rsidRPr="004A0212">
        <w:rPr>
          <w:rStyle w:val="StyleFootnoteReferenceFagoFunotenzeichenFagoFunotenzeichen"/>
        </w:rPr>
        <w:endnoteReference w:id="7"/>
      </w:r>
      <w:r w:rsidRPr="004A0212">
        <w:rPr>
          <w:rStyle w:val="normaltextrun"/>
          <w:color w:val="000000"/>
        </w:rPr>
        <w:t xml:space="preserve"> T</w:t>
      </w:r>
      <w:r w:rsidRPr="004A0212">
        <w:t>rader Joel Polack noted that “the [Māori] father is devotedly fond of his children, they are his pride, his boast, and peculiar delight”.</w:t>
      </w:r>
      <w:r w:rsidRPr="004A0212">
        <w:rPr>
          <w:rStyle w:val="StyleFootnoteReferenceFagoFunotenzeichenFagoFunotenzeichen"/>
        </w:rPr>
        <w:endnoteReference w:id="8"/>
      </w:r>
      <w:r w:rsidRPr="004A0212">
        <w:t xml:space="preserve"> </w:t>
      </w:r>
    </w:p>
    <w:p w14:paraId="26880E56" w14:textId="41740D76" w:rsidR="00FE4E56" w:rsidRPr="004A0212" w:rsidRDefault="00FE4E56" w:rsidP="007D73A6">
      <w:pPr>
        <w:pStyle w:val="AllNumbparas"/>
      </w:pPr>
      <w:r w:rsidRPr="004A0212">
        <w:t>Dr Edward Shortland, a colonial administrator and interpreter,</w:t>
      </w:r>
      <w:r w:rsidRPr="004A0212">
        <w:rPr>
          <w:rStyle w:val="StyleFootnoteReferenceFagoFunotenzeichenFagoFunotenzeichen"/>
        </w:rPr>
        <w:endnoteReference w:id="9"/>
      </w:r>
      <w:r w:rsidRPr="004A0212">
        <w:t xml:space="preserve"> observed in the 1840s that “a parent is seldom seen to chastise his child, especially in families of rank”.</w:t>
      </w:r>
      <w:r w:rsidRPr="004A0212">
        <w:rPr>
          <w:rStyle w:val="StyleFootnoteReferenceFagoFunotenzeichenFagoFunotenzeichen"/>
        </w:rPr>
        <w:endnoteReference w:id="10"/>
      </w:r>
      <w:r w:rsidRPr="004A0212">
        <w:t xml:space="preserve"> Practices associated with tikanga Māori concepts including tapu, mana, utu and muru helped influence</w:t>
      </w:r>
      <w:r w:rsidRPr="004A0212" w:rsidDel="00A97A14">
        <w:t xml:space="preserve"> </w:t>
      </w:r>
      <w:r w:rsidRPr="004A0212">
        <w:t xml:space="preserve">behaviour. </w:t>
      </w:r>
    </w:p>
    <w:p w14:paraId="4C9ACF42" w14:textId="77777777" w:rsidR="00FE4E56" w:rsidRPr="004A0212" w:rsidRDefault="00FE4E56" w:rsidP="007D73A6">
      <w:pPr>
        <w:pStyle w:val="AllNumbparas"/>
      </w:pPr>
      <w:r w:rsidRPr="004A0212">
        <w:t>Dr Shortland observed that, were a parent to physically punish a child, a relative would probably interfere to protect the child “and seek satisfaction for the injury inflicted on the child by seizing some of the pigs or other property”.</w:t>
      </w:r>
      <w:r w:rsidRPr="004A0212">
        <w:rPr>
          <w:rStyle w:val="StyleFootnoteReferenceFagoFunotenzeichenFagoFunotenzeichen"/>
        </w:rPr>
        <w:endnoteReference w:id="11"/>
      </w:r>
      <w:r w:rsidRPr="004A0212">
        <w:t xml:space="preserve"> </w:t>
      </w:r>
    </w:p>
    <w:p w14:paraId="5F0E80E5" w14:textId="2C08C332" w:rsidR="00FE4E56" w:rsidRPr="004A0212" w:rsidRDefault="00FE4E56" w:rsidP="00B1238B">
      <w:pPr>
        <w:pStyle w:val="Heading3"/>
        <w:rPr>
          <w:rFonts w:cs="Arial"/>
        </w:rPr>
      </w:pPr>
      <w:bookmarkStart w:id="38" w:name="_Toc2098737840"/>
      <w:bookmarkStart w:id="39" w:name="_Toc150933074"/>
      <w:bookmarkStart w:id="40" w:name="_Toc150953391"/>
      <w:bookmarkStart w:id="41" w:name="_Toc181084750"/>
      <w:r w:rsidRPr="004A0212">
        <w:rPr>
          <w:rFonts w:cs="Arial"/>
        </w:rPr>
        <w:t>Ngā waiaro me ngā rautaki o te Māori ki te hauora me te whaikaha</w:t>
      </w:r>
      <w:bookmarkEnd w:id="38"/>
      <w:bookmarkEnd w:id="41"/>
      <w:r w:rsidRPr="004A0212">
        <w:rPr>
          <w:rFonts w:cs="Arial"/>
        </w:rPr>
        <w:t xml:space="preserve"> </w:t>
      </w:r>
    </w:p>
    <w:p w14:paraId="7D430AB9" w14:textId="74CC5CBC" w:rsidR="00FE4E56" w:rsidRPr="004A0212" w:rsidRDefault="00FE4E56" w:rsidP="00B1238B">
      <w:pPr>
        <w:pStyle w:val="Heading3"/>
        <w:rPr>
          <w:rFonts w:cs="Arial"/>
        </w:rPr>
      </w:pPr>
      <w:bookmarkStart w:id="42" w:name="_Toc1636088483"/>
      <w:bookmarkStart w:id="43" w:name="_Toc181084751"/>
      <w:r w:rsidRPr="004A0212">
        <w:rPr>
          <w:rFonts w:cs="Arial"/>
        </w:rPr>
        <w:t>Māori attitudes and approaches to health and disability</w:t>
      </w:r>
      <w:bookmarkEnd w:id="39"/>
      <w:bookmarkEnd w:id="40"/>
      <w:bookmarkEnd w:id="42"/>
      <w:bookmarkEnd w:id="43"/>
    </w:p>
    <w:p w14:paraId="41B3F54B" w14:textId="7FAC1C35" w:rsidR="00FE4E56" w:rsidRPr="004A0212" w:rsidRDefault="00FE4E56" w:rsidP="007D73A6">
      <w:pPr>
        <w:pStyle w:val="AllNumbparas"/>
        <w:rPr>
          <w:rFonts w:eastAsia="Georgia Pro"/>
          <w:lang w:eastAsia="en-GB"/>
        </w:rPr>
      </w:pPr>
      <w:r w:rsidRPr="004A0212">
        <w:t xml:space="preserve">Traditional Māori attitudes to hauora (health and wellness) had multiple dimensions, including hauora hinengaro (mental health and wellbeing), hauora tinana (physical health and wellbeing), hauora whānau (family health and wellbeing) and connection to whenua (land). </w:t>
      </w:r>
    </w:p>
    <w:p w14:paraId="10D72633" w14:textId="77777777" w:rsidR="00FE4E56" w:rsidRDefault="00FE4E56">
      <w:pPr>
        <w:keepLines w:val="0"/>
        <w:rPr>
          <w:rFonts w:ascii="Arial" w:eastAsia="Calibri" w:hAnsi="Arial" w:cs="Arial"/>
          <w:bCs/>
          <w:color w:val="222222"/>
          <w:sz w:val="22"/>
          <w:szCs w:val="22"/>
          <w:shd w:val="clear" w:color="auto" w:fill="FFFFFF"/>
        </w:rPr>
      </w:pPr>
      <w:r>
        <w:br w:type="page"/>
      </w:r>
    </w:p>
    <w:p w14:paraId="4438FE67" w14:textId="53D0EB13" w:rsidR="00FE4E56" w:rsidRPr="004A0212" w:rsidRDefault="00FE4E56" w:rsidP="00A83810">
      <w:pPr>
        <w:pStyle w:val="AllNumbparas"/>
      </w:pPr>
      <w:r w:rsidRPr="004A0212">
        <w:lastRenderedPageBreak/>
        <w:t>Wellness required a state of balance in all spiritual aspects of a person, including their tapu, mana, mauri and wairua. Traditional Māori healing operated within this broader holistic context. Tohunga (expert, healer)</w:t>
      </w:r>
      <w:r w:rsidRPr="004A0212">
        <w:rPr>
          <w:lang w:eastAsia="en-GB"/>
        </w:rPr>
        <w:t xml:space="preserve"> addressed</w:t>
      </w:r>
      <w:r w:rsidRPr="004A0212">
        <w:rPr>
          <w:rFonts w:eastAsia="Georgia Pro"/>
          <w:lang w:eastAsia="en-GB"/>
        </w:rPr>
        <w:t xml:space="preserve"> the root cause and the symptoms rather than trying to treat a single underlying cause.</w:t>
      </w:r>
      <w:r w:rsidRPr="004A0212">
        <w:rPr>
          <w:rStyle w:val="StyleFootnoteReferenceFagoFunotenzeichenFagoFunotenzeichen"/>
        </w:rPr>
        <w:endnoteReference w:id="12"/>
      </w:r>
      <w:r w:rsidRPr="004A0212">
        <w:rPr>
          <w:rFonts w:eastAsia="Georgia Pro"/>
          <w:lang w:eastAsia="en-GB"/>
        </w:rPr>
        <w:t xml:space="preserve"> </w:t>
      </w:r>
    </w:p>
    <w:p w14:paraId="216C1A18" w14:textId="43D677F2" w:rsidR="00FE4E56" w:rsidRPr="004A0212" w:rsidRDefault="00FE4E56" w:rsidP="007D73A6">
      <w:pPr>
        <w:pStyle w:val="AllNumbparas"/>
      </w:pPr>
      <w:r w:rsidRPr="004A0212">
        <w:t>The Western medical concept of disability had no equivalent within te ao Māori (the Māori world).</w:t>
      </w:r>
      <w:r w:rsidRPr="004A0212">
        <w:rPr>
          <w:rStyle w:val="StyleFootnoteReferenceFagoFunotenzeichenFagoFunotenzeichen"/>
        </w:rPr>
        <w:endnoteReference w:id="13"/>
      </w:r>
      <w:r w:rsidRPr="004A0212">
        <w:t xml:space="preserve"> For example, Māori oral histories suggest that being kāpō (blind) was seen not as a disability but a source of greatness or special power to be shared with their hapū.</w:t>
      </w:r>
      <w:r w:rsidRPr="004A0212">
        <w:rPr>
          <w:rStyle w:val="StyleFootnoteReferenceFagoFunotenzeichenFagoFunotenzeichen"/>
        </w:rPr>
        <w:endnoteReference w:id="14"/>
      </w:r>
      <w:r w:rsidRPr="004A0212">
        <w:t xml:space="preserve"> There is limited evidence about attitudes to disability and Deafness in te ao tawhito (the ancient Māori world).</w:t>
      </w:r>
      <w:r w:rsidRPr="004A0212">
        <w:rPr>
          <w:rStyle w:val="StyleFootnoteReferenceFagoFunotenzeichenFagoFunotenzeichen"/>
        </w:rPr>
        <w:endnoteReference w:id="15"/>
      </w:r>
      <w:r w:rsidRPr="004A0212">
        <w:t xml:space="preserve"> Tāngata Turi Māori likely experienced limited but functional participation in Māori society pre-colonisation.</w:t>
      </w:r>
    </w:p>
    <w:p w14:paraId="3CCC7995" w14:textId="4B31D233" w:rsidR="00FE4E56" w:rsidRPr="004A0212" w:rsidRDefault="00FE4E56" w:rsidP="007D73A6">
      <w:pPr>
        <w:pStyle w:val="AllNumbparas"/>
      </w:pPr>
      <w:r w:rsidRPr="004A0212">
        <w:t>The arrival of European missionaries and settlers disrupted Māori systems of health and wellbeing.</w:t>
      </w:r>
      <w:r w:rsidRPr="004A0212">
        <w:rPr>
          <w:rStyle w:val="StyleFootnoteReferenceFagoFunotenzeichenFagoFunotenzeichen"/>
        </w:rPr>
        <w:endnoteReference w:id="16"/>
      </w:r>
      <w:r w:rsidRPr="004A0212">
        <w:t xml:space="preserve"> </w:t>
      </w:r>
    </w:p>
    <w:p w14:paraId="42B14DF7" w14:textId="77777777" w:rsidR="00FE4E56" w:rsidRPr="004A0212" w:rsidRDefault="00FE4E56" w:rsidP="00275C3E">
      <w:pPr>
        <w:pStyle w:val="Heading3"/>
        <w:rPr>
          <w:rFonts w:cs="Arial"/>
        </w:rPr>
      </w:pPr>
      <w:bookmarkStart w:id="44" w:name="_Toc161318951"/>
      <w:bookmarkStart w:id="45" w:name="_Toc150933075"/>
      <w:bookmarkStart w:id="46" w:name="_Toc150953392"/>
      <w:bookmarkStart w:id="47" w:name="_Toc181084752"/>
      <w:r w:rsidRPr="004A0212">
        <w:rPr>
          <w:rFonts w:cs="Arial"/>
        </w:rPr>
        <w:t>Ngā waiaro o te Māori ki te iatanga me te hemahematanga</w:t>
      </w:r>
      <w:bookmarkEnd w:id="44"/>
      <w:bookmarkEnd w:id="47"/>
      <w:r w:rsidRPr="004A0212">
        <w:rPr>
          <w:rFonts w:cs="Arial"/>
        </w:rPr>
        <w:t xml:space="preserve"> </w:t>
      </w:r>
    </w:p>
    <w:p w14:paraId="1AFA7C0A" w14:textId="3B33863B" w:rsidR="00FE4E56" w:rsidRPr="004A0212" w:rsidRDefault="00FE4E56" w:rsidP="00275C3E">
      <w:pPr>
        <w:pStyle w:val="Heading3"/>
        <w:rPr>
          <w:rFonts w:cs="Arial"/>
        </w:rPr>
      </w:pPr>
      <w:bookmarkStart w:id="48" w:name="_Toc973359718"/>
      <w:bookmarkStart w:id="49" w:name="_Toc181084753"/>
      <w:r w:rsidRPr="004A0212">
        <w:rPr>
          <w:rFonts w:cs="Arial"/>
        </w:rPr>
        <w:t>Māori attitudes towards gender and sexuality</w:t>
      </w:r>
      <w:bookmarkEnd w:id="45"/>
      <w:bookmarkEnd w:id="46"/>
      <w:bookmarkEnd w:id="48"/>
      <w:bookmarkEnd w:id="49"/>
    </w:p>
    <w:p w14:paraId="167545C8" w14:textId="10A55DB6" w:rsidR="00FE4E56" w:rsidRPr="004A0212" w:rsidRDefault="00FE4E56" w:rsidP="007D73A6">
      <w:pPr>
        <w:pStyle w:val="AllNumbparas"/>
      </w:pPr>
      <w:r w:rsidRPr="004A0212">
        <w:t>Before colonisation, both Māori men and women were regarded as essential parts of the collective whole, with evidence of fluid conceptions of gender and sexuality in pre-colonial Māori society.</w:t>
      </w:r>
      <w:r w:rsidRPr="004A0212">
        <w:rPr>
          <w:rStyle w:val="StyleFootnoteReferenceFagoFunotenzeichenFagoFunotenzeichen"/>
        </w:rPr>
        <w:endnoteReference w:id="17"/>
      </w:r>
      <w:r w:rsidRPr="004A0212">
        <w:t xml:space="preserve"> </w:t>
      </w:r>
    </w:p>
    <w:p w14:paraId="04D7F086" w14:textId="062B6159" w:rsidR="00FE4E56" w:rsidRPr="004A0212" w:rsidRDefault="00FE4E56" w:rsidP="00577119">
      <w:pPr>
        <w:pStyle w:val="AllNumbparas"/>
      </w:pPr>
      <w:r w:rsidRPr="004A0212">
        <w:t>Ancestral names could be gender neutral, emphasising the importance of whakapapa rather than gender. Sexual expression was integrated into various aspects of life, both spiritual and social, and was regularly discussed and depicted in carvings.  Additionally, relationships of a sexual nature served as a means to strengthen and forge alliances and relationships.</w:t>
      </w:r>
      <w:r w:rsidRPr="004A0212">
        <w:rPr>
          <w:rStyle w:val="StyleFootnoteReferenceFagoFunotenzeichenFagoFunotenzeichen"/>
        </w:rPr>
        <w:endnoteReference w:id="18"/>
      </w:r>
    </w:p>
    <w:p w14:paraId="0F25AD3A" w14:textId="77777777" w:rsidR="00FE4E56" w:rsidRDefault="00FE4E56">
      <w:pPr>
        <w:keepLines w:val="0"/>
        <w:rPr>
          <w:rFonts w:ascii="Arial" w:hAnsi="Arial" w:cs="Arial"/>
          <w:b/>
          <w:bCs/>
          <w:color w:val="3B5D1E" w:themeColor="accent4" w:themeShade="BF"/>
          <w:szCs w:val="28"/>
        </w:rPr>
      </w:pPr>
      <w:bookmarkStart w:id="50" w:name="_Toc702224245"/>
      <w:bookmarkStart w:id="51" w:name="_Toc150933076"/>
      <w:bookmarkStart w:id="52" w:name="_Toc150953393"/>
      <w:r>
        <w:rPr>
          <w:rFonts w:cs="Arial"/>
        </w:rPr>
        <w:br w:type="page"/>
      </w:r>
    </w:p>
    <w:p w14:paraId="1115EA9D" w14:textId="7A46F4AE" w:rsidR="00FE4E56" w:rsidRPr="004A0212" w:rsidRDefault="00FE4E56" w:rsidP="00282055">
      <w:pPr>
        <w:pStyle w:val="Heading2"/>
      </w:pPr>
      <w:bookmarkStart w:id="53" w:name="_Toc181084754"/>
      <w:r w:rsidRPr="004A0212">
        <w:lastRenderedPageBreak/>
        <w:t>Ngā waiaro o ngā iwi Pasifika ki te taurimatanga</w:t>
      </w:r>
      <w:bookmarkEnd w:id="50"/>
      <w:bookmarkEnd w:id="53"/>
      <w:r w:rsidRPr="004A0212">
        <w:t xml:space="preserve"> </w:t>
      </w:r>
    </w:p>
    <w:p w14:paraId="250E1C20" w14:textId="0AE86922" w:rsidR="00FE4E56" w:rsidRPr="004A0212" w:rsidRDefault="00FE4E56" w:rsidP="00282055">
      <w:pPr>
        <w:pStyle w:val="Heading2"/>
      </w:pPr>
      <w:bookmarkStart w:id="54" w:name="_Toc1061099671"/>
      <w:bookmarkStart w:id="55" w:name="_Toc181084755"/>
      <w:r w:rsidRPr="004A0212">
        <w:t>Pacific Peoples’ attitudes to care</w:t>
      </w:r>
      <w:bookmarkEnd w:id="51"/>
      <w:bookmarkEnd w:id="52"/>
      <w:bookmarkEnd w:id="54"/>
      <w:bookmarkEnd w:id="55"/>
    </w:p>
    <w:p w14:paraId="69D6EE7A" w14:textId="17E4C2FD" w:rsidR="00FE4E56" w:rsidRPr="004A0212" w:rsidRDefault="00FE4E56" w:rsidP="00314268">
      <w:pPr>
        <w:pStyle w:val="Heading3"/>
      </w:pPr>
      <w:bookmarkStart w:id="56" w:name="_Toc118315230"/>
      <w:bookmarkStart w:id="57" w:name="_Toc120716288"/>
      <w:bookmarkStart w:id="58" w:name="_Toc147935395"/>
      <w:bookmarkStart w:id="59" w:name="_Toc148443576"/>
      <w:bookmarkStart w:id="60" w:name="_Toc150933078"/>
      <w:bookmarkStart w:id="61" w:name="_Toc150953395"/>
      <w:bookmarkStart w:id="62" w:name="_Toc164252021"/>
      <w:bookmarkStart w:id="63" w:name="_Toc117001328"/>
      <w:bookmarkStart w:id="64" w:name="_Toc181084756"/>
      <w:r w:rsidRPr="004A0212">
        <w:t xml:space="preserve">Ngā tikanga </w:t>
      </w:r>
      <w:r w:rsidRPr="000C0692">
        <w:t>o ngā iwi Paskifika ki te</w:t>
      </w:r>
      <w:r w:rsidRPr="004A0212">
        <w:t xml:space="preserve"> whakatipu tamariki</w:t>
      </w:r>
      <w:bookmarkEnd w:id="64"/>
      <w:r w:rsidRPr="004A0212">
        <w:t xml:space="preserve">  </w:t>
      </w:r>
    </w:p>
    <w:p w14:paraId="173B923D" w14:textId="28769FA3" w:rsidR="00FE4E56" w:rsidRPr="004A0212" w:rsidRDefault="00FE4E56" w:rsidP="00314268">
      <w:pPr>
        <w:pStyle w:val="Heading3"/>
        <w:rPr>
          <w:rFonts w:cs="Arial"/>
        </w:rPr>
      </w:pPr>
      <w:bookmarkStart w:id="65" w:name="_Toc181084757"/>
      <w:r w:rsidRPr="004A0212">
        <w:rPr>
          <w:rFonts w:cs="Arial"/>
        </w:rPr>
        <w:t>Pacific</w:t>
      </w:r>
      <w:bookmarkEnd w:id="56"/>
      <w:bookmarkEnd w:id="57"/>
      <w:bookmarkEnd w:id="58"/>
      <w:bookmarkEnd w:id="59"/>
      <w:bookmarkEnd w:id="60"/>
      <w:bookmarkEnd w:id="61"/>
      <w:r w:rsidRPr="004A0212">
        <w:rPr>
          <w:rFonts w:cs="Arial"/>
        </w:rPr>
        <w:t xml:space="preserve"> models of parenting</w:t>
      </w:r>
      <w:bookmarkEnd w:id="62"/>
      <w:bookmarkEnd w:id="65"/>
    </w:p>
    <w:p w14:paraId="6365ECF3" w14:textId="2FB7286A" w:rsidR="00FE4E56" w:rsidRPr="004A0212" w:rsidRDefault="00FE4E56" w:rsidP="007D73A6">
      <w:pPr>
        <w:pStyle w:val="AllNumbparas"/>
      </w:pPr>
      <w:r w:rsidRPr="004A0212">
        <w:t>Pacific cultures treated infants with attention and understanding. Raising children was a collective effort. “Parents are fairly remote figures to young children, and they are not necessarily the ultimate authority figures; older members of the household may be.”</w:t>
      </w:r>
      <w:r w:rsidRPr="004A0212">
        <w:rPr>
          <w:rStyle w:val="StyleFootnoteReferenceFagoFunotenzeichenFagoFunotenzeichen"/>
        </w:rPr>
        <w:endnoteReference w:id="19"/>
      </w:r>
      <w:r w:rsidRPr="004A0212">
        <w:t xml:space="preserve"> This included older siblings who could play a significant role in raising children.</w:t>
      </w:r>
      <w:r w:rsidRPr="004A0212">
        <w:rPr>
          <w:rStyle w:val="StyleFootnoteReferenceFagoFunotenzeichenFagoFunotenzeichen"/>
        </w:rPr>
        <w:endnoteReference w:id="20"/>
      </w:r>
      <w:r w:rsidRPr="004A0212">
        <w:t xml:space="preserve"> </w:t>
      </w:r>
    </w:p>
    <w:p w14:paraId="5840085B" w14:textId="200CC048" w:rsidR="00FE4E56" w:rsidRPr="004A0212" w:rsidRDefault="00FE4E56" w:rsidP="007D73A6">
      <w:pPr>
        <w:pStyle w:val="AllNumbparas"/>
      </w:pPr>
      <w:r w:rsidRPr="004A0212">
        <w:t>Children were expected to learn their place in the family and in the community. They learned through observing and listening to others. Through this learning, children would mature to “assume responsibility” and to be contributors to the collective.</w:t>
      </w:r>
      <w:r w:rsidRPr="004A0212">
        <w:rPr>
          <w:rStyle w:val="StyleFootnoteReferenceFagoFunotenzeichenFagoFunotenzeichen"/>
        </w:rPr>
        <w:endnoteReference w:id="21"/>
      </w:r>
      <w:r w:rsidRPr="004A0212">
        <w:rPr>
          <w:vertAlign w:val="superscript"/>
        </w:rPr>
        <w:t xml:space="preserve"> </w:t>
      </w:r>
      <w:r w:rsidRPr="004A0212">
        <w:t>Part of this responsibility was learning the importance of service, and it was “widely understood that one’s existence is to honour, serve and protect their family.”</w:t>
      </w:r>
      <w:r w:rsidRPr="004A0212">
        <w:rPr>
          <w:rStyle w:val="StyleFootnoteReferenceFagoFunotenzeichenFagoFunotenzeichen"/>
        </w:rPr>
        <w:endnoteReference w:id="22"/>
      </w:r>
      <w:r w:rsidRPr="004A0212">
        <w:rPr>
          <w:vertAlign w:val="superscript"/>
        </w:rPr>
        <w:t xml:space="preserve"> </w:t>
      </w:r>
    </w:p>
    <w:p w14:paraId="257D6427" w14:textId="151B41C5" w:rsidR="00FE4E56" w:rsidRPr="004A0212" w:rsidRDefault="00FE4E56" w:rsidP="00EC3886">
      <w:pPr>
        <w:pStyle w:val="Heading3"/>
        <w:rPr>
          <w:rFonts w:cs="Arial"/>
        </w:rPr>
      </w:pPr>
      <w:bookmarkStart w:id="67" w:name="_Toc479155240"/>
      <w:bookmarkStart w:id="68" w:name="_Toc118315231"/>
      <w:bookmarkStart w:id="69" w:name="_Toc120716289"/>
      <w:bookmarkStart w:id="70" w:name="_Toc147935418"/>
      <w:bookmarkStart w:id="71" w:name="_Toc148443602"/>
      <w:bookmarkStart w:id="72" w:name="_Toc150933079"/>
      <w:bookmarkStart w:id="73" w:name="_Toc150953396"/>
      <w:bookmarkStart w:id="74" w:name="_Toc181084758"/>
      <w:bookmarkEnd w:id="63"/>
      <w:r w:rsidRPr="004A0212">
        <w:rPr>
          <w:rFonts w:cs="Arial"/>
        </w:rPr>
        <w:t xml:space="preserve">Ngā </w:t>
      </w:r>
      <w:r w:rsidRPr="000C0692">
        <w:rPr>
          <w:rFonts w:cs="Arial"/>
        </w:rPr>
        <w:t>waia</w:t>
      </w:r>
      <w:r>
        <w:rPr>
          <w:rFonts w:cs="Arial"/>
        </w:rPr>
        <w:t>r</w:t>
      </w:r>
      <w:r w:rsidRPr="000C0692">
        <w:rPr>
          <w:rFonts w:cs="Arial"/>
        </w:rPr>
        <w:t>o me ngā</w:t>
      </w:r>
      <w:r w:rsidRPr="004A0212">
        <w:rPr>
          <w:rFonts w:cs="Arial"/>
        </w:rPr>
        <w:t xml:space="preserve"> rautaki o ngā iwi Pasifika ki te hauora me te whaikaha</w:t>
      </w:r>
      <w:bookmarkEnd w:id="67"/>
      <w:bookmarkEnd w:id="74"/>
      <w:r w:rsidRPr="004A0212">
        <w:rPr>
          <w:rFonts w:cs="Arial"/>
        </w:rPr>
        <w:t xml:space="preserve"> </w:t>
      </w:r>
    </w:p>
    <w:p w14:paraId="77E091EA" w14:textId="2CBE8EEA" w:rsidR="00FE4E56" w:rsidRPr="004A0212" w:rsidRDefault="00FE4E56" w:rsidP="00EC3886">
      <w:pPr>
        <w:pStyle w:val="Heading3"/>
        <w:rPr>
          <w:rFonts w:cs="Arial"/>
        </w:rPr>
      </w:pPr>
      <w:bookmarkStart w:id="75" w:name="_Toc336456940"/>
      <w:bookmarkStart w:id="76" w:name="_Toc181084759"/>
      <w:r w:rsidRPr="004A0212">
        <w:rPr>
          <w:rFonts w:cs="Arial"/>
        </w:rPr>
        <w:t>Pacific Peoples’ approaches to health and disability</w:t>
      </w:r>
      <w:bookmarkEnd w:id="68"/>
      <w:bookmarkEnd w:id="69"/>
      <w:bookmarkEnd w:id="70"/>
      <w:bookmarkEnd w:id="71"/>
      <w:bookmarkEnd w:id="72"/>
      <w:bookmarkEnd w:id="73"/>
      <w:bookmarkEnd w:id="75"/>
      <w:bookmarkEnd w:id="76"/>
    </w:p>
    <w:p w14:paraId="7D4AAAF3" w14:textId="649606B4" w:rsidR="00FE4E56" w:rsidRPr="004A0212" w:rsidRDefault="00FE4E56" w:rsidP="007D73A6">
      <w:pPr>
        <w:pStyle w:val="AllNumbparas"/>
      </w:pPr>
      <w:r w:rsidRPr="004A0212">
        <w:t>Before colonisation, Pacific cultures did not consider mental illness to come only from within a person. They viewed mental distress as ‘spiritual possession’ caused by the breach of a sacred covenant between people and their gods.</w:t>
      </w:r>
      <w:r w:rsidRPr="004A0212">
        <w:rPr>
          <w:rStyle w:val="StyleFootnoteReferenceFagoFunotenzeichenFagoFunotenzeichen"/>
        </w:rPr>
        <w:endnoteReference w:id="23"/>
      </w:r>
      <w:r w:rsidRPr="004A0212">
        <w:t xml:space="preserve"> </w:t>
      </w:r>
    </w:p>
    <w:p w14:paraId="302CE437" w14:textId="71472387" w:rsidR="00FE4E56" w:rsidRPr="003F79E7" w:rsidRDefault="00FE4E56" w:rsidP="003F79E7">
      <w:pPr>
        <w:pStyle w:val="AllNumbparas"/>
      </w:pPr>
      <w:r w:rsidRPr="004A0212">
        <w:t>Since colonisation and Christianity, some Pacific attitudes towards disability and mental distress have changed. Christian perspectives tended to see disability as a punishment for sin and this may have influenced Pacific Peoples’ views towards disabled people.</w:t>
      </w:r>
      <w:r w:rsidRPr="004A0212">
        <w:rPr>
          <w:rStyle w:val="StyleFootnoteReferenceFagoFunotenzeichenFagoFunotenzeichen"/>
        </w:rPr>
        <w:endnoteReference w:id="24"/>
      </w:r>
      <w:r w:rsidRPr="004A0212">
        <w:t xml:space="preserve"> </w:t>
      </w:r>
      <w:r w:rsidRPr="004A0212">
        <w:rPr>
          <w:rStyle w:val="normaltextrun"/>
          <w:rFonts w:eastAsia="Times New Roman"/>
        </w:rPr>
        <w:t>Pacific disabled people can face discriminatory attitudes from people within their own communities, attitudes that are based on beliefs in divine punishment, and breaches of tapu.</w:t>
      </w:r>
      <w:r w:rsidRPr="004A0212">
        <w:rPr>
          <w:rStyle w:val="StyleFootnoteReferenceFagoFunotenzeichenFagoFunotenzeichen"/>
        </w:rPr>
        <w:endnoteReference w:id="25"/>
      </w:r>
      <w:r w:rsidRPr="004A0212">
        <w:rPr>
          <w:rStyle w:val="normaltextrun"/>
          <w:rFonts w:eastAsia="Times New Roman"/>
        </w:rPr>
        <w:t xml:space="preserve"> These beliefs express themselves in attitudes of cultural stigma and shame.</w:t>
      </w:r>
      <w:r w:rsidRPr="004A0212">
        <w:rPr>
          <w:rStyle w:val="StyleFootnoteReferenceFagoFunotenzeichenFagoFunotenzeichen"/>
        </w:rPr>
        <w:endnoteReference w:id="26"/>
      </w:r>
    </w:p>
    <w:p w14:paraId="27913531" w14:textId="045446CD" w:rsidR="00FE4E56" w:rsidRPr="004A0212" w:rsidRDefault="00FE4E56" w:rsidP="007D73A6">
      <w:pPr>
        <w:pStyle w:val="AllNumbparas"/>
      </w:pPr>
      <w:r w:rsidRPr="004A0212">
        <w:t>Pacific Peoples still see mental distress and disability as not just a medical issue with a physical cause but as an inseparable part of overall wellbeing involving “body, soul and spirit”.</w:t>
      </w:r>
      <w:r w:rsidRPr="004A0212">
        <w:rPr>
          <w:rStyle w:val="StyleFootnoteReferenceFagoFunotenzeichenFagoFunotenzeichen"/>
        </w:rPr>
        <w:endnoteReference w:id="27"/>
      </w:r>
      <w:r w:rsidRPr="004A0212">
        <w:t xml:space="preserve"> </w:t>
      </w:r>
    </w:p>
    <w:p w14:paraId="73BB205A" w14:textId="77777777" w:rsidR="000702B8" w:rsidRDefault="000702B8">
      <w:pPr>
        <w:keepLines w:val="0"/>
        <w:rPr>
          <w:rFonts w:ascii="Arial" w:hAnsi="Arial" w:cs="Helvetica"/>
          <w:b/>
          <w:bCs/>
          <w:color w:val="3B5D1E" w:themeColor="accent4" w:themeShade="BF"/>
          <w:sz w:val="28"/>
          <w:szCs w:val="28"/>
        </w:rPr>
      </w:pPr>
      <w:bookmarkStart w:id="77" w:name="_Toc1329880185"/>
      <w:bookmarkStart w:id="78" w:name="_Toc150933080"/>
      <w:bookmarkStart w:id="79" w:name="_Toc150953397"/>
      <w:r>
        <w:br w:type="page"/>
      </w:r>
    </w:p>
    <w:p w14:paraId="2F9F9889" w14:textId="512AD85C" w:rsidR="00FE4E56" w:rsidRPr="004A0212" w:rsidRDefault="00FE4E56" w:rsidP="00282055">
      <w:pPr>
        <w:pStyle w:val="Heading2"/>
      </w:pPr>
      <w:bookmarkStart w:id="80" w:name="_Toc181084760"/>
      <w:r w:rsidRPr="004A0212">
        <w:lastRenderedPageBreak/>
        <w:t>Ngā waiaro o ngā iwi manene ki te taurimatanga</w:t>
      </w:r>
      <w:bookmarkEnd w:id="77"/>
      <w:bookmarkEnd w:id="80"/>
      <w:r w:rsidRPr="004A0212">
        <w:t xml:space="preserve"> </w:t>
      </w:r>
    </w:p>
    <w:p w14:paraId="03CA3006" w14:textId="0DF94A2F" w:rsidR="00FE4E56" w:rsidRPr="004A0212" w:rsidRDefault="00FE4E56" w:rsidP="00282055">
      <w:pPr>
        <w:pStyle w:val="Heading2"/>
      </w:pPr>
      <w:bookmarkStart w:id="81" w:name="_Toc609527417"/>
      <w:bookmarkStart w:id="82" w:name="_Toc181084761"/>
      <w:r w:rsidRPr="004A0212">
        <w:t>Settlers’ attitudes towards care</w:t>
      </w:r>
      <w:bookmarkEnd w:id="78"/>
      <w:bookmarkEnd w:id="79"/>
      <w:bookmarkEnd w:id="81"/>
      <w:bookmarkEnd w:id="82"/>
    </w:p>
    <w:p w14:paraId="085915BD" w14:textId="772DC9E3" w:rsidR="00FE4E56" w:rsidRPr="004A0212" w:rsidRDefault="00FE4E56" w:rsidP="00057490">
      <w:pPr>
        <w:pStyle w:val="AllNumbparas"/>
      </w:pPr>
      <w:r w:rsidRPr="004A0212">
        <w:t>Europeans came to Aotearoa New Zealand in four main waves in the 19</w:t>
      </w:r>
      <w:r w:rsidRPr="004A0212">
        <w:rPr>
          <w:vertAlign w:val="superscript"/>
        </w:rPr>
        <w:t>th</w:t>
      </w:r>
      <w:r w:rsidRPr="004A0212">
        <w:t xml:space="preserve"> century. Before 1840, European settlement had consisted of small numbers of missionaries, whalers, traders and some government officials. After 1840 there were large waves of officials and colonists (land purchasers), people assisted to emigrate by the New Zealand Company and its affiliates, imperial soldiers, and people who came for opportunities such as the goldrush. In the 19</w:t>
      </w:r>
      <w:r w:rsidRPr="004A0212">
        <w:rPr>
          <w:vertAlign w:val="superscript"/>
        </w:rPr>
        <w:t>th</w:t>
      </w:r>
      <w:r w:rsidRPr="004A0212">
        <w:t xml:space="preserve"> century many people left Britain and Ireland to escape worsening economic conditions and social upheaval. Ninety percent of the 500,000 or so people who came to Aotearoa New Zealand from 1840 to 1945 were from Britain and Ireland.</w:t>
      </w:r>
      <w:r w:rsidRPr="004A0212">
        <w:rPr>
          <w:rStyle w:val="StyleFootnoteReferenceFagoFunotenzeichenFagoFunotenzeichen"/>
        </w:rPr>
        <w:endnoteReference w:id="28"/>
      </w:r>
      <w:r w:rsidRPr="004A0212">
        <w:t xml:space="preserve"> They brought beliefs and ways of doing things with them, some of which influenced how care settings developed in Aotearoa New Zealand.</w:t>
      </w:r>
    </w:p>
    <w:p w14:paraId="06251855" w14:textId="7AC337EC" w:rsidR="00FE4E56" w:rsidRPr="004A0212" w:rsidRDefault="00FE4E56" w:rsidP="00057490">
      <w:pPr>
        <w:pStyle w:val="Heading3"/>
      </w:pPr>
      <w:bookmarkStart w:id="83" w:name="_Toc478312630"/>
      <w:bookmarkStart w:id="84" w:name="_Toc150953398"/>
      <w:bookmarkStart w:id="85" w:name="_Toc181084762"/>
      <w:r w:rsidRPr="004A0212">
        <w:t>Te taurima i te hunga e rongo ana i te wairangitanga</w:t>
      </w:r>
      <w:bookmarkEnd w:id="83"/>
      <w:bookmarkEnd w:id="85"/>
    </w:p>
    <w:p w14:paraId="5241E0BB" w14:textId="090B00A9" w:rsidR="00FE4E56" w:rsidRPr="004A0212" w:rsidRDefault="00FE4E56" w:rsidP="00057490">
      <w:pPr>
        <w:pStyle w:val="Heading3"/>
        <w:rPr>
          <w:shd w:val="clear" w:color="auto" w:fill="FFFFFF"/>
        </w:rPr>
      </w:pPr>
      <w:bookmarkStart w:id="86" w:name="_Toc554565786"/>
      <w:bookmarkStart w:id="87" w:name="_Toc181084763"/>
      <w:r w:rsidRPr="004A0212">
        <w:t>Caring for people experiencing mental distress</w:t>
      </w:r>
      <w:bookmarkEnd w:id="84"/>
      <w:bookmarkEnd w:id="86"/>
      <w:bookmarkEnd w:id="87"/>
    </w:p>
    <w:p w14:paraId="5ACFFA99" w14:textId="2DB0573B" w:rsidR="00FE4E56" w:rsidRPr="004A0212" w:rsidRDefault="00FE4E56" w:rsidP="007D73A6">
      <w:pPr>
        <w:pStyle w:val="AllNumbparas"/>
      </w:pPr>
      <w:r w:rsidRPr="004A0212">
        <w:t>Before the mid-18</w:t>
      </w:r>
      <w:r w:rsidRPr="004A0212">
        <w:rPr>
          <w:vertAlign w:val="superscript"/>
        </w:rPr>
        <w:t>th</w:t>
      </w:r>
      <w:r w:rsidRPr="004A0212">
        <w:t xml:space="preserve"> century in Britain, Deaf, disabled people and people experiencing mental distress were part of the community, cared for by a patchwork of family and Christian charity.</w:t>
      </w:r>
      <w:r w:rsidRPr="004A0212">
        <w:rPr>
          <w:rStyle w:val="StyleFootnoteReferenceFagoFunotenzeichenFagoFunotenzeichen"/>
        </w:rPr>
        <w:endnoteReference w:id="29"/>
      </w:r>
      <w:r w:rsidRPr="004A0212">
        <w:t xml:space="preserve"> If they were thought to be a risk to themselves or others they might be cared for in a hospital, or jailed. The State intervened sometimes in the case of landowners experiencing mental distress to protect the land title.</w:t>
      </w:r>
      <w:r w:rsidRPr="004A0212">
        <w:rPr>
          <w:rStyle w:val="StyleFootnoteReferenceFagoFunotenzeichenFagoFunotenzeichen"/>
        </w:rPr>
        <w:endnoteReference w:id="30"/>
      </w:r>
      <w:r w:rsidRPr="004A0212">
        <w:t xml:space="preserve"> </w:t>
      </w:r>
    </w:p>
    <w:p w14:paraId="6D11AAF2" w14:textId="62505C2B" w:rsidR="00FE4E56" w:rsidRPr="004A0212" w:rsidRDefault="00FE4E56" w:rsidP="007D73A6">
      <w:pPr>
        <w:pStyle w:val="AllNumbparas"/>
      </w:pPr>
      <w:r w:rsidRPr="004A0212">
        <w:t>After the dissolution of the monasteries and abbeys that had traditionally provided care, and the enclosures and advances in agricultural technology that led to the loss of labouring jobs, more and more people became dependent on parish relief, moved to towns or formed dispossessed, homeless groups who were seen as a threat to social order. The State responded with more institutional forms of social control such as workhouses and asylums.</w:t>
      </w:r>
      <w:r w:rsidRPr="004A0212">
        <w:rPr>
          <w:rStyle w:val="StyleFootnoteReferenceFagoFunotenzeichenFagoFunotenzeichen"/>
        </w:rPr>
        <w:endnoteReference w:id="31"/>
      </w:r>
      <w:r w:rsidRPr="004A0212">
        <w:t xml:space="preserve"> Outdoor relief (aid delivered to people in their homes) was used until the 19</w:t>
      </w:r>
      <w:r w:rsidRPr="004A0212">
        <w:rPr>
          <w:vertAlign w:val="superscript"/>
        </w:rPr>
        <w:t>th</w:t>
      </w:r>
      <w:r w:rsidRPr="004A0212">
        <w:t xml:space="preserve"> century, when the new Poor Laws focused more on provision of aid through the workhouse.</w:t>
      </w:r>
      <w:r w:rsidRPr="004A0212">
        <w:rPr>
          <w:rStyle w:val="EndnoteReference"/>
        </w:rPr>
        <w:endnoteReference w:id="32"/>
      </w:r>
    </w:p>
    <w:p w14:paraId="634B66B2" w14:textId="4E3EC564" w:rsidR="00FE4E56" w:rsidRPr="004A0212" w:rsidRDefault="00FE4E56" w:rsidP="007D73A6">
      <w:pPr>
        <w:pStyle w:val="AllNumbparas"/>
      </w:pPr>
      <w:r w:rsidRPr="004A0212">
        <w:t>Disruption to social structures from population growth and urbanisation meant that “consequently, while a family-based system of caring for the mad may never have worked especially well, one suspects that by the turn of the [19</w:t>
      </w:r>
      <w:r w:rsidRPr="004A0212">
        <w:rPr>
          <w:vertAlign w:val="superscript"/>
        </w:rPr>
        <w:t>th</w:t>
      </w:r>
      <w:r w:rsidRPr="004A0212">
        <w:t>] century it was likely to have been functioning particularly badly”.</w:t>
      </w:r>
      <w:r w:rsidRPr="004A0212">
        <w:rPr>
          <w:rStyle w:val="StyleFootnoteReferenceFagoFunotenzeichenFagoFunotenzeichen"/>
        </w:rPr>
        <w:endnoteReference w:id="33"/>
      </w:r>
      <w:r w:rsidRPr="004A0212">
        <w:t xml:space="preserve"> </w:t>
      </w:r>
    </w:p>
    <w:p w14:paraId="4C794A4E" w14:textId="0B18BA17" w:rsidR="00FE4E56" w:rsidRPr="004A0212" w:rsidRDefault="00FE4E56" w:rsidP="007D73A6">
      <w:pPr>
        <w:pStyle w:val="AllNumbparas"/>
        <w:rPr>
          <w:rStyle w:val="normaltextrun"/>
        </w:rPr>
      </w:pPr>
      <w:r w:rsidRPr="004A0212">
        <w:t>This carried over into Aotearoa New Zealand. By the end of the 19</w:t>
      </w:r>
      <w:r w:rsidRPr="004A0212">
        <w:rPr>
          <w:vertAlign w:val="superscript"/>
        </w:rPr>
        <w:t>th</w:t>
      </w:r>
      <w:r w:rsidRPr="004A0212">
        <w:t xml:space="preserve"> century, there were gaps in Pākehā extended family networks due to people having fewer extended family members living nearby. This led the Inspector of Lunatic Asylums to complain that many patients </w:t>
      </w:r>
      <w:r w:rsidRPr="004A0212">
        <w:rPr>
          <w:color w:val="000000" w:themeColor="text1"/>
        </w:rPr>
        <w:t>were in the asylums only because they had no one else to look after them.</w:t>
      </w:r>
      <w:r w:rsidRPr="004A0212">
        <w:rPr>
          <w:rStyle w:val="StyleFootnoteReferenceFagoFunotenzeichenFagoFunotenzeichen"/>
        </w:rPr>
        <w:endnoteReference w:id="34"/>
      </w:r>
      <w:r w:rsidRPr="004A0212">
        <w:rPr>
          <w:color w:val="000000" w:themeColor="text1"/>
        </w:rPr>
        <w:t xml:space="preserve"> Th</w:t>
      </w:r>
      <w:r w:rsidRPr="004A0212">
        <w:rPr>
          <w:rStyle w:val="normaltextrun"/>
          <w:color w:val="000000" w:themeColor="text1"/>
        </w:rPr>
        <w:t>e 19</w:t>
      </w:r>
      <w:r w:rsidRPr="004A0212">
        <w:rPr>
          <w:rStyle w:val="normaltextrun"/>
          <w:color w:val="000000" w:themeColor="text1"/>
          <w:vertAlign w:val="superscript"/>
        </w:rPr>
        <w:t>th</w:t>
      </w:r>
      <w:r w:rsidRPr="004A0212">
        <w:rPr>
          <w:rStyle w:val="normaltextrun"/>
          <w:color w:val="000000" w:themeColor="text1"/>
        </w:rPr>
        <w:t xml:space="preserve"> century was also when mental distress began to define a person as an identity.</w:t>
      </w:r>
      <w:r w:rsidRPr="004A0212">
        <w:rPr>
          <w:rStyle w:val="StyleFootnoteReferenceFagoFunotenzeichenFagoFunotenzeichen"/>
        </w:rPr>
        <w:endnoteReference w:id="35"/>
      </w:r>
    </w:p>
    <w:p w14:paraId="478E8C32" w14:textId="77777777" w:rsidR="000702B8" w:rsidRDefault="000702B8">
      <w:pPr>
        <w:keepLines w:val="0"/>
        <w:rPr>
          <w:rFonts w:ascii="Arial" w:eastAsia="Calibri" w:hAnsi="Arial" w:cs="Arial"/>
          <w:bCs/>
          <w:color w:val="222222"/>
          <w:sz w:val="22"/>
          <w:szCs w:val="22"/>
          <w:shd w:val="clear" w:color="auto" w:fill="FFFFFF"/>
        </w:rPr>
      </w:pPr>
      <w:r>
        <w:br w:type="page"/>
      </w:r>
    </w:p>
    <w:p w14:paraId="2195E20E" w14:textId="6CD52237" w:rsidR="00FE4E56" w:rsidRPr="004A0212" w:rsidRDefault="00FE4E56" w:rsidP="007D73A6">
      <w:pPr>
        <w:pStyle w:val="AllNumbparas"/>
      </w:pPr>
      <w:r w:rsidRPr="004A0212">
        <w:lastRenderedPageBreak/>
        <w:t>Awareness of conditions inside early asylums in Aotearoa New Zealand prompted the establishment of some private hospitals for people experiencing mental distress. Ashburn Hall (now Ashburn Clinic), for example, was founded in 1882 “as a humanitarian alternative to state hospital care of the day”.</w:t>
      </w:r>
      <w:r w:rsidRPr="004A0212">
        <w:rPr>
          <w:rStyle w:val="EndnoteReference"/>
        </w:rPr>
        <w:endnoteReference w:id="36"/>
      </w:r>
    </w:p>
    <w:p w14:paraId="05E0572C" w14:textId="66548E4D" w:rsidR="00FE4E56" w:rsidRDefault="00FE4E56" w:rsidP="00C9608A">
      <w:pPr>
        <w:pStyle w:val="Heading3"/>
        <w:rPr>
          <w:rFonts w:cs="Arial"/>
        </w:rPr>
      </w:pPr>
      <w:bookmarkStart w:id="88" w:name="_Toc1544764796"/>
      <w:bookmarkStart w:id="89" w:name="_Toc181084764"/>
      <w:r w:rsidRPr="004A0212">
        <w:rPr>
          <w:rFonts w:cs="Arial"/>
        </w:rPr>
        <w:t>Te taurima tamariki</w:t>
      </w:r>
      <w:bookmarkEnd w:id="89"/>
    </w:p>
    <w:p w14:paraId="37B54A40" w14:textId="053964E5" w:rsidR="00FE4E56" w:rsidRPr="004A0212" w:rsidRDefault="00FE4E56" w:rsidP="00C9608A">
      <w:pPr>
        <w:pStyle w:val="Heading3"/>
        <w:rPr>
          <w:rFonts w:cs="Arial"/>
        </w:rPr>
      </w:pPr>
      <w:bookmarkStart w:id="90" w:name="_Toc181084765"/>
      <w:r w:rsidRPr="004A0212">
        <w:rPr>
          <w:rFonts w:cs="Arial"/>
        </w:rPr>
        <w:t>Caring for children</w:t>
      </w:r>
      <w:bookmarkEnd w:id="88"/>
      <w:bookmarkEnd w:id="90"/>
    </w:p>
    <w:p w14:paraId="4ACD8C48" w14:textId="4EA7B309" w:rsidR="00FE4E56" w:rsidRPr="004A0212" w:rsidRDefault="00FE4E56" w:rsidP="007D73A6">
      <w:pPr>
        <w:pStyle w:val="AllNumbparas"/>
      </w:pPr>
      <w:r w:rsidRPr="004A0212">
        <w:t>The way people cared for children in Britain and Ireland, and the ideas about this they brought with them to Aotearoa New Zealand, were influenced by circumstances such as wealth, class and poverty. Parents loved their children and did what they could to protect them but were sometimes limited in what they could do by wider social and economic conditions.</w:t>
      </w:r>
      <w:r w:rsidRPr="004A0212">
        <w:rPr>
          <w:rStyle w:val="StyleFootnoteReferenceFagoFunotenzeichenFagoFunotenzeichen"/>
        </w:rPr>
        <w:endnoteReference w:id="37"/>
      </w:r>
      <w:r w:rsidRPr="004A0212">
        <w:t xml:space="preserve"> </w:t>
      </w:r>
    </w:p>
    <w:p w14:paraId="3ED5E273" w14:textId="47D6D72F" w:rsidR="00FE4E56" w:rsidRPr="004A0212" w:rsidRDefault="00FE4E56" w:rsidP="000D2F1B">
      <w:pPr>
        <w:pStyle w:val="AllNumbparas"/>
      </w:pPr>
      <w:r w:rsidRPr="004A0212">
        <w:t>Children made an important contribution to the household economy for many working families. Until the middle of the 19</w:t>
      </w:r>
      <w:r w:rsidRPr="004A0212">
        <w:rPr>
          <w:vertAlign w:val="superscript"/>
        </w:rPr>
        <w:t>th</w:t>
      </w:r>
      <w:r w:rsidRPr="004A0212">
        <w:t xml:space="preserve"> century, “children’s lives were dominated not by schooling but by labour”.</w:t>
      </w:r>
      <w:r w:rsidRPr="004A0212">
        <w:rPr>
          <w:rStyle w:val="StyleFootnoteReferenceFagoFunotenzeichenFagoFunotenzeichen"/>
        </w:rPr>
        <w:endnoteReference w:id="38"/>
      </w:r>
      <w:r w:rsidRPr="004A0212">
        <w:t xml:space="preserve"> </w:t>
      </w:r>
    </w:p>
    <w:p w14:paraId="19722A66" w14:textId="38789EB7" w:rsidR="00FE4E56" w:rsidRPr="004A0212" w:rsidRDefault="00FE4E56" w:rsidP="007D73A6">
      <w:pPr>
        <w:pStyle w:val="AllNumbparas"/>
      </w:pPr>
      <w:r w:rsidRPr="004A0212">
        <w:t>The decline in disease had a big impact on childhood and on the child’s place in the family. In 18</w:t>
      </w:r>
      <w:r w:rsidRPr="004A0212">
        <w:rPr>
          <w:vertAlign w:val="superscript"/>
        </w:rPr>
        <w:t>th</w:t>
      </w:r>
      <w:r w:rsidRPr="004A0212">
        <w:t xml:space="preserve"> century Europe, mortality rates before reaching puberty were sometimes as high as 45 percent. As medicine, hygiene and nutrition progressed, parents could afford to focus on emotional and psychological as well as physical wellbeing.</w:t>
      </w:r>
      <w:r w:rsidRPr="004A0212">
        <w:rPr>
          <w:rStyle w:val="StyleFootnoteReferenceFagoFunotenzeichenFagoFunotenzeichen"/>
        </w:rPr>
        <w:endnoteReference w:id="39"/>
      </w:r>
      <w:r w:rsidRPr="004A0212">
        <w:t xml:space="preserve"> </w:t>
      </w:r>
    </w:p>
    <w:p w14:paraId="27C43C5B" w14:textId="3738C0F8" w:rsidR="00FE4E56" w:rsidRPr="004A0212" w:rsidRDefault="00FE4E56" w:rsidP="007D73A6">
      <w:pPr>
        <w:pStyle w:val="AllNumbparas"/>
      </w:pPr>
      <w:r w:rsidRPr="004A0212">
        <w:t>A belief in the possibility of childhood for all children emerged in the 18</w:t>
      </w:r>
      <w:r w:rsidRPr="004A0212">
        <w:rPr>
          <w:vertAlign w:val="superscript"/>
        </w:rPr>
        <w:t>th</w:t>
      </w:r>
      <w:r w:rsidRPr="004A0212">
        <w:t xml:space="preserve"> century and was developed in the 19</w:t>
      </w:r>
      <w:r w:rsidRPr="004A0212">
        <w:rPr>
          <w:vertAlign w:val="superscript"/>
        </w:rPr>
        <w:t>th</w:t>
      </w:r>
      <w:r w:rsidRPr="004A0212">
        <w:t xml:space="preserve"> century. Through this period reformers were horrified by child labour in factories and worried about children as future citizens. They lobbied for legislation to protect them. Childhood became a public concern and institutions and laws associated with it grew.</w:t>
      </w:r>
      <w:r w:rsidRPr="004A0212">
        <w:rPr>
          <w:rStyle w:val="StyleFootnoteReferenceFagoFunotenzeichenFagoFunotenzeichen"/>
        </w:rPr>
        <w:endnoteReference w:id="40"/>
      </w:r>
      <w:r w:rsidRPr="004A0212">
        <w:t xml:space="preserve"> </w:t>
      </w:r>
    </w:p>
    <w:p w14:paraId="4616A8BB" w14:textId="77777777" w:rsidR="00FE4E56" w:rsidRPr="004A0212" w:rsidRDefault="00FE4E56" w:rsidP="00C9608A">
      <w:pPr>
        <w:pStyle w:val="Heading3"/>
        <w:rPr>
          <w:rFonts w:cs="Arial"/>
        </w:rPr>
      </w:pPr>
      <w:bookmarkStart w:id="91" w:name="_Toc1578022304"/>
      <w:bookmarkStart w:id="92" w:name="_Toc181084766"/>
      <w:r w:rsidRPr="004A0212">
        <w:rPr>
          <w:rFonts w:cs="Arial"/>
        </w:rPr>
        <w:t>Te orokohanga o ngā whakaritenga taurima i Aotearoa</w:t>
      </w:r>
      <w:bookmarkEnd w:id="91"/>
      <w:bookmarkEnd w:id="92"/>
      <w:r w:rsidRPr="004A0212">
        <w:rPr>
          <w:rFonts w:cs="Arial"/>
        </w:rPr>
        <w:t xml:space="preserve"> </w:t>
      </w:r>
    </w:p>
    <w:p w14:paraId="00CFDEE6" w14:textId="00869534" w:rsidR="00FE4E56" w:rsidRPr="004A0212" w:rsidRDefault="00FE4E56" w:rsidP="00C9608A">
      <w:pPr>
        <w:pStyle w:val="Heading3"/>
        <w:rPr>
          <w:rFonts w:cs="Arial"/>
        </w:rPr>
      </w:pPr>
      <w:bookmarkStart w:id="93" w:name="_Toc813875882"/>
      <w:bookmarkStart w:id="94" w:name="_Toc181084767"/>
      <w:r w:rsidRPr="004A0212">
        <w:rPr>
          <w:rFonts w:cs="Arial"/>
        </w:rPr>
        <w:t>Origins of care settings in Aotearoa New Zealand</w:t>
      </w:r>
      <w:bookmarkEnd w:id="93"/>
      <w:bookmarkEnd w:id="94"/>
    </w:p>
    <w:p w14:paraId="369AB5F7" w14:textId="5CD4CF9B" w:rsidR="00FE4E56" w:rsidRPr="004A0212" w:rsidRDefault="00FE4E56" w:rsidP="007D73A6">
      <w:pPr>
        <w:pStyle w:val="AllNumbparas"/>
      </w:pPr>
      <w:r w:rsidRPr="004A0212">
        <w:t>Social policy in Aotearoa New Zealand, including those in care settings, originated from the 1837 House of Commons Select Committee on Aborigines.</w:t>
      </w:r>
      <w:r w:rsidRPr="00D37DF7">
        <w:rPr>
          <w:rStyle w:val="StyleFootnoteReferenceFagoFunotenzeichenFagoFunotenzeichen"/>
        </w:rPr>
        <w:endnoteReference w:id="41"/>
      </w:r>
      <w:r w:rsidRPr="004A0212">
        <w:t xml:space="preserve"> The Committee was established to investigate the living conditions, treatment and welfare of indigenous populations in Britain’s colonies, and had a major influence on assimilation policy, including in Aotearoa New Zealand.”</w:t>
      </w:r>
      <w:r w:rsidRPr="004A0212">
        <w:rPr>
          <w:rStyle w:val="StyleFootnoteReferenceFagoFunotenzeichenFagoFunotenzeichen"/>
        </w:rPr>
        <w:endnoteReference w:id="42"/>
      </w:r>
      <w:r w:rsidRPr="004A0212">
        <w:t xml:space="preserve"> </w:t>
      </w:r>
    </w:p>
    <w:p w14:paraId="684384A4" w14:textId="3750743C" w:rsidR="00FE4E56" w:rsidRPr="004A0212" w:rsidRDefault="00FE4E56" w:rsidP="007D73A6">
      <w:pPr>
        <w:pStyle w:val="AllNumbparas"/>
      </w:pPr>
      <w:r w:rsidRPr="004A0212">
        <w:t>The Committee saw Britain</w:t>
      </w:r>
      <w:r w:rsidRPr="004A0212" w:rsidDel="00736D5A">
        <w:t xml:space="preserve"> </w:t>
      </w:r>
      <w:r w:rsidRPr="004A0212">
        <w:t>as having a responsibility to spread European civilisation and Christianity to other peoples and believed that influencing aboriginal children was the best way to do this.</w:t>
      </w:r>
      <w:r w:rsidRPr="004A0212">
        <w:rPr>
          <w:rStyle w:val="StyleFootnoteReferenceFagoFunotenzeichenFagoFunotenzeichen"/>
        </w:rPr>
        <w:endnoteReference w:id="43"/>
      </w:r>
      <w:r w:rsidRPr="004A0212">
        <w:t xml:space="preserve"> The House of Commons Committee was also influenced by the 1834 Royal Commission (Poor Law Report) in Britain. This report recommended ending in-home charitable aid in Britain in favour of institutionalising the poor in workhouses. </w:t>
      </w:r>
    </w:p>
    <w:p w14:paraId="7D89E062" w14:textId="77777777" w:rsidR="000702B8" w:rsidRDefault="000702B8">
      <w:pPr>
        <w:keepLines w:val="0"/>
        <w:rPr>
          <w:rFonts w:ascii="Arial" w:hAnsi="Arial" w:cs="Arial"/>
          <w:i/>
          <w:iCs/>
          <w:color w:val="3B5D1E" w:themeColor="accent4" w:themeShade="BF"/>
          <w:sz w:val="22"/>
          <w:szCs w:val="22"/>
          <w:lang w:val="en"/>
        </w:rPr>
      </w:pPr>
      <w:bookmarkStart w:id="95" w:name="_Toc1444574752"/>
      <w:r>
        <w:br w:type="page"/>
      </w:r>
    </w:p>
    <w:p w14:paraId="080C0F5B" w14:textId="1EAA1239" w:rsidR="00FE4E56" w:rsidRPr="00D22D53" w:rsidRDefault="00FE4E56" w:rsidP="00EE5D4D">
      <w:pPr>
        <w:pStyle w:val="Heading4"/>
      </w:pPr>
      <w:r w:rsidRPr="00D22D53">
        <w:lastRenderedPageBreak/>
        <w:t>Te mākohakoha me te taurima i te hunga rawakore i te rautau 19 i Piritana</w:t>
      </w:r>
      <w:bookmarkEnd w:id="95"/>
      <w:r w:rsidRPr="00D22D53">
        <w:t xml:space="preserve"> </w:t>
      </w:r>
      <w:bookmarkStart w:id="96" w:name="_Toc150933082"/>
      <w:bookmarkStart w:id="97" w:name="_Toc150953400"/>
    </w:p>
    <w:p w14:paraId="0ED6E744" w14:textId="6D3E3F37" w:rsidR="00FE4E56" w:rsidRPr="004A0212" w:rsidRDefault="00FE4E56" w:rsidP="00EE5D4D">
      <w:pPr>
        <w:pStyle w:val="Heading4"/>
      </w:pPr>
      <w:bookmarkStart w:id="98" w:name="_Toc901347841"/>
      <w:r w:rsidRPr="004A0212">
        <w:t>Charity and care for the poor in 19</w:t>
      </w:r>
      <w:r w:rsidRPr="00CA42B5">
        <w:rPr>
          <w:vertAlign w:val="superscript"/>
        </w:rPr>
        <w:t>th</w:t>
      </w:r>
      <w:r w:rsidRPr="004A0212">
        <w:t xml:space="preserve"> century Britain</w:t>
      </w:r>
      <w:bookmarkEnd w:id="96"/>
      <w:bookmarkEnd w:id="97"/>
      <w:bookmarkEnd w:id="98"/>
    </w:p>
    <w:p w14:paraId="2C44C71C" w14:textId="2084B8F4" w:rsidR="00FE4E56" w:rsidRPr="004A0212" w:rsidRDefault="00FE4E56" w:rsidP="00761BED">
      <w:pPr>
        <w:pStyle w:val="AllNumbparas"/>
      </w:pPr>
      <w:r w:rsidRPr="004A0212">
        <w:t>The 1834 Poor Law changed how welfare was provided to people in poverty in Britain. Instead of providing support to the poor in their own homes (outdoor relief), a new chain of workhouses was built across the country.</w:t>
      </w:r>
      <w:r w:rsidRPr="004A0212">
        <w:rPr>
          <w:rStyle w:val="StyleFootnoteReferenceFagoFunotenzeichenFagoFunotenzeichen"/>
        </w:rPr>
        <w:endnoteReference w:id="44"/>
      </w:r>
      <w:r w:rsidRPr="004A0212">
        <w:t xml:space="preserve"> Workhouses had already existed for more than a century alongside outdoor relief, but from 1834 workhouses would be the main form of support available to the poor and were built using architectural models based on prisons.</w:t>
      </w:r>
      <w:r w:rsidRPr="004A0212">
        <w:rPr>
          <w:rStyle w:val="StyleFootnoteReferenceFagoFunotenzeichenFagoFunotenzeichen"/>
        </w:rPr>
        <w:endnoteReference w:id="45"/>
      </w:r>
      <w:r w:rsidRPr="004A0212">
        <w:t xml:space="preserve"> </w:t>
      </w:r>
    </w:p>
    <w:p w14:paraId="0354746D" w14:textId="1E6F3B5B" w:rsidR="00FE4E56" w:rsidRPr="004A0212" w:rsidRDefault="00FE4E56" w:rsidP="007D73A6">
      <w:pPr>
        <w:pStyle w:val="AllNumbparas"/>
      </w:pPr>
      <w:r w:rsidRPr="004A0212">
        <w:t>Conditions in workhouses were designed to be worse than those outside to discourage people from claiming poor relief. There were strict rules and minimal food or comfort. Families were separated, with husbands, wives and children housed in separate sections.</w:t>
      </w:r>
      <w:r w:rsidRPr="004A0212">
        <w:rPr>
          <w:rStyle w:val="StyleFootnoteReferenceFagoFunotenzeichenFagoFunotenzeichen"/>
        </w:rPr>
        <w:endnoteReference w:id="46"/>
      </w:r>
      <w:r w:rsidRPr="004A0212">
        <w:t xml:space="preserve"> </w:t>
      </w:r>
    </w:p>
    <w:p w14:paraId="493DC88C" w14:textId="685C0DAB" w:rsidR="00FE4E56" w:rsidRPr="004A0212" w:rsidRDefault="00FE4E56" w:rsidP="007D73A6">
      <w:pPr>
        <w:pStyle w:val="AllNumbparas"/>
      </w:pPr>
      <w:r w:rsidRPr="004A0212">
        <w:t>Both the Poor Law Report and the House of Commons Committee were concerned about how to deal with people that were considered unproductive and potentially a source of disorder. The preferred solutions included:</w:t>
      </w:r>
    </w:p>
    <w:p w14:paraId="624381F1" w14:textId="77777777" w:rsidR="00FE4E56" w:rsidRPr="004A0212" w:rsidRDefault="00FE4E56" w:rsidP="007D73A6">
      <w:pPr>
        <w:pStyle w:val="Bulletpoints"/>
      </w:pPr>
      <w:r w:rsidRPr="004A0212">
        <w:t>asserting control</w:t>
      </w:r>
    </w:p>
    <w:p w14:paraId="52DCE7A5" w14:textId="6C4EBDFD" w:rsidR="00FE4E56" w:rsidRPr="004A0212" w:rsidRDefault="00FE4E56" w:rsidP="007D73A6">
      <w:pPr>
        <w:pStyle w:val="Bulletpoints"/>
      </w:pPr>
      <w:r w:rsidRPr="004A0212">
        <w:t>integrating outsiders into British society and economy (including institutions)</w:t>
      </w:r>
    </w:p>
    <w:p w14:paraId="7FAF90C2" w14:textId="69B64CB4" w:rsidR="00FE4E56" w:rsidRPr="004A0212" w:rsidRDefault="00FE4E56" w:rsidP="007D73A6">
      <w:pPr>
        <w:pStyle w:val="Bulletpoints"/>
      </w:pPr>
      <w:r w:rsidRPr="004A0212">
        <w:t xml:space="preserve">appointing protectors and overseers </w:t>
      </w:r>
    </w:p>
    <w:p w14:paraId="68593EB2" w14:textId="4BE2DC14" w:rsidR="00FE4E56" w:rsidRPr="004A0212" w:rsidRDefault="00FE4E56" w:rsidP="00A7675A">
      <w:pPr>
        <w:pStyle w:val="Bulletpoints"/>
      </w:pPr>
      <w:r w:rsidRPr="004A0212">
        <w:t>removing children from their parents (as children were considered particularly open to education and salvation).</w:t>
      </w:r>
      <w:r w:rsidRPr="004A0212">
        <w:rPr>
          <w:rStyle w:val="StyleFootnoteReferenceFagoFunotenzeichenFagoFunotenzeichen"/>
        </w:rPr>
        <w:endnoteReference w:id="47"/>
      </w:r>
      <w:r w:rsidRPr="004A0212">
        <w:rPr>
          <w:vertAlign w:val="superscript"/>
        </w:rPr>
        <w:t xml:space="preserve"> </w:t>
      </w:r>
    </w:p>
    <w:p w14:paraId="330EC7DB" w14:textId="297FA1AB" w:rsidR="00FE4E56" w:rsidRPr="004A0212" w:rsidRDefault="00FE4E56" w:rsidP="00582F90">
      <w:pPr>
        <w:pStyle w:val="AllNumbparas"/>
      </w:pPr>
      <w:r w:rsidRPr="004A0212">
        <w:t>These views would come to influence care settings in Aotearoa New Zealand. Due to the settlers’ dislike of workhouses and their desire to build a ‘Brighter Britain’, workhouses were not established here for providing aid to the poor.</w:t>
      </w:r>
      <w:r w:rsidRPr="004A0212">
        <w:rPr>
          <w:rStyle w:val="EndnoteReference"/>
        </w:rPr>
        <w:endnoteReference w:id="48"/>
      </w:r>
      <w:r w:rsidRPr="004A0212">
        <w:t xml:space="preserve"> However, their influence could be seen in the industrial schools established for children in Aotearoa New Zealand in the 19</w:t>
      </w:r>
      <w:r w:rsidRPr="004A0212">
        <w:rPr>
          <w:vertAlign w:val="superscript"/>
        </w:rPr>
        <w:t>th</w:t>
      </w:r>
      <w:r w:rsidRPr="004A0212">
        <w:t xml:space="preserve"> century.</w:t>
      </w:r>
      <w:r w:rsidRPr="004A0212">
        <w:rPr>
          <w:rStyle w:val="EndnoteReference"/>
        </w:rPr>
        <w:endnoteReference w:id="49"/>
      </w:r>
    </w:p>
    <w:p w14:paraId="14C06BEC" w14:textId="2069F863" w:rsidR="00FE4E56" w:rsidRPr="004A0212" w:rsidRDefault="00FE4E56" w:rsidP="00EE5D4D">
      <w:pPr>
        <w:pStyle w:val="Heading4"/>
      </w:pPr>
      <w:bookmarkStart w:id="99" w:name="_Toc1548783355"/>
      <w:r w:rsidRPr="28960EE1">
        <w:t>Te taurimatanga me te tokoora i te rautau 19 Aotearoa</w:t>
      </w:r>
      <w:bookmarkStart w:id="100" w:name="_Toc150933083"/>
      <w:bookmarkStart w:id="101" w:name="_Toc150953401"/>
      <w:bookmarkEnd w:id="99"/>
    </w:p>
    <w:p w14:paraId="087405D1" w14:textId="107933AF" w:rsidR="00FE4E56" w:rsidRPr="004A0212" w:rsidRDefault="00FE4E56" w:rsidP="00EE5D4D">
      <w:pPr>
        <w:pStyle w:val="Heading4"/>
      </w:pPr>
      <w:bookmarkStart w:id="102" w:name="_Toc1116519523"/>
      <w:r w:rsidRPr="004A0212">
        <w:t>Care and welfare in 19</w:t>
      </w:r>
      <w:r w:rsidRPr="004A0212">
        <w:rPr>
          <w:vertAlign w:val="superscript"/>
        </w:rPr>
        <w:t>th</w:t>
      </w:r>
      <w:r w:rsidRPr="004A0212">
        <w:t xml:space="preserve"> century Aotearoa</w:t>
      </w:r>
      <w:bookmarkEnd w:id="100"/>
      <w:bookmarkEnd w:id="101"/>
      <w:r w:rsidRPr="004A0212">
        <w:t xml:space="preserve"> New Zealand</w:t>
      </w:r>
      <w:bookmarkEnd w:id="102"/>
    </w:p>
    <w:p w14:paraId="660FE5E9" w14:textId="149B3243" w:rsidR="00FE4E56" w:rsidRPr="004A0212" w:rsidRDefault="00FE4E56" w:rsidP="007D73A6">
      <w:pPr>
        <w:pStyle w:val="AllNumbparas"/>
        <w:rPr>
          <w:rStyle w:val="normaltextrun"/>
        </w:rPr>
      </w:pPr>
      <w:r w:rsidRPr="004A0212">
        <w:rPr>
          <w:rStyle w:val="normaltextrun"/>
        </w:rPr>
        <w:t>In the 19</w:t>
      </w:r>
      <w:r w:rsidRPr="004A0212">
        <w:rPr>
          <w:rStyle w:val="normaltextrun"/>
          <w:vertAlign w:val="superscript"/>
        </w:rPr>
        <w:t>th</w:t>
      </w:r>
      <w:r w:rsidRPr="004A0212">
        <w:rPr>
          <w:rStyle w:val="normaltextrun"/>
        </w:rPr>
        <w:t xml:space="preserve"> century, faith-based care was often the only available option for care outside of the family unit, particularly for </w:t>
      </w:r>
      <w:r w:rsidRPr="004A0212">
        <w:t>Pākehā</w:t>
      </w:r>
      <w:r w:rsidRPr="004A0212">
        <w:rPr>
          <w:rStyle w:val="normaltextrun"/>
        </w:rPr>
        <w:t xml:space="preserve"> with few or no family networks. For most of the 19</w:t>
      </w:r>
      <w:r w:rsidRPr="004A0212">
        <w:rPr>
          <w:rStyle w:val="normaltextrun"/>
          <w:vertAlign w:val="superscript"/>
        </w:rPr>
        <w:t>th</w:t>
      </w:r>
      <w:r w:rsidRPr="004A0212">
        <w:rPr>
          <w:rStyle w:val="normaltextrun"/>
        </w:rPr>
        <w:t xml:space="preserve"> century, the State did not see itself as responsible for the care of those in need, preferring to leave that to the individual’s family or church community.</w:t>
      </w:r>
      <w:r w:rsidRPr="004A0212">
        <w:rPr>
          <w:rStyle w:val="StyleFootnoteReferenceFagoFunotenzeichenFagoFunotenzeichen"/>
        </w:rPr>
        <w:endnoteReference w:id="50"/>
      </w:r>
      <w:r w:rsidRPr="004A0212">
        <w:rPr>
          <w:rStyle w:val="normaltextrun"/>
        </w:rPr>
        <w:t xml:space="preserve"> </w:t>
      </w:r>
      <w:r w:rsidRPr="004A0212">
        <w:t>Provincial governments also provided financial relief, subsidised existing institutions, or set up their own institutions such as the Otago Benevolent Institution.</w:t>
      </w:r>
      <w:r w:rsidRPr="004A0212">
        <w:rPr>
          <w:rStyle w:val="EndnoteReference"/>
        </w:rPr>
        <w:endnoteReference w:id="51"/>
      </w:r>
    </w:p>
    <w:p w14:paraId="0AF40453" w14:textId="71A9A25B" w:rsidR="00FE4E56" w:rsidRPr="004A0212" w:rsidRDefault="00FE4E56" w:rsidP="007D73A6">
      <w:pPr>
        <w:pStyle w:val="AllNumbparas"/>
      </w:pPr>
      <w:r w:rsidRPr="004A0212">
        <w:rPr>
          <w:rStyle w:val="normaltextrun"/>
        </w:rPr>
        <w:t xml:space="preserve">Churches were also trusted institutions, seen as safe </w:t>
      </w:r>
      <w:r w:rsidRPr="004A0212">
        <w:t>places</w:t>
      </w:r>
      <w:r w:rsidRPr="004A0212">
        <w:rPr>
          <w:rStyle w:val="normaltextrun"/>
        </w:rPr>
        <w:t xml:space="preserve"> that could provide good care for children, young people and adults in care. The faiths have a long history of providing care.</w:t>
      </w:r>
      <w:r w:rsidRPr="004A0212">
        <w:rPr>
          <w:rStyle w:val="StyleFootnoteReferenceFagoFunotenzeichenFagoFunotenzeichen"/>
        </w:rPr>
        <w:endnoteReference w:id="52"/>
      </w:r>
      <w:r w:rsidRPr="004A0212">
        <w:rPr>
          <w:rStyle w:val="normaltextrun"/>
        </w:rPr>
        <w:t xml:space="preserve"> </w:t>
      </w:r>
      <w:r w:rsidRPr="004A0212">
        <w:t>Faith-based care was motivated by a sense of charity for the destitute as well as a desire to spread Christian values and beliefs.</w:t>
      </w:r>
    </w:p>
    <w:p w14:paraId="34B37109" w14:textId="2F4663EE" w:rsidR="00FE4E56" w:rsidRPr="004A0212" w:rsidRDefault="00FE4E56" w:rsidP="00AC4BA2">
      <w:pPr>
        <w:pStyle w:val="AllNumbparas"/>
      </w:pPr>
      <w:r w:rsidRPr="004A0212">
        <w:t>The 1877 Destitute Persons Act reinforced the existing principle of family responsibility for the care of the poor, making both ‘near relatives’ and more distant relations of a destitute person responsible for supporting them.</w:t>
      </w:r>
      <w:r w:rsidRPr="004A0212">
        <w:rPr>
          <w:rStyle w:val="StyleFootnoteReferenceFagoFunotenzeichenFagoFunotenzeichen"/>
        </w:rPr>
        <w:endnoteReference w:id="53"/>
      </w:r>
    </w:p>
    <w:p w14:paraId="74C7BBF6" w14:textId="4B4AE7A3" w:rsidR="00FE4E56" w:rsidRPr="004A0212" w:rsidRDefault="00FE4E56" w:rsidP="00243A8B">
      <w:pPr>
        <w:pStyle w:val="Numbparas"/>
        <w:rPr>
          <w:color w:val="000000" w:themeColor="text1"/>
        </w:rPr>
      </w:pPr>
      <w:r w:rsidRPr="004A0212">
        <w:lastRenderedPageBreak/>
        <w:t>From 1867, children and young people charged in the Courts with being ‘neglected’, ‘uncontrollable’ or ‘criminal’ could be sent to one of a series of industrial schools.</w:t>
      </w:r>
      <w:r w:rsidRPr="004A0212">
        <w:rPr>
          <w:rStyle w:val="StyleFootnoteReferenceFagoFunotenzeichenFagoFunotenzeichen"/>
        </w:rPr>
        <w:endnoteReference w:id="54"/>
      </w:r>
      <w:r w:rsidRPr="004A0212">
        <w:t xml:space="preserve"> The list of ‘offences’ that could lead to a child’s committal to industrial school included ‘begging’, ‘wandering about or frequenting any street or public place’, being homeless, and ‘associating with prostitutes, drunkards, thieves or vagrants’.</w:t>
      </w:r>
      <w:r w:rsidRPr="004A0212">
        <w:rPr>
          <w:rStyle w:val="StyleFootnoteReferenceFagoFunotenzeichenFagoFunotenzeichen"/>
        </w:rPr>
        <w:endnoteReference w:id="55"/>
      </w:r>
      <w:r w:rsidRPr="004A0212">
        <w:t xml:space="preserve"> In 1880, the newly-established Department of Education took </w:t>
      </w:r>
      <w:r w:rsidRPr="004A0212">
        <w:rPr>
          <w:color w:val="000000" w:themeColor="text1"/>
        </w:rPr>
        <w:t>over control of the industrial schools.</w:t>
      </w:r>
      <w:r w:rsidRPr="004A0212">
        <w:rPr>
          <w:rStyle w:val="StyleFootnoteReferenceFagoFunotenzeichenFagoFunotenzeichen"/>
        </w:rPr>
        <w:endnoteReference w:id="56"/>
      </w:r>
      <w:r w:rsidRPr="004A0212">
        <w:rPr>
          <w:color w:val="000000" w:themeColor="text1"/>
        </w:rPr>
        <w:t xml:space="preserve"> </w:t>
      </w:r>
    </w:p>
    <w:p w14:paraId="4A5BC9E1" w14:textId="30562E46" w:rsidR="00FE4E56" w:rsidRPr="004A0212" w:rsidRDefault="00FE4E56" w:rsidP="0042463B">
      <w:pPr>
        <w:pStyle w:val="AllNumbparas"/>
        <w:rPr>
          <w:rStyle w:val="normaltextrun"/>
          <w:color w:val="000000" w:themeColor="text1"/>
        </w:rPr>
      </w:pPr>
      <w:r w:rsidRPr="004A0212">
        <w:rPr>
          <w:rStyle w:val="normaltextrun"/>
          <w:color w:val="000000" w:themeColor="text1"/>
        </w:rPr>
        <w:t>In 1885, the government established a system of district Charitable Aid Boards. The boards’ powers included control of charitable institutions in their districts, and the guardianship of children in the care of industrial schools.</w:t>
      </w:r>
      <w:r w:rsidRPr="004A0212">
        <w:rPr>
          <w:rStyle w:val="StyleFootnoteReferenceFagoFunotenzeichenFagoFunotenzeichen"/>
        </w:rPr>
        <w:endnoteReference w:id="57"/>
      </w:r>
    </w:p>
    <w:p w14:paraId="7D2AD3B6" w14:textId="3672E1A2" w:rsidR="00FE4E56" w:rsidRPr="004A0212" w:rsidRDefault="00FE4E56" w:rsidP="00436B0B">
      <w:pPr>
        <w:pStyle w:val="AllNumbparas"/>
      </w:pPr>
      <w:r w:rsidRPr="004A0212">
        <w:rPr>
          <w:color w:val="000000" w:themeColor="text1"/>
        </w:rPr>
        <w:t xml:space="preserve">Institutionalisation was not the only option for children who committed offences or were charged with being a neglected child in the </w:t>
      </w:r>
      <w:r w:rsidRPr="004A0212">
        <w:t>late 19</w:t>
      </w:r>
      <w:r w:rsidRPr="004A0212">
        <w:rPr>
          <w:vertAlign w:val="superscript"/>
        </w:rPr>
        <w:t>th</w:t>
      </w:r>
      <w:r w:rsidRPr="004A0212">
        <w:t xml:space="preserve"> century. From 1882, children sentenced to industrial schools could be boarded out to foster homes or placed into service, which meant farm labour for boys and domestic service for girls.</w:t>
      </w:r>
      <w:r w:rsidRPr="004A0212">
        <w:rPr>
          <w:rStyle w:val="StyleFootnoteReferenceFagoFunotenzeichenFagoFunotenzeichen"/>
        </w:rPr>
        <w:endnoteReference w:id="58"/>
      </w:r>
    </w:p>
    <w:p w14:paraId="3C1544D4" w14:textId="6A845E97" w:rsidR="00FE4E56" w:rsidRPr="004A0212" w:rsidRDefault="00FE4E56" w:rsidP="00FA0053">
      <w:pPr>
        <w:pStyle w:val="AllNumbparas"/>
      </w:pPr>
      <w:r w:rsidRPr="004A0212">
        <w:t>Fostering or ‘boarding out’ came to be governments’ favoured option for such young people, as it created both a ‘family environment’ for the child, and a cheaper alternative to institutional care.</w:t>
      </w:r>
      <w:r w:rsidRPr="004A0212">
        <w:rPr>
          <w:rStyle w:val="StyleFootnoteReferenceFagoFunotenzeichenFagoFunotenzeichen"/>
        </w:rPr>
        <w:endnoteReference w:id="59"/>
      </w:r>
    </w:p>
    <w:p w14:paraId="0FB8C57F" w14:textId="20E3E38C" w:rsidR="00FE4E56" w:rsidRPr="004A0212" w:rsidRDefault="00FE4E56" w:rsidP="00FA0053">
      <w:pPr>
        <w:pStyle w:val="AllNumbparas"/>
      </w:pPr>
      <w:r w:rsidRPr="004A0212">
        <w:t>There were issues with abuse in these early care settings. For example, a 1908 inquiry into the Te Oranga Girls’ Home (called Kingslea Girls’ Training Centre from 1965) in Ōtautahi Christchurch heard evidence of physical abuse,</w:t>
      </w:r>
      <w:r w:rsidRPr="004A0212">
        <w:rPr>
          <w:rStyle w:val="EndnoteReference"/>
        </w:rPr>
        <w:endnoteReference w:id="60"/>
      </w:r>
      <w:r w:rsidRPr="004A0212">
        <w:t xml:space="preserve"> while the Catholic Sunnybank Boys’ Home (called Garindale from 1975) in Nelson had reports of physical and sexual abuse in the 1940s.</w:t>
      </w:r>
      <w:r w:rsidRPr="004A0212">
        <w:rPr>
          <w:rStyle w:val="EndnoteReference"/>
        </w:rPr>
        <w:endnoteReference w:id="61"/>
      </w:r>
    </w:p>
    <w:p w14:paraId="75AC3FE8" w14:textId="75852452" w:rsidR="00FE4E56" w:rsidRDefault="00FE4E56">
      <w:pPr>
        <w:keepLines w:val="0"/>
        <w:rPr>
          <w:rFonts w:ascii="Arial" w:hAnsi="Arial" w:cs="Arial"/>
          <w:b/>
          <w:bCs/>
          <w:i/>
          <w:iCs/>
        </w:rPr>
      </w:pPr>
    </w:p>
    <w:p w14:paraId="6A7A9989" w14:textId="2016A6F3" w:rsidR="00FE4E56" w:rsidRDefault="00FE4E56" w:rsidP="00B36222">
      <w:pPr>
        <w:pStyle w:val="BodyText"/>
        <w:rPr>
          <w:rFonts w:ascii="Arial" w:hAnsi="Arial" w:cs="Arial"/>
          <w:sz w:val="22"/>
        </w:rPr>
      </w:pPr>
      <w:r>
        <w:rPr>
          <w:rFonts w:ascii="Arial" w:hAnsi="Arial" w:cs="Arial"/>
          <w:sz w:val="22"/>
        </w:rPr>
        <w:t>[Quote]</w:t>
      </w:r>
    </w:p>
    <w:p w14:paraId="2C9BF2E7" w14:textId="39BEDEEA" w:rsidR="00FE4E56" w:rsidRPr="005219D0" w:rsidRDefault="00FE4E56" w:rsidP="00CA42B5">
      <w:pPr>
        <w:pStyle w:val="AllQuotes"/>
        <w:rPr>
          <w:b/>
        </w:rPr>
      </w:pPr>
      <w:r w:rsidRPr="005219D0">
        <w:rPr>
          <w:b/>
        </w:rPr>
        <w:t>“a crushing conformity, enforced by intense levels of formal and informal social control and fear of appearing different, fear of not belonging to and fear of being rejected by this tightly drawn homogenous community”.</w:t>
      </w:r>
    </w:p>
    <w:p w14:paraId="6231D5F7" w14:textId="77777777" w:rsidR="00FE4E56" w:rsidRDefault="00FE4E56" w:rsidP="00CA42B5">
      <w:pPr>
        <w:pStyle w:val="AllQuotes"/>
        <w:rPr>
          <w:b/>
        </w:rPr>
      </w:pPr>
      <w:r w:rsidRPr="000D24E0">
        <w:rPr>
          <w:b/>
        </w:rPr>
        <w:t>John Pratt</w:t>
      </w:r>
    </w:p>
    <w:p w14:paraId="00582E49" w14:textId="04664355" w:rsidR="00FE4E56" w:rsidRPr="005219D0" w:rsidRDefault="00FE4E56" w:rsidP="00CA42B5">
      <w:pPr>
        <w:pStyle w:val="AllQuotes"/>
        <w:rPr>
          <w:b/>
        </w:rPr>
      </w:pPr>
      <w:r w:rsidRPr="005219D0">
        <w:rPr>
          <w:b/>
        </w:rPr>
        <w:t xml:space="preserve">Criminologist </w:t>
      </w:r>
    </w:p>
    <w:p w14:paraId="631DB317" w14:textId="77777777" w:rsidR="00FE4E56" w:rsidRPr="004A0212" w:rsidRDefault="00FE4E56" w:rsidP="003B75FA">
      <w:pPr>
        <w:keepLines w:val="0"/>
        <w:rPr>
          <w:rFonts w:ascii="Arial" w:hAnsi="Arial" w:cs="Arial"/>
        </w:rPr>
      </w:pPr>
    </w:p>
    <w:p w14:paraId="2440DF05" w14:textId="77777777" w:rsidR="00FE4E56" w:rsidRDefault="00FE4E56">
      <w:pPr>
        <w:keepLines w:val="0"/>
      </w:pPr>
      <w:r>
        <w:br w:type="page"/>
      </w:r>
    </w:p>
    <w:p w14:paraId="77F6F57C" w14:textId="6347B9D7" w:rsidR="00FE4E56" w:rsidRPr="00C15C8B" w:rsidRDefault="00FE4E56" w:rsidP="00C57358">
      <w:pPr>
        <w:pStyle w:val="BodyText"/>
        <w:rPr>
          <w:rFonts w:ascii="Arial" w:hAnsi="Arial" w:cs="Arial"/>
          <w:sz w:val="22"/>
          <w:szCs w:val="22"/>
        </w:rPr>
      </w:pPr>
      <w:r w:rsidRPr="00CA42B5">
        <w:rPr>
          <w:rFonts w:ascii="Arial" w:hAnsi="Arial" w:cs="Arial"/>
          <w:sz w:val="22"/>
          <w:szCs w:val="22"/>
        </w:rPr>
        <w:lastRenderedPageBreak/>
        <w:t>[</w:t>
      </w:r>
      <w:r>
        <w:rPr>
          <w:rFonts w:ascii="Arial" w:hAnsi="Arial" w:cs="Arial"/>
          <w:sz w:val="22"/>
          <w:szCs w:val="22"/>
        </w:rPr>
        <w:t>S</w:t>
      </w:r>
      <w:r w:rsidRPr="00C15C8B">
        <w:rPr>
          <w:rFonts w:ascii="Arial" w:hAnsi="Arial" w:cs="Arial"/>
          <w:sz w:val="22"/>
          <w:szCs w:val="22"/>
        </w:rPr>
        <w:t xml:space="preserve">urvivor quote preceding </w:t>
      </w:r>
      <w:r>
        <w:rPr>
          <w:rFonts w:ascii="Arial" w:hAnsi="Arial" w:cs="Arial"/>
          <w:sz w:val="22"/>
          <w:szCs w:val="22"/>
        </w:rPr>
        <w:t>the s</w:t>
      </w:r>
      <w:r w:rsidRPr="00C15C8B">
        <w:rPr>
          <w:rFonts w:ascii="Arial" w:hAnsi="Arial" w:cs="Arial"/>
          <w:sz w:val="22"/>
          <w:szCs w:val="22"/>
        </w:rPr>
        <w:t>urvivor profile]</w:t>
      </w:r>
    </w:p>
    <w:p w14:paraId="17BB648B" w14:textId="5D21E264" w:rsidR="00FE4E56" w:rsidRPr="00C84E18" w:rsidRDefault="00FE4E56" w:rsidP="00CA42B5">
      <w:pPr>
        <w:pStyle w:val="AllQuotes"/>
        <w:rPr>
          <w:b/>
        </w:rPr>
      </w:pPr>
      <w:r w:rsidRPr="00C84E18">
        <w:rPr>
          <w:b/>
        </w:rPr>
        <w:t>“M</w:t>
      </w:r>
      <w:r w:rsidRPr="00C84E18">
        <w:rPr>
          <w:rFonts w:hint="eastAsia"/>
          <w:b/>
        </w:rPr>
        <w:t>ā</w:t>
      </w:r>
      <w:r w:rsidRPr="00C84E18">
        <w:rPr>
          <w:b/>
        </w:rPr>
        <w:t>ori Deaf children are still not treated the same as P</w:t>
      </w:r>
      <w:r w:rsidRPr="00C84E18">
        <w:rPr>
          <w:rFonts w:hint="eastAsia"/>
          <w:b/>
        </w:rPr>
        <w:t>ā</w:t>
      </w:r>
      <w:r w:rsidRPr="00C84E18">
        <w:rPr>
          <w:b/>
        </w:rPr>
        <w:t>keh</w:t>
      </w:r>
      <w:r w:rsidRPr="00C84E18">
        <w:rPr>
          <w:rFonts w:hint="eastAsia"/>
          <w:b/>
        </w:rPr>
        <w:t>ā</w:t>
      </w:r>
      <w:r w:rsidRPr="00C84E18">
        <w:rPr>
          <w:b/>
        </w:rPr>
        <w:t xml:space="preserve"> children.”  </w:t>
      </w:r>
    </w:p>
    <w:p w14:paraId="7DDC87FF" w14:textId="77777777" w:rsidR="00FE4E56" w:rsidRDefault="00FE4E56" w:rsidP="00C84E18">
      <w:pPr>
        <w:pStyle w:val="AllQuotes"/>
        <w:rPr>
          <w:b/>
        </w:rPr>
      </w:pPr>
      <w:r w:rsidRPr="000D24E0">
        <w:rPr>
          <w:b/>
        </w:rPr>
        <w:t>Whiti Ronaki</w:t>
      </w:r>
    </w:p>
    <w:p w14:paraId="482EF0C9" w14:textId="5D32B87D" w:rsidR="00FE4E56" w:rsidRDefault="00FE4E56" w:rsidP="00C84E18">
      <w:pPr>
        <w:pStyle w:val="AllQuotes"/>
        <w:rPr>
          <w:b/>
        </w:rPr>
      </w:pPr>
      <w:r w:rsidRPr="00C84E18">
        <w:rPr>
          <w:b/>
        </w:rPr>
        <w:t>Māori (Te Arawa)</w:t>
      </w:r>
    </w:p>
    <w:p w14:paraId="4194BE12" w14:textId="77777777" w:rsidR="00FE4E56" w:rsidRPr="00C162EF" w:rsidRDefault="00FE4E56" w:rsidP="00282055">
      <w:pPr>
        <w:pStyle w:val="Heading1"/>
        <w:rPr>
          <w:color w:val="3B5D1E" w:themeColor="accent4" w:themeShade="BF"/>
        </w:rPr>
      </w:pPr>
      <w:bookmarkStart w:id="103" w:name="_Toc65885503"/>
      <w:bookmarkStart w:id="104" w:name="_Toc150933112"/>
      <w:bookmarkStart w:id="105" w:name="_Toc150953430"/>
      <w:bookmarkStart w:id="106" w:name="_Toc150933084"/>
      <w:bookmarkStart w:id="107" w:name="_Toc150953402"/>
      <w:bookmarkStart w:id="108" w:name="_Toc181084768"/>
      <w:r w:rsidRPr="00C162EF">
        <w:rPr>
          <w:color w:val="3B5D1E" w:themeColor="accent4" w:themeShade="BF"/>
        </w:rPr>
        <w:t>Ngā wheako o te purapura ora</w:t>
      </w:r>
      <w:bookmarkEnd w:id="103"/>
      <w:bookmarkEnd w:id="108"/>
      <w:r w:rsidRPr="00C162EF">
        <w:rPr>
          <w:color w:val="3B5D1E" w:themeColor="accent4" w:themeShade="BF"/>
        </w:rPr>
        <w:t xml:space="preserve"> </w:t>
      </w:r>
    </w:p>
    <w:p w14:paraId="07511C3C" w14:textId="024C8EB6" w:rsidR="00FE4E56" w:rsidRPr="00C162EF" w:rsidRDefault="00FE4E56" w:rsidP="00282055">
      <w:pPr>
        <w:pStyle w:val="Heading1"/>
        <w:rPr>
          <w:color w:val="3B5D1E" w:themeColor="accent4" w:themeShade="BF"/>
        </w:rPr>
      </w:pPr>
      <w:bookmarkStart w:id="109" w:name="_Toc2134321130"/>
      <w:bookmarkStart w:id="110" w:name="_Toc181084769"/>
      <w:r w:rsidRPr="00C162EF">
        <w:rPr>
          <w:color w:val="3B5D1E" w:themeColor="accent4" w:themeShade="BF"/>
        </w:rPr>
        <w:t>Survivor experience: Whiti Ronaki</w:t>
      </w:r>
      <w:bookmarkEnd w:id="109"/>
      <w:bookmarkEnd w:id="110"/>
    </w:p>
    <w:p w14:paraId="10E50A3B" w14:textId="77777777" w:rsidR="00FE4E56" w:rsidRPr="004A0212" w:rsidRDefault="00FE4E56"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Whiti Ronaki </w:t>
      </w:r>
      <w:r w:rsidRPr="004A0212">
        <w:rPr>
          <w:rStyle w:val="eop"/>
          <w:rFonts w:ascii="Arial" w:hAnsi="Arial" w:cs="Arial"/>
          <w:sz w:val="22"/>
          <w:szCs w:val="22"/>
        </w:rPr>
        <w:t> </w:t>
      </w:r>
    </w:p>
    <w:p w14:paraId="68A0D628" w14:textId="0DC99EA2" w:rsidR="00FE4E56" w:rsidRPr="004A0212" w:rsidRDefault="00FE4E56" w:rsidP="00CA42B5">
      <w:pPr>
        <w:pStyle w:val="BodyText"/>
        <w:rPr>
          <w:rFonts w:ascii="Segoe UI" w:hAnsi="Segoe UI" w:cs="Segoe UI"/>
          <w:color w:val="404040"/>
          <w:sz w:val="18"/>
          <w:szCs w:val="18"/>
        </w:rPr>
      </w:pPr>
      <w:r w:rsidRPr="0050016F">
        <w:rPr>
          <w:rStyle w:val="normaltextrun"/>
          <w:rFonts w:ascii="Arial" w:hAnsi="Arial" w:cs="Arial"/>
          <w:b/>
          <w:sz w:val="22"/>
          <w:szCs w:val="22"/>
        </w:rPr>
        <w:t>Hometown</w:t>
      </w:r>
      <w:r w:rsidRPr="0050016F">
        <w:rPr>
          <w:rStyle w:val="normaltextrun"/>
          <w:rFonts w:ascii="Arial" w:hAnsi="Arial" w:cs="Arial"/>
          <w:sz w:val="22"/>
          <w:szCs w:val="22"/>
        </w:rPr>
        <w:t xml:space="preserve"> </w:t>
      </w:r>
      <w:bookmarkStart w:id="111" w:name="_Hlk178258409"/>
      <w:r w:rsidRPr="0050016F">
        <w:rPr>
          <w:rStyle w:val="normaltextrun"/>
          <w:rFonts w:ascii="Arial" w:hAnsi="Arial" w:cs="Arial"/>
          <w:sz w:val="22"/>
          <w:szCs w:val="22"/>
        </w:rPr>
        <w:t>Tāmaki Makaurau Auckland </w:t>
      </w:r>
      <w:r w:rsidRPr="004A0212">
        <w:rPr>
          <w:rStyle w:val="eop"/>
          <w:rFonts w:ascii="Arial" w:hAnsi="Arial" w:cs="Arial"/>
          <w:sz w:val="22"/>
          <w:szCs w:val="22"/>
        </w:rPr>
        <w:t> </w:t>
      </w:r>
      <w:bookmarkEnd w:id="111"/>
    </w:p>
    <w:p w14:paraId="3DC640EA" w14:textId="77777777" w:rsidR="00FE4E56" w:rsidRPr="004A0212" w:rsidRDefault="00FE4E56" w:rsidP="00CA42B5">
      <w:pPr>
        <w:pStyle w:val="BodyText"/>
        <w:rPr>
          <w:rStyle w:val="eop"/>
          <w:rFonts w:ascii="Arial" w:hAnsi="Arial" w:cs="Arial"/>
          <w:sz w:val="22"/>
          <w:szCs w:val="22"/>
        </w:rPr>
      </w:pPr>
      <w:r w:rsidRPr="004A0212">
        <w:rPr>
          <w:rStyle w:val="normaltextrun"/>
          <w:rFonts w:ascii="Arial" w:hAnsi="Arial" w:cs="Arial"/>
          <w:b/>
          <w:bCs/>
          <w:sz w:val="22"/>
          <w:szCs w:val="22"/>
        </w:rPr>
        <w:t>Age when entered care</w:t>
      </w:r>
      <w:r w:rsidRPr="004A0212">
        <w:rPr>
          <w:rStyle w:val="normaltextrun"/>
          <w:rFonts w:ascii="Arial" w:hAnsi="Arial" w:cs="Arial"/>
          <w:sz w:val="22"/>
          <w:szCs w:val="22"/>
        </w:rPr>
        <w:t xml:space="preserve"> 6 years old </w:t>
      </w:r>
      <w:r w:rsidRPr="004A0212">
        <w:rPr>
          <w:rStyle w:val="eop"/>
          <w:rFonts w:ascii="Arial" w:hAnsi="Arial" w:cs="Arial"/>
          <w:sz w:val="22"/>
          <w:szCs w:val="22"/>
        </w:rPr>
        <w:t> </w:t>
      </w:r>
    </w:p>
    <w:p w14:paraId="18D01935" w14:textId="77777777" w:rsidR="00FE4E56" w:rsidRPr="004A0212" w:rsidRDefault="00FE4E56" w:rsidP="00CA42B5">
      <w:pPr>
        <w:pStyle w:val="BodyText"/>
        <w:rPr>
          <w:rStyle w:val="eop"/>
          <w:rFonts w:ascii="Arial" w:hAnsi="Arial" w:cs="Arial"/>
          <w:bCs/>
          <w:sz w:val="22"/>
          <w:szCs w:val="22"/>
        </w:rPr>
      </w:pPr>
      <w:r w:rsidRPr="004A0212">
        <w:rPr>
          <w:rStyle w:val="eop"/>
          <w:rFonts w:ascii="Arial" w:hAnsi="Arial" w:cs="Arial"/>
          <w:b/>
          <w:bCs/>
          <w:sz w:val="22"/>
          <w:szCs w:val="22"/>
        </w:rPr>
        <w:t xml:space="preserve">Year of birth </w:t>
      </w:r>
      <w:r w:rsidRPr="004A0212">
        <w:rPr>
          <w:rStyle w:val="eop"/>
          <w:rFonts w:ascii="Arial" w:hAnsi="Arial" w:cs="Arial"/>
          <w:bCs/>
          <w:sz w:val="22"/>
          <w:szCs w:val="22"/>
        </w:rPr>
        <w:t>1954</w:t>
      </w:r>
    </w:p>
    <w:p w14:paraId="3EC4CA4A" w14:textId="77777777" w:rsidR="00FE4E56" w:rsidRPr="004A0212" w:rsidRDefault="00FE4E56"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1959–1969 </w:t>
      </w:r>
      <w:r w:rsidRPr="004A0212">
        <w:rPr>
          <w:rStyle w:val="eop"/>
          <w:rFonts w:ascii="Arial" w:hAnsi="Arial" w:cs="Arial"/>
          <w:sz w:val="22"/>
          <w:szCs w:val="22"/>
        </w:rPr>
        <w:t> </w:t>
      </w:r>
    </w:p>
    <w:p w14:paraId="1E915772" w14:textId="6EB4CFA6" w:rsidR="00FE4E56" w:rsidRPr="004A0212" w:rsidRDefault="00FE4E56"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Care facility</w:t>
      </w:r>
      <w:r w:rsidRPr="004A0212">
        <w:rPr>
          <w:rStyle w:val="normaltextrun"/>
          <w:rFonts w:ascii="Arial" w:hAnsi="Arial" w:cs="Arial"/>
          <w:sz w:val="22"/>
          <w:szCs w:val="22"/>
        </w:rPr>
        <w:t xml:space="preserve"> Kelston School for the Deaf</w:t>
      </w:r>
      <w:r w:rsidRPr="007125B4">
        <w:rPr>
          <w:rStyle w:val="normaltextrun"/>
          <w:rFonts w:ascii="Arial" w:hAnsi="Arial" w:cs="Arial"/>
          <w:sz w:val="22"/>
          <w:szCs w:val="22"/>
        </w:rPr>
        <w:t xml:space="preserve"> in Tāmaki Makaurau Auckland</w:t>
      </w:r>
      <w:r w:rsidRPr="004A0212">
        <w:rPr>
          <w:rStyle w:val="eop"/>
          <w:rFonts w:ascii="Arial" w:hAnsi="Arial" w:cs="Arial"/>
          <w:sz w:val="22"/>
          <w:szCs w:val="22"/>
        </w:rPr>
        <w:t> </w:t>
      </w:r>
    </w:p>
    <w:p w14:paraId="48D46CBB" w14:textId="75939D77" w:rsidR="00FE4E56" w:rsidRPr="004A0212" w:rsidRDefault="00FE4E56"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Ethnicity</w:t>
      </w:r>
      <w:r w:rsidRPr="004A0212">
        <w:rPr>
          <w:rStyle w:val="normaltextrun"/>
          <w:rFonts w:ascii="Arial" w:hAnsi="Arial" w:cs="Arial"/>
          <w:sz w:val="22"/>
          <w:szCs w:val="22"/>
        </w:rPr>
        <w:t xml:space="preserve"> </w:t>
      </w:r>
      <w:r w:rsidRPr="00004798">
        <w:rPr>
          <w:rStyle w:val="normaltextrun"/>
          <w:rFonts w:ascii="Arial" w:hAnsi="Arial" w:cs="Arial"/>
          <w:sz w:val="22"/>
          <w:szCs w:val="22"/>
        </w:rPr>
        <w:t>Māori (Te Arawa)</w:t>
      </w:r>
    </w:p>
    <w:p w14:paraId="55E0E67D" w14:textId="77777777" w:rsidR="00FE4E56" w:rsidRDefault="00FE4E56" w:rsidP="001107F0">
      <w:pPr>
        <w:pStyle w:val="BodyText"/>
        <w:rPr>
          <w:rStyle w:val="scxw67291607"/>
          <w:rFonts w:ascii="Arial" w:hAnsi="Arial" w:cs="Arial"/>
          <w:sz w:val="22"/>
          <w:szCs w:val="22"/>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Whiti was an only child. He was raised by his birth mother’s cousin and his adoptive father. He has eight sisters and nine brothers to the same parents in his birth family. </w:t>
      </w:r>
      <w:r w:rsidRPr="004A0212">
        <w:rPr>
          <w:rStyle w:val="scxw67291607"/>
          <w:rFonts w:ascii="Arial" w:hAnsi="Arial" w:cs="Arial"/>
          <w:sz w:val="22"/>
          <w:szCs w:val="22"/>
        </w:rPr>
        <w:t> </w:t>
      </w:r>
    </w:p>
    <w:p w14:paraId="21E71DFD" w14:textId="4D617632" w:rsidR="00FE4E56" w:rsidRPr="004A0212" w:rsidRDefault="00FE4E56" w:rsidP="00CA42B5">
      <w:pPr>
        <w:pStyle w:val="BodyText"/>
        <w:rPr>
          <w:rFonts w:ascii="Segoe UI" w:hAnsi="Segoe UI" w:cs="Segoe UI"/>
          <w:color w:val="404040"/>
          <w:sz w:val="18"/>
          <w:szCs w:val="18"/>
        </w:rPr>
      </w:pPr>
      <w:r w:rsidRPr="004A0212">
        <w:rPr>
          <w:rStyle w:val="normaltextrun"/>
          <w:rFonts w:ascii="Arial" w:hAnsi="Arial" w:cs="Arial"/>
          <w:b/>
          <w:bCs/>
          <w:sz w:val="22"/>
          <w:szCs w:val="22"/>
        </w:rPr>
        <w:t>Currently</w:t>
      </w:r>
      <w:r>
        <w:rPr>
          <w:rStyle w:val="normaltextrun"/>
          <w:rFonts w:ascii="Arial" w:hAnsi="Arial" w:cs="Arial"/>
          <w:b/>
          <w:bCs/>
          <w:sz w:val="22"/>
          <w:szCs w:val="22"/>
        </w:rPr>
        <w:t xml:space="preserve"> </w:t>
      </w:r>
      <w:r w:rsidRPr="004A0212">
        <w:rPr>
          <w:rStyle w:val="normaltextrun"/>
          <w:rFonts w:ascii="Arial" w:hAnsi="Arial" w:cs="Arial"/>
          <w:sz w:val="22"/>
          <w:szCs w:val="22"/>
        </w:rPr>
        <w:t xml:space="preserve">Whiti </w:t>
      </w:r>
      <w:r w:rsidRPr="0050016F">
        <w:rPr>
          <w:rStyle w:val="normaltextrun"/>
          <w:rFonts w:ascii="Arial" w:hAnsi="Arial" w:cs="Arial"/>
          <w:sz w:val="22"/>
          <w:szCs w:val="22"/>
        </w:rPr>
        <w:t xml:space="preserve">lives in </w:t>
      </w:r>
      <w:r w:rsidRPr="0046726D">
        <w:rPr>
          <w:rStyle w:val="normaltextrun"/>
          <w:rFonts w:ascii="Arial" w:hAnsi="Arial" w:cs="Arial"/>
          <w:sz w:val="22"/>
          <w:szCs w:val="22"/>
        </w:rPr>
        <w:t>Tāmaki Makaurau</w:t>
      </w:r>
      <w:r w:rsidRPr="004A0212">
        <w:rPr>
          <w:rStyle w:val="normaltextrun"/>
          <w:rFonts w:ascii="Arial" w:hAnsi="Arial" w:cs="Arial"/>
          <w:sz w:val="22"/>
          <w:szCs w:val="22"/>
        </w:rPr>
        <w:t xml:space="preserve"> Auckland and does a lot of volunteer work with the Māori Deaf community. He is close to his children and grandchildren. </w:t>
      </w:r>
      <w:r w:rsidRPr="004A0212">
        <w:rPr>
          <w:rStyle w:val="eop"/>
          <w:rFonts w:ascii="Arial" w:hAnsi="Arial" w:cs="Arial"/>
          <w:sz w:val="22"/>
          <w:szCs w:val="22"/>
        </w:rPr>
        <w:t> </w:t>
      </w:r>
    </w:p>
    <w:p w14:paraId="7CCB2767" w14:textId="77777777" w:rsidR="00FE4E56" w:rsidRPr="004A0212" w:rsidRDefault="00FE4E56" w:rsidP="00992F48">
      <w:pPr>
        <w:pStyle w:val="paragraph"/>
        <w:spacing w:before="0" w:beforeAutospacing="0" w:after="0" w:afterAutospacing="0"/>
        <w:textAlignment w:val="baseline"/>
        <w:rPr>
          <w:rStyle w:val="normaltextrun"/>
          <w:rFonts w:ascii="Arial" w:hAnsi="Arial" w:cs="Arial"/>
          <w:sz w:val="22"/>
          <w:szCs w:val="22"/>
        </w:rPr>
      </w:pPr>
    </w:p>
    <w:p w14:paraId="3F9ED29C" w14:textId="4AA4E598"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was 3 years old, I got the measles and lost my hearing.  </w:t>
      </w:r>
    </w:p>
    <w:p w14:paraId="3ABC4619" w14:textId="5B24DCAE"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Growing up, they called me mischief. I had difficulty understanding whānau – I didn’t understand how they were communicating with me. It was a problem. They thought I was being cheeky and I used to get hit and yelled at, but I was Deaf. My father would physically attack me, which made me so scared. He used weapons, anything he could get his hands on.  </w:t>
      </w:r>
    </w:p>
    <w:p w14:paraId="3E67FBFC" w14:textId="131ADA63"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 doctor said I was Deaf, not Deaf and dumb. Because I couldn’t hear, I had to learn everything with my eyes. </w:t>
      </w:r>
    </w:p>
    <w:p w14:paraId="07A33072" w14:textId="6D845D5C"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arrived at Kelston in 1959, then aged 6 years old. I was a boarder, and I was scared at the beginning. There were heaps of Deaf kids, and they were all signing. I didn’t know how to, so I sat in the corner watching and learning. Most of them were Pākehā. I was stiff, I couldn’t relax. </w:t>
      </w:r>
    </w:p>
    <w:p w14:paraId="28168D76" w14:textId="34912CE9"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At dinner, I didn’t know how to use a knife and fork and a teacher hit the back of my hand with the blade of a knife. That night before bed, I learnt about toothbrushes – I had never used one before.  </w:t>
      </w:r>
    </w:p>
    <w:p w14:paraId="4EA200EB" w14:textId="2C90349E"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lastRenderedPageBreak/>
        <w:t xml:space="preserve">When I went to Kelston, sign language was banned. If you tried to sign you were strapped. You had to be oral and talk. We had to wear hearing aids. I didn’t like it. In the break, we would hide in the playground to sign, and if we saw a teacher we would stop. We learned to sign by watching each other. We made up our own way of communicating.  </w:t>
      </w:r>
    </w:p>
    <w:p w14:paraId="380A1EA0" w14:textId="77777777"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Even the Government banned sign language. It wasn’t fair. This made learning in the classroom hard. I didn’t know what the teacher was saying, and I wasn’t allowed to sign and ask for help. I couldn’t understand, I couldn’t see what she was saying. The teacher would growl at me – she said we had to listen. The whole class had to learn how to lip read, but the teachers didn’t know how to lip read. </w:t>
      </w:r>
    </w:p>
    <w:p w14:paraId="51AFD5F3" w14:textId="201CAEEF"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It took me a long time to learn how to say hello – they said my tongue was lazy, but I was trying my best and it wasn’t fair. I had to put a feather in front of my mouth and spit on it to make it move and make the right sounds. It was very difficult.  </w:t>
      </w:r>
    </w:p>
    <w:p w14:paraId="2B865440" w14:textId="0B13C8CC"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There was no Māori culture or te reo Māori taught at school. It was the 1960s, so we didn’t have to be taught our language and culture. I was confused about my identity – I didn’t know I was Māori and Mum and Dad didn’t explain anything to me.  </w:t>
      </w:r>
    </w:p>
    <w:p w14:paraId="4B092A12" w14:textId="6D223775"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 staff were Pākehā. The cook was Māori. She used to take us in the kitchen and give us big bowls of ice cream. We would give her big hugs. It was just what we needed. One staff member knew she was feeding us. They would ask, “Where have you been?” It was like being in a prison cell for all us Māori. </w:t>
      </w:r>
    </w:p>
    <w:p w14:paraId="43C2C524" w14:textId="29D4772D"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Some staff didn’t like Māori children and didn’t treat us the same as the Pākehā children – the Pākehā kids got toothpaste, but the Māori kids got soap. They would smell your mouth to make sure you brushed with soap. I was frightened. I complained to the principal, but he didn’t believe me. The complaint failed even though I told the truth, and it was abuse. </w:t>
      </w:r>
    </w:p>
    <w:p w14:paraId="219B8DF3" w14:textId="45D44547"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There was a staff member that I hated, and another man too. At bath time they would use the soap and wash you for a long time then put their hands up your bum. The boys in the bath would play with each other, too. I felt yuck. The other kids would tell their parents what was going on, and they’d go to the principal, but he didn’t believe it. I think there were other kinds of abuse. We were all too scared to do anything about it. </w:t>
      </w:r>
    </w:p>
    <w:p w14:paraId="3525094B" w14:textId="1F3CCEE3"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Pr>
          <w:rStyle w:val="normaltextrun"/>
          <w:rFonts w:ascii="Arial" w:hAnsi="Arial" w:cs="Arial"/>
          <w:sz w:val="22"/>
          <w:szCs w:val="22"/>
        </w:rPr>
        <w:t xml:space="preserve">Having grown </w:t>
      </w:r>
      <w:r w:rsidRPr="004A0212">
        <w:rPr>
          <w:rStyle w:val="normaltextrun"/>
          <w:rFonts w:ascii="Arial" w:hAnsi="Arial" w:cs="Arial"/>
          <w:sz w:val="22"/>
          <w:szCs w:val="22"/>
        </w:rPr>
        <w:t xml:space="preserve">with the abuse, I would fight with gangs, fight with whānau. It was wrong, no one taught me — not my parents, whānau, friends. I had to teach myself, and I was trouble.   </w:t>
      </w:r>
    </w:p>
    <w:p w14:paraId="4CCE825D" w14:textId="7ADC2DE5"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found out about my biological family when I was 18 years old. One day I asked my real dad why he gave me away. He told me to get out and closed down. He was so angry. His words hurt me, but I had the right to ask. That’s why I got into the gangs and fighting when I was young – I was frustrated with my life. I was attracted to the gangs because it was a place that I had power and mana that I didn’t have before.  </w:t>
      </w:r>
    </w:p>
    <w:p w14:paraId="7BD57518" w14:textId="77777777" w:rsidR="003A06E8" w:rsidRDefault="003A06E8">
      <w:pPr>
        <w:keepLines w:val="0"/>
        <w:rPr>
          <w:rStyle w:val="normaltextrun"/>
          <w:rFonts w:ascii="Arial" w:eastAsia="Times New Roman" w:hAnsi="Arial" w:cs="Arial"/>
          <w:sz w:val="22"/>
          <w:szCs w:val="22"/>
        </w:rPr>
      </w:pPr>
      <w:r>
        <w:rPr>
          <w:rStyle w:val="normaltextrun"/>
          <w:rFonts w:ascii="Arial" w:hAnsi="Arial" w:cs="Arial"/>
          <w:sz w:val="22"/>
          <w:szCs w:val="22"/>
        </w:rPr>
        <w:br w:type="page"/>
      </w:r>
    </w:p>
    <w:p w14:paraId="32BC614D" w14:textId="263935E6"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lastRenderedPageBreak/>
        <w:t xml:space="preserve">When I was in the gang, the police were hard on me. I used to go to the pub on payday and I’d be drinking a jug of beer when they came in. I couldn’t communicate with them, so they would grab me and put me in the truck. I’d be confused. They’d get my cards out of my wallet to find out my name. I didn’t understand the way they communicated or the words they used.  They would make up stories, like saying I pissed in the garden. I’d be charged and have to go to court. They would write a report that I didn’t understand, and there were no interpreters to communicate with me. It was all oral, and even though I tried to lip read, I couldn’t follow what was going on.  </w:t>
      </w:r>
    </w:p>
    <w:p w14:paraId="5B33723E" w14:textId="50B536E3"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They were all Pākehā, picking on me because I am Māori. It was so frustrating and I would get angry. I didn’t know why they treated me like that.  </w:t>
      </w:r>
    </w:p>
    <w:p w14:paraId="5F3D60C4" w14:textId="747A36E5"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met another Deaf man and I told him I was in the gangs. He said, “What are you doing that for? Come to the Deaf club. You can talk, and we do fun things. We play sports, you should come.” I went to Deaf club without my patch, and I met heaps of people I went to school with. It was great talking and seeing them again.  </w:t>
      </w:r>
    </w:p>
    <w:p w14:paraId="79131CD0" w14:textId="6B8EB353"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left the gang life at age 25, the Māori </w:t>
      </w:r>
      <w:r>
        <w:rPr>
          <w:rStyle w:val="normaltextrun"/>
          <w:rFonts w:ascii="Arial" w:hAnsi="Arial" w:cs="Arial"/>
          <w:sz w:val="22"/>
          <w:szCs w:val="22"/>
        </w:rPr>
        <w:t>Turi</w:t>
      </w:r>
      <w:r w:rsidRPr="004A0212">
        <w:rPr>
          <w:rStyle w:val="normaltextrun"/>
          <w:rFonts w:ascii="Arial" w:hAnsi="Arial" w:cs="Arial"/>
          <w:sz w:val="22"/>
          <w:szCs w:val="22"/>
        </w:rPr>
        <w:t xml:space="preserve"> community pressured me to change. It made me relax from the police always getting at me. I did some self-reflection and realised I wanted to join the Māori </w:t>
      </w:r>
      <w:r>
        <w:rPr>
          <w:rStyle w:val="normaltextrun"/>
          <w:rFonts w:ascii="Arial" w:hAnsi="Arial" w:cs="Arial"/>
          <w:sz w:val="22"/>
          <w:szCs w:val="22"/>
        </w:rPr>
        <w:t>Turi</w:t>
      </w:r>
      <w:r w:rsidRPr="004A0212">
        <w:rPr>
          <w:rStyle w:val="normaltextrun"/>
          <w:rFonts w:ascii="Arial" w:hAnsi="Arial" w:cs="Arial"/>
          <w:sz w:val="22"/>
          <w:szCs w:val="22"/>
        </w:rPr>
        <w:t xml:space="preserve"> community to help them and the young ones. Now, I take my patch and talk to Māori </w:t>
      </w:r>
      <w:r>
        <w:rPr>
          <w:rStyle w:val="normaltextrun"/>
          <w:rFonts w:ascii="Arial" w:hAnsi="Arial" w:cs="Arial"/>
          <w:sz w:val="22"/>
          <w:szCs w:val="22"/>
        </w:rPr>
        <w:t xml:space="preserve">Turi </w:t>
      </w:r>
      <w:r w:rsidRPr="004A0212">
        <w:rPr>
          <w:rStyle w:val="normaltextrun"/>
          <w:rFonts w:ascii="Arial" w:hAnsi="Arial" w:cs="Arial"/>
          <w:sz w:val="22"/>
          <w:szCs w:val="22"/>
        </w:rPr>
        <w:t xml:space="preserve">youth about my stories and my journey in gangs. I tell them to not get involved, to think and be careful. </w:t>
      </w:r>
    </w:p>
    <w:p w14:paraId="19A93BEB" w14:textId="21085DAA"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feel that Māori </w:t>
      </w:r>
      <w:r>
        <w:rPr>
          <w:rStyle w:val="normaltextrun"/>
          <w:rFonts w:ascii="Arial" w:hAnsi="Arial" w:cs="Arial"/>
          <w:sz w:val="22"/>
          <w:szCs w:val="22"/>
        </w:rPr>
        <w:t>Turi</w:t>
      </w:r>
      <w:r w:rsidRPr="004A0212">
        <w:rPr>
          <w:rStyle w:val="normaltextrun"/>
          <w:rFonts w:ascii="Arial" w:hAnsi="Arial" w:cs="Arial"/>
          <w:sz w:val="22"/>
          <w:szCs w:val="22"/>
        </w:rPr>
        <w:t xml:space="preserve"> children are still not treated the same as Pākehā children. You have to be careful when you talk to Māori </w:t>
      </w:r>
      <w:r>
        <w:rPr>
          <w:rStyle w:val="normaltextrun"/>
          <w:rFonts w:ascii="Arial" w:hAnsi="Arial" w:cs="Arial"/>
          <w:sz w:val="22"/>
          <w:szCs w:val="22"/>
        </w:rPr>
        <w:t>Turi</w:t>
      </w:r>
      <w:r w:rsidRPr="004A0212">
        <w:rPr>
          <w:rStyle w:val="normaltextrun"/>
          <w:rFonts w:ascii="Arial" w:hAnsi="Arial" w:cs="Arial"/>
          <w:sz w:val="22"/>
          <w:szCs w:val="22"/>
        </w:rPr>
        <w:t xml:space="preserve"> children. They read facial expressions, and when some of the staff yell at the children that makes them feel uncomfortable. We need to help, support and train more staff and teach good communication skills that will help the children.  </w:t>
      </w:r>
    </w:p>
    <w:p w14:paraId="32E53555" w14:textId="58FDFD5A"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My most recent job was at Kelston school as a voluntary kaumatua. I visited a 10-year-old girl at school who was always in trouble. She was shocked, as she had not met a </w:t>
      </w:r>
      <w:r>
        <w:rPr>
          <w:rStyle w:val="normaltextrun"/>
          <w:rFonts w:ascii="Arial" w:hAnsi="Arial" w:cs="Arial"/>
          <w:sz w:val="22"/>
          <w:szCs w:val="22"/>
        </w:rPr>
        <w:t>Turi</w:t>
      </w:r>
      <w:r w:rsidRPr="004A0212">
        <w:rPr>
          <w:rStyle w:val="normaltextrun"/>
          <w:rFonts w:ascii="Arial" w:hAnsi="Arial" w:cs="Arial"/>
          <w:sz w:val="22"/>
          <w:szCs w:val="22"/>
        </w:rPr>
        <w:t xml:space="preserve"> Māori man before. She told me her teacher was Pākehā and didn’t understand Māori ways. I told the teacher and said if the teacher couldn’t teach the girl, to get a Māori staff member or someone else. They asked me to come back and volunteer one day a week.  </w:t>
      </w:r>
    </w:p>
    <w:p w14:paraId="79AFB56D" w14:textId="4351A4C1"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Before I got the job, the children feared me because I was covered in tattoos. I went to WINZ and asked if I could get them removed. It cost me $20. When I got the job, the children asked where my tattoos had gone. I said they were butterflies and they flew away. I had changed – I became positive. </w:t>
      </w:r>
    </w:p>
    <w:p w14:paraId="1BC8A216" w14:textId="3C463654"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Some things have changed at Kelston that make it better and safer for the children. But lots of the Māori </w:t>
      </w:r>
      <w:r>
        <w:rPr>
          <w:rStyle w:val="normaltextrun"/>
          <w:rFonts w:ascii="Arial" w:hAnsi="Arial" w:cs="Arial"/>
          <w:sz w:val="22"/>
          <w:szCs w:val="22"/>
        </w:rPr>
        <w:t xml:space="preserve">Turi </w:t>
      </w:r>
      <w:r w:rsidRPr="004A0212">
        <w:rPr>
          <w:rStyle w:val="normaltextrun"/>
          <w:rFonts w:ascii="Arial" w:hAnsi="Arial" w:cs="Arial"/>
          <w:sz w:val="22"/>
          <w:szCs w:val="22"/>
        </w:rPr>
        <w:t xml:space="preserve">children are not happy because the staff are all Pākehā. Some of the Pākehā staff are good and some are not. I tell the children that they have to accept it for now.  </w:t>
      </w:r>
    </w:p>
    <w:p w14:paraId="21AC96F2" w14:textId="31B93B78"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Due to how and what I was taught at Kelston, I was alienated from both the Deaf and the Māori communities. I couldn’t understand the Deaf community because I wasn’t allowed to learn in sign language. I was alienated from the Māori community, because I wasn’t taught any language or cultural practices that would help me understand and be able to live as a Māori man. I had to learn later in life. </w:t>
      </w:r>
    </w:p>
    <w:p w14:paraId="05D50EBF" w14:textId="6209D851"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lastRenderedPageBreak/>
        <w:t xml:space="preserve">There is a disconnect between Deaf and Hearing people. A long time ago my daughter wanted to be an interpreter, so she signed up for a course. The teacher was Hearing, and I objected – I told him the class should be taught by the Deaf.  </w:t>
      </w:r>
    </w:p>
    <w:p w14:paraId="6BAD46F5" w14:textId="22ED412F"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I think there is also a disconnection when Māori </w:t>
      </w:r>
      <w:r>
        <w:rPr>
          <w:rStyle w:val="normaltextrun"/>
          <w:rFonts w:ascii="Arial" w:hAnsi="Arial" w:cs="Arial"/>
          <w:sz w:val="22"/>
          <w:szCs w:val="22"/>
        </w:rPr>
        <w:t xml:space="preserve">Turi </w:t>
      </w:r>
      <w:r w:rsidRPr="004A0212">
        <w:rPr>
          <w:rStyle w:val="normaltextrun"/>
          <w:rFonts w:ascii="Arial" w:hAnsi="Arial" w:cs="Arial"/>
          <w:sz w:val="22"/>
          <w:szCs w:val="22"/>
        </w:rPr>
        <w:t xml:space="preserve">attend events on the marae. Māori sign language needs more interpreters, as not many are fluent in te reo Māori and sign language. </w:t>
      </w:r>
    </w:p>
    <w:p w14:paraId="0BDD9879" w14:textId="7D77F53A" w:rsidR="00FE4E56" w:rsidRPr="004A0212" w:rsidRDefault="00FE4E56" w:rsidP="0023687E">
      <w:pPr>
        <w:pStyle w:val="paragraph"/>
        <w:spacing w:before="0" w:beforeAutospacing="0" w:after="200" w:afterAutospacing="0" w:line="276" w:lineRule="auto"/>
        <w:textAlignment w:val="baseline"/>
        <w:rPr>
          <w:rStyle w:val="normaltextrun"/>
          <w:rFonts w:ascii="Arial" w:hAnsi="Arial" w:cs="Arial"/>
          <w:sz w:val="22"/>
          <w:szCs w:val="22"/>
        </w:rPr>
      </w:pPr>
      <w:r w:rsidRPr="004A0212">
        <w:rPr>
          <w:rStyle w:val="normaltextrun"/>
          <w:rFonts w:ascii="Arial" w:hAnsi="Arial" w:cs="Arial"/>
          <w:sz w:val="22"/>
          <w:szCs w:val="22"/>
        </w:rPr>
        <w:t xml:space="preserve">When I sign in Māori I include Māori concepts, and mix it with English. When I do the karakia, on the marae, I sign in te reo. It should be voiced in te reo by the interpreter – to me it doesn’t sound right to voice my karakia in English. If you visit my marae, my whare, my pōwhiri, that is my culture. When people understand that switch in thinking, they get it. </w:t>
      </w:r>
    </w:p>
    <w:p w14:paraId="7CD0A21B" w14:textId="7847AE08" w:rsidR="00FE4E56" w:rsidRPr="004A0212" w:rsidRDefault="00FE4E56" w:rsidP="0023687E">
      <w:pPr>
        <w:pStyle w:val="paragraph"/>
        <w:spacing w:before="0" w:beforeAutospacing="0" w:after="200" w:afterAutospacing="0" w:line="276" w:lineRule="auto"/>
        <w:textAlignment w:val="baseline"/>
        <w:rPr>
          <w:rStyle w:val="eop"/>
          <w:rFonts w:ascii="Arial" w:hAnsi="Arial" w:cs="Arial"/>
          <w:sz w:val="22"/>
          <w:szCs w:val="22"/>
        </w:rPr>
      </w:pPr>
      <w:r w:rsidRPr="004A0212">
        <w:rPr>
          <w:rStyle w:val="normaltextrun"/>
          <w:rFonts w:ascii="Arial" w:hAnsi="Arial" w:cs="Arial"/>
          <w:sz w:val="22"/>
          <w:szCs w:val="22"/>
        </w:rPr>
        <w:t xml:space="preserve">I think sign language should be adapted to represent Māori concepts and this work should be done by Māori </w:t>
      </w:r>
      <w:r>
        <w:rPr>
          <w:rStyle w:val="normaltextrun"/>
          <w:rFonts w:ascii="Arial" w:hAnsi="Arial" w:cs="Arial"/>
          <w:sz w:val="22"/>
          <w:szCs w:val="22"/>
        </w:rPr>
        <w:t>Turi</w:t>
      </w:r>
      <w:r w:rsidRPr="004A0212">
        <w:rPr>
          <w:rStyle w:val="normaltextrun"/>
          <w:rFonts w:ascii="Arial" w:hAnsi="Arial" w:cs="Arial"/>
          <w:sz w:val="22"/>
          <w:szCs w:val="22"/>
        </w:rPr>
        <w:t xml:space="preserve">, for Māori </w:t>
      </w:r>
      <w:r>
        <w:rPr>
          <w:rStyle w:val="normaltextrun"/>
          <w:rFonts w:ascii="Arial" w:hAnsi="Arial" w:cs="Arial"/>
          <w:sz w:val="22"/>
          <w:szCs w:val="22"/>
        </w:rPr>
        <w:t>Turi</w:t>
      </w:r>
      <w:r w:rsidRPr="004A0212">
        <w:rPr>
          <w:rStyle w:val="normaltextrun"/>
          <w:rFonts w:ascii="Arial" w:hAnsi="Arial" w:cs="Arial"/>
          <w:sz w:val="22"/>
          <w:szCs w:val="22"/>
        </w:rPr>
        <w:t>. We need to help each other and get everyone’s different perspectives.</w:t>
      </w:r>
      <w:r w:rsidRPr="004A0212">
        <w:rPr>
          <w:rStyle w:val="EndnoteReference"/>
          <w:rFonts w:ascii="Arial" w:hAnsi="Arial"/>
          <w:sz w:val="22"/>
          <w:szCs w:val="22"/>
        </w:rPr>
        <w:endnoteReference w:id="62"/>
      </w:r>
      <w:r w:rsidRPr="004A0212">
        <w:rPr>
          <w:rStyle w:val="eop"/>
          <w:rFonts w:ascii="Arial" w:hAnsi="Arial" w:cs="Arial"/>
          <w:sz w:val="22"/>
          <w:szCs w:val="22"/>
        </w:rPr>
        <w:t> </w:t>
      </w:r>
    </w:p>
    <w:p w14:paraId="78A09470" w14:textId="318DB905" w:rsidR="00FE4E56" w:rsidRPr="004A0212" w:rsidRDefault="00FE4E56">
      <w:pPr>
        <w:keepLines w:val="0"/>
        <w:rPr>
          <w:rFonts w:ascii="Arial" w:eastAsia="Times New Roman" w:hAnsi="Arial" w:cs="Arial"/>
          <w:sz w:val="22"/>
          <w:szCs w:val="22"/>
        </w:rPr>
      </w:pPr>
      <w:r w:rsidRPr="004A0212">
        <w:br w:type="page"/>
      </w:r>
    </w:p>
    <w:p w14:paraId="4D2C67D1" w14:textId="1141687A" w:rsidR="00FE4E56" w:rsidRPr="004A0212" w:rsidRDefault="00FE4E56" w:rsidP="00282055">
      <w:pPr>
        <w:pStyle w:val="Heading1"/>
        <w:rPr>
          <w:color w:val="3B5D1E" w:themeColor="accent4" w:themeShade="BF"/>
        </w:rPr>
      </w:pPr>
      <w:bookmarkStart w:id="112" w:name="_Toc728602691"/>
      <w:bookmarkStart w:id="113" w:name="_Toc181084770"/>
      <w:r w:rsidRPr="004A0212">
        <w:rPr>
          <w:color w:val="3B5D1E" w:themeColor="accent4" w:themeShade="BF"/>
        </w:rPr>
        <w:lastRenderedPageBreak/>
        <w:t>Ūpoko 3: Ngā mihinare me te tīmatanga o te tāmitanga</w:t>
      </w:r>
      <w:bookmarkEnd w:id="112"/>
      <w:bookmarkEnd w:id="113"/>
    </w:p>
    <w:p w14:paraId="1B43A72E" w14:textId="73DF506F" w:rsidR="00FE4E56" w:rsidRPr="004A0212" w:rsidRDefault="00FE4E56" w:rsidP="00282055">
      <w:pPr>
        <w:pStyle w:val="Heading1"/>
        <w:rPr>
          <w:color w:val="3B5D1E" w:themeColor="accent4" w:themeShade="BF"/>
        </w:rPr>
      </w:pPr>
      <w:bookmarkStart w:id="114" w:name="_Toc519978441"/>
      <w:bookmarkStart w:id="115" w:name="_Toc181084771"/>
      <w:r w:rsidRPr="004A0212">
        <w:rPr>
          <w:color w:val="3B5D1E" w:themeColor="accent4" w:themeShade="BF"/>
        </w:rPr>
        <w:t>Chapter 3: Missionaries and the start of colonisation</w:t>
      </w:r>
      <w:bookmarkEnd w:id="114"/>
      <w:bookmarkEnd w:id="115"/>
      <w:r w:rsidRPr="004A0212">
        <w:rPr>
          <w:color w:val="3B5D1E" w:themeColor="accent4" w:themeShade="BF"/>
        </w:rPr>
        <w:t xml:space="preserve"> </w:t>
      </w:r>
    </w:p>
    <w:p w14:paraId="6858A225" w14:textId="7CBC8D33" w:rsidR="00FE4E56" w:rsidRPr="004A0212" w:rsidRDefault="00FE4E56" w:rsidP="00282055">
      <w:pPr>
        <w:pStyle w:val="Heading2"/>
      </w:pPr>
      <w:bookmarkStart w:id="116" w:name="_Toc1127595633"/>
      <w:bookmarkStart w:id="117" w:name="_Toc147935371"/>
      <w:bookmarkStart w:id="118" w:name="_Toc148443550"/>
      <w:bookmarkStart w:id="119" w:name="_Toc150933113"/>
      <w:bookmarkStart w:id="120" w:name="_Toc150953431"/>
      <w:bookmarkStart w:id="121" w:name="_Toc181084772"/>
      <w:r w:rsidRPr="004A0212">
        <w:t>Te taenga mai o ngā mihinare ki Aotearoa</w:t>
      </w:r>
      <w:bookmarkEnd w:id="116"/>
      <w:bookmarkEnd w:id="121"/>
      <w:r w:rsidRPr="004A0212">
        <w:t xml:space="preserve"> </w:t>
      </w:r>
    </w:p>
    <w:p w14:paraId="12DFB687" w14:textId="27D66E77" w:rsidR="00FE4E56" w:rsidRPr="004A0212" w:rsidRDefault="00FE4E56" w:rsidP="00282055">
      <w:pPr>
        <w:pStyle w:val="Heading2"/>
      </w:pPr>
      <w:bookmarkStart w:id="122" w:name="_Toc1735893698"/>
      <w:bookmarkStart w:id="123" w:name="_Toc181084773"/>
      <w:r w:rsidRPr="004A0212">
        <w:t>Arrival of missionaries in Aotearoa</w:t>
      </w:r>
      <w:bookmarkEnd w:id="117"/>
      <w:bookmarkEnd w:id="118"/>
      <w:r w:rsidRPr="004A0212">
        <w:t xml:space="preserve"> New Zealand</w:t>
      </w:r>
      <w:bookmarkEnd w:id="119"/>
      <w:bookmarkEnd w:id="120"/>
      <w:bookmarkEnd w:id="122"/>
      <w:bookmarkEnd w:id="123"/>
    </w:p>
    <w:p w14:paraId="2B6A2120" w14:textId="19FCA67A" w:rsidR="00FE4E56" w:rsidRPr="004A0212" w:rsidRDefault="00FE4E56" w:rsidP="007D73A6">
      <w:pPr>
        <w:pStyle w:val="AllNumbparas"/>
      </w:pPr>
      <w:r w:rsidRPr="004A0212">
        <w:t>Part of the history of care settings in Aotearoa New Zealand relates to</w:t>
      </w:r>
      <w:r w:rsidRPr="004A0212" w:rsidDel="00E21DE0">
        <w:t xml:space="preserve"> </w:t>
      </w:r>
      <w:r w:rsidRPr="004A0212">
        <w:t xml:space="preserve">the arrival of Christian missionaries. </w:t>
      </w:r>
    </w:p>
    <w:p w14:paraId="7CFB1767" w14:textId="28BF8356" w:rsidR="00FE4E56" w:rsidRPr="004A0212" w:rsidRDefault="00FE4E56" w:rsidP="007D73A6">
      <w:pPr>
        <w:pStyle w:val="AllNumbparas"/>
        <w:rPr>
          <w:rFonts w:eastAsia="Times New Roman"/>
        </w:rPr>
      </w:pPr>
      <w:r w:rsidRPr="004A0212">
        <w:t xml:space="preserve">Christian missionaries arrived in Aotearoa New Zealand as early as 1814. From 1815 to 1840, the Anglicans, Methodists and Roman Catholics established several missions across the Far North, </w:t>
      </w:r>
      <w:r w:rsidRPr="004A0212">
        <w:rPr>
          <w:rStyle w:val="normaltextrun"/>
        </w:rPr>
        <w:t>close to Māori communities</w:t>
      </w:r>
      <w:r w:rsidRPr="004A0212">
        <w:t>.</w:t>
      </w:r>
      <w:r w:rsidRPr="004A0212">
        <w:rPr>
          <w:rStyle w:val="StyleFootnoteReferenceFagoFunotenzeichenFagoFunotenzeichen"/>
        </w:rPr>
        <w:endnoteReference w:id="63"/>
      </w:r>
      <w:r w:rsidRPr="004A0212">
        <w:rPr>
          <w:rStyle w:val="EndnoteReference"/>
        </w:rPr>
        <w:t xml:space="preserve"> </w:t>
      </w:r>
      <w:r w:rsidRPr="004A0212">
        <w:t xml:space="preserve">In the early years, missionaries were generally seen by Māori as useful members of their communities. </w:t>
      </w:r>
      <w:r w:rsidRPr="004A0212">
        <w:rPr>
          <w:rStyle w:val="normaltextrun"/>
        </w:rPr>
        <w:t>Māori engaged with the missionaries to increase their collective status, mana and economic and military advantage (including access to trading and muskets),</w:t>
      </w:r>
      <w:r w:rsidRPr="004A0212">
        <w:rPr>
          <w:rStyle w:val="StyleFootnoteReferenceFagoFunotenzeichenFagoFunotenzeichen"/>
        </w:rPr>
        <w:endnoteReference w:id="64"/>
      </w:r>
      <w:r w:rsidRPr="004A0212">
        <w:t xml:space="preserve"> and chiefs often provided land for missionary residences.</w:t>
      </w:r>
      <w:r w:rsidRPr="004A0212">
        <w:rPr>
          <w:rStyle w:val="StyleFootnoteReferenceFagoFunotenzeichenFagoFunotenzeichen"/>
        </w:rPr>
        <w:endnoteReference w:id="65"/>
      </w:r>
    </w:p>
    <w:p w14:paraId="54D7012B" w14:textId="0085D01C" w:rsidR="00FE4E56" w:rsidRPr="004A0212" w:rsidRDefault="00FE4E56" w:rsidP="00814720">
      <w:pPr>
        <w:pStyle w:val="AllNumbparas"/>
      </w:pPr>
      <w:r w:rsidRPr="004A0212">
        <w:t>Missionaries developed a reputation for mediating between rivals, providing a way out from the cycle of utu.</w:t>
      </w:r>
      <w:r w:rsidRPr="004A0212">
        <w:rPr>
          <w:rStyle w:val="StyleFootnoteReferenceFagoFunotenzeichenFagoFunotenzeichen"/>
        </w:rPr>
        <w:endnoteReference w:id="66"/>
      </w:r>
      <w:r w:rsidRPr="004A0212">
        <w:t xml:space="preserve"> This was a reciprocal relationship, with the missionaries often relying on hapū for food, shelter and protection. Missionaries also taught domestic values based on the model of the nuclear family as part of their wider efforts to Christianise and civilise Māori.</w:t>
      </w:r>
      <w:r w:rsidRPr="004A0212">
        <w:rPr>
          <w:rStyle w:val="StyleFootnoteReferenceFagoFunotenzeichenFagoFunotenzeichen"/>
        </w:rPr>
        <w:endnoteReference w:id="67"/>
      </w:r>
      <w:r w:rsidRPr="004A0212">
        <w:rPr>
          <w:rStyle w:val="StyleFootnoteReferenceFagoFunotenzeichenFagoFunotenzeichen"/>
        </w:rPr>
        <w:t xml:space="preserve"> </w:t>
      </w:r>
      <w:r w:rsidRPr="004A0212">
        <w:t>Missionaries influenced Māori converts to Christianity to abandon polygamy.</w:t>
      </w:r>
      <w:r w:rsidRPr="004A0212">
        <w:rPr>
          <w:rStyle w:val="StyleFootnoteReferenceFagoFunotenzeichenFagoFunotenzeichen"/>
        </w:rPr>
        <w:endnoteReference w:id="68"/>
      </w:r>
    </w:p>
    <w:p w14:paraId="16686530" w14:textId="77777777" w:rsidR="00FE4E56" w:rsidRDefault="00FE4E56" w:rsidP="007A190A">
      <w:pPr>
        <w:pStyle w:val="Heading3"/>
        <w:rPr>
          <w:rFonts w:cs="Arial"/>
        </w:rPr>
      </w:pPr>
      <w:bookmarkStart w:id="124" w:name="_Toc1450918098"/>
      <w:bookmarkStart w:id="125" w:name="_Toc181084774"/>
      <w:r w:rsidRPr="004A0212">
        <w:rPr>
          <w:rFonts w:cs="Arial"/>
        </w:rPr>
        <w:t>Ngā whakaaro o te Māori ki te Karaitianatanga</w:t>
      </w:r>
      <w:bookmarkEnd w:id="125"/>
    </w:p>
    <w:p w14:paraId="67E9105A" w14:textId="4C7FC95E" w:rsidR="00FE4E56" w:rsidRPr="004A0212" w:rsidRDefault="00FE4E56" w:rsidP="007A190A">
      <w:pPr>
        <w:pStyle w:val="Heading3"/>
        <w:rPr>
          <w:rFonts w:cs="Arial"/>
        </w:rPr>
      </w:pPr>
      <w:bookmarkStart w:id="126" w:name="_Toc181084775"/>
      <w:r w:rsidRPr="004A0212">
        <w:rPr>
          <w:rFonts w:cs="Arial"/>
        </w:rPr>
        <w:t>Māori responses to Christianity</w:t>
      </w:r>
      <w:bookmarkEnd w:id="124"/>
      <w:bookmarkEnd w:id="126"/>
    </w:p>
    <w:p w14:paraId="73254913" w14:textId="60B412D9" w:rsidR="00FE4E56" w:rsidRPr="004A0212" w:rsidRDefault="00FE4E56" w:rsidP="007D73A6">
      <w:pPr>
        <w:pStyle w:val="AllNumbparas"/>
        <w:rPr>
          <w:rStyle w:val="normaltextrun"/>
        </w:rPr>
      </w:pPr>
      <w:r w:rsidRPr="004A0212">
        <w:rPr>
          <w:rStyle w:val="normaltextrun"/>
        </w:rPr>
        <w:t>Māori</w:t>
      </w:r>
      <w:r w:rsidRPr="004A0212">
        <w:rPr>
          <w:rStyle w:val="normaltextrun"/>
          <w:color w:val="FF0000"/>
        </w:rPr>
        <w:t xml:space="preserve"> </w:t>
      </w:r>
      <w:r w:rsidRPr="004A0212">
        <w:rPr>
          <w:rStyle w:val="normaltextrun"/>
        </w:rPr>
        <w:t>responses to the Christian teachings varied but during the 1830s some Māori adapted and absorbed aspects of Christianity into their own spirituality, “incorporating Christianity into their own belief systems at least as much as they were being converted by it”.</w:t>
      </w:r>
      <w:r w:rsidRPr="004A0212">
        <w:rPr>
          <w:rStyle w:val="StyleFootnoteReferenceFagoFunotenzeichenFagoFunotenzeichen"/>
        </w:rPr>
        <w:endnoteReference w:id="69"/>
      </w:r>
      <w:r w:rsidRPr="004A0212">
        <w:rPr>
          <w:rStyle w:val="normaltextrun"/>
        </w:rPr>
        <w:t xml:space="preserve"> Missionaries relied on Māori co-operation, not just to live, but also to spread their message. </w:t>
      </w:r>
    </w:p>
    <w:p w14:paraId="78714BD2" w14:textId="27DBD545" w:rsidR="00FE4E56" w:rsidRPr="004A0212" w:rsidRDefault="00FE4E56" w:rsidP="007D73A6">
      <w:pPr>
        <w:pStyle w:val="AllNumbparas"/>
      </w:pPr>
      <w:r w:rsidRPr="004A0212">
        <w:rPr>
          <w:rStyle w:val="normaltextrun"/>
        </w:rPr>
        <w:t xml:space="preserve">Māori evangelist teachers, or kaiwhakaako, became the intermediaries between the missionaries and iwi. </w:t>
      </w:r>
      <w:r w:rsidRPr="004A0212">
        <w:t xml:space="preserve">Some kaiwhakaako, such as Taumata-a-kura (Ngāti Porou), had a significant impact in spreading the </w:t>
      </w:r>
      <w:r>
        <w:t>C</w:t>
      </w:r>
      <w:r w:rsidRPr="004A0212">
        <w:t>hristian gospel while working within their own cultural frameworks.</w:t>
      </w:r>
      <w:r w:rsidRPr="004A0212">
        <w:rPr>
          <w:rStyle w:val="StyleFootnoteReferenceFagoFunotenzeichenFagoFunotenzeichen"/>
        </w:rPr>
        <w:endnoteReference w:id="70"/>
      </w:r>
      <w:r w:rsidRPr="004A0212">
        <w:t xml:space="preserve"> Once ordination of M</w:t>
      </w:r>
      <w:r w:rsidRPr="004A0212">
        <w:rPr>
          <w:rStyle w:val="normaltextrun"/>
        </w:rPr>
        <w:t>ā</w:t>
      </w:r>
      <w:r w:rsidRPr="004A0212">
        <w:t>ori ministers (minita) began, some of the first minita were also tohunga who blended indigenous practice with Christianity.</w:t>
      </w:r>
      <w:r w:rsidRPr="004A0212">
        <w:rPr>
          <w:rStyle w:val="StyleFootnoteReferenceFagoFunotenzeichenFagoFunotenzeichen"/>
        </w:rPr>
        <w:endnoteReference w:id="71"/>
      </w:r>
      <w:r w:rsidRPr="004A0212">
        <w:rPr>
          <w:rStyle w:val="EndnoteReference"/>
        </w:rPr>
        <w:t xml:space="preserve"> </w:t>
      </w:r>
    </w:p>
    <w:p w14:paraId="6D54EEC5" w14:textId="77777777" w:rsidR="003A06E8" w:rsidRDefault="003A06E8">
      <w:pPr>
        <w:keepLines w:val="0"/>
        <w:rPr>
          <w:rFonts w:ascii="Arial" w:hAnsi="Arial" w:cs="Arial"/>
          <w:color w:val="3B5D1E" w:themeColor="accent4" w:themeShade="BF"/>
          <w:szCs w:val="26"/>
        </w:rPr>
      </w:pPr>
      <w:bookmarkStart w:id="127" w:name="_Toc782081386"/>
      <w:r>
        <w:rPr>
          <w:rFonts w:cs="Arial"/>
        </w:rPr>
        <w:br w:type="page"/>
      </w:r>
    </w:p>
    <w:p w14:paraId="53DC8114" w14:textId="776B6029" w:rsidR="00FE4E56" w:rsidRPr="004A0212" w:rsidRDefault="00FE4E56" w:rsidP="001142DD">
      <w:pPr>
        <w:pStyle w:val="Heading3"/>
        <w:tabs>
          <w:tab w:val="left" w:pos="7981"/>
        </w:tabs>
        <w:rPr>
          <w:rFonts w:cs="Arial"/>
        </w:rPr>
      </w:pPr>
      <w:bookmarkStart w:id="128" w:name="_Toc181084776"/>
      <w:r w:rsidRPr="004A0212">
        <w:rPr>
          <w:rFonts w:cs="Arial"/>
        </w:rPr>
        <w:lastRenderedPageBreak/>
        <w:t>Ka tīmata te Kāwanatanga ki te tuku pūtea tautoko mō te mātauranga</w:t>
      </w:r>
      <w:bookmarkEnd w:id="127"/>
      <w:bookmarkEnd w:id="128"/>
      <w:r w:rsidRPr="004A0212">
        <w:rPr>
          <w:rFonts w:cs="Arial"/>
        </w:rPr>
        <w:t xml:space="preserve"> </w:t>
      </w:r>
    </w:p>
    <w:p w14:paraId="2D76A31D" w14:textId="06144D0C" w:rsidR="00FE4E56" w:rsidRPr="004A0212" w:rsidRDefault="00FE4E56" w:rsidP="001142DD">
      <w:pPr>
        <w:pStyle w:val="Heading3"/>
        <w:tabs>
          <w:tab w:val="left" w:pos="7981"/>
        </w:tabs>
        <w:rPr>
          <w:rFonts w:cs="Arial"/>
        </w:rPr>
      </w:pPr>
      <w:bookmarkStart w:id="129" w:name="_Toc415825560"/>
      <w:bookmarkStart w:id="130" w:name="_Toc181084777"/>
      <w:r w:rsidRPr="004A0212">
        <w:rPr>
          <w:rFonts w:cs="Arial"/>
        </w:rPr>
        <w:t>State begins to fund education</w:t>
      </w:r>
      <w:bookmarkEnd w:id="129"/>
      <w:bookmarkEnd w:id="130"/>
      <w:r w:rsidRPr="004A0212">
        <w:rPr>
          <w:rFonts w:cs="Arial"/>
        </w:rPr>
        <w:t xml:space="preserve"> </w:t>
      </w:r>
    </w:p>
    <w:p w14:paraId="3B5C51B3" w14:textId="47096652" w:rsidR="00FE4E56" w:rsidRPr="004A0212" w:rsidRDefault="00FE4E56" w:rsidP="007D73A6">
      <w:pPr>
        <w:pStyle w:val="AllNumbparas"/>
      </w:pPr>
      <w:r w:rsidRPr="004A0212">
        <w:t xml:space="preserve">Schools were an early tool for converting Māori to </w:t>
      </w:r>
      <w:r>
        <w:t>C</w:t>
      </w:r>
      <w:r w:rsidRPr="004A0212">
        <w:t>hristianity, with the first missionary school opening in 1816.</w:t>
      </w:r>
      <w:r w:rsidRPr="004A0212">
        <w:rPr>
          <w:rStyle w:val="StyleFootnoteReferenceFagoFunotenzeichenFagoFunotenzeichen"/>
        </w:rPr>
        <w:endnoteReference w:id="72"/>
      </w:r>
      <w:r w:rsidRPr="004A0212">
        <w:t xml:space="preserve"> </w:t>
      </w:r>
    </w:p>
    <w:p w14:paraId="5FB7026A" w14:textId="0BA1E6E1" w:rsidR="00FE4E56" w:rsidRPr="004A0212" w:rsidRDefault="00FE4E56" w:rsidP="007D73A6">
      <w:pPr>
        <w:pStyle w:val="AllNumbparas"/>
      </w:pPr>
      <w:r w:rsidRPr="004A0212">
        <w:t>Under the 1847 Ordinance Act, the State began funding church-run boarding schools.</w:t>
      </w:r>
      <w:r w:rsidRPr="004A0212">
        <w:rPr>
          <w:rStyle w:val="StyleFootnoteReferenceFagoFunotenzeichenFagoFunotenzeichen"/>
        </w:rPr>
        <w:endnoteReference w:id="73"/>
      </w:r>
      <w:r w:rsidRPr="004A0212">
        <w:t xml:space="preserve"> State funding for church-run schools continued under the Native Schools Acts of 1858 and 1867.</w:t>
      </w:r>
      <w:r w:rsidRPr="004A0212">
        <w:rPr>
          <w:rStyle w:val="StyleFootnoteReferenceFagoFunotenzeichenFagoFunotenzeichen"/>
        </w:rPr>
        <w:endnoteReference w:id="74"/>
      </w:r>
      <w:r w:rsidRPr="004A0212">
        <w:rPr>
          <w:vertAlign w:val="superscript"/>
        </w:rPr>
        <w:t xml:space="preserve"> </w:t>
      </w:r>
      <w:r w:rsidRPr="004A0212">
        <w:t>Although the 1858 Act “upheld English as the dominant language”, in many areas missionaries initially taught in te reo Māori.</w:t>
      </w:r>
      <w:r w:rsidRPr="004A0212">
        <w:rPr>
          <w:rStyle w:val="EndnoteReference"/>
        </w:rPr>
        <w:endnoteReference w:id="75"/>
      </w:r>
      <w:r w:rsidRPr="004A0212">
        <w:t xml:space="preserve"> Both the State and missionaries shared the goal of making their schools “centres for civilisation”.</w:t>
      </w:r>
      <w:r w:rsidRPr="004A0212">
        <w:rPr>
          <w:rStyle w:val="StyleFootnoteReferenceFagoFunotenzeichenFagoFunotenzeichen"/>
        </w:rPr>
        <w:endnoteReference w:id="76"/>
      </w:r>
      <w:r w:rsidRPr="004A0212">
        <w:t xml:space="preserve"> During Parliamentary debates on the Bill that later became the Native Schools Amendment Act 1871, Minister of Native Affairs Donald McLean stated that “the principle of teaching English would be adhered to, because the education of the Māori race in the English language was the factor most likely to ‘bridge over’ the gap existing between two races”.</w:t>
      </w:r>
      <w:r w:rsidRPr="004A0212">
        <w:rPr>
          <w:rStyle w:val="EndnoteReference"/>
        </w:rPr>
        <w:endnoteReference w:id="77"/>
      </w:r>
    </w:p>
    <w:p w14:paraId="793B4A66" w14:textId="665D0ED6" w:rsidR="00FE4E56" w:rsidRPr="004A0212" w:rsidRDefault="00FE4E56" w:rsidP="007D73A6">
      <w:pPr>
        <w:pStyle w:val="AllNumbparas"/>
      </w:pPr>
      <w:r w:rsidRPr="004A0212">
        <w:t>Māori supported the schools in the hope that their children might gain access to the benefits of settler society.</w:t>
      </w:r>
      <w:r w:rsidRPr="004A0212">
        <w:rPr>
          <w:rStyle w:val="StyleFootnoteReferenceFagoFunotenzeichenFagoFunotenzeichen"/>
        </w:rPr>
        <w:endnoteReference w:id="78"/>
      </w:r>
      <w:r w:rsidRPr="004A0212">
        <w:t xml:space="preserve"> Māori leaders, wanting the benefits from the education system, “had to ask the Government to establish a school in their district and provide sufficient land for that school, but had no say in the curriculum”.</w:t>
      </w:r>
      <w:r w:rsidRPr="004A0212">
        <w:rPr>
          <w:rStyle w:val="StyleFootnoteReferenceFagoFunotenzeichenFagoFunotenzeichen"/>
        </w:rPr>
        <w:endnoteReference w:id="79"/>
      </w:r>
      <w:r w:rsidRPr="004A0212">
        <w:rPr>
          <w:vertAlign w:val="superscript"/>
        </w:rPr>
        <w:t xml:space="preserve"> </w:t>
      </w:r>
    </w:p>
    <w:p w14:paraId="3ACD9A00" w14:textId="62C30F0D" w:rsidR="00FE4E56" w:rsidRPr="004A0212" w:rsidRDefault="00FE4E56" w:rsidP="00282055">
      <w:pPr>
        <w:pStyle w:val="Heading2"/>
      </w:pPr>
      <w:bookmarkStart w:id="131" w:name="_Toc762248684"/>
      <w:bookmarkStart w:id="132" w:name="_Toc147935419"/>
      <w:bookmarkStart w:id="133" w:name="_Toc148443603"/>
      <w:bookmarkStart w:id="134" w:name="_Toc150933117"/>
      <w:bookmarkStart w:id="135" w:name="_Toc150953435"/>
      <w:bookmarkStart w:id="136" w:name="_Toc181084778"/>
      <w:r w:rsidRPr="004A0212">
        <w:t>Te taenga o ngā mihinare ki te Moana nui a Kiwa</w:t>
      </w:r>
      <w:bookmarkEnd w:id="131"/>
      <w:bookmarkEnd w:id="136"/>
      <w:r w:rsidRPr="004A0212">
        <w:t xml:space="preserve"> </w:t>
      </w:r>
    </w:p>
    <w:p w14:paraId="50516C85" w14:textId="430F3E16" w:rsidR="00FE4E56" w:rsidRPr="004A0212" w:rsidRDefault="00FE4E56" w:rsidP="00282055">
      <w:pPr>
        <w:pStyle w:val="Heading2"/>
      </w:pPr>
      <w:bookmarkStart w:id="137" w:name="_Toc1918882384"/>
      <w:bookmarkStart w:id="138" w:name="_Toc181084779"/>
      <w:r w:rsidRPr="004A0212">
        <w:t>Arrival of the missionaries in the Pacific</w:t>
      </w:r>
      <w:bookmarkEnd w:id="132"/>
      <w:bookmarkEnd w:id="133"/>
      <w:bookmarkEnd w:id="134"/>
      <w:bookmarkEnd w:id="135"/>
      <w:bookmarkEnd w:id="137"/>
      <w:bookmarkEnd w:id="138"/>
    </w:p>
    <w:p w14:paraId="5EBD01C2" w14:textId="6FB87A12" w:rsidR="00FE4E56" w:rsidRPr="004A0212" w:rsidRDefault="00FE4E56" w:rsidP="007D73A6">
      <w:pPr>
        <w:pStyle w:val="AllNumbparas"/>
      </w:pPr>
      <w:r w:rsidRPr="004A0212">
        <w:t>In the late 18</w:t>
      </w:r>
      <w:r w:rsidRPr="004A0212">
        <w:rPr>
          <w:vertAlign w:val="superscript"/>
        </w:rPr>
        <w:t>th</w:t>
      </w:r>
      <w:r w:rsidRPr="004A0212">
        <w:t xml:space="preserve"> and early 19</w:t>
      </w:r>
      <w:r w:rsidRPr="004A0212">
        <w:rPr>
          <w:vertAlign w:val="superscript"/>
        </w:rPr>
        <w:t>th</w:t>
      </w:r>
      <w:r w:rsidRPr="004A0212">
        <w:t xml:space="preserve"> centuries, missionaries began arriving in the South Pacific region. Although Pacific Peoples’ experiences of colonisation and Christianity varied, the missionaries’ impact on Pacific societies was far-reaching. </w:t>
      </w:r>
    </w:p>
    <w:p w14:paraId="13F94858" w14:textId="4FA2EF4B" w:rsidR="00FE4E56" w:rsidRPr="004A0212" w:rsidRDefault="00FE4E56" w:rsidP="007D73A6">
      <w:pPr>
        <w:pStyle w:val="AllNumbparas"/>
      </w:pPr>
      <w:r w:rsidRPr="004A0212">
        <w:t>Many Pacific societies adopted Christianity and it became a core element of their cultural identities. Like Māori, some Pacific Peoples incorporated Christianity into their own belief systems.</w:t>
      </w:r>
      <w:r w:rsidRPr="004A0212">
        <w:rPr>
          <w:rStyle w:val="StyleFootnoteReferenceFagoFunotenzeichenFagoFunotenzeichen"/>
        </w:rPr>
        <w:endnoteReference w:id="80"/>
      </w:r>
      <w:r w:rsidRPr="004A0212">
        <w:t xml:space="preserve"> </w:t>
      </w:r>
    </w:p>
    <w:p w14:paraId="7E80A25E" w14:textId="786AE4A5" w:rsidR="00FE4E56" w:rsidRPr="004A0212" w:rsidRDefault="00FE4E56" w:rsidP="0059070E">
      <w:pPr>
        <w:pStyle w:val="AllNumbparas"/>
      </w:pPr>
      <w:r w:rsidRPr="004A0212">
        <w:t>Christianity had a strong influence on Pacific Peoples’ parenting practices, to the extent that physical punishment to discipline children became seen as normal and justified. Although the well-known phrase ‘spare the rod and spoil the child’ is not actually in the Bible, it is widely attributed to the gospels and shaped the approach some Pacific Peoples took to parenting.</w:t>
      </w:r>
      <w:r w:rsidRPr="004A0212">
        <w:rPr>
          <w:rStyle w:val="StyleFootnoteReferenceFagoFunotenzeichenFagoFunotenzeichen"/>
        </w:rPr>
        <w:endnoteReference w:id="81"/>
      </w:r>
      <w:r w:rsidRPr="004A0212">
        <w:t xml:space="preserve"> </w:t>
      </w:r>
      <w:bookmarkStart w:id="139" w:name="_Toc150933121"/>
      <w:bookmarkStart w:id="140" w:name="_Toc150953438"/>
      <w:bookmarkStart w:id="141" w:name="_Toc116469140"/>
      <w:bookmarkStart w:id="142" w:name="_Toc117097333"/>
      <w:bookmarkStart w:id="143" w:name="_Toc117598765"/>
      <w:bookmarkStart w:id="144" w:name="_Toc117607037"/>
      <w:bookmarkStart w:id="145" w:name="_Toc118315225"/>
      <w:bookmarkStart w:id="146" w:name="_Toc120716278"/>
      <w:bookmarkStart w:id="147" w:name="_Toc147498362"/>
    </w:p>
    <w:p w14:paraId="4AFD4B28" w14:textId="77777777" w:rsidR="003A06E8" w:rsidRDefault="003A06E8">
      <w:pPr>
        <w:keepLines w:val="0"/>
        <w:rPr>
          <w:rFonts w:ascii="Arial" w:hAnsi="Arial" w:cs="Helvetica"/>
          <w:b/>
          <w:bCs/>
          <w:color w:val="3B5D1E" w:themeColor="accent4" w:themeShade="BF"/>
          <w:sz w:val="28"/>
          <w:szCs w:val="28"/>
        </w:rPr>
      </w:pPr>
      <w:bookmarkStart w:id="148" w:name="_Toc701100831"/>
      <w:r>
        <w:br w:type="page"/>
      </w:r>
    </w:p>
    <w:p w14:paraId="61FB3C9F" w14:textId="2C0B5D0B" w:rsidR="00FE4E56" w:rsidRPr="004A0212" w:rsidRDefault="00FE4E56" w:rsidP="00282055">
      <w:pPr>
        <w:pStyle w:val="Heading2"/>
      </w:pPr>
      <w:bookmarkStart w:id="149" w:name="_Toc181084780"/>
      <w:r w:rsidRPr="004A0212">
        <w:lastRenderedPageBreak/>
        <w:t xml:space="preserve">Te Tiriti o Waitangi– te orokohanga, te hainatanga me ngā </w:t>
      </w:r>
      <w:bookmarkEnd w:id="148"/>
      <w:r w:rsidRPr="004A0212">
        <w:t>pāpātanga</w:t>
      </w:r>
      <w:bookmarkEnd w:id="149"/>
    </w:p>
    <w:p w14:paraId="753373DA" w14:textId="73E7064C" w:rsidR="00FE4E56" w:rsidRPr="004A0212" w:rsidRDefault="00FE4E56" w:rsidP="00282055">
      <w:pPr>
        <w:pStyle w:val="Heading2"/>
      </w:pPr>
      <w:bookmarkStart w:id="150" w:name="_Toc1677452595"/>
      <w:bookmarkStart w:id="151" w:name="_Toc181084781"/>
      <w:r w:rsidRPr="004A0212">
        <w:t>Te Tiriti o Waitangi– origins, signing and impacts</w:t>
      </w:r>
      <w:bookmarkEnd w:id="139"/>
      <w:bookmarkEnd w:id="140"/>
      <w:bookmarkEnd w:id="150"/>
      <w:bookmarkEnd w:id="151"/>
    </w:p>
    <w:p w14:paraId="0109AE2E" w14:textId="5D5CF6A2" w:rsidR="00FE4E56" w:rsidRDefault="00FE4E56" w:rsidP="007A190A">
      <w:pPr>
        <w:pStyle w:val="Heading3"/>
        <w:keepNext/>
        <w:rPr>
          <w:rFonts w:cs="Arial"/>
        </w:rPr>
      </w:pPr>
      <w:bookmarkStart w:id="152" w:name="_Toc150933122"/>
      <w:bookmarkStart w:id="153" w:name="_Toc150953439"/>
      <w:bookmarkStart w:id="154" w:name="_Toc1247175832"/>
      <w:bookmarkStart w:id="155" w:name="_Toc181084782"/>
      <w:r w:rsidRPr="004A0212">
        <w:rPr>
          <w:rFonts w:cs="Arial"/>
        </w:rPr>
        <w:t xml:space="preserve">He Whakaputanga o te Rangatiratanga o Niu </w:t>
      </w:r>
      <w:bookmarkEnd w:id="141"/>
      <w:bookmarkEnd w:id="142"/>
      <w:bookmarkEnd w:id="143"/>
      <w:bookmarkEnd w:id="144"/>
      <w:bookmarkEnd w:id="145"/>
      <w:bookmarkEnd w:id="146"/>
      <w:bookmarkEnd w:id="147"/>
      <w:r w:rsidRPr="004A0212">
        <w:rPr>
          <w:rFonts w:cs="Arial"/>
        </w:rPr>
        <w:t>Tiren</w:t>
      </w:r>
      <w:r w:rsidRPr="000C0692">
        <w:rPr>
          <w:rFonts w:cs="Arial"/>
        </w:rPr>
        <w:t>i</w:t>
      </w:r>
      <w:bookmarkEnd w:id="155"/>
    </w:p>
    <w:p w14:paraId="51F0734C" w14:textId="6CB1EE23" w:rsidR="00FE4E56" w:rsidRPr="004A0212" w:rsidRDefault="00FE4E56" w:rsidP="007A190A">
      <w:pPr>
        <w:pStyle w:val="Heading3"/>
        <w:keepNext/>
        <w:rPr>
          <w:rFonts w:cs="Arial"/>
        </w:rPr>
      </w:pPr>
      <w:bookmarkStart w:id="156" w:name="_Toc181084783"/>
      <w:r>
        <w:rPr>
          <w:rFonts w:cs="Arial"/>
        </w:rPr>
        <w:t>T</w:t>
      </w:r>
      <w:r w:rsidRPr="004A0212">
        <w:rPr>
          <w:rFonts w:cs="Arial"/>
        </w:rPr>
        <w:t>he Declaration of Independence</w:t>
      </w:r>
      <w:bookmarkEnd w:id="152"/>
      <w:bookmarkEnd w:id="153"/>
      <w:bookmarkEnd w:id="154"/>
      <w:bookmarkEnd w:id="156"/>
    </w:p>
    <w:p w14:paraId="10840341" w14:textId="78B1E783" w:rsidR="00FE4E56" w:rsidRPr="004A0212" w:rsidRDefault="00FE4E56" w:rsidP="007D73A6">
      <w:pPr>
        <w:pStyle w:val="AllNumbparas"/>
      </w:pPr>
      <w:r w:rsidRPr="004A0212">
        <w:t xml:space="preserve">Northern Māori had had the experience of signing an international document before they signed </w:t>
      </w:r>
      <w:r w:rsidRPr="000C0692">
        <w:t>t</w:t>
      </w:r>
      <w:r w:rsidRPr="004A0212">
        <w:t>e Tiriti o Waitangi. In 1835, 34 rangatira (chiefs), mostly from the Bay of Islands and Hokianga, signed He Whakaputanga o te Rangatiratanga o Niu Tiren</w:t>
      </w:r>
      <w:r w:rsidRPr="000C0692">
        <w:t>i</w:t>
      </w:r>
      <w:r w:rsidRPr="004A0212">
        <w:t xml:space="preserve"> – the Declaration of Independence.</w:t>
      </w:r>
    </w:p>
    <w:p w14:paraId="337D8385" w14:textId="274FC20A" w:rsidR="00FE4E56" w:rsidRPr="004A0212" w:rsidRDefault="00FE4E56" w:rsidP="00370D96">
      <w:pPr>
        <w:pStyle w:val="Numbparas"/>
      </w:pPr>
      <w:r w:rsidRPr="004A0212">
        <w:t>The declaration emphasised their rangatiratanga, Kīngitanga and mana and asserted that no other person or group could make laws within their territories or exercise the functions of government except under their authority and in accordance with tikanga Māori.</w:t>
      </w:r>
      <w:r w:rsidRPr="004A0212">
        <w:rPr>
          <w:rStyle w:val="StyleFootnoteReferenceFagoFunotenzeichenFagoFunotenzeichen"/>
        </w:rPr>
        <w:endnoteReference w:id="82"/>
      </w:r>
      <w:r w:rsidRPr="004A0212">
        <w:t xml:space="preserve"> </w:t>
      </w:r>
    </w:p>
    <w:p w14:paraId="712B53EA" w14:textId="40DA884A" w:rsidR="00FE4E56" w:rsidRPr="004A0212" w:rsidRDefault="00FE4E56" w:rsidP="08C22B3F">
      <w:pPr>
        <w:pStyle w:val="AllNumbparas"/>
        <w:rPr>
          <w:vertAlign w:val="superscript"/>
        </w:rPr>
      </w:pPr>
      <w:r w:rsidRPr="004A0212">
        <w:t>The declaration and Te Whakaminenga o Ngā Hapū o Niu Tiren</w:t>
      </w:r>
      <w:r w:rsidRPr="000C0692">
        <w:t>i</w:t>
      </w:r>
      <w:r w:rsidRPr="004A0212">
        <w:t xml:space="preserve"> (the Confederation of United Tribes) were a political response to the changes brought about by contact with Europeans. Te Whakaminenga o Ngā Hapū o Niu Tiren</w:t>
      </w:r>
      <w:r w:rsidRPr="000C0692">
        <w:t>i</w:t>
      </w:r>
      <w:r w:rsidRPr="004A0212">
        <w:t xml:space="preserve"> represented a “coming together of the tribes”, in which hapū worked together to protect and reinforce their autonomy. The intent was “for Māori to control their own changes in the new world”.</w:t>
      </w:r>
      <w:r w:rsidRPr="004A0212">
        <w:rPr>
          <w:rStyle w:val="StyleFootnoteReferenceFagoFunotenzeichenFagoFunotenzeichen"/>
        </w:rPr>
        <w:endnoteReference w:id="83"/>
      </w:r>
      <w:r w:rsidRPr="004A0212">
        <w:rPr>
          <w:vertAlign w:val="superscript"/>
        </w:rPr>
        <w:t xml:space="preserve"> </w:t>
      </w:r>
    </w:p>
    <w:p w14:paraId="263F269B" w14:textId="63937FFC" w:rsidR="00FE4E56" w:rsidRPr="004A0212" w:rsidRDefault="00FE4E56" w:rsidP="007D73A6">
      <w:pPr>
        <w:pStyle w:val="AllNumbparas"/>
      </w:pPr>
      <w:r w:rsidRPr="004A0212">
        <w:t>The British Colonial Office (the government department that oversaw the colonies) recognised Aotearoa New Zealand’s independence through several statutes and official acknowledgement of He Whakaputanga o te Rangatiratanga o Niu Tiren</w:t>
      </w:r>
      <w:r w:rsidRPr="000C0692">
        <w:t>i</w:t>
      </w:r>
      <w:r w:rsidRPr="004A0212">
        <w:t>. This meant that if the British chose to intervene more formally, the independent and sovereign status of the country would have to be nullified, by a treaty if possible.</w:t>
      </w:r>
      <w:r w:rsidRPr="004A0212">
        <w:rPr>
          <w:rStyle w:val="StyleFootnoteReferenceFagoFunotenzeichenFagoFunotenzeichen"/>
        </w:rPr>
        <w:endnoteReference w:id="84"/>
      </w:r>
      <w:r w:rsidRPr="004A0212">
        <w:t xml:space="preserve"> </w:t>
      </w:r>
    </w:p>
    <w:p w14:paraId="56BC2EBD" w14:textId="6FCEB49C" w:rsidR="00FE4E56" w:rsidRDefault="00FE4E56" w:rsidP="007A190A">
      <w:pPr>
        <w:pStyle w:val="Heading3"/>
        <w:rPr>
          <w:rFonts w:cs="Arial"/>
        </w:rPr>
      </w:pPr>
      <w:bookmarkStart w:id="157" w:name="_Toc147498363"/>
      <w:bookmarkStart w:id="158" w:name="_Toc150933123"/>
      <w:bookmarkStart w:id="159" w:name="_Toc150953440"/>
      <w:bookmarkStart w:id="160" w:name="_Toc1940905491"/>
      <w:bookmarkStart w:id="161" w:name="_Toc181084784"/>
      <w:r w:rsidRPr="004A0212">
        <w:rPr>
          <w:rFonts w:cs="Arial"/>
        </w:rPr>
        <w:t>Te orokohanga o Te Tiriti</w:t>
      </w:r>
      <w:bookmarkEnd w:id="161"/>
    </w:p>
    <w:p w14:paraId="5FB8BFAE" w14:textId="526E9CBC" w:rsidR="00FE4E56" w:rsidRPr="004A0212" w:rsidRDefault="00FE4E56" w:rsidP="007A190A">
      <w:pPr>
        <w:pStyle w:val="Heading3"/>
        <w:rPr>
          <w:rFonts w:cs="Arial"/>
        </w:rPr>
      </w:pPr>
      <w:bookmarkStart w:id="162" w:name="_Toc181084785"/>
      <w:r w:rsidRPr="004A0212">
        <w:rPr>
          <w:rFonts w:cs="Arial"/>
        </w:rPr>
        <w:t>Te Tiriti</w:t>
      </w:r>
      <w:bookmarkEnd w:id="157"/>
      <w:r w:rsidRPr="004A0212">
        <w:rPr>
          <w:rFonts w:cs="Arial"/>
        </w:rPr>
        <w:t xml:space="preserve"> o Waitangi origins</w:t>
      </w:r>
      <w:bookmarkEnd w:id="158"/>
      <w:bookmarkEnd w:id="159"/>
      <w:bookmarkEnd w:id="160"/>
      <w:bookmarkEnd w:id="162"/>
    </w:p>
    <w:p w14:paraId="6E900436" w14:textId="0514E511" w:rsidR="00FE4E56" w:rsidRPr="004A0212" w:rsidRDefault="00FE4E56" w:rsidP="00814720">
      <w:pPr>
        <w:pStyle w:val="AllNumbparas"/>
      </w:pPr>
      <w:r w:rsidRPr="004A0212">
        <w:t xml:space="preserve">In 1840, </w:t>
      </w:r>
      <w:r>
        <w:t>t</w:t>
      </w:r>
      <w:r w:rsidRPr="004A0212">
        <w:t xml:space="preserve">e Tiriti o Waitangi was signed by over 40 rangatira Māori and Captain William Hobson on behalf of the British Crown. After the signing at Waitangi, Tiriti o Waitangi was taken around the country and gathered additional signatures.  By the end of 1840 over 500 rangatira had signed.  Most signed </w:t>
      </w:r>
      <w:r>
        <w:t>t</w:t>
      </w:r>
      <w:r w:rsidRPr="004A0212">
        <w:t>e Tiriti o Waitangi, but at Waikato Heads and Manukau only the English text was available and was signed by 39 rangatira.</w:t>
      </w:r>
    </w:p>
    <w:p w14:paraId="4D9E58F7" w14:textId="4B7DB530" w:rsidR="00FE4E56" w:rsidRPr="004A0212" w:rsidRDefault="00FE4E56" w:rsidP="001B1ECA">
      <w:pPr>
        <w:pStyle w:val="AllNumbparas"/>
      </w:pPr>
      <w:r w:rsidRPr="004A0212">
        <w:t xml:space="preserve">Te Tiriti o Waitangi is Aotearoa New Zealand’s founding document and sets out the relationship between Māori and the British Crown. </w:t>
      </w:r>
    </w:p>
    <w:p w14:paraId="4EC7E501" w14:textId="7794092A" w:rsidR="00FE4E56" w:rsidRPr="004A0212" w:rsidRDefault="00FE4E56" w:rsidP="007D73A6">
      <w:pPr>
        <w:pStyle w:val="AllNumbparas"/>
      </w:pPr>
      <w:r w:rsidRPr="004A0212">
        <w:t>Te Tiriti o Waitangi is an enduring and living document that sets out the Crown’s obligations to hap</w:t>
      </w:r>
      <w:r w:rsidRPr="004A0212">
        <w:rPr>
          <w:color w:val="4D5156"/>
        </w:rPr>
        <w:t>ū </w:t>
      </w:r>
      <w:r w:rsidRPr="004A0212">
        <w:t xml:space="preserve">and Māori and affirms the pre-existing rights of Māori as tangata whenua. It is well-established that </w:t>
      </w:r>
      <w:r w:rsidRPr="000C0692">
        <w:t>te</w:t>
      </w:r>
      <w:r w:rsidRPr="004A0212">
        <w:t xml:space="preserve"> Tiriti o Waitangi has two texts, in te reo Māori and English. Although neither text is a direct translation of the other and there is debate over their differences, one scholar has recently argued that the texts are not </w:t>
      </w:r>
      <w:r w:rsidRPr="004A0212">
        <w:lastRenderedPageBreak/>
        <w:t>irreconcilable.</w:t>
      </w:r>
      <w:r w:rsidRPr="004A0212">
        <w:rPr>
          <w:rStyle w:val="EndnoteReference"/>
        </w:rPr>
        <w:endnoteReference w:id="85"/>
      </w:r>
      <w:r w:rsidRPr="004A0212">
        <w:t xml:space="preserve"> </w:t>
      </w:r>
    </w:p>
    <w:p w14:paraId="225E37FA" w14:textId="3B3FAB1C" w:rsidR="00FE4E56" w:rsidRPr="004A0212" w:rsidRDefault="00FE4E56" w:rsidP="00AA7C32">
      <w:pPr>
        <w:pStyle w:val="AllNumbparas"/>
      </w:pPr>
      <w:r w:rsidRPr="004A0212">
        <w:t>Te Tiriti o Waitangi guaranteed hap</w:t>
      </w:r>
      <w:r w:rsidRPr="004A0212">
        <w:rPr>
          <w:color w:val="4D5156"/>
        </w:rPr>
        <w:t>ū </w:t>
      </w:r>
      <w:r w:rsidRPr="004A0212">
        <w:t>the right to autonomy and self-government (tino rangatiratanga) and the right to manage the full range of their affairs in accordance with their own tikanga.</w:t>
      </w:r>
      <w:r w:rsidRPr="004A0212">
        <w:rPr>
          <w:rStyle w:val="StyleFootnoteReferenceFagoFunotenzeichenFagoFunotenzeichen"/>
        </w:rPr>
        <w:endnoteReference w:id="86"/>
      </w:r>
      <w:r w:rsidRPr="004A0212">
        <w:t xml:space="preserve"> Te Tiriti </w:t>
      </w:r>
      <w:r>
        <w:t xml:space="preserve">o Waitangi </w:t>
      </w:r>
      <w:r w:rsidRPr="004A0212">
        <w:t xml:space="preserve">gave the Crown, through the new kāwana (governor) the right to exercise authority (kāwanatanga) over British subjects and keep the peace and protect Māori interests. </w:t>
      </w:r>
    </w:p>
    <w:p w14:paraId="27FF3BFC" w14:textId="341C96C3" w:rsidR="00FE4E56" w:rsidRPr="004A0212" w:rsidRDefault="00FE4E56" w:rsidP="007D73A6">
      <w:pPr>
        <w:pStyle w:val="AllNumbparas"/>
        <w:rPr>
          <w:rStyle w:val="normaltextrun"/>
        </w:rPr>
      </w:pPr>
      <w:r w:rsidRPr="004A0212">
        <w:t xml:space="preserve">The original understanding of </w:t>
      </w:r>
      <w:r w:rsidRPr="000C0692">
        <w:t>te</w:t>
      </w:r>
      <w:r w:rsidRPr="004A0212">
        <w:t xml:space="preserve"> Tiriti o Waitangi by rangatira was that Māori self-government (rangatiratanga) could co-exist with Crown sovereignty (kāwanatanga). </w:t>
      </w:r>
      <w:r w:rsidRPr="004A0212">
        <w:rPr>
          <w:rStyle w:val="normaltextrun"/>
        </w:rPr>
        <w:t xml:space="preserve">Rangatira who signed </w:t>
      </w:r>
      <w:r w:rsidRPr="000C0692">
        <w:rPr>
          <w:rStyle w:val="normaltextrun"/>
        </w:rPr>
        <w:t>te</w:t>
      </w:r>
      <w:r w:rsidRPr="004A0212">
        <w:rPr>
          <w:rStyle w:val="normaltextrun"/>
        </w:rPr>
        <w:t xml:space="preserve"> Tiriti </w:t>
      </w:r>
      <w:r w:rsidRPr="004A0212">
        <w:t xml:space="preserve">o Waitangi </w:t>
      </w:r>
      <w:r w:rsidRPr="004A0212">
        <w:rPr>
          <w:rStyle w:val="normaltextrun"/>
        </w:rPr>
        <w:t xml:space="preserve">did so on the basis that they and the governor would be equals, and that the two parties would have </w:t>
      </w:r>
      <w:bookmarkStart w:id="163" w:name="_Int_66CiGPLr"/>
      <w:r w:rsidRPr="004A0212">
        <w:rPr>
          <w:rStyle w:val="normaltextrun"/>
        </w:rPr>
        <w:t>distinct roles</w:t>
      </w:r>
      <w:bookmarkEnd w:id="163"/>
      <w:r w:rsidRPr="004A0212">
        <w:rPr>
          <w:rStyle w:val="normaltextrun"/>
        </w:rPr>
        <w:t xml:space="preserve"> and different spheres of influence.</w:t>
      </w:r>
      <w:r w:rsidRPr="004A0212">
        <w:rPr>
          <w:rStyle w:val="StyleFootnoteReferenceFagoFunotenzeichenFagoFunotenzeichen"/>
        </w:rPr>
        <w:endnoteReference w:id="87"/>
      </w:r>
      <w:r w:rsidRPr="004A0212">
        <w:rPr>
          <w:rStyle w:val="normaltextrun"/>
        </w:rPr>
        <w:t xml:space="preserve"> As the Waitangi Tribunal has explained, </w:t>
      </w:r>
      <w:r w:rsidRPr="004A0212">
        <w:t>“the Treaty was an acknowledgement of Māori existence, of their prior occupation of the land and of an intent that the Māori presence would remain and be respected”.</w:t>
      </w:r>
      <w:r w:rsidRPr="004A0212">
        <w:rPr>
          <w:rStyle w:val="StyleFootnoteReferenceFagoFunotenzeichenFagoFunotenzeichen"/>
        </w:rPr>
        <w:endnoteReference w:id="88"/>
      </w:r>
    </w:p>
    <w:p w14:paraId="059A5F50" w14:textId="053085C0" w:rsidR="00FE4E56" w:rsidRPr="004A0212" w:rsidRDefault="00FE4E56" w:rsidP="007D73A6">
      <w:pPr>
        <w:pStyle w:val="AllNumbparas"/>
      </w:pPr>
      <w:r w:rsidRPr="004A0212">
        <w:t xml:space="preserve">See Part 1 for how the Inquiry applied </w:t>
      </w:r>
      <w:r w:rsidRPr="000C0692">
        <w:t>te</w:t>
      </w:r>
      <w:r w:rsidRPr="004A0212">
        <w:t xml:space="preserve"> Tiriti o Waitangi and its principles to its work.</w:t>
      </w:r>
    </w:p>
    <w:p w14:paraId="53AE407D" w14:textId="7852B6DC" w:rsidR="00FE4E56" w:rsidRPr="004A0212" w:rsidRDefault="00FE4E56" w:rsidP="007A190A">
      <w:pPr>
        <w:pStyle w:val="Heading3"/>
        <w:rPr>
          <w:rFonts w:cs="Arial"/>
        </w:rPr>
      </w:pPr>
      <w:bookmarkStart w:id="164" w:name="_Toc1064078741"/>
      <w:bookmarkStart w:id="165" w:name="_Toc150933124"/>
      <w:bookmarkStart w:id="166" w:name="_Toc150953441"/>
      <w:bookmarkStart w:id="167" w:name="_Toc181084786"/>
      <w:r w:rsidRPr="004A0212">
        <w:rPr>
          <w:rFonts w:cs="Arial"/>
        </w:rPr>
        <w:t xml:space="preserve">Te kore whakahōnore i </w:t>
      </w:r>
      <w:r w:rsidRPr="000C0692">
        <w:rPr>
          <w:rFonts w:cs="Arial"/>
        </w:rPr>
        <w:t>te</w:t>
      </w:r>
      <w:r w:rsidRPr="004A0212">
        <w:rPr>
          <w:rFonts w:cs="Arial"/>
        </w:rPr>
        <w:t xml:space="preserve"> Tiriti me te whai i te whenumitanga</w:t>
      </w:r>
      <w:bookmarkEnd w:id="164"/>
      <w:bookmarkEnd w:id="167"/>
    </w:p>
    <w:p w14:paraId="0AB9BBE6" w14:textId="0970D48A" w:rsidR="00FE4E56" w:rsidRPr="004A0212" w:rsidRDefault="00FE4E56" w:rsidP="007A190A">
      <w:pPr>
        <w:pStyle w:val="Heading3"/>
        <w:rPr>
          <w:rFonts w:cs="Arial"/>
        </w:rPr>
      </w:pPr>
      <w:bookmarkStart w:id="168" w:name="_Toc2024783370"/>
      <w:bookmarkStart w:id="169" w:name="_Toc181084787"/>
      <w:r w:rsidRPr="004A0212">
        <w:rPr>
          <w:rFonts w:cs="Arial"/>
        </w:rPr>
        <w:t xml:space="preserve">Failure to honour </w:t>
      </w:r>
      <w:r w:rsidRPr="000C0692">
        <w:rPr>
          <w:rFonts w:cs="Arial"/>
        </w:rPr>
        <w:t>te</w:t>
      </w:r>
      <w:r w:rsidRPr="004A0212">
        <w:rPr>
          <w:rFonts w:cs="Arial"/>
        </w:rPr>
        <w:t xml:space="preserve"> Tiriti o Waitangi and pursuing assimilation</w:t>
      </w:r>
      <w:bookmarkEnd w:id="165"/>
      <w:bookmarkEnd w:id="166"/>
      <w:bookmarkEnd w:id="168"/>
      <w:bookmarkEnd w:id="169"/>
    </w:p>
    <w:p w14:paraId="126A2353" w14:textId="48965A85" w:rsidR="00FE4E56" w:rsidRPr="004A0212" w:rsidRDefault="00FE4E56" w:rsidP="007D73A6">
      <w:pPr>
        <w:pStyle w:val="AllNumbparas"/>
        <w:rPr>
          <w:rStyle w:val="EndnoteReference"/>
          <w:color w:val="545454"/>
          <w:sz w:val="24"/>
          <w:szCs w:val="24"/>
        </w:rPr>
      </w:pPr>
      <w:r w:rsidRPr="004A0212">
        <w:t xml:space="preserve">For a short period after </w:t>
      </w:r>
      <w:r w:rsidRPr="000C0692">
        <w:t>te</w:t>
      </w:r>
      <w:r w:rsidRPr="004A0212">
        <w:t xml:space="preserve"> Tiriti o Waitangi was signed tikanga Māori co-existed with the new colonial legal system. The colonial government made provisions for resolving issues where the two came into conflict.</w:t>
      </w:r>
      <w:r w:rsidRPr="004A0212">
        <w:rPr>
          <w:rStyle w:val="StyleFootnoteReferenceFagoFunotenzeichenFagoFunotenzeichen"/>
        </w:rPr>
        <w:endnoteReference w:id="89"/>
      </w:r>
      <w:r w:rsidRPr="004A0212">
        <w:rPr>
          <w:rStyle w:val="EndnoteReference"/>
          <w:sz w:val="24"/>
          <w:szCs w:val="24"/>
        </w:rPr>
        <w:t xml:space="preserve"> </w:t>
      </w:r>
    </w:p>
    <w:p w14:paraId="0CD9E68C" w14:textId="353441E6" w:rsidR="00FE4E56" w:rsidRPr="004A0212" w:rsidRDefault="00FE4E56" w:rsidP="007D73A6">
      <w:pPr>
        <w:pStyle w:val="AllNumbparas"/>
      </w:pPr>
      <w:r w:rsidRPr="004A0212">
        <w:t xml:space="preserve">This approach changed from the mid-1840s. </w:t>
      </w:r>
      <w:r w:rsidRPr="004A0212" w:rsidDel="0075207D">
        <w:t xml:space="preserve">Governor </w:t>
      </w:r>
      <w:r w:rsidRPr="004A0212">
        <w:t>Grey in particular believed that the best way forward for Aotearoa New Zealand was to assimilate Māori as quickly as possible. The 1852 Constitution Act established the first colonial parliament. It largely excluded Māori, as the collective nature of Māori land ownership meant that most did not individually have the right to vote.</w:t>
      </w:r>
      <w:r w:rsidRPr="004A0212">
        <w:rPr>
          <w:rStyle w:val="StyleFootnoteReferenceFagoFunotenzeichenFagoFunotenzeichen"/>
        </w:rPr>
        <w:endnoteReference w:id="90"/>
      </w:r>
    </w:p>
    <w:p w14:paraId="1E6E2F9A" w14:textId="29B8982B" w:rsidR="00FE4E56" w:rsidRPr="004A0212" w:rsidRDefault="00FE4E56" w:rsidP="000B1039">
      <w:pPr>
        <w:pStyle w:val="AllNumbparas"/>
      </w:pPr>
      <w:r w:rsidRPr="004A0212">
        <w:t>In response to settler pressure Grey chose not to implement a provision in the Constitution Act for self-governing Māori districts. After 1852, an assimilation policy was pursued together with the acquisition of Māori land under the Crown’s pre-emptive right.</w:t>
      </w:r>
      <w:r w:rsidRPr="004A0212">
        <w:rPr>
          <w:rStyle w:val="StyleFootnoteReferenceFagoFunotenzeichenFagoFunotenzeichen"/>
        </w:rPr>
        <w:endnoteReference w:id="91"/>
      </w:r>
      <w:r w:rsidRPr="004A0212">
        <w:t xml:space="preserve"> Māori resistance to this and land-selling eventually led to the foundation of the Kīngitanga (Māori King movement) in 1858.</w:t>
      </w:r>
      <w:r w:rsidRPr="004A0212">
        <w:rPr>
          <w:rStyle w:val="StyleFootnoteReferenceFagoFunotenzeichenFagoFunotenzeichen"/>
        </w:rPr>
        <w:endnoteReference w:id="92"/>
      </w:r>
      <w:r w:rsidRPr="004A0212">
        <w:t xml:space="preserve"> </w:t>
      </w:r>
    </w:p>
    <w:p w14:paraId="0424D6E7" w14:textId="77777777" w:rsidR="00FE4E56" w:rsidRPr="004A0212" w:rsidRDefault="00FE4E56" w:rsidP="007D73A6">
      <w:pPr>
        <w:pStyle w:val="AllNumbparas"/>
      </w:pPr>
      <w:r w:rsidRPr="004A0212">
        <w:t>Legislation and policy after 1852 further paved the way for assimilation, including:</w:t>
      </w:r>
    </w:p>
    <w:p w14:paraId="145518FD" w14:textId="49FC5320" w:rsidR="00FE4E56" w:rsidRPr="004A0212" w:rsidRDefault="00FE4E56" w:rsidP="007D73A6">
      <w:pPr>
        <w:pStyle w:val="Bulletpoints"/>
      </w:pPr>
      <w:r w:rsidRPr="004A0212">
        <w:t>the establishment of the Native Department in 1861. The departmen</w:t>
      </w:r>
      <w:r w:rsidRPr="004A0212" w:rsidDel="000159B7">
        <w:t>t</w:t>
      </w:r>
      <w:r w:rsidRPr="004A0212">
        <w:t>’s purpose was to provide a political means of undermining the Kiingitanga movement, establish a government presence in Māori communities and undercut the political appeal of Māori chiefs</w:t>
      </w:r>
      <w:r w:rsidRPr="004A0212">
        <w:rPr>
          <w:rStyle w:val="StyleFootnoteReferenceFagoFunotenzeichenFagoFunotenzeichen"/>
        </w:rPr>
        <w:endnoteReference w:id="93"/>
      </w:r>
    </w:p>
    <w:p w14:paraId="135D9A99" w14:textId="22057B06" w:rsidR="00FE4E56" w:rsidRPr="004A0212" w:rsidRDefault="00FE4E56" w:rsidP="007D73A6">
      <w:pPr>
        <w:pStyle w:val="Bulletpoints"/>
      </w:pPr>
      <w:r>
        <w:t>T</w:t>
      </w:r>
      <w:r w:rsidRPr="004A0212">
        <w:t>he Native Land Acts of 1862 and 1865. This led to the establishment of the Native Land Court in 1865 to determine customary ownership and convert Māori land into a freehold title that could be sold on the open market. The Native Land Court was key to assimilation and greatly facilitated the purchase of the bulk of Māori land in the North Island, converting it from collectively owned to individual title</w:t>
      </w:r>
    </w:p>
    <w:p w14:paraId="318B262E" w14:textId="474D5638" w:rsidR="00FE4E56" w:rsidRPr="004A0212" w:rsidRDefault="00FE4E56" w:rsidP="00752D0B">
      <w:pPr>
        <w:pStyle w:val="Bulletpoints"/>
      </w:pPr>
      <w:r>
        <w:lastRenderedPageBreak/>
        <w:t>T</w:t>
      </w:r>
      <w:r w:rsidRPr="004A0212">
        <w:t>he Native Schools Acts of 1867 and 1871. This established schools for Māori children to prepare the next generation for assimilation</w:t>
      </w:r>
    </w:p>
    <w:p w14:paraId="42448A87" w14:textId="7CF16F4B" w:rsidR="00FE4E56" w:rsidRPr="004A0212" w:rsidRDefault="00FE4E56" w:rsidP="00752D0B">
      <w:pPr>
        <w:pStyle w:val="Bulletpoints"/>
      </w:pPr>
      <w:r>
        <w:t>T</w:t>
      </w:r>
      <w:r w:rsidRPr="004A0212">
        <w:t>he Māori Representation Act 1867. This act reserved four seats in the legislature for Māori representatives and established a separate Māori electoral roll.</w:t>
      </w:r>
      <w:r w:rsidRPr="004A0212">
        <w:rPr>
          <w:rStyle w:val="StyleFootnoteReferenceFagoFunotenzeichenFagoFunotenzeichen"/>
        </w:rPr>
        <w:endnoteReference w:id="94"/>
      </w:r>
    </w:p>
    <w:p w14:paraId="246929A3" w14:textId="1E6B37D3" w:rsidR="00FE4E56" w:rsidRPr="004A0212" w:rsidRDefault="00FE4E56" w:rsidP="00E84482">
      <w:pPr>
        <w:pStyle w:val="AllNumbparas"/>
      </w:pPr>
      <w:r w:rsidRPr="004A0212">
        <w:t>These laws and policies, among other Crown actions or omissions including the New Zealand Land Wars and confiscation of Māori land, undermined hapū and iwi authority and resulted in the mass alienation of Māori land.  This affected Māori models of social organisation. The rapid pace of migration of European settlers especially from the 1850 onwards also made it increasingly difficult for whānau, hapū and iwi to effectively use and retain their remaining lands and way of life.</w:t>
      </w:r>
      <w:r w:rsidRPr="004A0212">
        <w:rPr>
          <w:rStyle w:val="StyleFootnoteReferenceFagoFunotenzeichenFagoFunotenzeichen"/>
        </w:rPr>
        <w:endnoteReference w:id="95"/>
      </w:r>
      <w:r w:rsidRPr="004A0212">
        <w:t xml:space="preserve"> </w:t>
      </w:r>
    </w:p>
    <w:p w14:paraId="7630D588" w14:textId="64890EBD" w:rsidR="00FE4E56" w:rsidRPr="004A0212" w:rsidRDefault="00FE4E56" w:rsidP="007D73A6">
      <w:pPr>
        <w:pStyle w:val="AllNumbparas"/>
      </w:pPr>
      <w:r w:rsidRPr="004A0212">
        <w:t>Most hapū and iwi were deprived of their economic base, transforming them into a labouring class ‘in half a</w:t>
      </w:r>
      <w:r w:rsidRPr="004A0212" w:rsidDel="00AD1414">
        <w:t xml:space="preserve"> </w:t>
      </w:r>
      <w:r w:rsidRPr="004A0212">
        <w:t>generation’.</w:t>
      </w:r>
      <w:r w:rsidRPr="004A0212">
        <w:rPr>
          <w:rStyle w:val="StyleFootnoteReferenceFagoFunotenzeichenFagoFunotenzeichen"/>
        </w:rPr>
        <w:endnoteReference w:id="96"/>
      </w:r>
      <w:r w:rsidRPr="004A0212">
        <w:t xml:space="preserve"> By 1920, most Māori were living in rural poverty as a result of 19</w:t>
      </w:r>
      <w:r w:rsidRPr="004A0212">
        <w:rPr>
          <w:vertAlign w:val="superscript"/>
        </w:rPr>
        <w:t>th</w:t>
      </w:r>
      <w:r w:rsidRPr="004A0212">
        <w:t xml:space="preserve"> century legislation and Crown actions or omissions.</w:t>
      </w:r>
      <w:r w:rsidRPr="004A0212">
        <w:rPr>
          <w:rStyle w:val="StyleFootnoteReferenceFagoFunotenzeichenFagoFunotenzeichen"/>
        </w:rPr>
        <w:endnoteReference w:id="97"/>
      </w:r>
    </w:p>
    <w:p w14:paraId="0CDBE611" w14:textId="787FCA1C" w:rsidR="00FE4E56" w:rsidRDefault="00FE4E56" w:rsidP="007A190A">
      <w:pPr>
        <w:pStyle w:val="Heading3"/>
        <w:rPr>
          <w:rFonts w:cs="Arial"/>
        </w:rPr>
      </w:pPr>
      <w:bookmarkStart w:id="170" w:name="_Toc150933125"/>
      <w:bookmarkStart w:id="171" w:name="_Toc150953442"/>
      <w:bookmarkStart w:id="172" w:name="_Toc158735270"/>
      <w:bookmarkStart w:id="173" w:name="_Toc181084788"/>
      <w:r w:rsidRPr="004A0212">
        <w:rPr>
          <w:rFonts w:cs="Arial"/>
        </w:rPr>
        <w:t>Ka kōkiri te Māori i ngā whanaketanga</w:t>
      </w:r>
      <w:bookmarkEnd w:id="173"/>
    </w:p>
    <w:p w14:paraId="4A7CACE1" w14:textId="27BC9E85" w:rsidR="00FE4E56" w:rsidRPr="004A0212" w:rsidRDefault="00FE4E56" w:rsidP="007A190A">
      <w:pPr>
        <w:pStyle w:val="Heading3"/>
        <w:rPr>
          <w:rFonts w:cs="Arial"/>
        </w:rPr>
      </w:pPr>
      <w:bookmarkStart w:id="174" w:name="_Toc181084789"/>
      <w:r w:rsidRPr="004A0212">
        <w:rPr>
          <w:rFonts w:cs="Arial"/>
        </w:rPr>
        <w:t>Māori advocate for change</w:t>
      </w:r>
      <w:bookmarkEnd w:id="170"/>
      <w:bookmarkEnd w:id="171"/>
      <w:bookmarkEnd w:id="172"/>
      <w:bookmarkEnd w:id="174"/>
    </w:p>
    <w:p w14:paraId="2C0111ED" w14:textId="6684E84C" w:rsidR="00FE4E56" w:rsidRPr="004A0212" w:rsidRDefault="00FE4E56" w:rsidP="007D73A6">
      <w:pPr>
        <w:pStyle w:val="AllNumbparas"/>
        <w:rPr>
          <w:rStyle w:val="ui-provider"/>
        </w:rPr>
      </w:pPr>
      <w:r w:rsidRPr="004A0212">
        <w:t xml:space="preserve">In the face of these challenges, </w:t>
      </w:r>
      <w:r w:rsidRPr="004A0212">
        <w:rPr>
          <w:rStyle w:val="ui-provider"/>
        </w:rPr>
        <w:t xml:space="preserve">Māori found and proposed new solutions for themselves. </w:t>
      </w:r>
    </w:p>
    <w:p w14:paraId="401970F0" w14:textId="4F91CB82" w:rsidR="00FE4E56" w:rsidRPr="004A0212" w:rsidRDefault="00FE4E56" w:rsidP="007D73A6">
      <w:pPr>
        <w:pStyle w:val="AllNumbparas"/>
      </w:pPr>
      <w:r w:rsidRPr="004A0212">
        <w:t xml:space="preserve">A new generation of leaders rose, including the prophets Rua Kēnana and Tahupōtiki </w:t>
      </w:r>
      <w:r w:rsidRPr="004A0212">
        <w:rPr>
          <w:color w:val="000000" w:themeColor="text1"/>
        </w:rPr>
        <w:t xml:space="preserve">Wiremu Rātana, Young Māori Party members Sir Āpirana Ngata, </w:t>
      </w:r>
      <w:r w:rsidRPr="004A0212">
        <w:rPr>
          <w:rStyle w:val="normaltextrun"/>
          <w:color w:val="000000" w:themeColor="text1"/>
        </w:rPr>
        <w:t xml:space="preserve">Māui Pōmare, Te Rangi Hīroa </w:t>
      </w:r>
      <w:r w:rsidRPr="004A0212">
        <w:rPr>
          <w:color w:val="000000" w:themeColor="text1"/>
        </w:rPr>
        <w:t xml:space="preserve">(Sir </w:t>
      </w:r>
      <w:r w:rsidRPr="004A0212">
        <w:t>Peter Buck), and Te Puea Hērangi.</w:t>
      </w:r>
      <w:r w:rsidRPr="004A0212">
        <w:rPr>
          <w:rStyle w:val="StyleFootnoteReferenceFagoFunotenzeichenFagoFunotenzeichen"/>
        </w:rPr>
        <w:endnoteReference w:id="98"/>
      </w:r>
      <w:r w:rsidRPr="004A0212">
        <w:t xml:space="preserve"> These leaders took very different approaches but were each instrumental in advocating for Māori.</w:t>
      </w:r>
    </w:p>
    <w:p w14:paraId="2B0E77BD" w14:textId="475C5777" w:rsidR="00FE4E56" w:rsidRPr="004A0212" w:rsidRDefault="00FE4E56" w:rsidP="007D73A6">
      <w:pPr>
        <w:pStyle w:val="AllNumbparas"/>
        <w:rPr>
          <w:rStyle w:val="ui-provider"/>
        </w:rPr>
      </w:pPr>
      <w:r w:rsidRPr="004A0212">
        <w:t>Māori religious movements such as Pai Mārire and Ringatū in the 19</w:t>
      </w:r>
      <w:r w:rsidRPr="004A0212">
        <w:rPr>
          <w:vertAlign w:val="superscript"/>
        </w:rPr>
        <w:t>th</w:t>
      </w:r>
      <w:r w:rsidRPr="004A0212">
        <w:t xml:space="preserve"> century and Rātana in the 20</w:t>
      </w:r>
      <w:r w:rsidRPr="004A0212">
        <w:rPr>
          <w:vertAlign w:val="superscript"/>
        </w:rPr>
        <w:t>th</w:t>
      </w:r>
      <w:r w:rsidRPr="004A0212">
        <w:t xml:space="preserve"> century combined Māori beliefs with Christianity and became important spiritual, social and political movements.</w:t>
      </w:r>
      <w:r w:rsidRPr="004A0212">
        <w:rPr>
          <w:rStyle w:val="StyleFootnoteReferenceFagoFunotenzeichenFagoFunotenzeichen"/>
        </w:rPr>
        <w:endnoteReference w:id="99"/>
      </w:r>
    </w:p>
    <w:p w14:paraId="2F7ECA6A" w14:textId="77777777" w:rsidR="00FE4E56" w:rsidRPr="004A0212" w:rsidRDefault="00FE4E56">
      <w:pPr>
        <w:keepLines w:val="0"/>
        <w:rPr>
          <w:rFonts w:ascii="Arial" w:hAnsi="Arial" w:cs="Arial"/>
          <w:b/>
          <w:bCs/>
          <w:color w:val="4F7D29" w:themeColor="accent4"/>
          <w:sz w:val="36"/>
          <w:szCs w:val="36"/>
        </w:rPr>
      </w:pPr>
      <w:r w:rsidRPr="004A0212">
        <w:br w:type="page"/>
      </w:r>
    </w:p>
    <w:p w14:paraId="108756D1" w14:textId="4B1B767C" w:rsidR="00FE4E56" w:rsidRPr="004A0212" w:rsidRDefault="00FE4E56" w:rsidP="00282055">
      <w:pPr>
        <w:pStyle w:val="Heading1"/>
        <w:rPr>
          <w:color w:val="3B5D1E" w:themeColor="accent4" w:themeShade="BF"/>
        </w:rPr>
      </w:pPr>
      <w:bookmarkStart w:id="175" w:name="_Toc1891957839"/>
      <w:bookmarkStart w:id="176" w:name="_Toc181084790"/>
      <w:r w:rsidRPr="004A0212">
        <w:rPr>
          <w:color w:val="3B5D1E" w:themeColor="accent4" w:themeShade="BF"/>
        </w:rPr>
        <w:lastRenderedPageBreak/>
        <w:t>Ūpoko 4: Ngā waiaro ā-pāpori whai pānga ki te wā Pakirehua</w:t>
      </w:r>
      <w:bookmarkEnd w:id="175"/>
      <w:bookmarkEnd w:id="176"/>
      <w:r w:rsidRPr="004A0212">
        <w:rPr>
          <w:color w:val="3B5D1E" w:themeColor="accent4" w:themeShade="BF"/>
        </w:rPr>
        <w:t xml:space="preserve"> </w:t>
      </w:r>
    </w:p>
    <w:p w14:paraId="256916D1" w14:textId="04036005" w:rsidR="00FE4E56" w:rsidRPr="004A0212" w:rsidRDefault="00FE4E56" w:rsidP="00282055">
      <w:pPr>
        <w:pStyle w:val="Heading1"/>
        <w:rPr>
          <w:color w:val="3B5D1E" w:themeColor="accent4" w:themeShade="BF"/>
        </w:rPr>
      </w:pPr>
      <w:bookmarkStart w:id="177" w:name="_Toc1118816282"/>
      <w:bookmarkStart w:id="178" w:name="_Toc181084791"/>
      <w:r w:rsidRPr="004A0212">
        <w:rPr>
          <w:color w:val="3B5D1E" w:themeColor="accent4" w:themeShade="BF"/>
        </w:rPr>
        <w:t>Chapter 4: Societal attitudes relevant to the Inquiry period</w:t>
      </w:r>
      <w:bookmarkEnd w:id="177"/>
      <w:bookmarkEnd w:id="178"/>
    </w:p>
    <w:p w14:paraId="355F8786" w14:textId="643877B8" w:rsidR="00FE4E56" w:rsidRPr="004A0212" w:rsidRDefault="00FE4E56" w:rsidP="007D73A6">
      <w:pPr>
        <w:pStyle w:val="AllNumbparas"/>
        <w:rPr>
          <w:color w:val="000000" w:themeColor="text1"/>
        </w:rPr>
      </w:pPr>
      <w:r w:rsidRPr="004A0212">
        <w:rPr>
          <w:rStyle w:val="normaltextrun"/>
          <w:color w:val="000000" w:themeColor="text1"/>
        </w:rPr>
        <w:t>Churches contributed to building the new settler society in Aotearoa New Zealand, including upholding a social order based on British laws and influenced by Christian values and morals.</w:t>
      </w:r>
      <w:r w:rsidRPr="004A0212">
        <w:rPr>
          <w:rStyle w:val="StyleFootnoteReferenceFagoFunotenzeichenFagoFunotenzeichen"/>
        </w:rPr>
        <w:endnoteReference w:id="100"/>
      </w:r>
      <w:r w:rsidRPr="004A0212">
        <w:rPr>
          <w:rStyle w:val="normaltextrun"/>
          <w:color w:val="000000" w:themeColor="text1"/>
        </w:rPr>
        <w:t xml:space="preserve"> </w:t>
      </w:r>
    </w:p>
    <w:p w14:paraId="2608E8EA" w14:textId="05906C53" w:rsidR="00FE4E56" w:rsidRPr="004A0212" w:rsidRDefault="00FE4E56" w:rsidP="007D73A6">
      <w:pPr>
        <w:pStyle w:val="AllNumbparas"/>
      </w:pPr>
      <w:r w:rsidRPr="004A0212">
        <w:rPr>
          <w:rStyle w:val="normaltextrun"/>
          <w:color w:val="000000"/>
          <w:bdr w:val="none" w:sz="0" w:space="0" w:color="auto" w:frame="1"/>
        </w:rPr>
        <w:t xml:space="preserve">These societal attitudes meant that </w:t>
      </w:r>
      <w:r w:rsidRPr="004A0212">
        <w:t>during much of the 20</w:t>
      </w:r>
      <w:r w:rsidRPr="004A0212">
        <w:rPr>
          <w:vertAlign w:val="superscript"/>
        </w:rPr>
        <w:t>th</w:t>
      </w:r>
      <w:r w:rsidRPr="004A0212">
        <w:t xml:space="preserve"> century, Aotearoa New Zealand society expected people to fit in and conform to a narrow definition of what was normal.</w:t>
      </w:r>
      <w:r w:rsidRPr="004A0212">
        <w:rPr>
          <w:rStyle w:val="StyleFootnoteReferenceFagoFunotenzeichenFagoFunotenzeichen"/>
        </w:rPr>
        <w:endnoteReference w:id="101"/>
      </w:r>
      <w:r w:rsidRPr="004A0212">
        <w:t xml:space="preserve"> This contributed to discrimination against indigenous and minority groups.</w:t>
      </w:r>
      <w:r w:rsidRPr="004A0212">
        <w:rPr>
          <w:rStyle w:val="StyleFootnoteReferenceFagoFunotenzeichenFagoFunotenzeichen"/>
        </w:rPr>
        <w:endnoteReference w:id="102"/>
      </w:r>
      <w:r w:rsidRPr="004A0212">
        <w:t xml:space="preserve"> </w:t>
      </w:r>
    </w:p>
    <w:p w14:paraId="3EDC1DCB" w14:textId="0A26AEB7" w:rsidR="00FE4E56" w:rsidRPr="004A0212" w:rsidRDefault="00FE4E56" w:rsidP="007D73A6">
      <w:pPr>
        <w:pStyle w:val="AllNumbparas"/>
      </w:pPr>
      <w:r w:rsidRPr="004A0212">
        <w:t xml:space="preserve">Criminologist John Pratt highlights Aotearoa New Zealand’s high rate of imprisonment across the Inquiry period compared to other OECD nations. He describes Aotearoa New Zealand as intolerant and overly punitive, resulting from: </w:t>
      </w:r>
    </w:p>
    <w:p w14:paraId="1D6FC4D9" w14:textId="77777777" w:rsidR="00FE4E56" w:rsidRPr="004A0212" w:rsidRDefault="00FE4E56" w:rsidP="008927C4">
      <w:pPr>
        <w:pStyle w:val="AllQuotes"/>
        <w:rPr>
          <w:rFonts w:cs="Arial"/>
        </w:rPr>
      </w:pPr>
      <w:r w:rsidRPr="004A0212">
        <w:rPr>
          <w:rFonts w:cs="Arial"/>
        </w:rPr>
        <w:t>“a crushing conformity, enforced by intense levels of formal and informal social control and fear of appearing different, fear of not belonging to and fear of being rejected by this tightly drawn homogenous community”.</w:t>
      </w:r>
      <w:r w:rsidRPr="004A0212">
        <w:rPr>
          <w:rStyle w:val="StyleFootnoteReferenceFagoFunotenzeichenFagoFunotenzeichen"/>
        </w:rPr>
        <w:endnoteReference w:id="103"/>
      </w:r>
    </w:p>
    <w:p w14:paraId="63A2BA2B" w14:textId="16D3863F" w:rsidR="00FE4E56" w:rsidRPr="004A0212" w:rsidRDefault="00FE4E56" w:rsidP="007D73A6">
      <w:pPr>
        <w:pStyle w:val="AllNumbparas"/>
      </w:pPr>
      <w:r w:rsidRPr="004A0212">
        <w:t>Key societal attitudes (power and control, racism, ableism and disablism, rigid gender roles and homophobia) that persisted across the Inquiry period are outlined below. The Inquiry returns to these attitudes throughout this report, demonstrating how they influenced who went into care and the experiences of children, young people and adults within the care system.</w:t>
      </w:r>
    </w:p>
    <w:p w14:paraId="046C1E8E" w14:textId="77777777" w:rsidR="00FE4E56" w:rsidRPr="004A0212" w:rsidRDefault="00FE4E56" w:rsidP="00282055">
      <w:pPr>
        <w:pStyle w:val="Heading2"/>
      </w:pPr>
      <w:bookmarkStart w:id="179" w:name="_Toc728179029"/>
      <w:bookmarkStart w:id="180" w:name="_Toc181084792"/>
      <w:r w:rsidRPr="004A0212">
        <w:t>Te mana me te aupēhitanga o te tokoiti o te pāpori</w:t>
      </w:r>
      <w:bookmarkEnd w:id="179"/>
      <w:bookmarkEnd w:id="180"/>
      <w:r w:rsidRPr="004A0212">
        <w:t xml:space="preserve"> </w:t>
      </w:r>
    </w:p>
    <w:p w14:paraId="74CCF330" w14:textId="10115810" w:rsidR="00FE4E56" w:rsidRPr="004A0212" w:rsidRDefault="00FE4E56" w:rsidP="00282055">
      <w:pPr>
        <w:pStyle w:val="Heading2"/>
      </w:pPr>
      <w:bookmarkStart w:id="181" w:name="_Toc222300281"/>
      <w:bookmarkStart w:id="182" w:name="_Toc181084793"/>
      <w:r w:rsidRPr="004A0212">
        <w:t>Power and control held by certain members of society</w:t>
      </w:r>
      <w:bookmarkEnd w:id="181"/>
      <w:bookmarkEnd w:id="182"/>
    </w:p>
    <w:p w14:paraId="759A6408" w14:textId="32DAB5C0" w:rsidR="00FE4E56" w:rsidRPr="004A0212" w:rsidRDefault="00FE4E56" w:rsidP="007D73A6">
      <w:pPr>
        <w:pStyle w:val="AllNumbparas"/>
      </w:pPr>
      <w:r w:rsidRPr="004A0212">
        <w:t>Power and control were common themes across the Inquiry period. In relation to care settings, power and control was exercised in different forms:</w:t>
      </w:r>
    </w:p>
    <w:p w14:paraId="3EFC80D1" w14:textId="378D0E77" w:rsidR="00FE4E56" w:rsidRPr="004A0212" w:rsidRDefault="00FE4E56" w:rsidP="00752D0B">
      <w:pPr>
        <w:pStyle w:val="Bulletpoints"/>
      </w:pPr>
      <w:r w:rsidRPr="004A0212">
        <w:t>State control – laws and policies, removing children from the home and disabled people from society</w:t>
      </w:r>
    </w:p>
    <w:p w14:paraId="186C872B" w14:textId="77777777" w:rsidR="00FE4E56" w:rsidRDefault="00FE4E56">
      <w:pPr>
        <w:keepLines w:val="0"/>
        <w:rPr>
          <w:rFonts w:ascii="Arial" w:eastAsia="Calibri" w:hAnsi="Arial" w:cs="Arial"/>
          <w:bCs/>
          <w:color w:val="222222"/>
          <w:sz w:val="22"/>
          <w:szCs w:val="22"/>
          <w:shd w:val="clear" w:color="auto" w:fill="FFFFFF"/>
        </w:rPr>
      </w:pPr>
      <w:r>
        <w:br w:type="page"/>
      </w:r>
    </w:p>
    <w:p w14:paraId="0D626BAB" w14:textId="79ED1C88" w:rsidR="00FE4E56" w:rsidRPr="004A0212" w:rsidRDefault="00FE4E56" w:rsidP="00752D0B">
      <w:pPr>
        <w:pStyle w:val="Bulletpoints"/>
      </w:pPr>
      <w:r w:rsidRPr="004A0212">
        <w:lastRenderedPageBreak/>
        <w:t>Faith-based control – moral authority, trusted to take care of children and young people</w:t>
      </w:r>
    </w:p>
    <w:p w14:paraId="64A66EE9" w14:textId="17CF7905" w:rsidR="00FE4E56" w:rsidRPr="004A0212" w:rsidRDefault="00FE4E56" w:rsidP="00752D0B">
      <w:pPr>
        <w:pStyle w:val="Bulletpoints"/>
      </w:pPr>
      <w:r w:rsidRPr="004A0212">
        <w:t xml:space="preserve">institutional control – hierarchical culture, ableist practices, seclusion, restraint and abusive practices </w:t>
      </w:r>
    </w:p>
    <w:p w14:paraId="5FF9D827" w14:textId="4859373A" w:rsidR="00FE4E56" w:rsidRPr="004A0212" w:rsidRDefault="00FE4E56" w:rsidP="00752D0B">
      <w:pPr>
        <w:pStyle w:val="Bulletpoints"/>
      </w:pPr>
      <w:r w:rsidRPr="004A0212">
        <w:t xml:space="preserve">individual control – moral authority and power imbalance. </w:t>
      </w:r>
    </w:p>
    <w:p w14:paraId="330550F0" w14:textId="69AB280F" w:rsidR="00FE4E56" w:rsidRPr="004A0212" w:rsidRDefault="00FE4E56" w:rsidP="007D73A6">
      <w:pPr>
        <w:pStyle w:val="AllNumbparas"/>
      </w:pPr>
      <w:r w:rsidRPr="004A0212">
        <w:t>In the 20</w:t>
      </w:r>
      <w:r w:rsidRPr="004A0212">
        <w:rPr>
          <w:vertAlign w:val="superscript"/>
        </w:rPr>
        <w:t>th</w:t>
      </w:r>
      <w:r w:rsidRPr="004A0212">
        <w:t xml:space="preserve"> century, judges, politicians, police officers, doctors, clergy and other church leaders were highly respected, giving them power and influence over people. For example, doctors had the power to influence who went into disability and mental health settings. They were trusted by many in society to know what was best.</w:t>
      </w:r>
      <w:r w:rsidRPr="004A0212">
        <w:rPr>
          <w:rStyle w:val="StyleFootnoteReferenceFagoFunotenzeichenFagoFunotenzeichen"/>
        </w:rPr>
        <w:endnoteReference w:id="104"/>
      </w:r>
      <w:r w:rsidRPr="004A0212">
        <w:t xml:space="preserve"> This included trust in the treatment they provided, as seen in the Beautiful Children: Inquiry into the Lake Alice Child and Adolescent Unit report. The Inquiry found that “staff at the unit had largely unchecked power over vulnerable patients”.</w:t>
      </w:r>
      <w:r w:rsidRPr="004A0212">
        <w:rPr>
          <w:rStyle w:val="StyleFootnoteReferenceFagoFunotenzeichenFagoFunotenzeichen"/>
        </w:rPr>
        <w:endnoteReference w:id="105"/>
      </w:r>
      <w:r w:rsidRPr="004A0212">
        <w:t xml:space="preserve"> Similarly, police officers, social workers and judges in the Children’s Courts held power over who came before the court and what sentences they received. The churches and those who represented them operated with a high degree of impunity because of their standing in the community.</w:t>
      </w:r>
      <w:r w:rsidRPr="004A0212">
        <w:rPr>
          <w:rStyle w:val="StyleFootnoteReferenceFagoFunotenzeichenFagoFunotenzeichen"/>
        </w:rPr>
        <w:endnoteReference w:id="106"/>
      </w:r>
      <w:r w:rsidRPr="004A0212">
        <w:rPr>
          <w:rFonts w:eastAsiaTheme="minorEastAsia"/>
          <w:vertAlign w:val="superscript"/>
        </w:rPr>
        <w:t xml:space="preserve"> </w:t>
      </w:r>
    </w:p>
    <w:p w14:paraId="35E945C5" w14:textId="77777777" w:rsidR="00FE4E56" w:rsidRDefault="00FE4E56" w:rsidP="00282055">
      <w:pPr>
        <w:pStyle w:val="Heading2"/>
      </w:pPr>
      <w:bookmarkStart w:id="183" w:name="_Toc1601329244"/>
      <w:bookmarkStart w:id="184" w:name="_Toc181084794"/>
      <w:r w:rsidRPr="004A0212">
        <w:t>Kaikiri</w:t>
      </w:r>
      <w:bookmarkEnd w:id="184"/>
    </w:p>
    <w:p w14:paraId="6DFED051" w14:textId="0A1A0EEA" w:rsidR="00FE4E56" w:rsidRPr="004A0212" w:rsidRDefault="00FE4E56" w:rsidP="00282055">
      <w:pPr>
        <w:pStyle w:val="Heading2"/>
      </w:pPr>
      <w:bookmarkStart w:id="185" w:name="_Toc181084795"/>
      <w:r w:rsidRPr="004A0212">
        <w:t>Racism</w:t>
      </w:r>
      <w:bookmarkEnd w:id="183"/>
      <w:bookmarkEnd w:id="185"/>
    </w:p>
    <w:p w14:paraId="794EFE21" w14:textId="77777777" w:rsidR="00FE4E56" w:rsidRDefault="00FE4E56" w:rsidP="44ADDF6E">
      <w:pPr>
        <w:pStyle w:val="Heading3"/>
      </w:pPr>
      <w:bookmarkStart w:id="186" w:name="_Toc2022035316"/>
      <w:bookmarkStart w:id="187" w:name="_Toc181084796"/>
      <w:r w:rsidRPr="004A0212">
        <w:t>Kaikiri torowhare</w:t>
      </w:r>
      <w:bookmarkEnd w:id="187"/>
    </w:p>
    <w:p w14:paraId="0AF7A8CA" w14:textId="24BADC22" w:rsidR="00FE4E56" w:rsidRPr="004A0212" w:rsidRDefault="00FE4E56" w:rsidP="44ADDF6E">
      <w:pPr>
        <w:pStyle w:val="Heading3"/>
      </w:pPr>
      <w:bookmarkStart w:id="188" w:name="_Toc181084797"/>
      <w:r w:rsidRPr="004A0212">
        <w:t>Institutional Racism</w:t>
      </w:r>
      <w:bookmarkEnd w:id="186"/>
      <w:bookmarkEnd w:id="188"/>
      <w:r w:rsidRPr="004A0212">
        <w:t xml:space="preserve"> </w:t>
      </w:r>
    </w:p>
    <w:p w14:paraId="672652A9" w14:textId="00E98E4B" w:rsidR="00FE4E56" w:rsidRPr="004A0212" w:rsidRDefault="00FE4E56" w:rsidP="00B1154B">
      <w:pPr>
        <w:pStyle w:val="Numbparas"/>
      </w:pPr>
      <w:r w:rsidRPr="004A0212">
        <w:t xml:space="preserve">A 1986 report to the Minister of Social Welfare, titled </w:t>
      </w:r>
      <w:r w:rsidRPr="007D232D">
        <w:t>Puao-te-Ata-Tū</w:t>
      </w:r>
      <w:r w:rsidRPr="004A0212">
        <w:t>, found that New Zealand institutions – rooted in Pākehā values, systems, and viewpoints – had alienated Māori from their own lands and broken down traditional Māori society.</w:t>
      </w:r>
      <w:r w:rsidRPr="004A0212">
        <w:endnoteReference w:id="107"/>
      </w:r>
      <w:r w:rsidRPr="004A0212">
        <w:t xml:space="preserve"> The report noted the history of colonisation was a “history of institutional decisions being made for, rather than by, Māori”.</w:t>
      </w:r>
      <w:r w:rsidRPr="004A0212">
        <w:rPr>
          <w:rStyle w:val="StyleFootnoteReferenceFagoFunotenzeichenFagoFunotenzeichen"/>
        </w:rPr>
        <w:endnoteReference w:id="108"/>
      </w:r>
      <w:r w:rsidRPr="004A0212">
        <w:rPr>
          <w:rStyle w:val="StyleFootnoteReferenceFagoFunotenzeichenFagoFunotenzeichen"/>
        </w:rPr>
        <w:t xml:space="preserve"> </w:t>
      </w:r>
    </w:p>
    <w:p w14:paraId="5072386C" w14:textId="168A368B" w:rsidR="00FE4E56" w:rsidRPr="004A0212" w:rsidRDefault="00FE4E56" w:rsidP="00A83810">
      <w:pPr>
        <w:pStyle w:val="AllNumbparas"/>
      </w:pPr>
      <w:r w:rsidRPr="004A0212">
        <w:rPr>
          <w:color w:val="000000" w:themeColor="text1"/>
        </w:rPr>
        <w:t xml:space="preserve">Institutional racism refers to patterns of discrimination and unequal treatment </w:t>
      </w:r>
      <w:r w:rsidRPr="004A0212">
        <w:rPr>
          <w:rStyle w:val="normaltextrun"/>
          <w:color w:val="000000" w:themeColor="text1"/>
        </w:rPr>
        <w:t xml:space="preserve">of certain groups based on their race, ethnicity, skin colour or national origin, </w:t>
      </w:r>
      <w:r w:rsidRPr="004A0212">
        <w:rPr>
          <w:color w:val="000000" w:themeColor="text1"/>
        </w:rPr>
        <w:t xml:space="preserve">and </w:t>
      </w:r>
      <w:r w:rsidRPr="004A0212">
        <w:t>results in unequal outcomes for these groups.</w:t>
      </w:r>
      <w:r w:rsidRPr="004A0212">
        <w:rPr>
          <w:rStyle w:val="StyleFootnoteReferenceFagoFunotenzeichenFagoFunotenzeichen"/>
        </w:rPr>
        <w:endnoteReference w:id="109"/>
      </w:r>
      <w:r w:rsidRPr="004A0212">
        <w:t xml:space="preserve"> Researchers have described institutional racism as happening when a powerful group enforces its beliefs on others.</w:t>
      </w:r>
      <w:r w:rsidRPr="004A0212">
        <w:rPr>
          <w:rStyle w:val="StyleFootnoteReferenceFagoFunotenzeichenFagoFunotenzeichen"/>
        </w:rPr>
        <w:endnoteReference w:id="110"/>
      </w:r>
      <w:r w:rsidRPr="004A0212">
        <w:t xml:space="preserve"> These beliefs are then built into State and institutional policy and practice such as in education, healthcare and law enforcement. </w:t>
      </w:r>
    </w:p>
    <w:p w14:paraId="6E7EA504" w14:textId="2814E6A3" w:rsidR="00FE4E56" w:rsidRPr="004A0212" w:rsidRDefault="00FE4E56" w:rsidP="00617AE7">
      <w:pPr>
        <w:pStyle w:val="AllNumbparas"/>
      </w:pPr>
      <w:r w:rsidRPr="004A0212">
        <w:t>In Aotearoa New Zealand, the effects of institutional racism are shown in social statistics, for example, negative statistics in education, crime, child abuse, infant mortality, health and employment. The P</w:t>
      </w:r>
      <w:r w:rsidRPr="004A0212">
        <w:rPr>
          <w:rFonts w:hint="eastAsia"/>
        </w:rPr>
        <w:t>ū</w:t>
      </w:r>
      <w:r w:rsidRPr="004A0212">
        <w:t>ao-te-</w:t>
      </w:r>
      <w:r>
        <w:t>A</w:t>
      </w:r>
      <w:r w:rsidRPr="004A0212">
        <w:t>ta-</w:t>
      </w:r>
      <w:r>
        <w:t>T</w:t>
      </w:r>
      <w:r w:rsidRPr="004A0212">
        <w:rPr>
          <w:rFonts w:hint="eastAsia"/>
        </w:rPr>
        <w:t>ū</w:t>
      </w:r>
      <w:r w:rsidRPr="004A0212">
        <w:t xml:space="preserve"> </w:t>
      </w:r>
      <w:r>
        <w:t>R</w:t>
      </w:r>
      <w:r w:rsidRPr="004A0212">
        <w:t>eport of 1988 defined institutional racism as:</w:t>
      </w:r>
    </w:p>
    <w:p w14:paraId="0B8D748E" w14:textId="7D0F39F5" w:rsidR="00FE4E56" w:rsidRPr="004A0212" w:rsidRDefault="00FE4E56" w:rsidP="008927C4">
      <w:pPr>
        <w:pStyle w:val="AllQuotes"/>
        <w:rPr>
          <w:rFonts w:cs="Arial"/>
        </w:rPr>
      </w:pPr>
      <w:r w:rsidRPr="004A0212">
        <w:rPr>
          <w:rFonts w:cs="Arial"/>
        </w:rPr>
        <w:t>“The most insidious and destructive form of racism ... It is the outcome of monocultural institutions which simply ignore and freeze out the cultures of those who do not belong to the majority.”</w:t>
      </w:r>
      <w:r w:rsidRPr="004A0212">
        <w:rPr>
          <w:rStyle w:val="StyleFootnoteReferenceFagoFunotenzeichenFagoFunotenzeichen"/>
        </w:rPr>
        <w:endnoteReference w:id="111"/>
      </w:r>
    </w:p>
    <w:p w14:paraId="02F6D39F" w14:textId="77777777" w:rsidR="003A06E8" w:rsidRDefault="003A06E8">
      <w:pPr>
        <w:keepLines w:val="0"/>
        <w:rPr>
          <w:rFonts w:ascii="Arial" w:eastAsia="Calibri" w:hAnsi="Arial" w:cs="Arial"/>
          <w:bCs/>
          <w:color w:val="222222"/>
          <w:sz w:val="22"/>
          <w:szCs w:val="22"/>
          <w:shd w:val="clear" w:color="auto" w:fill="FFFFFF"/>
        </w:rPr>
      </w:pPr>
      <w:r>
        <w:br w:type="page"/>
      </w:r>
    </w:p>
    <w:p w14:paraId="4CBD26DB" w14:textId="6E59B80E" w:rsidR="00FE4E56" w:rsidRPr="004A0212" w:rsidRDefault="00FE4E56" w:rsidP="009574D1">
      <w:pPr>
        <w:pStyle w:val="Numbparas"/>
      </w:pPr>
      <w:r w:rsidRPr="004A0212">
        <w:lastRenderedPageBreak/>
        <w:t>Numerous reports and inquiries have shown that institutional racism in criminal justice (including the courts and NZ Police), social welfare and psychiatric systems contributed to the over-representation of young Māori in these settings.</w:t>
      </w:r>
      <w:r w:rsidRPr="004A0212">
        <w:rPr>
          <w:rStyle w:val="StyleFootnoteReferenceFagoFunotenzeichenFagoFunotenzeichen"/>
        </w:rPr>
        <w:endnoteReference w:id="112"/>
      </w:r>
      <w:r w:rsidRPr="004A0212">
        <w:t xml:space="preserve"> </w:t>
      </w:r>
    </w:p>
    <w:p w14:paraId="79919922" w14:textId="5E3B048F" w:rsidR="00FE4E56" w:rsidRPr="004A0212" w:rsidRDefault="00FE4E56" w:rsidP="009574D1">
      <w:pPr>
        <w:pStyle w:val="Numbparas"/>
        <w:rPr>
          <w:rStyle w:val="eop"/>
        </w:rPr>
      </w:pPr>
      <w:r w:rsidRPr="004A0212">
        <w:t>Pacific Peoples also experienced strong institutional racism during the Inquiry period, particularly for their children and youth population. Racism and European society’s attitudes towards perceived juvenile delinquency led to the over-surveillance of Pacific children and young people, bringing them to the attention of social welfare and youth justice agencies.</w:t>
      </w:r>
    </w:p>
    <w:p w14:paraId="61ACA516" w14:textId="7EA936E8" w:rsidR="00FE4E56" w:rsidRPr="004A0212" w:rsidRDefault="00FE4E56" w:rsidP="007D73A6">
      <w:pPr>
        <w:pStyle w:val="AllNumbparas"/>
      </w:pPr>
      <w:r w:rsidRPr="004A0212">
        <w:t>Racism was also</w:t>
      </w:r>
      <w:r w:rsidRPr="004A0212">
        <w:rPr>
          <w:color w:val="auto"/>
        </w:rPr>
        <w:t xml:space="preserve"> present </w:t>
      </w:r>
      <w:r w:rsidRPr="004A0212">
        <w:t>in faith-based care settings. For example, the Inquiry’s interim report</w:t>
      </w:r>
      <w:r w:rsidRPr="004A0212" w:rsidDel="000F004A">
        <w:t xml:space="preserve"> </w:t>
      </w:r>
      <w:r w:rsidRPr="004A0212">
        <w:t>Stolen Lives, Marked Souls refers to evidence of racism within the Order of the Brothers of St John of God.</w:t>
      </w:r>
      <w:r w:rsidRPr="004A0212">
        <w:rPr>
          <w:rStyle w:val="StyleFootnoteReferenceFagoFunotenzeichenFagoFunotenzeichen"/>
        </w:rPr>
        <w:endnoteReference w:id="113"/>
      </w:r>
      <w:r w:rsidRPr="004A0212">
        <w:t xml:space="preserve"> </w:t>
      </w:r>
    </w:p>
    <w:p w14:paraId="7EE13137" w14:textId="77777777" w:rsidR="00FE4E56" w:rsidRDefault="00FE4E56" w:rsidP="008927C4">
      <w:pPr>
        <w:pStyle w:val="Heading3"/>
        <w:rPr>
          <w:rFonts w:cs="Arial"/>
        </w:rPr>
      </w:pPr>
      <w:bookmarkStart w:id="189" w:name="_Toc1505895793"/>
      <w:bookmarkStart w:id="190" w:name="_Toc181084798"/>
      <w:r w:rsidRPr="004A0212">
        <w:rPr>
          <w:rFonts w:cs="Arial"/>
        </w:rPr>
        <w:t>Kaikiri ā-ahurea</w:t>
      </w:r>
      <w:bookmarkEnd w:id="190"/>
    </w:p>
    <w:p w14:paraId="186DA977" w14:textId="0868BDD5" w:rsidR="00FE4E56" w:rsidRPr="004A0212" w:rsidRDefault="00FE4E56" w:rsidP="008927C4">
      <w:pPr>
        <w:pStyle w:val="Heading3"/>
        <w:rPr>
          <w:rFonts w:cs="Arial"/>
        </w:rPr>
      </w:pPr>
      <w:bookmarkStart w:id="191" w:name="_Toc181084799"/>
      <w:r w:rsidRPr="004A0212">
        <w:rPr>
          <w:rFonts w:cs="Arial"/>
        </w:rPr>
        <w:t>Cultural racism</w:t>
      </w:r>
      <w:bookmarkEnd w:id="189"/>
      <w:bookmarkEnd w:id="191"/>
      <w:r w:rsidRPr="004A0212">
        <w:rPr>
          <w:rFonts w:cs="Arial"/>
        </w:rPr>
        <w:t xml:space="preserve"> </w:t>
      </w:r>
    </w:p>
    <w:p w14:paraId="420AFC3E" w14:textId="3C054D1B" w:rsidR="00FE4E56" w:rsidRPr="004A0212" w:rsidRDefault="00FE4E56" w:rsidP="007D73A6">
      <w:pPr>
        <w:pStyle w:val="AllNumbparas"/>
      </w:pPr>
      <w:r w:rsidRPr="004A0212">
        <w:t>Cultural racism is found in fixed philosophies and beliefs. “Cultural racism is manifested by negative attitudes to the culture and lifestyle of a minority culture.”</w:t>
      </w:r>
      <w:r w:rsidRPr="004A0212">
        <w:rPr>
          <w:rStyle w:val="StyleFootnoteReferenceFagoFunotenzeichenFagoFunotenzeichen"/>
        </w:rPr>
        <w:endnoteReference w:id="114"/>
      </w:r>
      <w:r w:rsidRPr="004A0212">
        <w:t xml:space="preserve"> </w:t>
      </w:r>
    </w:p>
    <w:p w14:paraId="3A7BB156" w14:textId="79255819" w:rsidR="00FE4E56" w:rsidRPr="004A0212" w:rsidRDefault="00FE4E56" w:rsidP="007D73A6">
      <w:pPr>
        <w:pStyle w:val="AllNumbparas"/>
      </w:pPr>
      <w:r w:rsidRPr="004A0212">
        <w:t>In Aotearoa New Zealand, cultural racism appears as a widespread belief that Pākehā culture, lifestyle and values are better than other cultures. It has directed practices of colonisation and assimilation and is passed on to successive generations.</w:t>
      </w:r>
      <w:r w:rsidRPr="004A0212">
        <w:rPr>
          <w:rStyle w:val="StyleFootnoteReferenceFagoFunotenzeichenFagoFunotenzeichen"/>
        </w:rPr>
        <w:endnoteReference w:id="115"/>
      </w:r>
      <w:r w:rsidRPr="004A0212">
        <w:t xml:space="preserve"> </w:t>
      </w:r>
    </w:p>
    <w:p w14:paraId="148A0BB7" w14:textId="30026A98" w:rsidR="00FE4E56" w:rsidRDefault="00FE4E56" w:rsidP="008927C4">
      <w:pPr>
        <w:pStyle w:val="Heading3"/>
        <w:rPr>
          <w:rFonts w:cs="Arial"/>
        </w:rPr>
      </w:pPr>
      <w:bookmarkStart w:id="192" w:name="_Toc2045985538"/>
      <w:bookmarkStart w:id="193" w:name="_Toc181084800"/>
      <w:r w:rsidRPr="004A0212">
        <w:rPr>
          <w:rFonts w:cs="Arial"/>
        </w:rPr>
        <w:t>Kaikiri (Matawhaiaro)</w:t>
      </w:r>
      <w:bookmarkEnd w:id="193"/>
    </w:p>
    <w:p w14:paraId="364F0FC7" w14:textId="3547447C" w:rsidR="00FE4E56" w:rsidRPr="004A0212" w:rsidRDefault="00FE4E56" w:rsidP="008927C4">
      <w:pPr>
        <w:pStyle w:val="Heading3"/>
        <w:rPr>
          <w:rFonts w:cs="Arial"/>
        </w:rPr>
      </w:pPr>
      <w:bookmarkStart w:id="194" w:name="_Toc181084801"/>
      <w:r w:rsidRPr="004A0212">
        <w:rPr>
          <w:rFonts w:cs="Arial"/>
        </w:rPr>
        <w:t>Racism (personal)</w:t>
      </w:r>
      <w:bookmarkEnd w:id="192"/>
      <w:bookmarkEnd w:id="194"/>
    </w:p>
    <w:p w14:paraId="121D0F7A" w14:textId="77777777" w:rsidR="00FE4E56" w:rsidRPr="004A0212" w:rsidRDefault="00FE4E56" w:rsidP="007D73A6">
      <w:pPr>
        <w:pStyle w:val="AllNumbparas"/>
      </w:pPr>
      <w:r w:rsidRPr="004A0212">
        <w:t>Personal racism happens when an individual is directly diminished or discriminated against on grounds of race. In Aotearoa New Zealand this could look like:</w:t>
      </w:r>
    </w:p>
    <w:p w14:paraId="0A3F98D6" w14:textId="0ADEC64B" w:rsidR="00FE4E56" w:rsidRPr="004A0212" w:rsidRDefault="00FE4E56" w:rsidP="001142DD">
      <w:pPr>
        <w:pStyle w:val="Bulletpoints"/>
      </w:pPr>
      <w:r w:rsidRPr="004A0212">
        <w:t>jokes, disparaging comments and prejudiced attitudes</w:t>
      </w:r>
    </w:p>
    <w:p w14:paraId="6B8FA56B" w14:textId="48EB699D" w:rsidR="00FE4E56" w:rsidRPr="004A0212" w:rsidRDefault="00FE4E56" w:rsidP="001142DD">
      <w:pPr>
        <w:pStyle w:val="Bulletpoints"/>
      </w:pPr>
      <w:r w:rsidRPr="004A0212">
        <w:t>being denied access to resources and opportunities in areas of society such as rental housing, work, health and education.</w:t>
      </w:r>
    </w:p>
    <w:p w14:paraId="00C9ECE4" w14:textId="1607EF2C" w:rsidR="00FE4E56" w:rsidRPr="004A0212" w:rsidRDefault="00FE4E56" w:rsidP="007D73A6">
      <w:pPr>
        <w:pStyle w:val="AllNumbparas"/>
      </w:pPr>
      <w:r w:rsidRPr="004A0212">
        <w:t>Personal racism attacks an individual’s identity and wellbeing and destroys their self-worth.</w:t>
      </w:r>
      <w:r w:rsidRPr="004A0212">
        <w:rPr>
          <w:rStyle w:val="StyleFootnoteReferenceFagoFunotenzeichenFagoFunotenzeichen"/>
        </w:rPr>
        <w:endnoteReference w:id="116"/>
      </w:r>
      <w:r w:rsidRPr="004A0212">
        <w:t xml:space="preserve"> The Inquiry’s previous reports discussed racism experienced by Māori and Pacific survivors in care settings, reflecting the widespread discrimination and racism in society.</w:t>
      </w:r>
      <w:r w:rsidRPr="004A0212">
        <w:rPr>
          <w:rStyle w:val="StyleFootnoteReferenceFagoFunotenzeichenFagoFunotenzeichen"/>
        </w:rPr>
        <w:endnoteReference w:id="117"/>
      </w:r>
      <w:r w:rsidRPr="004A0212">
        <w:t xml:space="preserve"> </w:t>
      </w:r>
    </w:p>
    <w:p w14:paraId="21A604BE" w14:textId="77777777" w:rsidR="000C3A2A" w:rsidRDefault="000C3A2A">
      <w:pPr>
        <w:keepLines w:val="0"/>
        <w:rPr>
          <w:rFonts w:ascii="Arial" w:hAnsi="Arial" w:cs="Helvetica"/>
          <w:b/>
          <w:bCs/>
          <w:color w:val="3B5D1E" w:themeColor="accent4" w:themeShade="BF"/>
          <w:sz w:val="28"/>
          <w:szCs w:val="28"/>
        </w:rPr>
      </w:pPr>
      <w:bookmarkStart w:id="195" w:name="_Toc594044924"/>
      <w:r>
        <w:br w:type="page"/>
      </w:r>
    </w:p>
    <w:p w14:paraId="793CDFAA" w14:textId="24D5302D" w:rsidR="00FE4E56" w:rsidRDefault="00FE4E56" w:rsidP="00282055">
      <w:pPr>
        <w:pStyle w:val="Heading2"/>
      </w:pPr>
      <w:bookmarkStart w:id="196" w:name="_Toc181084802"/>
      <w:r w:rsidRPr="004A0212">
        <w:lastRenderedPageBreak/>
        <w:t>Te hāpai toiora me te whakatoiharawhaikaha</w:t>
      </w:r>
      <w:bookmarkEnd w:id="196"/>
    </w:p>
    <w:p w14:paraId="720FE0E1" w14:textId="0A1B140E" w:rsidR="00FE4E56" w:rsidRPr="004A0212" w:rsidRDefault="00FE4E56" w:rsidP="00282055">
      <w:pPr>
        <w:pStyle w:val="Heading2"/>
      </w:pPr>
      <w:bookmarkStart w:id="197" w:name="_Toc181084803"/>
      <w:r w:rsidRPr="004A0212">
        <w:t>Ableism and disablism</w:t>
      </w:r>
      <w:bookmarkEnd w:id="195"/>
      <w:bookmarkEnd w:id="197"/>
    </w:p>
    <w:p w14:paraId="66331D69" w14:textId="2DC31D5B" w:rsidR="00FE4E56" w:rsidRPr="004A0212" w:rsidRDefault="00FE4E56" w:rsidP="008A4E4C">
      <w:pPr>
        <w:pStyle w:val="AllNumbparas"/>
      </w:pPr>
      <w:r w:rsidRPr="004A0212">
        <w:t>During the Inquiry period, the settlers’ and faiths’ focus on creating a better society emphasised the importance of physical and mental fitness. This drew attention to people whose bodies and minds were seen as different.</w:t>
      </w:r>
      <w:r w:rsidRPr="004A0212">
        <w:rPr>
          <w:rStyle w:val="StyleFootnoteReferenceFagoFunotenzeichenFagoFunotenzeichen"/>
        </w:rPr>
        <w:endnoteReference w:id="118"/>
      </w:r>
      <w:r w:rsidRPr="004A0212">
        <w:rPr>
          <w:vertAlign w:val="superscript"/>
        </w:rPr>
        <w:t xml:space="preserve"> </w:t>
      </w:r>
      <w:r w:rsidRPr="004A0212">
        <w:t>The connected concepts of ableism and disablism describe the way that society’s beliefs had a profound effect on how disabled people were treated. Although the words ableism and disablism are sometimes used interchangeably, some disabled people prefer the definitions set out below.</w:t>
      </w:r>
      <w:r w:rsidRPr="004A0212">
        <w:rPr>
          <w:rStyle w:val="StyleFootnoteReferenceFagoFunotenzeichenFagoFunotenzeichen"/>
        </w:rPr>
        <w:endnoteReference w:id="119"/>
      </w:r>
    </w:p>
    <w:p w14:paraId="403592A4" w14:textId="44E86BC0" w:rsidR="00FE4E56" w:rsidRPr="004A0212" w:rsidRDefault="00FE4E56" w:rsidP="00223587">
      <w:pPr>
        <w:pStyle w:val="AllNumbparas"/>
      </w:pPr>
      <w:r w:rsidRPr="004A0212">
        <w:t>Ableism is a belief system that values certain physical and mental characteristics, based on what society views as ‘normal’, productive and desirable.</w:t>
      </w:r>
      <w:r w:rsidRPr="004A0212">
        <w:rPr>
          <w:rStyle w:val="StyleFootnoteReferenceFagoFunotenzeichenFagoFunotenzeichen"/>
        </w:rPr>
        <w:endnoteReference w:id="120"/>
      </w:r>
      <w:r w:rsidRPr="004A0212">
        <w:t xml:space="preserve"> Ableism values non-disabled people over disabled people. The beliefs underpinning the eugenics movement are an example of ableism. Ableism continues to be widespread and systemic in Aotearoa New Zealand, and directed affects how society treats disabled people. </w:t>
      </w:r>
      <w:r w:rsidRPr="004A0212">
        <w:rPr>
          <w:rStyle w:val="normaltextrun"/>
          <w:color w:val="000000"/>
        </w:rPr>
        <w:t>These values and attitudes are so ingrained in society’s structures and institutions that many people are not aware they are thinking in an ableist way.</w:t>
      </w:r>
    </w:p>
    <w:p w14:paraId="08DCD1BF" w14:textId="03255110" w:rsidR="00FE4E56" w:rsidRPr="004A0212" w:rsidRDefault="00FE4E56" w:rsidP="008A4E4C">
      <w:pPr>
        <w:pStyle w:val="AllNumbparas"/>
      </w:pPr>
      <w:r w:rsidRPr="004A0212">
        <w:t>Disablism is the acts of discrimination against, and abuse or neglect of, disabled people that result from the ableist belief that they are less ‘valuable’ than non-disabled people. Examples of disablism include:</w:t>
      </w:r>
    </w:p>
    <w:p w14:paraId="1A6744E3" w14:textId="49A38863" w:rsidR="00FE4E56" w:rsidRPr="004A0212" w:rsidRDefault="00FE4E56" w:rsidP="008A4E4C">
      <w:pPr>
        <w:pStyle w:val="Bulletpoints"/>
      </w:pPr>
      <w:r w:rsidRPr="004A0212">
        <w:t>using a slur or derogatory word to describe a disabled person</w:t>
      </w:r>
    </w:p>
    <w:p w14:paraId="68810019" w14:textId="77777777" w:rsidR="00FE4E56" w:rsidRPr="004A0212" w:rsidRDefault="00FE4E56" w:rsidP="008A4E4C">
      <w:pPr>
        <w:pStyle w:val="Bulletpoints"/>
      </w:pPr>
      <w:r w:rsidRPr="004A0212">
        <w:t>thinking that disabled people are helpless or a burden on society</w:t>
      </w:r>
    </w:p>
    <w:p w14:paraId="68740743" w14:textId="460CDE9F" w:rsidR="00FE4E56" w:rsidRPr="004A0212" w:rsidRDefault="00FE4E56" w:rsidP="008A4E4C">
      <w:pPr>
        <w:pStyle w:val="Bulletpoints"/>
      </w:pPr>
      <w:r w:rsidRPr="004A0212">
        <w:t xml:space="preserve">ignoring someone who is disabled or speaking condescendingly to them </w:t>
      </w:r>
    </w:p>
    <w:p w14:paraId="7BB546AC" w14:textId="3F9DE6BB" w:rsidR="00FE4E56" w:rsidRPr="004A0212" w:rsidRDefault="00FE4E56" w:rsidP="008A4E4C">
      <w:pPr>
        <w:pStyle w:val="Bulletpoints"/>
      </w:pPr>
      <w:r w:rsidRPr="004A0212">
        <w:t xml:space="preserve">denying a disabled person medical treatment or treating them differently to non-disabled </w:t>
      </w:r>
      <w:r w:rsidRPr="004A0212">
        <w:rPr>
          <w:color w:val="000000" w:themeColor="text1"/>
        </w:rPr>
        <w:t>patients</w:t>
      </w:r>
      <w:r w:rsidRPr="004A0212">
        <w:t xml:space="preserve"> </w:t>
      </w:r>
    </w:p>
    <w:p w14:paraId="77F2A747" w14:textId="2E9B968A" w:rsidR="00FE4E56" w:rsidRPr="004A0212" w:rsidRDefault="00FE4E56" w:rsidP="00DA26FC">
      <w:pPr>
        <w:pStyle w:val="Bulletpoints"/>
      </w:pPr>
      <w:r w:rsidRPr="004A0212">
        <w:t>assuming that a disabled person cannot do something.</w:t>
      </w:r>
    </w:p>
    <w:p w14:paraId="6C22F22B" w14:textId="77777777" w:rsidR="00FE4E56" w:rsidRPr="004A0212" w:rsidRDefault="00FE4E56" w:rsidP="00DA26FC">
      <w:pPr>
        <w:pStyle w:val="AllNumbparas"/>
      </w:pPr>
      <w:r w:rsidRPr="004A0212">
        <w:t>For Deaf people, disablism can also take the form of audism. The ableist belief that values oral communication of non-oral communication (such as sign language) results in audism – discrimination against Deaf people and hard of hearing people. Examples of audism include:</w:t>
      </w:r>
    </w:p>
    <w:p w14:paraId="5ABACAAA" w14:textId="58941872" w:rsidR="00FE4E56" w:rsidRPr="004A0212" w:rsidRDefault="00FE4E56" w:rsidP="00A32F0B">
      <w:pPr>
        <w:pStyle w:val="Bulletpoints"/>
      </w:pPr>
      <w:r w:rsidRPr="004A0212">
        <w:t>forcing someone to use oral communication instead of sign language</w:t>
      </w:r>
    </w:p>
    <w:p w14:paraId="6B360E42" w14:textId="77777777" w:rsidR="00FE4E56" w:rsidRPr="004A0212" w:rsidRDefault="00FE4E56" w:rsidP="00A32F0B">
      <w:pPr>
        <w:pStyle w:val="Bulletpoints"/>
      </w:pPr>
      <w:r w:rsidRPr="004A0212">
        <w:t>assuming someone is not intelligent if they do not use oral communication</w:t>
      </w:r>
    </w:p>
    <w:p w14:paraId="12DE5100" w14:textId="36EDBCEF" w:rsidR="00FE4E56" w:rsidRPr="004A0212" w:rsidRDefault="00FE4E56" w:rsidP="00A32F0B">
      <w:pPr>
        <w:pStyle w:val="Bulletpoints"/>
      </w:pPr>
      <w:r w:rsidRPr="004A0212">
        <w:t>assuming that being Deaf or hard of hearing is a ‘tragedy’.</w:t>
      </w:r>
    </w:p>
    <w:p w14:paraId="53487AC8" w14:textId="77777777" w:rsidR="000C3A2A" w:rsidRDefault="000C3A2A">
      <w:pPr>
        <w:keepLines w:val="0"/>
        <w:rPr>
          <w:rFonts w:ascii="Arial" w:hAnsi="Arial" w:cs="Helvetica"/>
          <w:b/>
          <w:bCs/>
          <w:color w:val="3B5D1E" w:themeColor="accent4" w:themeShade="BF"/>
          <w:sz w:val="28"/>
          <w:szCs w:val="28"/>
        </w:rPr>
      </w:pPr>
      <w:bookmarkStart w:id="198" w:name="_Toc1633563961"/>
      <w:r>
        <w:br w:type="page"/>
      </w:r>
    </w:p>
    <w:p w14:paraId="771977AC" w14:textId="1CAA7B4A" w:rsidR="00FE4E56" w:rsidRPr="004A0212" w:rsidRDefault="00FE4E56" w:rsidP="00282055">
      <w:pPr>
        <w:pStyle w:val="Heading2"/>
      </w:pPr>
      <w:bookmarkStart w:id="199" w:name="_Toc181084804"/>
      <w:r w:rsidRPr="004A0212">
        <w:lastRenderedPageBreak/>
        <w:t>Te kaupapa tutū ira me te tauira hauora whaikaha</w:t>
      </w:r>
      <w:bookmarkEnd w:id="198"/>
      <w:bookmarkEnd w:id="199"/>
    </w:p>
    <w:p w14:paraId="40FF012A" w14:textId="4075826D" w:rsidR="00FE4E56" w:rsidRPr="004A0212" w:rsidRDefault="00FE4E56" w:rsidP="00282055">
      <w:pPr>
        <w:pStyle w:val="Heading2"/>
      </w:pPr>
      <w:bookmarkStart w:id="200" w:name="_Toc385808080"/>
      <w:bookmarkStart w:id="201" w:name="_Toc181084805"/>
      <w:r w:rsidRPr="004A0212">
        <w:t>The eugenics movement and medical model of disability</w:t>
      </w:r>
      <w:bookmarkEnd w:id="200"/>
      <w:bookmarkEnd w:id="201"/>
    </w:p>
    <w:p w14:paraId="11DC71FE" w14:textId="5F9989A3" w:rsidR="00FE4E56" w:rsidRPr="004A0212" w:rsidRDefault="00FE4E56" w:rsidP="007D73A6">
      <w:pPr>
        <w:pStyle w:val="AllNumbparas"/>
      </w:pPr>
      <w:r w:rsidRPr="004A0212">
        <w:t>Eugenics was a social and political 19</w:t>
      </w:r>
      <w:r w:rsidRPr="004A0212">
        <w:rPr>
          <w:vertAlign w:val="superscript"/>
        </w:rPr>
        <w:t>th</w:t>
      </w:r>
      <w:r w:rsidRPr="004A0212">
        <w:t xml:space="preserve"> and 20</w:t>
      </w:r>
      <w:r w:rsidRPr="004A0212">
        <w:rPr>
          <w:vertAlign w:val="superscript"/>
        </w:rPr>
        <w:t>th</w:t>
      </w:r>
      <w:r w:rsidRPr="004A0212">
        <w:t xml:space="preserve"> century movement that believed unwanted genetic characteristics could be bred out of the human population. These characteristics included traits and behaviours considered undesirable, such as committing crimes, being poor, having sex outside of marriage, mental distress, learning difficulties and having a small stature.</w:t>
      </w:r>
      <w:r w:rsidRPr="004A0212">
        <w:rPr>
          <w:rStyle w:val="StyleFootnoteReferenceFagoFunotenzeichenFagoFunotenzeichen"/>
        </w:rPr>
        <w:endnoteReference w:id="121"/>
      </w:r>
      <w:r w:rsidRPr="004A0212">
        <w:t xml:space="preserve"> </w:t>
      </w:r>
    </w:p>
    <w:p w14:paraId="510DC68F" w14:textId="26460DF3" w:rsidR="00FE4E56" w:rsidRPr="004A0212" w:rsidRDefault="00FE4E56" w:rsidP="007D73A6">
      <w:pPr>
        <w:pStyle w:val="AllNumbparas"/>
      </w:pPr>
      <w:r w:rsidRPr="004A0212">
        <w:t>Over the early decades of the 20</w:t>
      </w:r>
      <w:r w:rsidRPr="004A0212">
        <w:rPr>
          <w:vertAlign w:val="superscript"/>
        </w:rPr>
        <w:t>th</w:t>
      </w:r>
      <w:r w:rsidRPr="004A0212">
        <w:t xml:space="preserve"> century, the eugenics movement influenced State measures to identify, classify, group and segregate disabled people and people who experienced mental distress from the rest of society.</w:t>
      </w:r>
      <w:r w:rsidRPr="004A0212">
        <w:rPr>
          <w:rStyle w:val="StyleFootnoteReferenceFagoFunotenzeichenFagoFunotenzeichen"/>
        </w:rPr>
        <w:endnoteReference w:id="122"/>
      </w:r>
      <w:r w:rsidRPr="004A0212">
        <w:t xml:space="preserve"> </w:t>
      </w:r>
    </w:p>
    <w:p w14:paraId="18873903" w14:textId="08C4699C" w:rsidR="00FE4E56" w:rsidRPr="004A0212" w:rsidRDefault="00FE4E56" w:rsidP="007D73A6">
      <w:pPr>
        <w:pStyle w:val="AllNumbparas"/>
      </w:pPr>
      <w:r w:rsidRPr="004A0212">
        <w:t>Society also held a general fear of mental distress that was perpetuated by the State, faiths and widespread acceptance of the medical model of disability. This refers to disability being seen as “an individual’s problem, something wrong or broken that could be cured or contained”.</w:t>
      </w:r>
      <w:r w:rsidRPr="004A0212">
        <w:rPr>
          <w:rStyle w:val="StyleFootnoteReferenceFagoFunotenzeichenFagoFunotenzeichen"/>
        </w:rPr>
        <w:endnoteReference w:id="123"/>
      </w:r>
      <w:r w:rsidRPr="004A0212">
        <w:t xml:space="preserve"> The model is explored further in the Inquiry’s Beautiful Children: Inquiry into the Lake Alice Child and Adolescent Unit report.</w:t>
      </w:r>
      <w:r w:rsidRPr="004A0212">
        <w:rPr>
          <w:rStyle w:val="StyleFootnoteReferenceFagoFunotenzeichenFagoFunotenzeichen"/>
        </w:rPr>
        <w:endnoteReference w:id="124"/>
      </w:r>
    </w:p>
    <w:p w14:paraId="32C8A7EC" w14:textId="3CDE1326" w:rsidR="00FE4E56" w:rsidRDefault="00FE4E56" w:rsidP="00282055">
      <w:pPr>
        <w:pStyle w:val="Heading2"/>
      </w:pPr>
      <w:bookmarkStart w:id="202" w:name="_Toc1651574994"/>
      <w:bookmarkStart w:id="203" w:name="_Toc181084806"/>
      <w:r w:rsidRPr="004A0212">
        <w:t>Ngā waiaro ki te hunga Turi</w:t>
      </w:r>
      <w:bookmarkEnd w:id="203"/>
    </w:p>
    <w:p w14:paraId="389FAB7B" w14:textId="4BDD09BE" w:rsidR="00FE4E56" w:rsidRPr="004A0212" w:rsidRDefault="00FE4E56" w:rsidP="00282055">
      <w:pPr>
        <w:pStyle w:val="Heading2"/>
      </w:pPr>
      <w:bookmarkStart w:id="204" w:name="_Toc181084807"/>
      <w:r w:rsidRPr="00CF38FB">
        <w:rPr>
          <w:color w:val="3B5D1E"/>
          <w14:textFill>
            <w14:solidFill>
              <w14:srgbClr w14:val="3B5D1E">
                <w14:lumMod w14:val="75000"/>
              </w14:srgbClr>
            </w14:solidFill>
          </w14:textFill>
        </w:rPr>
        <w:t>Attitudes</w:t>
      </w:r>
      <w:r w:rsidRPr="004A0212">
        <w:t xml:space="preserve"> towards Deaf people</w:t>
      </w:r>
      <w:bookmarkEnd w:id="202"/>
      <w:bookmarkEnd w:id="204"/>
    </w:p>
    <w:p w14:paraId="3F57A110" w14:textId="77777777" w:rsidR="00FE4E56" w:rsidRPr="004A0212" w:rsidRDefault="00FE4E56" w:rsidP="008C4F81">
      <w:pPr>
        <w:pStyle w:val="AllNumbparas"/>
        <w:rPr>
          <w:rFonts w:eastAsia="Arial"/>
        </w:rPr>
      </w:pPr>
      <w:r w:rsidRPr="004A0212">
        <w:t xml:space="preserve">As discussed in Part 1, many Deaf people do not consider they are disabled, rather they are part of a cultural and linguistic group for whom sign language is a key marker of identity. </w:t>
      </w:r>
    </w:p>
    <w:p w14:paraId="608255FD" w14:textId="1C10B1A3" w:rsidR="00FE4E56" w:rsidRPr="004A0212" w:rsidRDefault="00FE4E56" w:rsidP="007D73A6">
      <w:pPr>
        <w:pStyle w:val="AllNumbparas"/>
        <w:rPr>
          <w:rFonts w:eastAsia="Arial"/>
        </w:rPr>
      </w:pPr>
      <w:r w:rsidRPr="004A0212">
        <w:t>In the</w:t>
      </w:r>
      <w:r w:rsidRPr="004A0212" w:rsidDel="002344C6">
        <w:t xml:space="preserve"> </w:t>
      </w:r>
      <w:r w:rsidRPr="004A0212">
        <w:t>19</w:t>
      </w:r>
      <w:r w:rsidRPr="004A0212">
        <w:rPr>
          <w:vertAlign w:val="superscript"/>
        </w:rPr>
        <w:t>th</w:t>
      </w:r>
      <w:r w:rsidRPr="004A0212">
        <w:t xml:space="preserve"> century Deaf people were often referred to as “deaf-mutes” or “deaf and dumb” and seen as infirm.</w:t>
      </w:r>
      <w:r w:rsidRPr="004A0212">
        <w:rPr>
          <w:rStyle w:val="StyleFootnoteReferenceFagoFunotenzeichenFagoFunotenzeichen"/>
        </w:rPr>
        <w:endnoteReference w:id="125"/>
      </w:r>
      <w:r w:rsidRPr="004A0212">
        <w:t xml:space="preserve"> In 1880, the Milan Conference declared that </w:t>
      </w:r>
      <w:r w:rsidRPr="004A0212">
        <w:rPr>
          <w:rFonts w:eastAsia="Arial"/>
        </w:rPr>
        <w:t>sign Language in Deaf education be abolished.</w:t>
      </w:r>
      <w:r w:rsidRPr="004A0212">
        <w:rPr>
          <w:rStyle w:val="StyleFootnoteReferenceFagoFunotenzeichenFagoFunotenzeichen"/>
        </w:rPr>
        <w:endnoteReference w:id="126"/>
      </w:r>
      <w:r w:rsidRPr="004A0212">
        <w:rPr>
          <w:rFonts w:eastAsia="Arial"/>
        </w:rPr>
        <w:t xml:space="preserve"> In its place, it recommended oralism, which focused on lipreading and speaking aloud rather than sign Language. </w:t>
      </w:r>
    </w:p>
    <w:p w14:paraId="0329AF9E" w14:textId="4AF85A7A" w:rsidR="00FE4E56" w:rsidRPr="004A0212" w:rsidRDefault="00FE4E56" w:rsidP="007D73A6">
      <w:pPr>
        <w:pStyle w:val="AllNumbparas"/>
        <w:rPr>
          <w:rFonts w:eastAsia="Arial"/>
        </w:rPr>
      </w:pPr>
      <w:r w:rsidRPr="004A0212">
        <w:rPr>
          <w:rFonts w:eastAsia="Arial"/>
        </w:rPr>
        <w:t xml:space="preserve">That same year, the </w:t>
      </w:r>
      <w:r w:rsidRPr="004A0212">
        <w:t xml:space="preserve">Sumner Institution for the Deaf and Dumb opened in </w:t>
      </w:r>
      <w:r w:rsidRPr="004A0212">
        <w:rPr>
          <w:rStyle w:val="normaltextrun"/>
        </w:rPr>
        <w:t>Ōtautahi</w:t>
      </w:r>
      <w:r w:rsidRPr="004A0212">
        <w:rPr>
          <w:rStyle w:val="normaltextrun"/>
          <w:u w:val="single"/>
        </w:rPr>
        <w:t xml:space="preserve"> </w:t>
      </w:r>
      <w:r w:rsidRPr="004A0212">
        <w:t xml:space="preserve">Christchurch. It changed its name to Van Asch College in 1980, and to the Van Asch Deaf Education Centre in 1995. In 2020 it </w:t>
      </w:r>
      <w:r w:rsidRPr="004A0212">
        <w:rPr>
          <w:color w:val="auto"/>
        </w:rPr>
        <w:t xml:space="preserve">combined with Kelston Deaf Education Centre in Tamaki Makaurau Auckland to </w:t>
      </w:r>
      <w:r w:rsidRPr="004A0212">
        <w:t xml:space="preserve">become Ko Taku Reo: Deaf Education New Zealand. </w:t>
      </w:r>
    </w:p>
    <w:p w14:paraId="7142F8AB" w14:textId="6891F758" w:rsidR="00FE4E56" w:rsidRPr="004A0212" w:rsidRDefault="00FE4E56" w:rsidP="007D73A6">
      <w:pPr>
        <w:pStyle w:val="AllNumbparas"/>
        <w:rPr>
          <w:rFonts w:eastAsia="Arial"/>
        </w:rPr>
      </w:pPr>
      <w:r w:rsidRPr="004A0212">
        <w:t>Aotearoa New Zealand, like many countries, chose to follow the recommendation to stop teaching any form of sign language in schools</w:t>
      </w:r>
      <w:r w:rsidRPr="004A0212">
        <w:rPr>
          <w:rStyle w:val="StyleFootnoteReferenceFagoFunotenzeichenFagoFunotenzeichen"/>
        </w:rPr>
        <w:endnoteReference w:id="127"/>
      </w:r>
      <w:r w:rsidRPr="004A0212">
        <w:t xml:space="preserve"> and the practice continued </w:t>
      </w:r>
      <w:r w:rsidRPr="004A0212">
        <w:rPr>
          <w:rFonts w:eastAsia="Arial"/>
        </w:rPr>
        <w:t>until the mid-1970s. Up until 1979, the Department of Education (now the Ministry of Education) banned sign language from the classroom. In some schools, it was banned in the playground and in boarding residences.</w:t>
      </w:r>
      <w:r w:rsidRPr="004A0212">
        <w:rPr>
          <w:rStyle w:val="StyleFootnoteReferenceFagoFunotenzeichenFagoFunotenzeichen"/>
        </w:rPr>
        <w:endnoteReference w:id="128"/>
      </w:r>
    </w:p>
    <w:p w14:paraId="0FF43D19" w14:textId="77777777" w:rsidR="00FE4E56" w:rsidRDefault="00FE4E56">
      <w:pPr>
        <w:keepLines w:val="0"/>
        <w:rPr>
          <w:rFonts w:ascii="Arial" w:hAnsi="Arial" w:cs="Arial"/>
          <w:b/>
          <w:bCs/>
          <w:color w:val="3B5D1E" w:themeColor="accent4" w:themeShade="BF"/>
          <w:szCs w:val="28"/>
        </w:rPr>
      </w:pPr>
      <w:bookmarkStart w:id="205" w:name="_Toc1329358253"/>
      <w:r>
        <w:rPr>
          <w:rFonts w:cs="Arial"/>
        </w:rPr>
        <w:br w:type="page"/>
      </w:r>
    </w:p>
    <w:p w14:paraId="761DDA79" w14:textId="563A26ED" w:rsidR="00FE4E56" w:rsidRPr="004A0212" w:rsidRDefault="00FE4E56" w:rsidP="00282055">
      <w:pPr>
        <w:pStyle w:val="Heading2"/>
      </w:pPr>
      <w:bookmarkStart w:id="206" w:name="_Toc181084808"/>
      <w:r w:rsidRPr="004A0212">
        <w:lastRenderedPageBreak/>
        <w:t>He māramatanga ki te kanorautanga ā-hinengaro, te mate waipiro ki te kōpū me te whara</w:t>
      </w:r>
      <w:r w:rsidRPr="000C0692">
        <w:t>ū</w:t>
      </w:r>
      <w:r w:rsidRPr="004A0212">
        <w:t>poko</w:t>
      </w:r>
      <w:bookmarkEnd w:id="205"/>
      <w:bookmarkEnd w:id="206"/>
    </w:p>
    <w:p w14:paraId="4909C683" w14:textId="36D64D6E" w:rsidR="00FE4E56" w:rsidRPr="004A0212" w:rsidRDefault="00FE4E56" w:rsidP="00282055">
      <w:pPr>
        <w:pStyle w:val="Heading2"/>
      </w:pPr>
      <w:bookmarkStart w:id="207" w:name="_Toc219819650"/>
      <w:bookmarkStart w:id="208" w:name="_Toc181084809"/>
      <w:r w:rsidRPr="004A0212">
        <w:t>Understanding of neurodiversity, foetal alcohol spectrum disorder and head injury</w:t>
      </w:r>
      <w:bookmarkEnd w:id="207"/>
      <w:bookmarkEnd w:id="208"/>
      <w:r w:rsidRPr="004A0212">
        <w:t xml:space="preserve"> </w:t>
      </w:r>
    </w:p>
    <w:p w14:paraId="171173D9" w14:textId="566555FE" w:rsidR="00FE4E56" w:rsidRPr="004A0212" w:rsidRDefault="00FE4E56" w:rsidP="007D73A6">
      <w:pPr>
        <w:pStyle w:val="AllNumbparas"/>
      </w:pPr>
      <w:r w:rsidRPr="004A0212">
        <w:t xml:space="preserve">For some survivors, their entry into care may have been due to undiagnosed neurodivergence, foetal alcohol spectrum disorder (FASD) or head injuries (traumatic brain injury), which are a common cause of disability for </w:t>
      </w:r>
      <w:r w:rsidRPr="004A0212">
        <w:rPr>
          <w:rStyle w:val="ui-provider"/>
          <w:rFonts w:eastAsia="Times New Roman"/>
        </w:rPr>
        <w:t xml:space="preserve">children and young people </w:t>
      </w:r>
      <w:r w:rsidRPr="004A0212">
        <w:t>in Aotearoa New Zealand.</w:t>
      </w:r>
      <w:r w:rsidRPr="004A0212">
        <w:rPr>
          <w:rStyle w:val="StyleFootnoteReferenceFagoFunotenzeichenFagoFunotenzeichen"/>
        </w:rPr>
        <w:endnoteReference w:id="129"/>
      </w:r>
      <w:r w:rsidRPr="004A0212">
        <w:rPr>
          <w:rStyle w:val="EndnoteReference"/>
        </w:rPr>
        <w:t xml:space="preserve"> </w:t>
      </w:r>
    </w:p>
    <w:p w14:paraId="139600A9" w14:textId="0D2CD38B" w:rsidR="00FE4E56" w:rsidRPr="004A0212" w:rsidRDefault="00FE4E56" w:rsidP="007D73A6">
      <w:pPr>
        <w:pStyle w:val="AllNumbparas"/>
        <w:rPr>
          <w:vertAlign w:val="superscript"/>
        </w:rPr>
      </w:pPr>
      <w:r w:rsidRPr="004A0212">
        <w:t>These conditions were poorly understood for much of the Inquiry period and diagnosis and treatment was limited. The conditions were generally considered incurable, so the people were congregated and separated from society instead.</w:t>
      </w:r>
      <w:r w:rsidRPr="004A0212">
        <w:rPr>
          <w:rStyle w:val="StyleFootnoteReferenceFagoFunotenzeichenFagoFunotenzeichen"/>
        </w:rPr>
        <w:endnoteReference w:id="130"/>
      </w:r>
      <w:r w:rsidRPr="004A0212">
        <w:t xml:space="preserve">  </w:t>
      </w:r>
    </w:p>
    <w:p w14:paraId="440D1C46" w14:textId="0BBC2276" w:rsidR="00FE4E56" w:rsidRPr="004A0212" w:rsidRDefault="00FE4E56" w:rsidP="00A83810">
      <w:pPr>
        <w:pStyle w:val="AllNumbparas"/>
      </w:pPr>
      <w:r w:rsidRPr="004A0212">
        <w:t xml:space="preserve">Before 1980, autistic children were often misdiagnosed as having childhood schizophrenia. The characteristics associated with being autistic, such as intense anxiety and escalating behaviours, often resulted in </w:t>
      </w:r>
      <w:r w:rsidRPr="004A0212">
        <w:rPr>
          <w:rStyle w:val="ui-provider"/>
          <w:rFonts w:eastAsia="Times New Roman"/>
        </w:rPr>
        <w:t>children and young people</w:t>
      </w:r>
      <w:r w:rsidRPr="004A0212">
        <w:t xml:space="preserve"> who were in care being sedated, restrained or kept in seclusion.</w:t>
      </w:r>
      <w:r w:rsidRPr="004A0212">
        <w:rPr>
          <w:rStyle w:val="StyleFootnoteReferenceFagoFunotenzeichenFagoFunotenzeichen"/>
        </w:rPr>
        <w:endnoteReference w:id="131"/>
      </w:r>
      <w:r w:rsidRPr="004A0212">
        <w:t xml:space="preserve"> This was also the case for autistic adults.</w:t>
      </w:r>
      <w:r w:rsidRPr="004A0212">
        <w:rPr>
          <w:rStyle w:val="StyleFootnoteReferenceFagoFunotenzeichenFagoFunotenzeichen"/>
        </w:rPr>
        <w:endnoteReference w:id="132"/>
      </w:r>
    </w:p>
    <w:p w14:paraId="3BFBC6EF" w14:textId="4B82CDBA" w:rsidR="00FE4E56" w:rsidRPr="004A0212" w:rsidRDefault="00FE4E56" w:rsidP="007D73A6">
      <w:pPr>
        <w:pStyle w:val="AllNumbparas"/>
      </w:pPr>
      <w:r w:rsidRPr="004A0212">
        <w:t>For children with attention deficit hyperactive disorder, a lack of understanding of the condition meant that many people did not see them as having additional support needs but rather as difficult and needing to be disciplined. They could be seen as too hard to manage and institutionalised in special schools or psychopaedic hospitals. Like autistic people, they were often sedated or disciplined for their behaviour.</w:t>
      </w:r>
      <w:r w:rsidRPr="004A0212">
        <w:rPr>
          <w:rStyle w:val="StyleFootnoteReferenceFagoFunotenzeichenFagoFunotenzeichen"/>
        </w:rPr>
        <w:endnoteReference w:id="133"/>
      </w:r>
    </w:p>
    <w:p w14:paraId="450B93DE" w14:textId="139DACAB" w:rsidR="00FE4E56" w:rsidRPr="004A0212" w:rsidRDefault="00FE4E56" w:rsidP="007D73A6">
      <w:pPr>
        <w:pStyle w:val="AllNumbparas"/>
      </w:pPr>
      <w:r w:rsidRPr="004A0212">
        <w:t>The Inquiry heard from expert witnesses that without correct diagnosis, neurodiversity can look like aggression or misbehaviour. Today it is understood that neurodivergent people in care could be experiencing anxiety and distress due to being in environments inappropriate for their needs.</w:t>
      </w:r>
      <w:r w:rsidRPr="004A0212">
        <w:rPr>
          <w:rStyle w:val="StyleFootnoteReferenceFagoFunotenzeichenFagoFunotenzeichen"/>
        </w:rPr>
        <w:endnoteReference w:id="134"/>
      </w:r>
      <w:r w:rsidRPr="004A0212">
        <w:rPr>
          <w:rStyle w:val="EndnoteReference"/>
        </w:rPr>
        <w:t xml:space="preserve"> </w:t>
      </w:r>
    </w:p>
    <w:p w14:paraId="2DBC9EFB" w14:textId="741B2FA2" w:rsidR="00FE4E56" w:rsidRPr="004A0212" w:rsidRDefault="00FE4E56" w:rsidP="007D73A6">
      <w:pPr>
        <w:pStyle w:val="AllNumbparas"/>
      </w:pPr>
      <w:r w:rsidRPr="004A0212">
        <w:t>It was not until the Diagnostic and Statistical Manual of Mental Disorders (DSM) was revised in 1987 that a clinical understanding of autism spectrum disorder and neurodiversity was available.</w:t>
      </w:r>
    </w:p>
    <w:p w14:paraId="68348BB4" w14:textId="27D8AA3F" w:rsidR="00FE4E56" w:rsidRPr="004A0212" w:rsidRDefault="00FE4E56" w:rsidP="007D73A6">
      <w:pPr>
        <w:pStyle w:val="AllNumbparas"/>
      </w:pPr>
      <w:r w:rsidRPr="004A0212">
        <w:t>Traumatic brain injury affects the parts of the brain that help with self-regulation and self-control. It also increases the risk of behavioural issues and mental distress.</w:t>
      </w:r>
      <w:r w:rsidRPr="004A0212">
        <w:rPr>
          <w:rStyle w:val="StyleFootnoteReferenceFagoFunotenzeichenFagoFunotenzeichen"/>
        </w:rPr>
        <w:endnoteReference w:id="135"/>
      </w:r>
      <w:r w:rsidRPr="004A0212">
        <w:t xml:space="preserve"> It is the leading cause of long-term disability in children. In Aotearoa New Zealand, a 2013 study found that children (aged 0–14), and young people and young adults (aged 15–34) made up almost 70 percent of all traumatic brain injury cases.</w:t>
      </w:r>
      <w:r w:rsidRPr="004A0212">
        <w:rPr>
          <w:rStyle w:val="EndnoteReference"/>
        </w:rPr>
        <w:endnoteReference w:id="136"/>
      </w:r>
      <w:r w:rsidRPr="004A0212">
        <w:t xml:space="preserve"> Some international evidence shows that young people in custody have a greater incidence of traumatic brain injury than is found in the general population.</w:t>
      </w:r>
      <w:r w:rsidRPr="004A0212">
        <w:rPr>
          <w:rStyle w:val="StyleFootnoteReferenceFagoFunotenzeichenFagoFunotenzeichen"/>
        </w:rPr>
        <w:endnoteReference w:id="137"/>
      </w:r>
    </w:p>
    <w:p w14:paraId="3A7CDB88" w14:textId="77777777" w:rsidR="008C0857" w:rsidRDefault="008C0857">
      <w:pPr>
        <w:keepLines w:val="0"/>
        <w:rPr>
          <w:rFonts w:ascii="Arial" w:eastAsia="Calibri" w:hAnsi="Arial" w:cs="Arial"/>
          <w:bCs/>
          <w:color w:val="222222"/>
          <w:sz w:val="22"/>
          <w:szCs w:val="22"/>
          <w:shd w:val="clear" w:color="auto" w:fill="FFFFFF"/>
        </w:rPr>
      </w:pPr>
      <w:r>
        <w:br w:type="page"/>
      </w:r>
    </w:p>
    <w:p w14:paraId="319605C9" w14:textId="0C47D32B" w:rsidR="00FE4E56" w:rsidRPr="004A0212" w:rsidRDefault="00FE4E56" w:rsidP="007D73A6">
      <w:pPr>
        <w:pStyle w:val="AllNumbparas"/>
      </w:pPr>
      <w:r w:rsidRPr="004A0212">
        <w:lastRenderedPageBreak/>
        <w:t xml:space="preserve">Aotearoa New Zealand does not have any specific study on traumatic brain injury in children or young people in foster care or the youth residential system. </w:t>
      </w:r>
      <w:r w:rsidRPr="004A0212">
        <w:rPr>
          <w:color w:val="auto"/>
        </w:rPr>
        <w:t xml:space="preserve">However, traumatic brain injuries have been shown to be more common in people in the justice system than in the public in Aotearoa New Zealand. A 2017 paper prepared by the Justice sector found that </w:t>
      </w:r>
      <w:r w:rsidRPr="004A0212">
        <w:t>people with traumatic brain injuries accounted for 34 percent of people facing police proceedings and 46 percent of people imprisoned, compared with 13 percent of the general population.</w:t>
      </w:r>
      <w:r w:rsidRPr="004A0212">
        <w:rPr>
          <w:rStyle w:val="StyleFootnoteReferenceFagoFunotenzeichenFagoFunotenzeichen"/>
        </w:rPr>
        <w:endnoteReference w:id="138"/>
      </w:r>
      <w:r w:rsidRPr="004A0212">
        <w:t> </w:t>
      </w:r>
    </w:p>
    <w:p w14:paraId="42E07359" w14:textId="06BF469C" w:rsidR="00FE4E56" w:rsidRPr="004A0212" w:rsidRDefault="00FE4E56" w:rsidP="007D73A6">
      <w:pPr>
        <w:pStyle w:val="AllNumbparas"/>
      </w:pPr>
      <w:r w:rsidRPr="004A0212">
        <w:t>FASD is still not well understood or recognised by health professionals today.</w:t>
      </w:r>
      <w:r w:rsidRPr="004A0212">
        <w:rPr>
          <w:rStyle w:val="StyleFootnoteReferenceFagoFunotenzeichenFagoFunotenzeichen"/>
        </w:rPr>
        <w:endnoteReference w:id="139"/>
      </w:r>
      <w:r w:rsidRPr="004A0212">
        <w:t xml:space="preserve"> However, there is increasing awareness worldwide that people with FASD are over-represented in the criminal justice system.</w:t>
      </w:r>
      <w:r w:rsidRPr="004A0212">
        <w:rPr>
          <w:rStyle w:val="StyleFootnoteReferenceFagoFunotenzeichenFagoFunotenzeichen"/>
        </w:rPr>
        <w:endnoteReference w:id="140"/>
      </w:r>
      <w:r w:rsidRPr="004A0212">
        <w:t xml:space="preserve"> </w:t>
      </w:r>
    </w:p>
    <w:p w14:paraId="37B5F9F2" w14:textId="2BD95A95" w:rsidR="00FE4E56" w:rsidRPr="004A0212" w:rsidRDefault="00FE4E56" w:rsidP="007D73A6">
      <w:pPr>
        <w:pStyle w:val="AllNumbparas"/>
      </w:pPr>
      <w:r w:rsidRPr="004A0212">
        <w:rPr>
          <w:rStyle w:val="ui-provider"/>
          <w:rFonts w:eastAsia="Times New Roman"/>
        </w:rPr>
        <w:t>While interacting with institutional structures and systems and without adequate support, children, young people and adults in care</w:t>
      </w:r>
      <w:r w:rsidRPr="004A0212">
        <w:t xml:space="preserve"> with FASD may find it difficult to reason, use judgement, make decisions, match their emotions and behaviour to social situations and think through consequences.</w:t>
      </w:r>
      <w:r w:rsidRPr="004A0212">
        <w:rPr>
          <w:rStyle w:val="StyleFootnoteReferenceFagoFunotenzeichenFagoFunotenzeichen"/>
        </w:rPr>
        <w:endnoteReference w:id="141"/>
      </w:r>
      <w:r w:rsidRPr="004A0212">
        <w:t xml:space="preserve"> </w:t>
      </w:r>
    </w:p>
    <w:p w14:paraId="3183CA33" w14:textId="77777777" w:rsidR="00FE4E56" w:rsidRDefault="00FE4E56" w:rsidP="00282055">
      <w:pPr>
        <w:pStyle w:val="Heading2"/>
      </w:pPr>
      <w:bookmarkStart w:id="209" w:name="_Toc1888455948"/>
      <w:bookmarkStart w:id="210" w:name="_Toc181084810"/>
      <w:r w:rsidRPr="004A0212">
        <w:t>Te whakahāwea wāhine, kōtiro hoki</w:t>
      </w:r>
      <w:bookmarkEnd w:id="210"/>
    </w:p>
    <w:p w14:paraId="21306861" w14:textId="140939E4" w:rsidR="00FE4E56" w:rsidRPr="004A0212" w:rsidRDefault="00FE4E56" w:rsidP="00282055">
      <w:pPr>
        <w:pStyle w:val="Heading2"/>
      </w:pPr>
      <w:bookmarkStart w:id="211" w:name="_Toc181084811"/>
      <w:r w:rsidRPr="004A0212">
        <w:t>Discrimination against women and girls</w:t>
      </w:r>
      <w:bookmarkEnd w:id="209"/>
      <w:bookmarkEnd w:id="211"/>
    </w:p>
    <w:p w14:paraId="75698AE4" w14:textId="077C4AB7" w:rsidR="00FE4E56" w:rsidRPr="004A0212" w:rsidRDefault="00FE4E56" w:rsidP="007D73A6">
      <w:pPr>
        <w:pStyle w:val="AllNumbparas"/>
        <w:rPr>
          <w:rStyle w:val="normaltextrun"/>
        </w:rPr>
      </w:pPr>
      <w:r w:rsidRPr="004A0212">
        <w:rPr>
          <w:rStyle w:val="normaltextrun"/>
        </w:rPr>
        <w:t>Europeans came to Aotearoa New Zealand at a time when the idea of the nuclear family with the husband/father figure as the household leader was emerging.  European women did not have independent legal identities and their bodies and children were considered the property of their husbands.</w:t>
      </w:r>
      <w:r w:rsidRPr="004A0212">
        <w:rPr>
          <w:rStyle w:val="StyleFootnoteReferenceFagoFunotenzeichenFagoFunotenzeichen"/>
        </w:rPr>
        <w:endnoteReference w:id="142"/>
      </w:r>
      <w:r w:rsidRPr="004A0212">
        <w:rPr>
          <w:rStyle w:val="normaltextrun"/>
        </w:rPr>
        <w:t xml:space="preserve"> Women carried the main responsibility for childcare and housekeeping and faced legal and social barriers to participation in civil life and employment.</w:t>
      </w:r>
      <w:r w:rsidRPr="004A0212">
        <w:rPr>
          <w:rStyle w:val="EndnoteReference"/>
        </w:rPr>
        <w:endnoteReference w:id="143"/>
      </w:r>
    </w:p>
    <w:p w14:paraId="592106F6" w14:textId="525955B8" w:rsidR="00FE4E56" w:rsidRPr="004A0212" w:rsidRDefault="00FE4E56" w:rsidP="007D73A6">
      <w:pPr>
        <w:pStyle w:val="AllNumbparas"/>
      </w:pPr>
      <w:r w:rsidRPr="004A0212">
        <w:t>In the 19</w:t>
      </w:r>
      <w:r w:rsidRPr="004A0212">
        <w:rPr>
          <w:vertAlign w:val="superscript"/>
        </w:rPr>
        <w:t>th</w:t>
      </w:r>
      <w:r w:rsidRPr="004A0212">
        <w:t xml:space="preserve"> century, churches established women’s homes in response to concerns about prostitution and women’s sexuality, to address what they saw as unhealthy sexual behaviour and a threat to morality. Missionaries sought to ‘rescue’ women seen to be at risk. </w:t>
      </w:r>
    </w:p>
    <w:p w14:paraId="6314EE45" w14:textId="75CCC71D" w:rsidR="00FE4E56" w:rsidRPr="004A0212" w:rsidRDefault="00FE4E56" w:rsidP="007D73A6">
      <w:pPr>
        <w:pStyle w:val="AllNumbparas"/>
      </w:pPr>
      <w:r w:rsidRPr="004A0212">
        <w:t>The rigid gender roles of the 19</w:t>
      </w:r>
      <w:r w:rsidRPr="004A0212">
        <w:rPr>
          <w:vertAlign w:val="superscript"/>
        </w:rPr>
        <w:t>th</w:t>
      </w:r>
      <w:r w:rsidRPr="004A0212">
        <w:t xml:space="preserve"> century continued into the 20</w:t>
      </w:r>
      <w:r w:rsidRPr="004A0212">
        <w:rPr>
          <w:vertAlign w:val="superscript"/>
        </w:rPr>
        <w:t>th</w:t>
      </w:r>
      <w:r w:rsidRPr="004A0212">
        <w:t xml:space="preserve"> century. For a large part of the 20</w:t>
      </w:r>
      <w:r w:rsidRPr="004A0212">
        <w:rPr>
          <w:vertAlign w:val="superscript"/>
        </w:rPr>
        <w:t>th</w:t>
      </w:r>
      <w:r w:rsidRPr="004A0212">
        <w:t xml:space="preserve"> century, unmarried mothers were viewed as a social problem and as incapable of providing adequate care for their children. </w:t>
      </w:r>
    </w:p>
    <w:p w14:paraId="3947B142" w14:textId="1CECF7C7" w:rsidR="00FE4E56" w:rsidRPr="004A0212" w:rsidRDefault="00FE4E56" w:rsidP="007D73A6">
      <w:pPr>
        <w:pStyle w:val="AllNumbparas"/>
        <w:rPr>
          <w:rStyle w:val="eop"/>
        </w:rPr>
      </w:pPr>
      <w:r w:rsidRPr="004A0212">
        <w:t xml:space="preserve">In the 1950s, </w:t>
      </w:r>
      <w:r w:rsidRPr="004A0212">
        <w:rPr>
          <w:rStyle w:val="ui-provider"/>
        </w:rPr>
        <w:t>after the disruption of the Second World War, gender and class roles became more tightly enforced.</w:t>
      </w:r>
      <w:r w:rsidRPr="004A0212">
        <w:rPr>
          <w:rStyle w:val="EndnoteReference"/>
          <w:rFonts w:eastAsiaTheme="minorEastAsia"/>
        </w:rPr>
        <w:t xml:space="preserve"> </w:t>
      </w:r>
      <w:r w:rsidRPr="004A0212">
        <w:t>Society often discriminated against working women, unmarried mothers and sexually active young women. There was growing</w:t>
      </w:r>
      <w:r w:rsidRPr="004A0212">
        <w:rPr>
          <w:rStyle w:val="eop"/>
        </w:rPr>
        <w:t xml:space="preserve"> public concern about rising sexual promiscuity among teens, particularly focused on the behaviour of teenage girls.</w:t>
      </w:r>
      <w:r w:rsidRPr="004A0212">
        <w:rPr>
          <w:rStyle w:val="StyleFootnoteReferenceFagoFunotenzeichenFagoFunotenzeichen"/>
        </w:rPr>
        <w:endnoteReference w:id="144"/>
      </w:r>
      <w:r w:rsidRPr="004A0212">
        <w:rPr>
          <w:rStyle w:val="eop"/>
        </w:rPr>
        <w:t xml:space="preserve"> </w:t>
      </w:r>
    </w:p>
    <w:p w14:paraId="746B148E" w14:textId="6115D0EA" w:rsidR="00FE4E56" w:rsidRPr="004A0212" w:rsidRDefault="00FE4E56" w:rsidP="00FD039C">
      <w:pPr>
        <w:pStyle w:val="AllNumbparas"/>
        <w:rPr>
          <w:rStyle w:val="eop"/>
        </w:rPr>
      </w:pPr>
      <w:r w:rsidRPr="004A0212">
        <w:rPr>
          <w:rStyle w:val="eop"/>
        </w:rPr>
        <w:t>Access to contraception was restricted for the first two decades of the Inquiry period due to a combination of moral concerns and a continuing State focus on social stability through the nuclear family, traditional gender roles and sustaining the Pākehā birth rate.</w:t>
      </w:r>
      <w:r w:rsidRPr="004A0212">
        <w:rPr>
          <w:rStyle w:val="StyleFootnoteReferenceFagoFunotenzeichenFagoFunotenzeichen"/>
        </w:rPr>
        <w:endnoteReference w:id="145"/>
      </w:r>
      <w:r w:rsidRPr="004A0212">
        <w:rPr>
          <w:rStyle w:val="eop"/>
        </w:rPr>
        <w:t xml:space="preserve"> Both unmarried and married women could struggle to access birth control, with doctors described as “the guardians of health and to some degree the morals of the community.”</w:t>
      </w:r>
      <w:r w:rsidRPr="004A0212">
        <w:rPr>
          <w:rStyle w:val="StyleFootnoteReferenceFagoFunotenzeichenFagoFunotenzeichen"/>
        </w:rPr>
        <w:endnoteReference w:id="146"/>
      </w:r>
    </w:p>
    <w:p w14:paraId="53624C1F" w14:textId="77777777" w:rsidR="008C0857" w:rsidRDefault="008C0857">
      <w:pPr>
        <w:keepLines w:val="0"/>
        <w:rPr>
          <w:rStyle w:val="eop"/>
          <w:rFonts w:ascii="Arial" w:eastAsia="Calibri" w:hAnsi="Arial" w:cs="Arial"/>
          <w:bCs/>
          <w:color w:val="222222"/>
          <w:sz w:val="22"/>
          <w:szCs w:val="22"/>
          <w:shd w:val="clear" w:color="auto" w:fill="FFFFFF"/>
        </w:rPr>
      </w:pPr>
      <w:r>
        <w:rPr>
          <w:rStyle w:val="eop"/>
        </w:rPr>
        <w:br w:type="page"/>
      </w:r>
    </w:p>
    <w:p w14:paraId="4E740008" w14:textId="061449DD" w:rsidR="00FE4E56" w:rsidRPr="004A0212" w:rsidRDefault="00FE4E56" w:rsidP="00FD039C">
      <w:pPr>
        <w:pStyle w:val="AllNumbparas"/>
        <w:rPr>
          <w:rStyle w:val="eop"/>
        </w:rPr>
      </w:pPr>
      <w:r w:rsidRPr="004A0212">
        <w:rPr>
          <w:rStyle w:val="eop"/>
        </w:rPr>
        <w:lastRenderedPageBreak/>
        <w:t xml:space="preserve">Women’s wages were lower than men’s across the Inquiry period. For at least the first three decades of the </w:t>
      </w:r>
      <w:r>
        <w:rPr>
          <w:rStyle w:val="eop"/>
        </w:rPr>
        <w:t>I</w:t>
      </w:r>
      <w:r w:rsidRPr="004A0212">
        <w:rPr>
          <w:rStyle w:val="eop"/>
        </w:rPr>
        <w:t>nquiry period women had a limited range of low wage career options, including teaching, nursing clerical work, cleaning, sewing and shop work.</w:t>
      </w:r>
      <w:r w:rsidRPr="004A0212">
        <w:rPr>
          <w:rStyle w:val="StyleFootnoteReferenceFagoFunotenzeichenFagoFunotenzeichen"/>
        </w:rPr>
        <w:endnoteReference w:id="147"/>
      </w:r>
      <w:r w:rsidRPr="004A0212">
        <w:rPr>
          <w:rStyle w:val="EndnoteReference"/>
        </w:rPr>
        <w:t xml:space="preserve"> </w:t>
      </w:r>
      <w:r w:rsidRPr="004A0212">
        <w:rPr>
          <w:rStyle w:val="eop"/>
        </w:rPr>
        <w:t>Combining work with caring for children and other family members added further challenges to women’s ability to be financially independent.</w:t>
      </w:r>
      <w:r w:rsidRPr="004A0212">
        <w:rPr>
          <w:rStyle w:val="StyleFootnoteReferenceFagoFunotenzeichenFagoFunotenzeichen"/>
        </w:rPr>
        <w:endnoteReference w:id="148"/>
      </w:r>
      <w:r w:rsidRPr="004A0212">
        <w:rPr>
          <w:rStyle w:val="eop"/>
        </w:rPr>
        <w:t xml:space="preserve"> By 1970, women were still facing barriers to participation in society including gendered violence and limited access to some public spaces (such as bars), childcare for working mothers, and healthcare.</w:t>
      </w:r>
      <w:r w:rsidRPr="004A0212">
        <w:rPr>
          <w:rStyle w:val="EndnoteReference"/>
        </w:rPr>
        <w:endnoteReference w:id="149"/>
      </w:r>
    </w:p>
    <w:p w14:paraId="495AB936" w14:textId="08A0D3BC" w:rsidR="00FE4E56" w:rsidRPr="004A0212" w:rsidRDefault="00FE4E56" w:rsidP="00282055">
      <w:pPr>
        <w:pStyle w:val="Heading2"/>
      </w:pPr>
      <w:bookmarkStart w:id="212" w:name="_Toc351627199"/>
      <w:bookmarkStart w:id="213" w:name="_Toc181084812"/>
      <w:r w:rsidRPr="004A0212">
        <w:t>Te whakahāwea i runga i te aronga hemahematanga me te tuakiri ia</w:t>
      </w:r>
      <w:bookmarkEnd w:id="212"/>
      <w:bookmarkEnd w:id="213"/>
    </w:p>
    <w:p w14:paraId="0E68062C" w14:textId="774D0111" w:rsidR="00FE4E56" w:rsidRPr="004A0212" w:rsidRDefault="00FE4E56" w:rsidP="00282055">
      <w:pPr>
        <w:pStyle w:val="Heading2"/>
      </w:pPr>
      <w:bookmarkStart w:id="214" w:name="_Toc1715962022"/>
      <w:bookmarkStart w:id="215" w:name="_Toc181084813"/>
      <w:r w:rsidRPr="004A0212">
        <w:t>Discrimination on the basis of sexual orientation and gender identity</w:t>
      </w:r>
      <w:bookmarkEnd w:id="214"/>
      <w:bookmarkEnd w:id="215"/>
    </w:p>
    <w:p w14:paraId="7DE9404A" w14:textId="58C51CC7" w:rsidR="00FE4E56" w:rsidRPr="004A0212" w:rsidRDefault="00FE4E56" w:rsidP="007D73A6">
      <w:pPr>
        <w:pStyle w:val="AllNumbparas"/>
        <w:rPr>
          <w:sz w:val="18"/>
          <w:szCs w:val="18"/>
        </w:rPr>
      </w:pPr>
      <w:r w:rsidRPr="004A0212">
        <w:t>Homosexuality was considered a psychiatric disorder until 1973 in Aotearoa New Zealand.</w:t>
      </w:r>
      <w:r w:rsidRPr="004A0212">
        <w:rPr>
          <w:rStyle w:val="StyleFootnoteReferenceFagoFunotenzeichenFagoFunotenzeichen"/>
        </w:rPr>
        <w:endnoteReference w:id="150"/>
      </w:r>
      <w:r w:rsidRPr="004A0212">
        <w:t xml:space="preserve"> Medicalisation of homosexuality peaked in the 1950s and 1960s and included conversion practices with the aim of changing a person’s sexual identity or gender expression.</w:t>
      </w:r>
      <w:r w:rsidRPr="004A0212">
        <w:rPr>
          <w:rStyle w:val="StyleFootnoteReferenceFagoFunotenzeichenFagoFunotenzeichen"/>
        </w:rPr>
        <w:endnoteReference w:id="151"/>
      </w:r>
    </w:p>
    <w:p w14:paraId="78545D14" w14:textId="0346BBC5" w:rsidR="00FE4E56" w:rsidRPr="004A0212" w:rsidRDefault="00FE4E56" w:rsidP="007D73A6">
      <w:pPr>
        <w:pStyle w:val="AllNumbparas"/>
        <w:rPr>
          <w:sz w:val="18"/>
          <w:szCs w:val="18"/>
        </w:rPr>
      </w:pPr>
      <w:r w:rsidRPr="004A0212">
        <w:t>Sexual relations between adult men were decriminalised in Aotearoa New Zealand in 1986. Before 1993, there was no legal protection from discrimination in employment, education, access to public places, provision of goods and services, and housing and accommodation on the grounds of sexual orientation or gender identity.</w:t>
      </w:r>
      <w:r w:rsidRPr="004A0212">
        <w:rPr>
          <w:rStyle w:val="StyleFootnoteReferenceFagoFunotenzeichenFagoFunotenzeichen"/>
        </w:rPr>
        <w:endnoteReference w:id="152"/>
      </w:r>
    </w:p>
    <w:p w14:paraId="0FD5FF06" w14:textId="662CAD0D" w:rsidR="00FE4E56" w:rsidRPr="004A0212" w:rsidRDefault="00FE4E56" w:rsidP="007D73A6">
      <w:pPr>
        <w:pStyle w:val="AllNumbparas"/>
      </w:pPr>
      <w:r w:rsidRPr="004A0212">
        <w:t>Sexual relations between adult women were not illegal, but many lesbians suffered the same social discrimination as gay men. Data collection in New Zealand on sexual orientation and gender identity was non-existent, meaning there was no ability for rainbow people to be counted. This lack of visibility was a barrier to receiving specific targeted funding and assistance.</w:t>
      </w:r>
    </w:p>
    <w:p w14:paraId="6B1A90F3" w14:textId="5062C82A" w:rsidR="00FE4E56" w:rsidRPr="004A0212" w:rsidRDefault="00FE4E56" w:rsidP="00282055">
      <w:pPr>
        <w:pStyle w:val="Heading2"/>
      </w:pPr>
      <w:bookmarkStart w:id="216" w:name="_Toc1276116075"/>
      <w:bookmarkStart w:id="217" w:name="_Toc181084814"/>
      <w:r w:rsidRPr="004A0212">
        <w:t>Ngā waiaro ki ngā tamariki me ngā rangatahi</w:t>
      </w:r>
      <w:bookmarkEnd w:id="216"/>
      <w:bookmarkEnd w:id="217"/>
    </w:p>
    <w:p w14:paraId="5783AE64" w14:textId="78A5CD65" w:rsidR="00FE4E56" w:rsidRPr="004A0212" w:rsidRDefault="00FE4E56" w:rsidP="00282055">
      <w:pPr>
        <w:pStyle w:val="Heading2"/>
      </w:pPr>
      <w:bookmarkStart w:id="218" w:name="_Toc374830288"/>
      <w:bookmarkStart w:id="219" w:name="_Toc181084815"/>
      <w:r w:rsidRPr="004A0212">
        <w:t>Attitudes towards children and young people</w:t>
      </w:r>
      <w:bookmarkEnd w:id="218"/>
      <w:bookmarkEnd w:id="219"/>
    </w:p>
    <w:p w14:paraId="02A6AAF7" w14:textId="035B02FF" w:rsidR="00FE4E56" w:rsidRPr="004A0212" w:rsidRDefault="00FE4E56" w:rsidP="007D73A6">
      <w:pPr>
        <w:pStyle w:val="AllNumbparas"/>
      </w:pPr>
      <w:r w:rsidRPr="004A0212">
        <w:t xml:space="preserve">Social attitudes towards children and young people during the Inquiry period could be harsh. </w:t>
      </w:r>
    </w:p>
    <w:p w14:paraId="4A13F6A4" w14:textId="44E0BB51" w:rsidR="00FE4E56" w:rsidRPr="004A0212" w:rsidRDefault="00FE4E56" w:rsidP="007D73A6">
      <w:pPr>
        <w:pStyle w:val="AllNumbparas"/>
      </w:pPr>
      <w:r w:rsidRPr="004A0212">
        <w:t xml:space="preserve">David Ausubel, an American psychiatrist and psychologist who was a Fulbright scholar at Victoria University in </w:t>
      </w:r>
      <w:bookmarkStart w:id="220" w:name="_Hlk178258556"/>
      <w:r w:rsidRPr="004A0212">
        <w:t>Te Whanganui-</w:t>
      </w:r>
      <w:r w:rsidRPr="0050016F">
        <w:rPr>
          <w:rStyle w:val="normaltextrun"/>
        </w:rPr>
        <w:t>ā</w:t>
      </w:r>
      <w:r w:rsidRPr="004A0212">
        <w:t xml:space="preserve">-Tara Wellington </w:t>
      </w:r>
      <w:bookmarkEnd w:id="220"/>
      <w:r w:rsidRPr="004A0212">
        <w:t>in the late 1950s, described adult-child relationships in Aotearoa New Zealand as still being Victorian.</w:t>
      </w:r>
      <w:r w:rsidRPr="004A0212">
        <w:rPr>
          <w:rStyle w:val="StyleFootnoteReferenceFagoFunotenzeichenFagoFunotenzeichen"/>
        </w:rPr>
        <w:endnoteReference w:id="153"/>
      </w:r>
      <w:r w:rsidRPr="004A0212">
        <w:t xml:space="preserve"> </w:t>
      </w:r>
    </w:p>
    <w:p w14:paraId="7AE9C605" w14:textId="460292EE" w:rsidR="00FE4E56" w:rsidRPr="004A0212" w:rsidRDefault="00FE4E56" w:rsidP="007D73A6">
      <w:pPr>
        <w:pStyle w:val="AllNumbparas"/>
      </w:pPr>
      <w:r w:rsidRPr="004A0212">
        <w:t>He thought Aotearoa New Zealand had an “authoritarian, moralistic and punitive approach” to youth and that normal child and adolescent misbehaviour were dealt with by overly strict discipline.</w:t>
      </w:r>
      <w:r w:rsidRPr="004A0212">
        <w:rPr>
          <w:rStyle w:val="StyleFootnoteReferenceFagoFunotenzeichenFagoFunotenzeichen"/>
        </w:rPr>
        <w:endnoteReference w:id="154"/>
      </w:r>
      <w:r w:rsidRPr="004A0212">
        <w:t xml:space="preserve"> His perception as a visitor to Aotearoa New Zealand was that New Zealanders did not seem to value open, warm relationships with children and young people and that their rights and dignity were not respected.</w:t>
      </w:r>
      <w:r w:rsidRPr="004A0212">
        <w:rPr>
          <w:rStyle w:val="StyleFootnoteReferenceFagoFunotenzeichenFagoFunotenzeichen"/>
        </w:rPr>
        <w:endnoteReference w:id="155"/>
      </w:r>
      <w:r w:rsidRPr="004A0212">
        <w:t xml:space="preserve"> </w:t>
      </w:r>
    </w:p>
    <w:p w14:paraId="00721D1D" w14:textId="4E737C18" w:rsidR="00FE4E56" w:rsidRPr="004A0212" w:rsidRDefault="00FE4E56" w:rsidP="007D73A6">
      <w:pPr>
        <w:pStyle w:val="AllNumbparas"/>
      </w:pPr>
      <w:r w:rsidRPr="004A0212">
        <w:lastRenderedPageBreak/>
        <w:t>These attitudes</w:t>
      </w:r>
      <w:r w:rsidRPr="004A0212" w:rsidDel="00077024">
        <w:t xml:space="preserve"> </w:t>
      </w:r>
      <w:r w:rsidRPr="004A0212">
        <w:t>were also reflected in Aotearoa New Zealand’s low age of criminal responsibility. In 1950, the age of criminal responsibility was 7 years old. It was raised to 10 years old in 1961 and remained at that age for the rest of the Inquiry period.</w:t>
      </w:r>
      <w:r w:rsidRPr="004A0212">
        <w:rPr>
          <w:rStyle w:val="StyleFootnoteReferenceFagoFunotenzeichenFagoFunotenzeichen"/>
        </w:rPr>
        <w:endnoteReference w:id="156"/>
      </w:r>
      <w:r w:rsidRPr="004A0212">
        <w:rPr>
          <w:rStyle w:val="EndnoteReference"/>
        </w:rPr>
        <w:t xml:space="preserve"> </w:t>
      </w:r>
      <w:r w:rsidRPr="004A0212">
        <w:t>Children and young people aged from 7 to</w:t>
      </w:r>
      <w:r w:rsidRPr="004A0212" w:rsidDel="006C18F6">
        <w:t xml:space="preserve"> </w:t>
      </w:r>
      <w:r w:rsidRPr="004A0212">
        <w:t>14 could be convicted of an offence if the court considered that they knew what they had done was wrong.</w:t>
      </w:r>
      <w:r w:rsidRPr="004A0212">
        <w:rPr>
          <w:rStyle w:val="StyleFootnoteReferenceFagoFunotenzeichenFagoFunotenzeichen"/>
        </w:rPr>
        <w:endnoteReference w:id="157"/>
      </w:r>
      <w:r w:rsidRPr="004A0212">
        <w:t xml:space="preserve"> </w:t>
      </w:r>
    </w:p>
    <w:p w14:paraId="24408C34" w14:textId="5388B31B" w:rsidR="00FE4E56" w:rsidRPr="004A0212" w:rsidRDefault="00FE4E56" w:rsidP="007D73A6">
      <w:pPr>
        <w:pStyle w:val="AllNumbparas"/>
        <w:rPr>
          <w:b/>
          <w:color w:val="404040" w:themeColor="text1" w:themeTint="BF"/>
          <w:lang w:eastAsia="en-US"/>
        </w:rPr>
      </w:pPr>
      <w:r w:rsidRPr="004A0212">
        <w:t>Children and young people in care settings were often viewed as troublemakers, inferior and flawed. Some people considered children and young people in care as beyond reform and deserving of punishment.</w:t>
      </w:r>
      <w:r w:rsidRPr="004A0212">
        <w:rPr>
          <w:rStyle w:val="StyleFootnoteReferenceFagoFunotenzeichenFagoFunotenzeichen"/>
        </w:rPr>
        <w:endnoteReference w:id="158"/>
      </w:r>
      <w:r w:rsidRPr="004A0212">
        <w:t xml:space="preserve"> </w:t>
      </w:r>
    </w:p>
    <w:p w14:paraId="5B4F63CE" w14:textId="0F8C877D" w:rsidR="00FE4E56" w:rsidRPr="004A0212" w:rsidRDefault="00FE4E56" w:rsidP="007D73A6">
      <w:pPr>
        <w:pStyle w:val="AllNumbparas"/>
        <w:rPr>
          <w:b/>
          <w:color w:val="404040" w:themeColor="text1" w:themeTint="BF"/>
          <w:lang w:eastAsia="en-US"/>
        </w:rPr>
      </w:pPr>
      <w:r w:rsidRPr="004A0212">
        <w:t>Harsh attitudes could criss-cross with other prejudices.</w:t>
      </w:r>
      <w:r w:rsidRPr="004A0212">
        <w:rPr>
          <w:b/>
          <w:color w:val="404040" w:themeColor="text1" w:themeTint="BF"/>
          <w:lang w:eastAsia="en-US"/>
        </w:rPr>
        <w:t xml:space="preserve"> </w:t>
      </w:r>
      <w:r w:rsidRPr="004A0212">
        <w:rPr>
          <w:rStyle w:val="eop"/>
        </w:rPr>
        <w:t>Although most girls entering the care system had experienced prior sexual assault,</w:t>
      </w:r>
      <w:r w:rsidRPr="004A0212">
        <w:rPr>
          <w:rStyle w:val="StyleFootnoteReferenceFagoFunotenzeichenFagoFunotenzeichen"/>
        </w:rPr>
        <w:endnoteReference w:id="159"/>
      </w:r>
      <w:r w:rsidRPr="004A0212">
        <w:rPr>
          <w:rStyle w:val="eop"/>
        </w:rPr>
        <w:t xml:space="preserve"> this was often attributed to their own promiscuity and characterised as deviant sexual behaviour. Māori girls were particularly singled out by authorities as having a lax attitude toward sex and considered to be delinquent in nature.</w:t>
      </w:r>
      <w:r w:rsidRPr="004A0212">
        <w:rPr>
          <w:rStyle w:val="StyleFootnoteReferenceFagoFunotenzeichenFagoFunotenzeichen"/>
        </w:rPr>
        <w:endnoteReference w:id="160"/>
      </w:r>
    </w:p>
    <w:p w14:paraId="585CC9AF" w14:textId="77777777" w:rsidR="00FE4E56" w:rsidRPr="004A0212" w:rsidRDefault="00FE4E56" w:rsidP="00282055">
      <w:pPr>
        <w:pStyle w:val="Heading2"/>
      </w:pPr>
      <w:bookmarkStart w:id="221" w:name="_Toc642849408"/>
      <w:bookmarkStart w:id="222" w:name="_Toc181084816"/>
      <w:r w:rsidRPr="004A0212">
        <w:t>Ngā waiaro ki ngā tāngata e noho pōhara ana</w:t>
      </w:r>
      <w:bookmarkEnd w:id="221"/>
      <w:bookmarkEnd w:id="222"/>
      <w:r w:rsidRPr="004A0212">
        <w:t xml:space="preserve"> </w:t>
      </w:r>
    </w:p>
    <w:p w14:paraId="0FB4C987" w14:textId="3592B5FF" w:rsidR="00FE4E56" w:rsidRPr="004A0212" w:rsidRDefault="00FE4E56" w:rsidP="00282055">
      <w:pPr>
        <w:pStyle w:val="Heading2"/>
      </w:pPr>
      <w:bookmarkStart w:id="223" w:name="_Toc1014010246"/>
      <w:bookmarkStart w:id="224" w:name="_Toc181084817"/>
      <w:r w:rsidRPr="004A0212">
        <w:t>Attitudes towards people living in poverty</w:t>
      </w:r>
      <w:bookmarkEnd w:id="223"/>
      <w:bookmarkEnd w:id="224"/>
    </w:p>
    <w:p w14:paraId="508A46AC" w14:textId="7E77C5A3" w:rsidR="00FE4E56" w:rsidRPr="004A0212" w:rsidRDefault="00FE4E56" w:rsidP="00DE2388">
      <w:pPr>
        <w:pStyle w:val="Numbparas"/>
      </w:pPr>
      <w:r w:rsidRPr="004A0212">
        <w:t xml:space="preserve"> Families and communities experiencing poverty often faced judgement, multiple stressors such as issues with income and housing instability, and lacked the time and resources to forge strong social connections.</w:t>
      </w:r>
      <w:r w:rsidRPr="004A0212">
        <w:rPr>
          <w:rStyle w:val="StyleFootnoteReferenceFagoFunotenzeichenFagoFunotenzeichen"/>
        </w:rPr>
        <w:endnoteReference w:id="161"/>
      </w:r>
      <w:r w:rsidRPr="004A0212">
        <w:t xml:space="preserve"> Social stories and beliefs about poverty in Aotearoa New Zealand – for example, in the media – represented poor families as a dangerous social underclass characterised by moral decline, welfare-dependency, large families and criminality.</w:t>
      </w:r>
      <w:r w:rsidRPr="004A0212">
        <w:rPr>
          <w:rStyle w:val="StyleFootnoteReferenceFagoFunotenzeichenFagoFunotenzeichen"/>
        </w:rPr>
        <w:endnoteReference w:id="162"/>
      </w:r>
      <w:r w:rsidRPr="004A0212">
        <w:t xml:space="preserve"> The Inquiry heard from P</w:t>
      </w:r>
      <w:r w:rsidRPr="004A0212">
        <w:rPr>
          <w:rStyle w:val="normaltextrun"/>
        </w:rPr>
        <w:t>ā</w:t>
      </w:r>
      <w:r w:rsidRPr="004A0212">
        <w:t>keh</w:t>
      </w:r>
      <w:r w:rsidRPr="004A0212">
        <w:rPr>
          <w:rStyle w:val="normaltextrun"/>
        </w:rPr>
        <w:t>ā</w:t>
      </w:r>
      <w:r w:rsidRPr="004A0212">
        <w:t xml:space="preserve">, </w:t>
      </w:r>
      <w:r w:rsidRPr="004A0212">
        <w:rPr>
          <w:rStyle w:val="normaltextrun"/>
        </w:rPr>
        <w:t>Māori</w:t>
      </w:r>
      <w:r w:rsidRPr="004A0212">
        <w:t xml:space="preserve"> and Pacific survivors who were impacted by these attitudes, along with their wider families.</w:t>
      </w:r>
    </w:p>
    <w:p w14:paraId="205CE8FD" w14:textId="49BF9398" w:rsidR="00FE4E56" w:rsidRPr="004A0212" w:rsidRDefault="00FE4E56" w:rsidP="007D73A6">
      <w:pPr>
        <w:pStyle w:val="AllNumbparas"/>
      </w:pPr>
      <w:r w:rsidRPr="004A0212">
        <w:t>Research shows poverty is a significant contributing factor for children entering care, and for families and communities experiencing generations of State and faith-based involvement. The report Cracks in the Dam looks at how social and economic forces impacted the care system in Aotearoa New Zealand, stating that:</w:t>
      </w:r>
    </w:p>
    <w:p w14:paraId="2762E7EF" w14:textId="08782DE9" w:rsidR="00FE4E56" w:rsidRPr="004A0212" w:rsidRDefault="00FE4E56" w:rsidP="000709F5">
      <w:pPr>
        <w:pStyle w:val="AllQuotes"/>
        <w:ind w:right="-46"/>
        <w:rPr>
          <w:rStyle w:val="normaltextrun"/>
          <w:rFonts w:eastAsia="Calibri" w:cs="Arial"/>
          <w:bCs/>
          <w:color w:val="000000"/>
          <w:szCs w:val="22"/>
          <w:shd w:val="clear" w:color="auto" w:fill="FFFFFF"/>
        </w:rPr>
      </w:pPr>
      <w:r w:rsidRPr="004A0212">
        <w:rPr>
          <w:rFonts w:cs="Arial"/>
        </w:rPr>
        <w:t>“c</w:t>
      </w:r>
      <w:r w:rsidRPr="004A0212">
        <w:rPr>
          <w:rStyle w:val="normaltextrun"/>
          <w:rFonts w:cs="Arial"/>
          <w:color w:val="000000"/>
          <w:shd w:val="clear" w:color="auto" w:fill="FFFFFF"/>
        </w:rPr>
        <w:t>ompared to children in the richest fifth of local areas, children in the poorest fifth areas have 13 times the rate of ‘substantiation’ (a finding by child protection officials that abuse has occurred). They are also six times more likely to be placed out of their family’s care”.</w:t>
      </w:r>
      <w:r w:rsidRPr="004A0212">
        <w:rPr>
          <w:rStyle w:val="StyleFootnoteReferenceFagoFunotenzeichenFagoFunotenzeichen"/>
        </w:rPr>
        <w:endnoteReference w:id="163"/>
      </w:r>
    </w:p>
    <w:p w14:paraId="1868943E" w14:textId="73D05330" w:rsidR="00FE4E56" w:rsidRPr="004A0212" w:rsidRDefault="00FE4E56" w:rsidP="009574D1">
      <w:pPr>
        <w:pStyle w:val="Numbparas"/>
      </w:pPr>
      <w:r w:rsidRPr="004A0212">
        <w:t>These higher rates of findings that abuse has occurred can be due to factors such as negative attitudes towards poorer communities, over-surveillance, racism and bias and lack of services that support families.</w:t>
      </w:r>
      <w:r w:rsidRPr="004A0212">
        <w:rPr>
          <w:rStyle w:val="StyleFootnoteReferenceFagoFunotenzeichenFagoFunotenzeichen"/>
        </w:rPr>
        <w:endnoteReference w:id="164"/>
      </w:r>
    </w:p>
    <w:p w14:paraId="235DBB1E" w14:textId="77777777" w:rsidR="00FE4E56" w:rsidRDefault="00FE4E56">
      <w:pPr>
        <w:keepLines w:val="0"/>
        <w:rPr>
          <w:rFonts w:ascii="Arial" w:hAnsi="Arial" w:cs="Arial"/>
          <w:b/>
          <w:bCs/>
          <w:color w:val="3B5D1E" w:themeColor="accent4" w:themeShade="BF"/>
          <w:szCs w:val="28"/>
        </w:rPr>
      </w:pPr>
      <w:bookmarkStart w:id="225" w:name="_Toc1650089986"/>
      <w:r>
        <w:rPr>
          <w:rFonts w:cs="Arial"/>
        </w:rPr>
        <w:br w:type="page"/>
      </w:r>
    </w:p>
    <w:p w14:paraId="474ECACB" w14:textId="50CEAA07" w:rsidR="00FE4E56" w:rsidRPr="004A0212" w:rsidRDefault="00FE4E56" w:rsidP="00282055">
      <w:pPr>
        <w:pStyle w:val="Heading2"/>
      </w:pPr>
      <w:bookmarkStart w:id="226" w:name="_Toc181084818"/>
      <w:r w:rsidRPr="004A0212">
        <w:lastRenderedPageBreak/>
        <w:t>Te wāhi o te ao pāpāho ki te whakaū i ngā waiaro ā-pāpori</w:t>
      </w:r>
      <w:bookmarkEnd w:id="225"/>
      <w:bookmarkEnd w:id="226"/>
      <w:r w:rsidRPr="004A0212">
        <w:t xml:space="preserve"> </w:t>
      </w:r>
    </w:p>
    <w:p w14:paraId="7F0BCEE2" w14:textId="1C320DF9" w:rsidR="00FE4E56" w:rsidRPr="004A0212" w:rsidRDefault="00FE4E56" w:rsidP="00282055">
      <w:pPr>
        <w:pStyle w:val="Heading2"/>
      </w:pPr>
      <w:bookmarkStart w:id="227" w:name="_Toc634650922"/>
      <w:bookmarkStart w:id="228" w:name="_Toc181084819"/>
      <w:r w:rsidRPr="004A0212">
        <w:t>Media’s role in enforcing societal attitudes</w:t>
      </w:r>
      <w:bookmarkEnd w:id="227"/>
      <w:bookmarkEnd w:id="228"/>
    </w:p>
    <w:p w14:paraId="030CB56F" w14:textId="22A65ADB" w:rsidR="00FE4E56" w:rsidRPr="004A0212" w:rsidRDefault="00FE4E56" w:rsidP="007D73A6">
      <w:pPr>
        <w:pStyle w:val="AllNumbparas"/>
      </w:pPr>
      <w:r w:rsidRPr="004A0212">
        <w:t xml:space="preserve">Throughout the Inquiry period media depictions often reinforced negative stereotypes towards Māori, Pacific peoples, and disabled people who experienced poverty and people who experienced mental distress. </w:t>
      </w:r>
    </w:p>
    <w:p w14:paraId="4D3C5A15" w14:textId="62F840D9" w:rsidR="00FE4E56" w:rsidRPr="004A0212" w:rsidRDefault="00FE4E56" w:rsidP="008927C4">
      <w:pPr>
        <w:pStyle w:val="Heading3"/>
        <w:rPr>
          <w:rFonts w:cs="Arial"/>
        </w:rPr>
      </w:pPr>
      <w:bookmarkStart w:id="229" w:name="_Toc1625648734"/>
      <w:bookmarkStart w:id="230" w:name="_Toc181084820"/>
      <w:r w:rsidRPr="004A0212">
        <w:rPr>
          <w:rFonts w:cs="Arial"/>
        </w:rPr>
        <w:t>Ngā arotoka whakakino mō te Māori i whakaū</w:t>
      </w:r>
      <w:bookmarkEnd w:id="229"/>
      <w:bookmarkEnd w:id="230"/>
      <w:r w:rsidRPr="004A0212">
        <w:rPr>
          <w:rFonts w:cs="Arial"/>
        </w:rPr>
        <w:t xml:space="preserve"> </w:t>
      </w:r>
    </w:p>
    <w:p w14:paraId="19990438" w14:textId="0D7499C9" w:rsidR="00FE4E56" w:rsidRPr="004A0212" w:rsidRDefault="00FE4E56" w:rsidP="008927C4">
      <w:pPr>
        <w:pStyle w:val="Heading3"/>
        <w:rPr>
          <w:rFonts w:cs="Arial"/>
        </w:rPr>
      </w:pPr>
      <w:bookmarkStart w:id="231" w:name="_Toc820075618"/>
      <w:bookmarkStart w:id="232" w:name="_Toc181084821"/>
      <w:r w:rsidRPr="004A0212">
        <w:rPr>
          <w:rFonts w:cs="Arial"/>
        </w:rPr>
        <w:t>Negative stereotypes of Māori were reinforced</w:t>
      </w:r>
      <w:bookmarkEnd w:id="231"/>
      <w:bookmarkEnd w:id="232"/>
    </w:p>
    <w:p w14:paraId="1E43A839" w14:textId="208259BF" w:rsidR="00FE4E56" w:rsidRPr="004A0212" w:rsidRDefault="00FE4E56" w:rsidP="007D73A6">
      <w:pPr>
        <w:pStyle w:val="AllNumbparas"/>
      </w:pPr>
      <w:r w:rsidRPr="004A0212">
        <w:t>Māori have consistently been discriminated against through the media. This started with colonial news media wanting to depict Māori as threatening, immoral and violent to fit with the view that Māori needed civilising and to “discredit their struggle for land and rights”.</w:t>
      </w:r>
      <w:r w:rsidRPr="004A0212">
        <w:rPr>
          <w:rStyle w:val="StyleFootnoteReferenceFagoFunotenzeichenFagoFunotenzeichen"/>
        </w:rPr>
        <w:endnoteReference w:id="165"/>
      </w:r>
      <w:r w:rsidRPr="004A0212">
        <w:t xml:space="preserve"> </w:t>
      </w:r>
    </w:p>
    <w:p w14:paraId="24994EF4" w14:textId="10E3ABCF" w:rsidR="00FE4E56" w:rsidRPr="004A0212" w:rsidRDefault="00FE4E56" w:rsidP="007D73A6">
      <w:pPr>
        <w:pStyle w:val="AllNumbparas"/>
      </w:pPr>
      <w:r w:rsidRPr="004A0212">
        <w:t xml:space="preserve">From 1950 to 1999 the media continued discriminating against Māori, often with sensationalised stories. A 1952 article in The Press discussing the health of Māori children </w:t>
      </w:r>
      <w:r w:rsidRPr="004A0212">
        <w:rPr>
          <w:color w:val="auto"/>
        </w:rPr>
        <w:t xml:space="preserve">quoted a Department </w:t>
      </w:r>
      <w:r w:rsidRPr="004A0212">
        <w:t xml:space="preserve">of Health </w:t>
      </w:r>
      <w:r w:rsidRPr="004A0212">
        <w:rPr>
          <w:color w:val="auto"/>
        </w:rPr>
        <w:t xml:space="preserve">official </w:t>
      </w:r>
      <w:r w:rsidRPr="004A0212">
        <w:t>who suggested that Māori mothers spent the child benefit on sweets, taxis and gambling and were partially to blame for Māori infant mortality.</w:t>
      </w:r>
      <w:r w:rsidRPr="004A0212">
        <w:rPr>
          <w:rStyle w:val="StyleFootnoteReferenceFagoFunotenzeichenFagoFunotenzeichen"/>
        </w:rPr>
        <w:endnoteReference w:id="166"/>
      </w:r>
      <w:r w:rsidRPr="004A0212">
        <w:t xml:space="preserve"> </w:t>
      </w:r>
    </w:p>
    <w:p w14:paraId="28769B9E" w14:textId="77777777" w:rsidR="00FE4E56" w:rsidRPr="004A0212" w:rsidRDefault="00FE4E56" w:rsidP="007D73A6">
      <w:pPr>
        <w:pStyle w:val="AllNumbparas"/>
      </w:pPr>
      <w:r w:rsidRPr="004A0212">
        <w:t>Consistent themes used by the media during the Inquiry period include:</w:t>
      </w:r>
    </w:p>
    <w:p w14:paraId="693CBFFB" w14:textId="3C8085CC" w:rsidR="00FE4E56" w:rsidRPr="004A0212" w:rsidRDefault="00FE4E56" w:rsidP="00F42AAA">
      <w:pPr>
        <w:pStyle w:val="Bulletpoints"/>
      </w:pPr>
      <w:r w:rsidRPr="004A0212">
        <w:t>the ‘Māori violence’ theme, which portrays Māori as more likely to be violent and in need of control on account of their presumed ‘danger’</w:t>
      </w:r>
    </w:p>
    <w:p w14:paraId="5A9DFA3E" w14:textId="7F405E25" w:rsidR="00FE4E56" w:rsidRPr="004A0212" w:rsidRDefault="00FE4E56" w:rsidP="00F42AAA">
      <w:pPr>
        <w:pStyle w:val="Bulletpoints"/>
      </w:pPr>
      <w:r w:rsidRPr="004A0212">
        <w:t>the ‘stirrers’ theme, which depicts Māori who challenge the status quo as troublemakers</w:t>
      </w:r>
    </w:p>
    <w:p w14:paraId="7995F23D" w14:textId="347CB13F" w:rsidR="00FE4E56" w:rsidRPr="004A0212" w:rsidRDefault="00FE4E56" w:rsidP="00F42AAA">
      <w:pPr>
        <w:pStyle w:val="Bulletpoints"/>
      </w:pPr>
      <w:r w:rsidRPr="004A0212">
        <w:t>the ‘good Māori/bad Māori’ theme, which portrays Māori who resist, demand recognition or seek restitution as bad</w:t>
      </w:r>
    </w:p>
    <w:p w14:paraId="087B0693" w14:textId="2793C8DF" w:rsidR="00FE4E56" w:rsidRPr="004A0212" w:rsidRDefault="00FE4E56" w:rsidP="00F42AAA">
      <w:pPr>
        <w:pStyle w:val="Bulletpoints"/>
      </w:pPr>
      <w:r w:rsidRPr="004A0212">
        <w:t>the ‘Māori resources’ theme, which constructs potential or actual Māori control of land, fisheries or money as a threat to others</w:t>
      </w:r>
    </w:p>
    <w:p w14:paraId="72B7E4FB" w14:textId="032E30BD" w:rsidR="00FE4E56" w:rsidRPr="004A0212" w:rsidRDefault="00FE4E56" w:rsidP="00F42AAA">
      <w:pPr>
        <w:pStyle w:val="Bulletpoints"/>
      </w:pPr>
      <w:r w:rsidRPr="004A0212">
        <w:t>the ‘financial probity’ theme, which involves persistent depictions of Māori as corrupt or economically incompetent.</w:t>
      </w:r>
      <w:r w:rsidRPr="004A0212">
        <w:rPr>
          <w:rStyle w:val="StyleFootnoteReferenceFagoFunotenzeichenFagoFunotenzeichen"/>
        </w:rPr>
        <w:endnoteReference w:id="167"/>
      </w:r>
    </w:p>
    <w:p w14:paraId="13D85823" w14:textId="5DE028F1" w:rsidR="00FE4E56" w:rsidRPr="004A0212" w:rsidRDefault="00FE4E56" w:rsidP="00031F97">
      <w:pPr>
        <w:pStyle w:val="AllNumbparas"/>
      </w:pPr>
      <w:r w:rsidRPr="004A0212">
        <w:t>The ‘Māori violence’ theme is the most significant when considering how tamariki and rangatahi Māori were removed from whānau and entered the care system. The media contributed to sustaining the narrative that Māori parents were more likely to be violent by having a disproportionate focus on child abuse and crime relating to tamariki and rangatahi Māori.</w:t>
      </w:r>
      <w:r w:rsidRPr="004A0212">
        <w:rPr>
          <w:rStyle w:val="StyleFootnoteReferenceFagoFunotenzeichenFagoFunotenzeichen"/>
        </w:rPr>
        <w:endnoteReference w:id="168"/>
      </w:r>
      <w:r w:rsidRPr="004A0212">
        <w:t xml:space="preserve"> This is a continuation of racist 19</w:t>
      </w:r>
      <w:r w:rsidRPr="004A0212">
        <w:rPr>
          <w:vertAlign w:val="superscript"/>
        </w:rPr>
        <w:t>th</w:t>
      </w:r>
      <w:r w:rsidRPr="004A0212">
        <w:t xml:space="preserve"> century views of Māori, particularly Māori men, as primitive and savage.</w:t>
      </w:r>
      <w:r w:rsidRPr="004A0212">
        <w:rPr>
          <w:rStyle w:val="EndnoteReference"/>
        </w:rPr>
        <w:endnoteReference w:id="169"/>
      </w:r>
    </w:p>
    <w:p w14:paraId="4FD1C2DF" w14:textId="77777777" w:rsidR="00FF50AD" w:rsidRDefault="00FF50AD">
      <w:pPr>
        <w:keepLines w:val="0"/>
        <w:rPr>
          <w:rFonts w:ascii="Arial" w:hAnsi="Arial" w:cs="Arial"/>
          <w:color w:val="3B5D1E" w:themeColor="accent4" w:themeShade="BF"/>
          <w:szCs w:val="26"/>
        </w:rPr>
      </w:pPr>
      <w:bookmarkStart w:id="233" w:name="_Toc1494535147"/>
      <w:r>
        <w:rPr>
          <w:rFonts w:cs="Arial"/>
        </w:rPr>
        <w:br w:type="page"/>
      </w:r>
    </w:p>
    <w:p w14:paraId="71324F54" w14:textId="2E6ABC97" w:rsidR="00FE4E56" w:rsidRPr="004A0212" w:rsidRDefault="00FE4E56" w:rsidP="001142DD">
      <w:pPr>
        <w:pStyle w:val="Heading3"/>
        <w:keepNext/>
        <w:keepLines/>
        <w:rPr>
          <w:rFonts w:cs="Arial"/>
        </w:rPr>
      </w:pPr>
      <w:bookmarkStart w:id="234" w:name="_Toc181084822"/>
      <w:r w:rsidRPr="004A0212">
        <w:rPr>
          <w:rFonts w:cs="Arial"/>
        </w:rPr>
        <w:lastRenderedPageBreak/>
        <w:t>I kaha ake te whakatoihara i te hunga penihana</w:t>
      </w:r>
      <w:bookmarkEnd w:id="233"/>
      <w:bookmarkEnd w:id="234"/>
      <w:r w:rsidRPr="004A0212">
        <w:rPr>
          <w:rFonts w:cs="Arial"/>
        </w:rPr>
        <w:t xml:space="preserve"> </w:t>
      </w:r>
    </w:p>
    <w:p w14:paraId="6DBA005E" w14:textId="7C8764C8" w:rsidR="00FE4E56" w:rsidRPr="004A0212" w:rsidRDefault="00FE4E56" w:rsidP="001142DD">
      <w:pPr>
        <w:pStyle w:val="Heading3"/>
        <w:keepNext/>
        <w:keepLines/>
        <w:rPr>
          <w:rFonts w:cs="Arial"/>
        </w:rPr>
      </w:pPr>
      <w:bookmarkStart w:id="235" w:name="_Toc1368635823"/>
      <w:bookmarkStart w:id="236" w:name="_Toc181084823"/>
      <w:r w:rsidRPr="004A0212">
        <w:rPr>
          <w:rFonts w:cs="Arial"/>
        </w:rPr>
        <w:t>Prejudice against people on benefits was heightened</w:t>
      </w:r>
      <w:bookmarkEnd w:id="235"/>
      <w:bookmarkEnd w:id="236"/>
    </w:p>
    <w:p w14:paraId="6FAD0A21" w14:textId="40B8C3A2" w:rsidR="00FE4E56" w:rsidRPr="004A0212" w:rsidRDefault="00FE4E56" w:rsidP="007D73A6">
      <w:pPr>
        <w:pStyle w:val="AllNumbparas"/>
      </w:pPr>
      <w:r w:rsidRPr="004A0212">
        <w:t xml:space="preserve">Media stories during the </w:t>
      </w:r>
      <w:r>
        <w:t>I</w:t>
      </w:r>
      <w:r w:rsidRPr="004A0212">
        <w:t>nquiry period tended to heighten fear and prejudice about ‘dangerous’ and welfare-dependent families and communities.</w:t>
      </w:r>
      <w:r w:rsidRPr="004A0212">
        <w:rPr>
          <w:rStyle w:val="StyleFootnoteReferenceFagoFunotenzeichenFagoFunotenzeichen"/>
        </w:rPr>
        <w:endnoteReference w:id="170"/>
      </w:r>
      <w:r w:rsidRPr="004A0212">
        <w:t xml:space="preserve"> From the 1970s there was prejudice towards solo mothers receiving the Domestic Purposes Benefit (DPB). Five years after it was introduced, the State established the Domestic Purposes Review Committee to look at the reason for the rising number of parents receiving the DPB and whether “the provision of the benefit was influencing marital and reproductive behaviour”.</w:t>
      </w:r>
      <w:r w:rsidRPr="004A0212">
        <w:rPr>
          <w:rStyle w:val="StyleFootnoteReferenceFagoFunotenzeichenFagoFunotenzeichen"/>
        </w:rPr>
        <w:endnoteReference w:id="171"/>
      </w:r>
      <w:r w:rsidRPr="004A0212">
        <w:t xml:space="preserve"> </w:t>
      </w:r>
    </w:p>
    <w:p w14:paraId="5C6A9251" w14:textId="77EA1F81" w:rsidR="00FE4E56" w:rsidRPr="004A0212" w:rsidRDefault="00FE4E56" w:rsidP="007D73A6">
      <w:pPr>
        <w:pStyle w:val="AllNumbparas"/>
      </w:pPr>
      <w:r w:rsidRPr="004A0212">
        <w:t>The media often framed any stories on the Committee’s findings negatively, even though the data used by the Committee was incorrect and misleading.</w:t>
      </w:r>
      <w:r w:rsidRPr="004A0212">
        <w:rPr>
          <w:rStyle w:val="StyleFootnoteReferenceFagoFunotenzeichenFagoFunotenzeichen"/>
        </w:rPr>
        <w:endnoteReference w:id="172"/>
      </w:r>
      <w:r w:rsidRPr="004A0212">
        <w:t xml:space="preserve"> For example, the media focused on the costs to the taxpayer</w:t>
      </w:r>
      <w:r w:rsidRPr="004A0212">
        <w:rPr>
          <w:rStyle w:val="StyleFootnoteReferenceFagoFunotenzeichenFagoFunotenzeichen"/>
        </w:rPr>
        <w:endnoteReference w:id="173"/>
      </w:r>
      <w:r w:rsidRPr="004A0212">
        <w:rPr>
          <w:vertAlign w:val="superscript"/>
        </w:rPr>
        <w:t xml:space="preserve"> </w:t>
      </w:r>
      <w:r w:rsidRPr="004A0212">
        <w:t>and whether the benefit provided an incentive for women to leave their husbands.</w:t>
      </w:r>
      <w:r w:rsidRPr="004A0212">
        <w:rPr>
          <w:rStyle w:val="StyleFootnoteReferenceFagoFunotenzeichenFagoFunotenzeichen"/>
        </w:rPr>
        <w:endnoteReference w:id="174"/>
      </w:r>
      <w:r w:rsidRPr="004A0212">
        <w:rPr>
          <w:vertAlign w:val="superscript"/>
        </w:rPr>
        <w:t xml:space="preserve"> </w:t>
      </w:r>
    </w:p>
    <w:p w14:paraId="7F7C10DA" w14:textId="0ED240C2" w:rsidR="00FE4E56" w:rsidRPr="004A0212" w:rsidRDefault="00FE4E56" w:rsidP="007D73A6">
      <w:pPr>
        <w:pStyle w:val="AllNumbparas"/>
      </w:pPr>
      <w:r w:rsidRPr="004A0212">
        <w:t>Newspapers also discussed cases where women were seen to be “ripping off” the system by receiving a benefit while in a de facto relationship.</w:t>
      </w:r>
      <w:r w:rsidRPr="004A0212">
        <w:rPr>
          <w:rStyle w:val="StyleFootnoteReferenceFagoFunotenzeichenFagoFunotenzeichen"/>
        </w:rPr>
        <w:endnoteReference w:id="175"/>
      </w:r>
      <w:r w:rsidRPr="004A0212">
        <w:t xml:space="preserve"> People on the benefit were often referred to as bludgers</w:t>
      </w:r>
      <w:r w:rsidRPr="004A0212">
        <w:rPr>
          <w:rStyle w:val="StyleFootnoteReferenceFagoFunotenzeichenFagoFunotenzeichen"/>
        </w:rPr>
        <w:endnoteReference w:id="176"/>
      </w:r>
      <w:r w:rsidRPr="004A0212">
        <w:t>, spongers</w:t>
      </w:r>
      <w:r w:rsidRPr="004A0212">
        <w:rPr>
          <w:rStyle w:val="StyleFootnoteReferenceFagoFunotenzeichenFagoFunotenzeichen"/>
        </w:rPr>
        <w:endnoteReference w:id="177"/>
      </w:r>
      <w:r w:rsidRPr="004A0212">
        <w:t xml:space="preserve"> or milking the system.</w:t>
      </w:r>
      <w:r w:rsidRPr="004A0212">
        <w:rPr>
          <w:rStyle w:val="StyleFootnoteReferenceFagoFunotenzeichenFagoFunotenzeichen"/>
        </w:rPr>
        <w:endnoteReference w:id="178"/>
      </w:r>
      <w:r w:rsidRPr="004A0212">
        <w:t xml:space="preserve"> These attitudes intersected with racism where narratives about Māori and poverty combined to represent a double burden in how Māori were depicted in the media.</w:t>
      </w:r>
      <w:r w:rsidRPr="004A0212">
        <w:rPr>
          <w:rStyle w:val="StyleFootnoteReferenceFagoFunotenzeichenFagoFunotenzeichen"/>
        </w:rPr>
        <w:endnoteReference w:id="179"/>
      </w:r>
    </w:p>
    <w:p w14:paraId="3ACBC611" w14:textId="4BDA6835" w:rsidR="00FE4E56" w:rsidRPr="004A0212" w:rsidRDefault="00FE4E56" w:rsidP="008927C4">
      <w:pPr>
        <w:pStyle w:val="Heading3"/>
        <w:rPr>
          <w:rFonts w:cs="Arial"/>
        </w:rPr>
      </w:pPr>
      <w:bookmarkStart w:id="237" w:name="_Toc638506975"/>
      <w:bookmarkStart w:id="238" w:name="_Toc181084824"/>
      <w:r w:rsidRPr="004A0212">
        <w:rPr>
          <w:rFonts w:cs="Arial"/>
        </w:rPr>
        <w:t>Te whakahāwea i ngā tāngata e rongo ana i te wairangitanga</w:t>
      </w:r>
      <w:bookmarkEnd w:id="237"/>
      <w:bookmarkEnd w:id="238"/>
    </w:p>
    <w:p w14:paraId="559F7CD2" w14:textId="0B619CDF" w:rsidR="00FE4E56" w:rsidRPr="004A0212" w:rsidRDefault="00FE4E56" w:rsidP="008927C4">
      <w:pPr>
        <w:pStyle w:val="Heading3"/>
        <w:rPr>
          <w:rFonts w:cs="Arial"/>
        </w:rPr>
      </w:pPr>
      <w:bookmarkStart w:id="239" w:name="_Toc458056805"/>
      <w:bookmarkStart w:id="240" w:name="_Toc181084825"/>
      <w:r w:rsidRPr="004A0212">
        <w:rPr>
          <w:rFonts w:cs="Arial"/>
        </w:rPr>
        <w:t>Discrimination against people experiencing mental distress</w:t>
      </w:r>
      <w:bookmarkEnd w:id="239"/>
      <w:bookmarkEnd w:id="240"/>
      <w:r w:rsidRPr="004A0212">
        <w:rPr>
          <w:rFonts w:cs="Arial"/>
        </w:rPr>
        <w:t xml:space="preserve"> </w:t>
      </w:r>
    </w:p>
    <w:p w14:paraId="6284676B" w14:textId="5CC3FD87" w:rsidR="00FE4E56" w:rsidRPr="004A0212" w:rsidRDefault="00FE4E56" w:rsidP="007D73A6">
      <w:pPr>
        <w:pStyle w:val="AllNumbparas"/>
      </w:pPr>
      <w:r w:rsidRPr="004A0212">
        <w:t>For people suffering from mental distress, media depictions often portrayed them as dangerous and linked mental distress with “violence, failure, and unpredictability.”</w:t>
      </w:r>
      <w:r w:rsidRPr="004A0212">
        <w:rPr>
          <w:rStyle w:val="StyleFootnoteReferenceFagoFunotenzeichenFagoFunotenzeichen"/>
        </w:rPr>
        <w:endnoteReference w:id="180"/>
      </w:r>
      <w:r w:rsidRPr="004A0212">
        <w:t xml:space="preserve"> </w:t>
      </w:r>
    </w:p>
    <w:p w14:paraId="0C8059A1" w14:textId="768BF8EE" w:rsidR="00FE4E56" w:rsidRPr="004A0212" w:rsidRDefault="00FE4E56" w:rsidP="007D73A6">
      <w:pPr>
        <w:pStyle w:val="AllNumbparas"/>
      </w:pPr>
      <w:r w:rsidRPr="004A0212">
        <w:t>A study into how Aotearoa New Zealand print media discriminated against people suffering from mental distress found that the public got most of their information about mental illness from the media.</w:t>
      </w:r>
      <w:r w:rsidRPr="004A0212">
        <w:rPr>
          <w:rStyle w:val="StyleFootnoteReferenceFagoFunotenzeichenFagoFunotenzeichen"/>
        </w:rPr>
        <w:endnoteReference w:id="181"/>
      </w:r>
      <w:r w:rsidRPr="004A0212">
        <w:t xml:space="preserve"> </w:t>
      </w:r>
    </w:p>
    <w:p w14:paraId="32FB1C3A" w14:textId="44F873B0" w:rsidR="00FE4E56" w:rsidRPr="004A0212" w:rsidRDefault="00FE4E56" w:rsidP="007D73A6">
      <w:pPr>
        <w:pStyle w:val="AllNumbparas"/>
      </w:pPr>
      <w:r w:rsidRPr="004A0212">
        <w:t>People suffering from mental distress rarely had their personal perspectives shared. The media usually used the perspectives of medical professionals or people without lived experience to create the narrative.</w:t>
      </w:r>
      <w:r w:rsidRPr="004A0212">
        <w:rPr>
          <w:rStyle w:val="StyleFootnoteReferenceFagoFunotenzeichenFagoFunotenzeichen"/>
        </w:rPr>
        <w:endnoteReference w:id="182"/>
      </w:r>
      <w:r w:rsidRPr="004A0212">
        <w:t xml:space="preserve"> The second Mason Report in 1996 reported the Association of Crown </w:t>
      </w:r>
      <w:r w:rsidRPr="004A0212">
        <w:rPr>
          <w:color w:val="auto"/>
        </w:rPr>
        <w:t xml:space="preserve">Health Enterprise </w:t>
      </w:r>
      <w:r w:rsidRPr="004A0212">
        <w:t>(CHE) Mental Health Managers as saying:</w:t>
      </w:r>
    </w:p>
    <w:p w14:paraId="042083DE" w14:textId="0EF299BD" w:rsidR="00FE4E56" w:rsidRPr="004A0212" w:rsidRDefault="00FE4E56" w:rsidP="008927C4">
      <w:pPr>
        <w:pStyle w:val="AllQuotes"/>
        <w:rPr>
          <w:rFonts w:cs="Arial"/>
        </w:rPr>
      </w:pPr>
      <w:r w:rsidRPr="004A0212">
        <w:rPr>
          <w:rFonts w:cs="Arial"/>
        </w:rPr>
        <w:t xml:space="preserve">“There is also some concern that the media and political portrayal of psychiatric patients as offenders, paedophiles, etc. will deter some people from using the service when needed – either because of fear of other patients or of being seen as one of that group. </w:t>
      </w:r>
    </w:p>
    <w:p w14:paraId="5A6CAEA1" w14:textId="72D9AE0E" w:rsidR="00FE4E56" w:rsidRPr="004A0212" w:rsidRDefault="00FE4E56" w:rsidP="00DA5A92">
      <w:pPr>
        <w:pStyle w:val="AllQuotes"/>
        <w:rPr>
          <w:rFonts w:cs="Arial"/>
        </w:rPr>
      </w:pPr>
      <w:r w:rsidRPr="004A0212">
        <w:rPr>
          <w:rFonts w:cs="Arial"/>
        </w:rPr>
        <w:t>Negative publicity commonly leads to a breach of clients’ rights in that they are discriminated against (often not intentionally) due to the anxiety provoked within the public.”</w:t>
      </w:r>
      <w:r w:rsidRPr="004A0212">
        <w:rPr>
          <w:rStyle w:val="StyleFootnoteReferenceFagoFunotenzeichenFagoFunotenzeichen"/>
        </w:rPr>
        <w:endnoteReference w:id="183"/>
      </w:r>
    </w:p>
    <w:p w14:paraId="4ACDA62E" w14:textId="77777777" w:rsidR="00FE4E56" w:rsidRPr="004A0212" w:rsidRDefault="00FE4E56">
      <w:pPr>
        <w:keepLines w:val="0"/>
        <w:rPr>
          <w:rFonts w:cs="Arial"/>
        </w:rPr>
      </w:pPr>
    </w:p>
    <w:p w14:paraId="33C00F05" w14:textId="77777777" w:rsidR="00FE6936" w:rsidRDefault="00FE6936" w:rsidP="004968E1">
      <w:pPr>
        <w:pStyle w:val="BodyText"/>
        <w:rPr>
          <w:rFonts w:ascii="Arial" w:hAnsi="Arial" w:cs="Arial"/>
          <w:sz w:val="22"/>
        </w:rPr>
      </w:pPr>
    </w:p>
    <w:p w14:paraId="1091BE62" w14:textId="77777777" w:rsidR="00FE6936" w:rsidRDefault="00FE6936" w:rsidP="004968E1">
      <w:pPr>
        <w:pStyle w:val="BodyText"/>
        <w:rPr>
          <w:rFonts w:ascii="Arial" w:hAnsi="Arial" w:cs="Arial"/>
          <w:sz w:val="22"/>
        </w:rPr>
      </w:pPr>
    </w:p>
    <w:p w14:paraId="5D777EB8" w14:textId="6A0D0550" w:rsidR="00FE4E56" w:rsidRPr="004968E1" w:rsidRDefault="00FE4E56" w:rsidP="004968E1">
      <w:pPr>
        <w:pStyle w:val="BodyText"/>
        <w:rPr>
          <w:rFonts w:ascii="Arial" w:hAnsi="Arial" w:cs="Arial"/>
          <w:sz w:val="22"/>
        </w:rPr>
      </w:pPr>
      <w:r w:rsidRPr="004968E1">
        <w:rPr>
          <w:rFonts w:ascii="Arial" w:hAnsi="Arial" w:cs="Arial"/>
          <w:sz w:val="22"/>
        </w:rPr>
        <w:t>[</w:t>
      </w:r>
      <w:r>
        <w:rPr>
          <w:rFonts w:ascii="Arial" w:hAnsi="Arial" w:cs="Arial"/>
          <w:sz w:val="22"/>
        </w:rPr>
        <w:t>Q</w:t>
      </w:r>
      <w:r w:rsidRPr="004968E1">
        <w:rPr>
          <w:rFonts w:ascii="Arial" w:hAnsi="Arial" w:cs="Arial"/>
          <w:sz w:val="22"/>
        </w:rPr>
        <w:t>uote]</w:t>
      </w:r>
    </w:p>
    <w:p w14:paraId="145D65BE" w14:textId="665EC9FB" w:rsidR="00FE4E56" w:rsidRPr="00EA76CB" w:rsidRDefault="00FE4E56" w:rsidP="004968E1">
      <w:pPr>
        <w:pStyle w:val="AllQuotes"/>
        <w:rPr>
          <w:b/>
        </w:rPr>
      </w:pPr>
      <w:r w:rsidRPr="00EA76CB">
        <w:rPr>
          <w:b/>
        </w:rPr>
        <w:t>“Compared to children in the richest fifth of local areas, children in the poorest fifth areas have 13 times the rate of ‘substantiation’ (a finding by child protection officials that abuse has occurred). They are also six times more likely to be placed out of their family’s care.”</w:t>
      </w:r>
    </w:p>
    <w:p w14:paraId="457BAC9D" w14:textId="384DBA62" w:rsidR="00FE4E56" w:rsidRDefault="00FE4E56" w:rsidP="004968E1">
      <w:pPr>
        <w:pStyle w:val="AllQuotes"/>
        <w:rPr>
          <w:b/>
        </w:rPr>
      </w:pPr>
      <w:r w:rsidRPr="00EA76CB">
        <w:rPr>
          <w:b/>
        </w:rPr>
        <w:t>Rashbrook</w:t>
      </w:r>
      <w:r>
        <w:rPr>
          <w:b/>
        </w:rPr>
        <w:t>, M</w:t>
      </w:r>
      <w:r w:rsidRPr="00EA76CB">
        <w:rPr>
          <w:b/>
        </w:rPr>
        <w:t xml:space="preserve"> and Wilkinson</w:t>
      </w:r>
      <w:r>
        <w:rPr>
          <w:b/>
        </w:rPr>
        <w:t>, A</w:t>
      </w:r>
    </w:p>
    <w:p w14:paraId="7A150732" w14:textId="3499CFC3" w:rsidR="00FE4E56" w:rsidRPr="00EA76CB" w:rsidRDefault="00FE4E56" w:rsidP="004968E1">
      <w:pPr>
        <w:pStyle w:val="AllQuotes"/>
        <w:rPr>
          <w:b/>
        </w:rPr>
      </w:pPr>
      <w:r w:rsidRPr="00EA76CB">
        <w:rPr>
          <w:b/>
        </w:rPr>
        <w:t xml:space="preserve">Cracks in the dam: The social and economic forces behind the placement of children into care report. </w:t>
      </w:r>
    </w:p>
    <w:p w14:paraId="16CE62D0" w14:textId="4A3A92FF" w:rsidR="00FE4E56" w:rsidRPr="004A0212" w:rsidRDefault="00FE4E56" w:rsidP="008F6277">
      <w:pPr>
        <w:keepLines w:val="0"/>
        <w:rPr>
          <w:rFonts w:cs="Arial"/>
          <w:b/>
          <w:bCs/>
          <w:i/>
          <w:iCs/>
        </w:rPr>
      </w:pPr>
      <w:r>
        <w:rPr>
          <w:rFonts w:cs="Arial"/>
          <w:b/>
          <w:bCs/>
          <w:i/>
          <w:iCs/>
        </w:rPr>
        <w:br w:type="page"/>
      </w:r>
    </w:p>
    <w:p w14:paraId="44262F15" w14:textId="1CC1F9B1" w:rsidR="00FE4E56" w:rsidRPr="004968E1" w:rsidRDefault="00FE4E56" w:rsidP="004968E1">
      <w:pPr>
        <w:pStyle w:val="BodyText"/>
        <w:rPr>
          <w:rFonts w:ascii="Arial" w:hAnsi="Arial" w:cs="Arial"/>
          <w:sz w:val="22"/>
          <w:szCs w:val="22"/>
        </w:rPr>
      </w:pPr>
      <w:r w:rsidRPr="004968E1">
        <w:rPr>
          <w:rFonts w:ascii="Arial" w:hAnsi="Arial" w:cs="Arial"/>
          <w:sz w:val="22"/>
          <w:szCs w:val="22"/>
        </w:rPr>
        <w:lastRenderedPageBreak/>
        <w:t>[</w:t>
      </w:r>
      <w:r>
        <w:rPr>
          <w:rFonts w:ascii="Arial" w:hAnsi="Arial" w:cs="Arial"/>
          <w:sz w:val="22"/>
          <w:szCs w:val="22"/>
        </w:rPr>
        <w:t>S</w:t>
      </w:r>
      <w:r w:rsidRPr="004968E1">
        <w:rPr>
          <w:rFonts w:ascii="Arial" w:hAnsi="Arial" w:cs="Arial"/>
          <w:sz w:val="22"/>
          <w:szCs w:val="22"/>
        </w:rPr>
        <w:t>urvivor quote preceding survivor profile]</w:t>
      </w:r>
    </w:p>
    <w:p w14:paraId="411585A0" w14:textId="77777777" w:rsidR="00FE4E56" w:rsidRPr="004968E1" w:rsidRDefault="00FE4E56" w:rsidP="004968E1">
      <w:pPr>
        <w:pStyle w:val="AllQuotes"/>
        <w:rPr>
          <w:rStyle w:val="eop"/>
          <w:rFonts w:cs="Arial"/>
          <w:b/>
          <w:bCs/>
          <w:iCs/>
          <w:color w:val="000000"/>
          <w:szCs w:val="22"/>
          <w:shd w:val="clear" w:color="auto" w:fill="FFFFFF"/>
        </w:rPr>
      </w:pPr>
      <w:r w:rsidRPr="004968E1">
        <w:rPr>
          <w:rStyle w:val="normaltextrun"/>
          <w:rFonts w:cs="Arial"/>
          <w:b/>
          <w:bCs/>
          <w:iCs/>
          <w:color w:val="000000"/>
          <w:szCs w:val="22"/>
          <w:shd w:val="clear" w:color="auto" w:fill="FFFFFF"/>
        </w:rPr>
        <w:t>“It was a big shame I could never fulfil my potential because nobody gave a shit” </w:t>
      </w:r>
      <w:r w:rsidRPr="004968E1">
        <w:rPr>
          <w:rStyle w:val="eop"/>
          <w:rFonts w:cs="Arial"/>
          <w:b/>
          <w:bCs/>
          <w:iCs/>
          <w:color w:val="000000"/>
          <w:szCs w:val="22"/>
          <w:shd w:val="clear" w:color="auto" w:fill="FFFFFF"/>
        </w:rPr>
        <w:t> </w:t>
      </w:r>
    </w:p>
    <w:p w14:paraId="4ABFC70A" w14:textId="42CDE970" w:rsidR="00FE4E56" w:rsidRPr="004968E1" w:rsidRDefault="00FE4E56" w:rsidP="00EA76CB">
      <w:pPr>
        <w:pStyle w:val="AllQuotes"/>
        <w:rPr>
          <w:rStyle w:val="normaltextrun"/>
          <w:rFonts w:ascii="Helvetica" w:hAnsi="Helvetica"/>
          <w:b/>
          <w:color w:val="404040" w:themeColor="text1" w:themeTint="BF"/>
          <w:szCs w:val="22"/>
          <w:bdr w:val="none" w:sz="0" w:space="0" w:color="auto" w:frame="1"/>
        </w:rPr>
      </w:pPr>
      <w:r w:rsidRPr="004968E1">
        <w:rPr>
          <w:rStyle w:val="normaltextrun"/>
          <w:rFonts w:cs="Arial"/>
          <w:b/>
          <w:bCs/>
          <w:iCs/>
          <w:color w:val="000000"/>
          <w:szCs w:val="22"/>
          <w:bdr w:val="none" w:sz="0" w:space="0" w:color="auto" w:frame="1"/>
        </w:rPr>
        <w:t>Debbie Morris-Jenkins</w:t>
      </w:r>
    </w:p>
    <w:p w14:paraId="6C9CDE57" w14:textId="123D12A5" w:rsidR="00FE4E56" w:rsidRPr="004968E1" w:rsidRDefault="00FE4E56" w:rsidP="004968E1">
      <w:pPr>
        <w:pStyle w:val="AllQuotes"/>
        <w:rPr>
          <w:rStyle w:val="eop"/>
          <w:rFonts w:cs="Arial"/>
          <w:b/>
          <w:bCs/>
          <w:iCs/>
          <w:color w:val="000000"/>
          <w:szCs w:val="22"/>
          <w:shd w:val="clear" w:color="auto" w:fill="FFFFFF"/>
        </w:rPr>
      </w:pPr>
      <w:r w:rsidRPr="004968E1">
        <w:rPr>
          <w:rStyle w:val="eop"/>
          <w:rFonts w:cs="Arial"/>
          <w:b/>
          <w:bCs/>
          <w:iCs/>
          <w:color w:val="000000"/>
          <w:szCs w:val="22"/>
          <w:shd w:val="clear" w:color="auto" w:fill="FFFFFF"/>
        </w:rPr>
        <w:t>Survivor</w:t>
      </w:r>
    </w:p>
    <w:p w14:paraId="3E70C26C" w14:textId="77777777" w:rsidR="00FE4E56" w:rsidRPr="004A0212" w:rsidRDefault="00FE4E56">
      <w:pPr>
        <w:keepLines w:val="0"/>
        <w:rPr>
          <w:rFonts w:ascii="Arial" w:hAnsi="Arial" w:cs="Arial"/>
          <w:sz w:val="22"/>
        </w:rPr>
      </w:pPr>
    </w:p>
    <w:p w14:paraId="2AAB90DC" w14:textId="77777777" w:rsidR="00FE4E56" w:rsidRPr="004A0212" w:rsidRDefault="00FE4E56" w:rsidP="00282055">
      <w:pPr>
        <w:pStyle w:val="Heading1"/>
        <w:rPr>
          <w:color w:val="3B5D1E" w:themeColor="accent4" w:themeShade="BF"/>
          <w:lang w:val="pt-BR"/>
        </w:rPr>
      </w:pPr>
      <w:bookmarkStart w:id="241" w:name="_Toc972562923"/>
      <w:bookmarkStart w:id="242" w:name="_Toc181084826"/>
      <w:r w:rsidRPr="004A0212">
        <w:rPr>
          <w:color w:val="3B5D1E" w:themeColor="accent4" w:themeShade="BF"/>
          <w:lang w:val="pt-BR"/>
        </w:rPr>
        <w:t>Ngā wheako o te purapura ora</w:t>
      </w:r>
      <w:bookmarkEnd w:id="241"/>
      <w:bookmarkEnd w:id="242"/>
    </w:p>
    <w:p w14:paraId="63FB7BB7" w14:textId="0A91155A" w:rsidR="00FE4E56" w:rsidRPr="004A0212" w:rsidRDefault="00FE4E56" w:rsidP="00282055">
      <w:pPr>
        <w:pStyle w:val="Heading1"/>
        <w:rPr>
          <w:color w:val="3B5D1E" w:themeColor="accent4" w:themeShade="BF"/>
          <w:lang w:val="pt-BR"/>
        </w:rPr>
      </w:pPr>
      <w:bookmarkStart w:id="243" w:name="_Toc2021278818"/>
      <w:bookmarkStart w:id="244" w:name="_Toc181084827"/>
      <w:r w:rsidRPr="004A0212">
        <w:rPr>
          <w:color w:val="3B5D1E" w:themeColor="accent4" w:themeShade="BF"/>
          <w:lang w:val="pt-BR"/>
        </w:rPr>
        <w:t>Survivor experience: Debbie Morris-Jenkins</w:t>
      </w:r>
      <w:bookmarkEnd w:id="244"/>
      <w:r w:rsidRPr="004A0212">
        <w:rPr>
          <w:color w:val="3B5D1E" w:themeColor="accent4" w:themeShade="BF"/>
          <w:lang w:val="pt-BR"/>
        </w:rPr>
        <w:t xml:space="preserve"> </w:t>
      </w:r>
    </w:p>
    <w:p w14:paraId="04003EDA" w14:textId="77777777" w:rsidR="00FE4E56" w:rsidRPr="004A0212" w:rsidRDefault="00FE4E56" w:rsidP="00B927A7">
      <w:pPr>
        <w:pStyle w:val="BodyText"/>
        <w:spacing w:line="276" w:lineRule="auto"/>
        <w:rPr>
          <w:rFonts w:ascii="Segoe UI" w:hAnsi="Segoe UI" w:cs="Segoe UI"/>
          <w:sz w:val="18"/>
          <w:szCs w:val="18"/>
          <w:lang w:eastAsia="zh-CN"/>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Debbie Morris-Jenkins</w:t>
      </w:r>
      <w:r w:rsidRPr="004A0212">
        <w:rPr>
          <w:rStyle w:val="eop"/>
          <w:rFonts w:ascii="Arial" w:hAnsi="Arial" w:cs="Arial"/>
          <w:sz w:val="22"/>
          <w:szCs w:val="22"/>
        </w:rPr>
        <w:t> </w:t>
      </w:r>
    </w:p>
    <w:p w14:paraId="4AC5E992" w14:textId="671E9D9E" w:rsidR="00FE4E56" w:rsidRPr="004A0212" w:rsidRDefault="00FE4E56" w:rsidP="00B927A7">
      <w:pPr>
        <w:pStyle w:val="BodyText"/>
        <w:spacing w:line="276" w:lineRule="auto"/>
        <w:rPr>
          <w:rFonts w:ascii="Segoe UI" w:hAnsi="Segoe UI" w:cs="Segoe UI"/>
          <w:sz w:val="18"/>
          <w:szCs w:val="18"/>
        </w:rPr>
      </w:pPr>
      <w:bookmarkStart w:id="245" w:name="_Hlk168496055"/>
      <w:r w:rsidRPr="004A0212">
        <w:rPr>
          <w:rStyle w:val="normaltextrun"/>
          <w:rFonts w:ascii="Arial" w:hAnsi="Arial" w:cs="Arial"/>
          <w:b/>
          <w:bCs/>
          <w:sz w:val="22"/>
          <w:szCs w:val="22"/>
        </w:rPr>
        <w:t xml:space="preserve">Year of birth </w:t>
      </w:r>
      <w:r w:rsidRPr="004A0212">
        <w:rPr>
          <w:rStyle w:val="normaltextrun"/>
          <w:rFonts w:ascii="Arial" w:hAnsi="Arial" w:cs="Arial"/>
          <w:bCs/>
          <w:sz w:val="22"/>
          <w:szCs w:val="22"/>
        </w:rPr>
        <w:t>1976</w:t>
      </w:r>
      <w:bookmarkEnd w:id="245"/>
    </w:p>
    <w:p w14:paraId="259E59BC" w14:textId="77777777" w:rsidR="00FE4E56" w:rsidRPr="004A0212" w:rsidRDefault="00FE4E56"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Hometown</w:t>
      </w:r>
      <w:r w:rsidRPr="004A0212">
        <w:rPr>
          <w:rStyle w:val="normaltextrun"/>
          <w:rFonts w:ascii="Arial" w:hAnsi="Arial" w:cs="Arial"/>
          <w:sz w:val="22"/>
          <w:szCs w:val="22"/>
        </w:rPr>
        <w:t xml:space="preserve"> Ōtautahi Christchurch</w:t>
      </w:r>
      <w:r w:rsidRPr="004A0212">
        <w:rPr>
          <w:rStyle w:val="eop"/>
          <w:rFonts w:ascii="Arial" w:hAnsi="Arial" w:cs="Arial"/>
          <w:sz w:val="22"/>
          <w:szCs w:val="22"/>
        </w:rPr>
        <w:t> </w:t>
      </w:r>
    </w:p>
    <w:p w14:paraId="46E55704" w14:textId="1C91AE96" w:rsidR="00FE4E56" w:rsidRPr="004A0212" w:rsidRDefault="00FE4E56"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1981–1983 </w:t>
      </w:r>
      <w:r w:rsidRPr="004A0212">
        <w:rPr>
          <w:rStyle w:val="eop"/>
          <w:rFonts w:ascii="Arial" w:hAnsi="Arial" w:cs="Arial"/>
          <w:sz w:val="22"/>
          <w:szCs w:val="22"/>
        </w:rPr>
        <w:t> </w:t>
      </w:r>
    </w:p>
    <w:p w14:paraId="512E325E" w14:textId="02583F61" w:rsidR="00FE4E56" w:rsidRPr="004A0212" w:rsidRDefault="00FE4E56"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Type of care facility</w:t>
      </w:r>
      <w:r w:rsidRPr="004A0212">
        <w:rPr>
          <w:rStyle w:val="normaltextrun"/>
          <w:rFonts w:ascii="Arial" w:hAnsi="Arial" w:cs="Arial"/>
          <w:sz w:val="22"/>
          <w:szCs w:val="22"/>
        </w:rPr>
        <w:t xml:space="preserve"> Children’s home – Christchurch Methodist Children’s Home; foster homes – private faith foster homes.</w:t>
      </w:r>
      <w:r w:rsidRPr="004A0212">
        <w:rPr>
          <w:rStyle w:val="eop"/>
          <w:rFonts w:ascii="Arial" w:hAnsi="Arial" w:cs="Arial"/>
          <w:sz w:val="22"/>
          <w:szCs w:val="22"/>
        </w:rPr>
        <w:t> </w:t>
      </w:r>
    </w:p>
    <w:p w14:paraId="744F2021" w14:textId="77777777" w:rsidR="00FE4E56" w:rsidRPr="004A0212" w:rsidRDefault="00FE4E56" w:rsidP="00B927A7">
      <w:pPr>
        <w:pStyle w:val="BodyText"/>
        <w:spacing w:line="276" w:lineRule="auto"/>
        <w:rPr>
          <w:rFonts w:ascii="Segoe UI" w:hAnsi="Segoe UI" w:cs="Segoe UI"/>
          <w:sz w:val="18"/>
          <w:szCs w:val="18"/>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Debbie is third of five children, and three of them went into care. Her parents did not have a happy marriage, and her father spent time in Sunnyside Hospital.</w:t>
      </w:r>
      <w:r w:rsidRPr="004A0212">
        <w:rPr>
          <w:rStyle w:val="eop"/>
          <w:rFonts w:ascii="Arial" w:hAnsi="Arial" w:cs="Arial"/>
          <w:sz w:val="22"/>
          <w:szCs w:val="22"/>
        </w:rPr>
        <w:t> </w:t>
      </w:r>
    </w:p>
    <w:p w14:paraId="3570A88E" w14:textId="6403E1F4" w:rsidR="00FE4E56" w:rsidRPr="00E94190" w:rsidRDefault="00FE4E56" w:rsidP="00B927A7">
      <w:pPr>
        <w:pStyle w:val="BodyText"/>
        <w:spacing w:line="276" w:lineRule="auto"/>
        <w:rPr>
          <w:rStyle w:val="normaltextrun"/>
        </w:rPr>
      </w:pPr>
      <w:r w:rsidRPr="004A0212">
        <w:rPr>
          <w:rStyle w:val="normaltextrun"/>
          <w:rFonts w:ascii="Arial" w:hAnsi="Arial" w:cs="Arial"/>
          <w:b/>
          <w:bCs/>
          <w:sz w:val="22"/>
          <w:szCs w:val="22"/>
        </w:rPr>
        <w:t>Current</w:t>
      </w:r>
      <w:r>
        <w:rPr>
          <w:rStyle w:val="normaltextrun"/>
          <w:rFonts w:ascii="Arial" w:hAnsi="Arial" w:cs="Arial"/>
          <w:b/>
          <w:bCs/>
          <w:sz w:val="22"/>
          <w:szCs w:val="22"/>
        </w:rPr>
        <w:t>ly</w:t>
      </w:r>
      <w:r w:rsidRPr="004A0212">
        <w:rPr>
          <w:rStyle w:val="normaltextrun"/>
          <w:rFonts w:ascii="Arial" w:hAnsi="Arial" w:cs="Arial"/>
          <w:b/>
          <w:bCs/>
          <w:sz w:val="22"/>
          <w:szCs w:val="22"/>
        </w:rPr>
        <w:t xml:space="preserve"> </w:t>
      </w:r>
      <w:r w:rsidRPr="004A0212">
        <w:rPr>
          <w:rStyle w:val="normaltextrun"/>
          <w:rFonts w:ascii="Arial" w:hAnsi="Arial" w:cs="Arial"/>
          <w:sz w:val="22"/>
          <w:szCs w:val="22"/>
        </w:rPr>
        <w:t xml:space="preserve">Debbie has a supportive partner, and her children know about her childhood and have told her they are proud of what she’s come through and </w:t>
      </w:r>
      <w:r w:rsidRPr="00E94190">
        <w:rPr>
          <w:rStyle w:val="normaltextrun"/>
          <w:rFonts w:ascii="Arial" w:hAnsi="Arial" w:cs="Arial"/>
          <w:sz w:val="22"/>
          <w:szCs w:val="22"/>
        </w:rPr>
        <w:t>achieved. The consequences of the trauma she experienced continue to impact both Debbie and her whānau, and often create friction within the whānau including outbursts and arguments. After going through church redress, she received financial compensation from the Methodist Church.</w:t>
      </w:r>
    </w:p>
    <w:p w14:paraId="45F5066A" w14:textId="77777777" w:rsidR="00FE4E56" w:rsidRPr="004A0212" w:rsidRDefault="00FE4E56" w:rsidP="00B927A7">
      <w:pPr>
        <w:pStyle w:val="BodyText"/>
        <w:spacing w:line="276" w:lineRule="auto"/>
        <w:rPr>
          <w:rFonts w:ascii="Segoe UI" w:hAnsi="Segoe UI" w:cs="Segoe UI"/>
          <w:sz w:val="18"/>
          <w:szCs w:val="18"/>
        </w:rPr>
      </w:pPr>
    </w:p>
    <w:p w14:paraId="78D9D564" w14:textId="332B0041"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Mum and Dad had been in the Cooperites – Neville Cooper’s Christian community in Springbank. We escaped after they saw things going wrong in the community, but we didn’t have a lot of support. Dad would do house painting to try and get by, but Mum was disabled – she had hip replacements – and couldn’t care for five children. Basically, their marriage fell apart, they couldn’t cope and started drinking, so people at their church encouraged them to send us to the Methodist Children’s Home in Christchurch.</w:t>
      </w:r>
      <w:r w:rsidRPr="004A0212">
        <w:rPr>
          <w:rStyle w:val="eop"/>
          <w:rFonts w:ascii="Arial" w:hAnsi="Arial" w:cs="Arial"/>
          <w:sz w:val="22"/>
          <w:szCs w:val="22"/>
        </w:rPr>
        <w:t> </w:t>
      </w:r>
    </w:p>
    <w:p w14:paraId="47AE7FEB" w14:textId="396B964C"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My oldest sister and the baby stayed with Mum but the rest of us were put in the home. I didn’t have much to take aside from a nightie and a wee panda bear. The bear was special, it was the only real possession I had.</w:t>
      </w:r>
      <w:r w:rsidRPr="004A0212">
        <w:rPr>
          <w:rStyle w:val="eop"/>
          <w:rFonts w:ascii="Arial" w:hAnsi="Arial" w:cs="Arial"/>
          <w:sz w:val="22"/>
          <w:szCs w:val="22"/>
        </w:rPr>
        <w:t> </w:t>
      </w:r>
    </w:p>
    <w:p w14:paraId="1773CF92" w14:textId="77777777" w:rsidR="00FE4E56" w:rsidRDefault="00FE4E56">
      <w:pPr>
        <w:keepLines w:val="0"/>
        <w:rPr>
          <w:rStyle w:val="normaltextrun"/>
          <w:rFonts w:ascii="Arial" w:eastAsia="Times New Roman" w:hAnsi="Arial" w:cs="Arial"/>
          <w:sz w:val="22"/>
          <w:szCs w:val="22"/>
        </w:rPr>
      </w:pPr>
      <w:r>
        <w:rPr>
          <w:rStyle w:val="normaltextrun"/>
          <w:rFonts w:ascii="Arial" w:hAnsi="Arial" w:cs="Arial"/>
          <w:sz w:val="22"/>
          <w:szCs w:val="22"/>
        </w:rPr>
        <w:br w:type="page"/>
      </w:r>
    </w:p>
    <w:p w14:paraId="1A54CA9B" w14:textId="205C7EA9"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lastRenderedPageBreak/>
        <w:t>My caregiver at the home was mean and horrible. One night I vomited on my panda bear, and she made me throw it away. If I wet the bed, she’d give me a smack and make me sleep in it. Given the slightest chance, she’d ridicule and punish us. Once, my brother and I didn’t want to eat some pumpkin, so we dropped it under the table. She made us eat it off the floor like dogs. </w:t>
      </w:r>
      <w:r w:rsidRPr="004A0212">
        <w:rPr>
          <w:rStyle w:val="eop"/>
          <w:rFonts w:ascii="Arial" w:hAnsi="Arial" w:cs="Arial"/>
          <w:sz w:val="22"/>
          <w:szCs w:val="22"/>
        </w:rPr>
        <w:t> </w:t>
      </w:r>
    </w:p>
    <w:p w14:paraId="55C0AE9E" w14:textId="1793C0B6"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In the Cooperites, your hair was your crowning glory and Mum had always said, “Don’t ever cut your hair or I’ll never speak to you again”. But in the home, we had to line up outside in the freezing cold with bowls on our head to get a haircut. I bawled my eyes out, but they just smacked me.</w:t>
      </w:r>
      <w:r w:rsidRPr="004A0212">
        <w:rPr>
          <w:rStyle w:val="eop"/>
          <w:rFonts w:ascii="Arial" w:hAnsi="Arial" w:cs="Arial"/>
          <w:sz w:val="22"/>
          <w:szCs w:val="22"/>
        </w:rPr>
        <w:t> </w:t>
      </w:r>
    </w:p>
    <w:p w14:paraId="1DD10480" w14:textId="44BB2B27" w:rsidR="00FE4E56" w:rsidRPr="00771662" w:rsidRDefault="00FE4E56" w:rsidP="00B927A7">
      <w:pPr>
        <w:pStyle w:val="paragraph"/>
        <w:spacing w:before="0" w:beforeAutospacing="0" w:after="200" w:afterAutospacing="0" w:line="276" w:lineRule="auto"/>
        <w:textAlignment w:val="baseline"/>
        <w:rPr>
          <w:rStyle w:val="normaltextrun"/>
          <w:rFonts w:ascii="Segoe UI" w:hAnsi="Segoe UI" w:cs="Segoe UI"/>
          <w:sz w:val="18"/>
          <w:szCs w:val="18"/>
        </w:rPr>
      </w:pPr>
      <w:r w:rsidRPr="004A0212">
        <w:rPr>
          <w:rStyle w:val="normaltextrun"/>
          <w:rFonts w:ascii="Arial" w:hAnsi="Arial" w:cs="Arial"/>
          <w:sz w:val="22"/>
          <w:szCs w:val="22"/>
        </w:rPr>
        <w:t>We were targeted horrendously at school, even by the teachers, who would whack us with their rulers. And if we were punished at school, we’d also get punished at the home. I felt like I was punished the whole time. </w:t>
      </w:r>
      <w:r w:rsidRPr="004A0212">
        <w:rPr>
          <w:rStyle w:val="eop"/>
          <w:rFonts w:ascii="Arial" w:hAnsi="Arial" w:cs="Arial"/>
          <w:sz w:val="22"/>
          <w:szCs w:val="22"/>
        </w:rPr>
        <w:t> </w:t>
      </w:r>
    </w:p>
    <w:p w14:paraId="4B6E2FF6" w14:textId="19A303AF"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In the school holidays we were told someone would pick us up and then we had to go with those people, not knowing who they were. When I was about 6 or 7 years old, a couple took me for two weeks. She wasn’t around a lot, and he raped me daily. They lived in a grey brick house, with flats down the back. He would put a towel on the bed, give me a dolly and use it to show me what we were going to do. Then he’d just get on me and rape me. I was just a little girl and I’d be screaming in pain, wondering why the neighbours couldn’t hear me as they were so close. Then he’d say, “Don’t tell anyone, it’s our secret”. </w:t>
      </w:r>
      <w:r w:rsidRPr="004A0212">
        <w:rPr>
          <w:rStyle w:val="eop"/>
          <w:rFonts w:ascii="Arial" w:hAnsi="Arial" w:cs="Arial"/>
          <w:sz w:val="22"/>
          <w:szCs w:val="22"/>
        </w:rPr>
        <w:t> </w:t>
      </w:r>
    </w:p>
    <w:p w14:paraId="2ABBEB6B" w14:textId="421D0142"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think I was there near the end of my stay at the children’s home because I remember when Dad got me from the home, I thought, “Thank God I won’t have to go back to that foster couple again”. </w:t>
      </w:r>
      <w:r w:rsidRPr="004A0212">
        <w:rPr>
          <w:rStyle w:val="eop"/>
          <w:rFonts w:ascii="Arial" w:hAnsi="Arial" w:cs="Arial"/>
          <w:sz w:val="22"/>
          <w:szCs w:val="22"/>
        </w:rPr>
        <w:t> </w:t>
      </w:r>
    </w:p>
    <w:p w14:paraId="7E6A9D1B" w14:textId="23590FB2"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The thought he might have done it to someone else has tormented me over the years. </w:t>
      </w:r>
      <w:r w:rsidRPr="004A0212">
        <w:rPr>
          <w:rStyle w:val="eop"/>
          <w:rFonts w:ascii="Arial" w:hAnsi="Arial" w:cs="Arial"/>
          <w:sz w:val="22"/>
          <w:szCs w:val="22"/>
        </w:rPr>
        <w:t> </w:t>
      </w:r>
    </w:p>
    <w:p w14:paraId="5B1A17EF" w14:textId="77777777"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When I was 13 or 14, I broke down and told Mum what had happened. I had never told anyone else, it was such a shameful thing. She took me to the police and I was so mortified, embarrassed and ashamed that I just clammed up and didn’t speak much. They told Mum they wouldn’t pursue it as there wasn’t any evidence – it was my word against his. </w:t>
      </w:r>
      <w:r w:rsidRPr="004A0212">
        <w:rPr>
          <w:rStyle w:val="eop"/>
          <w:rFonts w:ascii="Arial" w:hAnsi="Arial" w:cs="Arial"/>
          <w:sz w:val="22"/>
          <w:szCs w:val="22"/>
        </w:rPr>
        <w:t> </w:t>
      </w:r>
    </w:p>
    <w:p w14:paraId="02E0B845" w14:textId="72FC6553"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trusted the police and they didn’t listen to what I was saying. They just assumed I was making things up and wasting police time. Years later I saw the police report and the reasons for not prosecuting my foster carer. It said the police doctor found that I’d lost my virginity but could’ve lost it riding a horse or falling off a bike. I ended up burning the report because it was so traumatising.</w:t>
      </w:r>
      <w:r w:rsidRPr="004A0212">
        <w:rPr>
          <w:rStyle w:val="eop"/>
          <w:rFonts w:ascii="Arial" w:hAnsi="Arial" w:cs="Arial"/>
          <w:sz w:val="22"/>
          <w:szCs w:val="22"/>
        </w:rPr>
        <w:t> </w:t>
      </w:r>
    </w:p>
    <w:p w14:paraId="19D93D72" w14:textId="7809D8A2"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was a rebellious teenager, but I started to rebel even more after that. I got expelled from school at one stage – surely adults should have wondered why? I mean, if you’ve had a normal life and everything’s going okay, you don’t do things like that. </w:t>
      </w:r>
      <w:r w:rsidRPr="004A0212">
        <w:rPr>
          <w:rStyle w:val="eop"/>
          <w:rFonts w:ascii="Arial" w:hAnsi="Arial" w:cs="Arial"/>
          <w:sz w:val="22"/>
          <w:szCs w:val="22"/>
        </w:rPr>
        <w:t> </w:t>
      </w:r>
    </w:p>
    <w:p w14:paraId="7548EF06" w14:textId="77777777" w:rsidR="00FE4E56" w:rsidRDefault="00FE4E56">
      <w:pPr>
        <w:keepLines w:val="0"/>
        <w:rPr>
          <w:rStyle w:val="normaltextrun"/>
          <w:rFonts w:ascii="Arial" w:eastAsia="Times New Roman" w:hAnsi="Arial" w:cs="Arial"/>
          <w:sz w:val="22"/>
          <w:szCs w:val="22"/>
        </w:rPr>
      </w:pPr>
      <w:r>
        <w:rPr>
          <w:rStyle w:val="normaltextrun"/>
          <w:rFonts w:ascii="Arial" w:hAnsi="Arial" w:cs="Arial"/>
          <w:sz w:val="22"/>
          <w:szCs w:val="22"/>
        </w:rPr>
        <w:br w:type="page"/>
      </w:r>
    </w:p>
    <w:p w14:paraId="6D096056" w14:textId="50EED407"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lastRenderedPageBreak/>
        <w:t>A few months after I told the police, my mother's boyfriend drugged and raped me. We had to go back to the police station again, but he’d used a date rape drug that leaves your system quite quickly, so there was no evidence and he got away with it. After that, I started to rebel even more, hanging out with gangs and bad people. I ended up being gang raped by the Road Knights. But that was just my life – I thought there was no point in telling anyone because when I did, no one listened. I thought it was my fault because it happened so much, and I must have put myself in that situation. So I didn’t go to the police, I just kept it to myself.</w:t>
      </w:r>
      <w:r w:rsidRPr="004A0212">
        <w:rPr>
          <w:rStyle w:val="eop"/>
          <w:rFonts w:ascii="Arial" w:hAnsi="Arial" w:cs="Arial"/>
          <w:sz w:val="22"/>
          <w:szCs w:val="22"/>
        </w:rPr>
        <w:t> </w:t>
      </w:r>
    </w:p>
    <w:p w14:paraId="0AE63844" w14:textId="4EE3DA22"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 think through all that hardship I must be a born fighter – otherwise I would’ve gone the other way and ended up in jail or worse. But what happened while I was under the care of the children’s home, and afterwards, built up inside me for years. It affected my life. I’ve had anger issues, eating disorders and attempted to kill myself. I thought my parents didn’t have faith in me, and being bashed and raped was all I was good for. I have felt unworthy and not good enough, and that I will never amount to anything. It wasn’t a very blessed, fulfilled life.</w:t>
      </w:r>
      <w:r w:rsidRPr="004A0212">
        <w:rPr>
          <w:rStyle w:val="eop"/>
          <w:rFonts w:ascii="Arial" w:hAnsi="Arial" w:cs="Arial"/>
          <w:sz w:val="22"/>
          <w:szCs w:val="22"/>
        </w:rPr>
        <w:t> </w:t>
      </w:r>
    </w:p>
    <w:p w14:paraId="4A63215D" w14:textId="69CF8D03"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000000"/>
          <w:sz w:val="22"/>
          <w:szCs w:val="22"/>
          <w:lang w:eastAsia="en-US"/>
        </w:rPr>
      </w:pPr>
      <w:r w:rsidRPr="004A0212">
        <w:rPr>
          <w:rStyle w:val="normaltextrun"/>
          <w:rFonts w:ascii="Arial" w:hAnsi="Arial" w:cs="Arial"/>
          <w:sz w:val="22"/>
          <w:szCs w:val="22"/>
        </w:rPr>
        <w:t>That children’s home was like a haven for sexual predators. It’s just not acceptable to give a child to any person that says, “I’ll take a kid” and thinks, “you can pay me while I rape them for two weeks”. </w:t>
      </w:r>
      <w:r w:rsidRPr="004A0212">
        <w:rPr>
          <w:rStyle w:val="eop"/>
          <w:rFonts w:ascii="Arial" w:hAnsi="Arial" w:cs="Arial"/>
          <w:sz w:val="22"/>
          <w:szCs w:val="22"/>
        </w:rPr>
        <w:t> </w:t>
      </w:r>
    </w:p>
    <w:p w14:paraId="771DBA9A" w14:textId="5A618B53" w:rsidR="00FE4E56" w:rsidRPr="004968E1" w:rsidRDefault="00FE4E56" w:rsidP="00B927A7">
      <w:pPr>
        <w:pStyle w:val="paragraph"/>
        <w:spacing w:before="0" w:beforeAutospacing="0" w:after="200" w:afterAutospacing="0" w:line="276" w:lineRule="auto"/>
        <w:textAlignment w:val="baseline"/>
        <w:rPr>
          <w:rFonts w:ascii="Arial" w:hAnsi="Arial" w:cs="Arial"/>
          <w:color w:val="000000"/>
          <w:sz w:val="22"/>
          <w:szCs w:val="22"/>
        </w:rPr>
      </w:pPr>
      <w:r w:rsidRPr="004A0212">
        <w:rPr>
          <w:rStyle w:val="normaltextrun"/>
          <w:rFonts w:ascii="Arial" w:hAnsi="Arial" w:cs="Arial"/>
          <w:color w:val="000000"/>
          <w:sz w:val="22"/>
          <w:szCs w:val="22"/>
        </w:rPr>
        <w:t xml:space="preserve">A Methodist representative looked at records from the children’s home and there’s actually a note saying that foster couple wasn’t suitable to care for children, yet I was still sent there. There was also a note saying I had specifically asked not to go back to them.  I have wished someone else would come forward and say they were also raped by that man because it would validate me, would know in my heard it was true. </w:t>
      </w:r>
      <w:r w:rsidRPr="004A0212">
        <w:rPr>
          <w:rStyle w:val="eop"/>
          <w:rFonts w:ascii="Arial" w:hAnsi="Arial" w:cs="Arial"/>
          <w:color w:val="000000"/>
          <w:sz w:val="22"/>
          <w:szCs w:val="22"/>
        </w:rPr>
        <w:t> </w:t>
      </w:r>
    </w:p>
    <w:p w14:paraId="0B182273" w14:textId="435757EC"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Not being believed extended into my whole life – I thought I was never going to be able to fulfil any dreams or succeed at anything. If things had been different, I could have become a police officer like I wanted to. It was a big shame I could never fulfil my potential because nobody gave a shit.</w:t>
      </w:r>
      <w:r w:rsidRPr="004A0212">
        <w:rPr>
          <w:rStyle w:val="eop"/>
          <w:rFonts w:ascii="Arial" w:hAnsi="Arial" w:cs="Arial"/>
          <w:sz w:val="22"/>
          <w:szCs w:val="22"/>
        </w:rPr>
        <w:t> </w:t>
      </w:r>
    </w:p>
    <w:p w14:paraId="6C494A45" w14:textId="19F2D7D0" w:rsidR="00FE4E56" w:rsidRPr="004A0212" w:rsidRDefault="00FE4E56" w:rsidP="00B927A7">
      <w:pPr>
        <w:pStyle w:val="paragraph"/>
        <w:spacing w:before="0" w:beforeAutospacing="0" w:after="200" w:afterAutospacing="0" w:line="276" w:lineRule="auto"/>
        <w:textAlignment w:val="baseline"/>
        <w:rPr>
          <w:rStyle w:val="normaltextrun"/>
          <w:rFonts w:ascii="Arial" w:eastAsiaTheme="minorHAnsi" w:hAnsi="Arial" w:cs="Arial"/>
          <w:color w:val="404040" w:themeColor="text1" w:themeTint="BF"/>
          <w:sz w:val="22"/>
          <w:szCs w:val="22"/>
          <w:lang w:eastAsia="en-US"/>
        </w:rPr>
      </w:pPr>
      <w:r w:rsidRPr="004A0212">
        <w:rPr>
          <w:rStyle w:val="normaltextrun"/>
          <w:rFonts w:ascii="Arial" w:hAnsi="Arial" w:cs="Arial"/>
          <w:sz w:val="22"/>
          <w:szCs w:val="22"/>
        </w:rPr>
        <w:t>In late 2019, we heard the Methodist Church was looking for people to come forward for church redress. I never asked for money, so getting that was a bonus. The impact of the abuse meant my whole life and earning ability had been affected and I was never going to have a chance to make that money myself. </w:t>
      </w:r>
      <w:r w:rsidRPr="004A0212">
        <w:rPr>
          <w:rStyle w:val="eop"/>
          <w:rFonts w:ascii="Arial" w:hAnsi="Arial" w:cs="Arial"/>
          <w:sz w:val="22"/>
          <w:szCs w:val="22"/>
        </w:rPr>
        <w:t> </w:t>
      </w:r>
    </w:p>
    <w:p w14:paraId="137E0B60" w14:textId="361F5D41"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However, for me, the redress was about finally being heard, listened to and hearing them say they had failed me. It was about the recognition, the record and the apology. </w:t>
      </w:r>
      <w:r w:rsidRPr="004A0212">
        <w:rPr>
          <w:rStyle w:val="eop"/>
          <w:rFonts w:ascii="Arial" w:hAnsi="Arial" w:cs="Arial"/>
          <w:sz w:val="22"/>
          <w:szCs w:val="22"/>
        </w:rPr>
        <w:t> </w:t>
      </w:r>
    </w:p>
    <w:p w14:paraId="658711D4" w14:textId="44F7A9E1" w:rsidR="00FE4E56" w:rsidRPr="004A0212" w:rsidRDefault="00FE4E56" w:rsidP="00B927A7">
      <w:pPr>
        <w:pStyle w:val="paragraph"/>
        <w:spacing w:before="0" w:beforeAutospacing="0" w:after="200" w:afterAutospacing="0" w:line="276" w:lineRule="auto"/>
        <w:textAlignment w:val="baseline"/>
        <w:rPr>
          <w:rFonts w:ascii="Segoe UI" w:hAnsi="Segoe UI" w:cs="Segoe UI"/>
          <w:sz w:val="18"/>
          <w:szCs w:val="18"/>
        </w:rPr>
      </w:pPr>
      <w:r w:rsidRPr="004A0212">
        <w:rPr>
          <w:rStyle w:val="normaltextrun"/>
          <w:rFonts w:ascii="Arial" w:hAnsi="Arial" w:cs="Arial"/>
          <w:sz w:val="22"/>
          <w:szCs w:val="22"/>
        </w:rPr>
        <w:t>All I wanted was to be heard.</w:t>
      </w:r>
      <w:r w:rsidRPr="004A0212">
        <w:rPr>
          <w:rStyle w:val="EndnoteReference"/>
          <w:rFonts w:ascii="Arial" w:hAnsi="Arial"/>
          <w:sz w:val="22"/>
          <w:szCs w:val="22"/>
        </w:rPr>
        <w:endnoteReference w:id="184"/>
      </w:r>
    </w:p>
    <w:bookmarkEnd w:id="243"/>
    <w:p w14:paraId="2D9205DF" w14:textId="22FABBF2" w:rsidR="00FE4E56" w:rsidRPr="004A0212" w:rsidRDefault="00FE4E56" w:rsidP="00B927A7">
      <w:pPr>
        <w:keepLines w:val="0"/>
        <w:spacing w:line="276" w:lineRule="auto"/>
        <w:rPr>
          <w:rFonts w:ascii="Arial" w:hAnsi="Arial" w:cs="Arial"/>
          <w:b/>
          <w:bCs/>
          <w:color w:val="4F7D29" w:themeColor="accent4"/>
          <w:sz w:val="36"/>
          <w:szCs w:val="36"/>
          <w:lang w:val="pt-BR"/>
        </w:rPr>
      </w:pPr>
      <w:r>
        <w:rPr>
          <w:rFonts w:ascii="Arial" w:hAnsi="Arial" w:cs="Arial"/>
          <w:b/>
          <w:bCs/>
          <w:color w:val="4F7D29" w:themeColor="accent4"/>
          <w:sz w:val="36"/>
          <w:szCs w:val="36"/>
          <w:lang w:val="pt-BR"/>
        </w:rPr>
        <w:br w:type="page"/>
      </w:r>
    </w:p>
    <w:p w14:paraId="01FFB852" w14:textId="79E24C44" w:rsidR="00FE4E56" w:rsidRPr="00D97A2A" w:rsidRDefault="00FE4E56" w:rsidP="004968E1">
      <w:pPr>
        <w:pStyle w:val="BodyText"/>
        <w:rPr>
          <w:rFonts w:ascii="Arial" w:hAnsi="Arial" w:cs="Arial"/>
          <w:color w:val="4F7D29" w:themeColor="accent4"/>
          <w:sz w:val="22"/>
          <w:szCs w:val="22"/>
          <w:lang w:val="pt-BR"/>
        </w:rPr>
      </w:pPr>
      <w:r w:rsidRPr="004968E1">
        <w:rPr>
          <w:rStyle w:val="ui-provider"/>
          <w:rFonts w:ascii="Arial" w:hAnsi="Arial" w:cs="Arial"/>
          <w:bCs/>
          <w:iCs/>
          <w:sz w:val="22"/>
          <w:szCs w:val="22"/>
        </w:rPr>
        <w:lastRenderedPageBreak/>
        <w:t>[</w:t>
      </w:r>
      <w:r>
        <w:rPr>
          <w:rStyle w:val="ui-provider"/>
          <w:rFonts w:ascii="Arial" w:hAnsi="Arial" w:cs="Arial"/>
          <w:bCs/>
          <w:iCs/>
          <w:sz w:val="22"/>
          <w:szCs w:val="22"/>
        </w:rPr>
        <w:t>S</w:t>
      </w:r>
      <w:r w:rsidRPr="004968E1">
        <w:rPr>
          <w:rStyle w:val="ui-provider"/>
          <w:rFonts w:ascii="Arial" w:hAnsi="Arial" w:cs="Arial"/>
          <w:bCs/>
          <w:iCs/>
          <w:sz w:val="22"/>
          <w:szCs w:val="22"/>
        </w:rPr>
        <w:t>urvivor quote</w:t>
      </w:r>
      <w:r>
        <w:rPr>
          <w:rStyle w:val="ui-provider"/>
          <w:rFonts w:ascii="Arial" w:hAnsi="Arial" w:cs="Arial"/>
          <w:bCs/>
          <w:iCs/>
          <w:sz w:val="22"/>
          <w:szCs w:val="22"/>
        </w:rPr>
        <w:t xml:space="preserve"> preceding survivor profile</w:t>
      </w:r>
      <w:r w:rsidRPr="004968E1">
        <w:rPr>
          <w:rStyle w:val="ui-provider"/>
          <w:rFonts w:ascii="Arial" w:hAnsi="Arial" w:cs="Arial"/>
          <w:bCs/>
          <w:iCs/>
          <w:sz w:val="22"/>
          <w:szCs w:val="22"/>
        </w:rPr>
        <w:t>]</w:t>
      </w:r>
    </w:p>
    <w:p w14:paraId="1597D731" w14:textId="6D7B4850" w:rsidR="00FE4E56" w:rsidRPr="00D97A2A" w:rsidRDefault="00FE4E56" w:rsidP="004968E1">
      <w:pPr>
        <w:pStyle w:val="AllQuotes"/>
        <w:rPr>
          <w:rStyle w:val="ui-provider"/>
          <w:rFonts w:cs="Arial"/>
          <w:b/>
          <w:bCs/>
          <w:iCs/>
          <w:szCs w:val="22"/>
        </w:rPr>
      </w:pPr>
      <w:r w:rsidRPr="004968E1">
        <w:rPr>
          <w:rStyle w:val="ui-provider"/>
          <w:rFonts w:cs="Arial"/>
          <w:b/>
          <w:bCs/>
          <w:iCs/>
          <w:szCs w:val="22"/>
        </w:rPr>
        <w:t>“I was never schizophrenic, I was simply a lesbian” </w:t>
      </w:r>
    </w:p>
    <w:p w14:paraId="5414F37D" w14:textId="77777777" w:rsidR="00FE4E56" w:rsidRDefault="00FE4E56" w:rsidP="00771662">
      <w:pPr>
        <w:pStyle w:val="AllQuotes"/>
        <w:rPr>
          <w:rStyle w:val="ui-provider"/>
          <w:rFonts w:cs="Arial"/>
          <w:b/>
          <w:bCs/>
          <w:iCs/>
          <w:szCs w:val="22"/>
        </w:rPr>
      </w:pPr>
      <w:r w:rsidRPr="00D97A2A">
        <w:rPr>
          <w:rStyle w:val="ui-provider"/>
          <w:rFonts w:cs="Arial"/>
          <w:b/>
          <w:bCs/>
          <w:iCs/>
          <w:szCs w:val="22"/>
        </w:rPr>
        <w:t>Ms OF</w:t>
      </w:r>
    </w:p>
    <w:p w14:paraId="7032550A" w14:textId="725222FB" w:rsidR="00FE4E56" w:rsidRDefault="00FE4E56" w:rsidP="00771662">
      <w:pPr>
        <w:pStyle w:val="AllQuotes"/>
        <w:rPr>
          <w:rStyle w:val="ui-provider"/>
          <w:rFonts w:cs="Arial"/>
          <w:b/>
          <w:bCs/>
          <w:iCs/>
          <w:szCs w:val="22"/>
        </w:rPr>
      </w:pPr>
      <w:r w:rsidRPr="00D97A2A">
        <w:rPr>
          <w:rStyle w:val="ui-provider"/>
          <w:rFonts w:cs="Arial"/>
          <w:b/>
          <w:bCs/>
          <w:iCs/>
          <w:szCs w:val="22"/>
        </w:rPr>
        <w:t>M</w:t>
      </w:r>
      <w:r w:rsidRPr="00D97A2A">
        <w:rPr>
          <w:rStyle w:val="ui-provider"/>
          <w:rFonts w:cs="Arial" w:hint="eastAsia"/>
          <w:b/>
          <w:bCs/>
          <w:iCs/>
          <w:szCs w:val="22"/>
        </w:rPr>
        <w:t>ā</w:t>
      </w:r>
      <w:r w:rsidRPr="00D97A2A">
        <w:rPr>
          <w:rStyle w:val="ui-provider"/>
          <w:rFonts w:cs="Arial"/>
          <w:b/>
          <w:bCs/>
          <w:iCs/>
          <w:szCs w:val="22"/>
        </w:rPr>
        <w:t>ori (Ng</w:t>
      </w:r>
      <w:r w:rsidRPr="00D97A2A">
        <w:rPr>
          <w:rStyle w:val="ui-provider"/>
          <w:rFonts w:cs="Arial" w:hint="eastAsia"/>
          <w:b/>
          <w:bCs/>
          <w:iCs/>
          <w:szCs w:val="22"/>
        </w:rPr>
        <w:t>ā</w:t>
      </w:r>
      <w:r w:rsidRPr="00D97A2A">
        <w:rPr>
          <w:rStyle w:val="ui-provider"/>
          <w:rFonts w:cs="Arial"/>
          <w:b/>
          <w:bCs/>
          <w:iCs/>
          <w:szCs w:val="22"/>
        </w:rPr>
        <w:t>ti Kahungunu)</w:t>
      </w:r>
    </w:p>
    <w:p w14:paraId="5463F20F" w14:textId="77777777" w:rsidR="00FE4E56" w:rsidRDefault="00FE4E56" w:rsidP="00771662">
      <w:pPr>
        <w:pStyle w:val="AllQuotes"/>
        <w:ind w:left="0"/>
      </w:pPr>
    </w:p>
    <w:p w14:paraId="207215F3" w14:textId="059C89FF" w:rsidR="00FE4E56" w:rsidRPr="004A0212" w:rsidRDefault="00FE4E56" w:rsidP="00771662">
      <w:pPr>
        <w:pStyle w:val="AllQuotes"/>
        <w:ind w:left="0"/>
        <w:rPr>
          <w:rFonts w:eastAsia="Times New Roman"/>
        </w:rPr>
      </w:pPr>
    </w:p>
    <w:p w14:paraId="519BAFE4" w14:textId="77777777" w:rsidR="00FE4E56" w:rsidRPr="004A0212" w:rsidRDefault="00FE4E56" w:rsidP="00282055">
      <w:pPr>
        <w:pStyle w:val="Heading1"/>
        <w:rPr>
          <w:color w:val="3B5D1E" w:themeColor="accent4" w:themeShade="BF"/>
        </w:rPr>
      </w:pPr>
      <w:bookmarkStart w:id="246" w:name="_Toc243368746"/>
      <w:bookmarkStart w:id="247" w:name="_Toc181084828"/>
      <w:r w:rsidRPr="004A0212">
        <w:rPr>
          <w:color w:val="3B5D1E" w:themeColor="accent4" w:themeShade="BF"/>
        </w:rPr>
        <w:t>Ngā wheako o te purapura ora</w:t>
      </w:r>
      <w:bookmarkEnd w:id="246"/>
      <w:bookmarkEnd w:id="247"/>
    </w:p>
    <w:p w14:paraId="538D8DE1" w14:textId="198FC464" w:rsidR="00FE4E56" w:rsidRPr="004A0212" w:rsidRDefault="00FE4E56" w:rsidP="00282055">
      <w:pPr>
        <w:pStyle w:val="Heading1"/>
        <w:rPr>
          <w:color w:val="3B5D1E" w:themeColor="accent4" w:themeShade="BF"/>
        </w:rPr>
      </w:pPr>
      <w:bookmarkStart w:id="248" w:name="_Toc181084829"/>
      <w:r w:rsidRPr="004A0212">
        <w:rPr>
          <w:color w:val="3B5D1E" w:themeColor="accent4" w:themeShade="BF"/>
        </w:rPr>
        <w:t>Survivor experience: Ms OF</w:t>
      </w:r>
      <w:bookmarkEnd w:id="248"/>
    </w:p>
    <w:p w14:paraId="2D6D392E" w14:textId="77777777" w:rsidR="00FE4E56" w:rsidRPr="004A0212" w:rsidRDefault="00FE4E56" w:rsidP="00DC5252">
      <w:pPr>
        <w:pStyle w:val="Alldraftingnotes"/>
      </w:pPr>
      <w:r w:rsidRPr="004A0212">
        <w:t xml:space="preserve">Name </w:t>
      </w:r>
      <w:r w:rsidRPr="004A0212">
        <w:rPr>
          <w:b w:val="0"/>
          <w:bCs/>
        </w:rPr>
        <w:t>Ms OF</w:t>
      </w:r>
      <w:r w:rsidRPr="004A0212">
        <w:t xml:space="preserve"> </w:t>
      </w:r>
    </w:p>
    <w:p w14:paraId="523751FB" w14:textId="77777777" w:rsidR="00FE4E56" w:rsidRPr="004A0212" w:rsidRDefault="00FE4E56" w:rsidP="00DC5252">
      <w:pPr>
        <w:pStyle w:val="Alldraftingnotes"/>
      </w:pPr>
      <w:r w:rsidRPr="004A0212">
        <w:t xml:space="preserve">Hometown </w:t>
      </w:r>
      <w:r w:rsidRPr="004A0212">
        <w:rPr>
          <w:b w:val="0"/>
          <w:bCs/>
        </w:rPr>
        <w:t>Waihopai Invercargill</w:t>
      </w:r>
      <w:r w:rsidRPr="004A0212">
        <w:t xml:space="preserve"> </w:t>
      </w:r>
    </w:p>
    <w:p w14:paraId="2F50F3D5" w14:textId="18F41D04" w:rsidR="00FE4E56" w:rsidRPr="004A0212" w:rsidRDefault="00FE4E56" w:rsidP="00DC5252">
      <w:pPr>
        <w:pStyle w:val="Alldraftingnotes"/>
      </w:pPr>
      <w:r w:rsidRPr="004A0212">
        <w:t xml:space="preserve">Age when entered care </w:t>
      </w:r>
      <w:r w:rsidRPr="004A0212">
        <w:rPr>
          <w:b w:val="0"/>
          <w:bCs/>
        </w:rPr>
        <w:t>1</w:t>
      </w:r>
      <w:r>
        <w:rPr>
          <w:b w:val="0"/>
          <w:bCs/>
        </w:rPr>
        <w:t>7</w:t>
      </w:r>
      <w:r w:rsidRPr="004A0212">
        <w:rPr>
          <w:b w:val="0"/>
          <w:bCs/>
        </w:rPr>
        <w:t xml:space="preserve">years old  </w:t>
      </w:r>
    </w:p>
    <w:p w14:paraId="4FA71090" w14:textId="77777777" w:rsidR="00FE4E56" w:rsidRPr="004A0212" w:rsidRDefault="00FE4E56" w:rsidP="00DC5252">
      <w:pPr>
        <w:pStyle w:val="Alldraftingnotes"/>
      </w:pPr>
      <w:r w:rsidRPr="004A0212">
        <w:t xml:space="preserve">Year of birth </w:t>
      </w:r>
      <w:r w:rsidRPr="004A0212">
        <w:rPr>
          <w:b w:val="0"/>
          <w:bCs/>
        </w:rPr>
        <w:t xml:space="preserve">1960 </w:t>
      </w:r>
    </w:p>
    <w:p w14:paraId="57334A83" w14:textId="77777777" w:rsidR="00FE4E56" w:rsidRPr="004A0212" w:rsidRDefault="00FE4E56" w:rsidP="00DC5252">
      <w:pPr>
        <w:pStyle w:val="Alldraftingnotes"/>
      </w:pPr>
      <w:r w:rsidRPr="004A0212">
        <w:t xml:space="preserve">Time in care </w:t>
      </w:r>
      <w:r w:rsidRPr="004A0212">
        <w:rPr>
          <w:b w:val="0"/>
          <w:bCs/>
        </w:rPr>
        <w:t>1977–1984</w:t>
      </w:r>
      <w:r w:rsidRPr="004A0212">
        <w:t xml:space="preserve"> </w:t>
      </w:r>
    </w:p>
    <w:p w14:paraId="65BE7A80" w14:textId="52592D61" w:rsidR="00FE4E56" w:rsidRPr="004A0212" w:rsidRDefault="00FE4E56" w:rsidP="00DC5252">
      <w:pPr>
        <w:pStyle w:val="Alldraftingnotes"/>
      </w:pPr>
      <w:r w:rsidRPr="004A0212">
        <w:t xml:space="preserve">Type of care facility </w:t>
      </w:r>
      <w:r w:rsidRPr="004A0212">
        <w:rPr>
          <w:b w:val="0"/>
          <w:bCs/>
        </w:rPr>
        <w:t>Psychiatric hospital – Ward 12</w:t>
      </w:r>
      <w:r w:rsidRPr="00177D96">
        <w:rPr>
          <w:b w:val="0"/>
          <w:bCs/>
        </w:rPr>
        <w:t xml:space="preserve"> Southland Hospital</w:t>
      </w:r>
      <w:r>
        <w:rPr>
          <w:b w:val="0"/>
          <w:bCs/>
        </w:rPr>
        <w:t xml:space="preserve"> in </w:t>
      </w:r>
      <w:r w:rsidRPr="00E94190">
        <w:rPr>
          <w:b w:val="0"/>
          <w:bCs/>
        </w:rPr>
        <w:t>Waihōpai</w:t>
      </w:r>
      <w:r>
        <w:rPr>
          <w:b w:val="0"/>
          <w:bCs/>
        </w:rPr>
        <w:t xml:space="preserve"> Invercargill</w:t>
      </w:r>
      <w:r w:rsidRPr="004A0212">
        <w:rPr>
          <w:b w:val="0"/>
          <w:bCs/>
        </w:rPr>
        <w:t xml:space="preserve">, Cherry Farm </w:t>
      </w:r>
      <w:r w:rsidRPr="00177D96">
        <w:rPr>
          <w:b w:val="0"/>
          <w:bCs/>
        </w:rPr>
        <w:t>Psychiatric Hospital</w:t>
      </w:r>
      <w:r>
        <w:rPr>
          <w:b w:val="0"/>
          <w:bCs/>
        </w:rPr>
        <w:t xml:space="preserve"> in </w:t>
      </w:r>
      <w:r w:rsidRPr="00E94190">
        <w:rPr>
          <w:b w:val="0"/>
          <w:bCs/>
        </w:rPr>
        <w:t>Ōtepoti Dunedin</w:t>
      </w:r>
      <w:r w:rsidRPr="00177D96">
        <w:rPr>
          <w:b w:val="0"/>
          <w:bCs/>
        </w:rPr>
        <w:t>.</w:t>
      </w:r>
    </w:p>
    <w:p w14:paraId="576E6474" w14:textId="6AAA274E" w:rsidR="00FE4E56" w:rsidRPr="004A0212" w:rsidRDefault="00FE4E56" w:rsidP="00DC5252">
      <w:pPr>
        <w:pStyle w:val="Alldraftingnotes"/>
      </w:pPr>
      <w:r w:rsidRPr="004A0212">
        <w:t xml:space="preserve">Ethnicity </w:t>
      </w:r>
      <w:r w:rsidRPr="004A0212">
        <w:rPr>
          <w:b w:val="0"/>
          <w:bCs/>
        </w:rPr>
        <w:t xml:space="preserve">Māori </w:t>
      </w:r>
      <w:r>
        <w:rPr>
          <w:b w:val="0"/>
          <w:bCs/>
        </w:rPr>
        <w:t>(</w:t>
      </w:r>
      <w:r w:rsidRPr="004A0212">
        <w:rPr>
          <w:b w:val="0"/>
          <w:bCs/>
        </w:rPr>
        <w:t>Ngāti Kahungunu</w:t>
      </w:r>
      <w:r>
        <w:t>)</w:t>
      </w:r>
    </w:p>
    <w:p w14:paraId="41109BD2" w14:textId="77777777" w:rsidR="00FE4E56" w:rsidRPr="004A0212" w:rsidRDefault="00FE4E56" w:rsidP="00DC5252">
      <w:pPr>
        <w:pStyle w:val="Alldraftingnotes"/>
        <w:rPr>
          <w:b w:val="0"/>
          <w:bCs/>
        </w:rPr>
      </w:pPr>
      <w:r w:rsidRPr="004A0212">
        <w:rPr>
          <w:bCs/>
        </w:rPr>
        <w:t>Whānau background</w:t>
      </w:r>
      <w:r w:rsidRPr="004A0212">
        <w:rPr>
          <w:b w:val="0"/>
          <w:bCs/>
        </w:rPr>
        <w:t xml:space="preserve"> Growing up, Ms OF’s home life could be violent, but she knew she was loved and supported. She is close to her brother and four sisters. Ms OF was the only child to go into care, and her parents were devastated to find out what happened to her at Cherry Farm. Her mother has since passed away, and her father still lives in Invercargill. They have a reasonable relationship.  </w:t>
      </w:r>
    </w:p>
    <w:p w14:paraId="08DC42AD" w14:textId="30F4DD6D" w:rsidR="00FE4E56" w:rsidRPr="004A0212" w:rsidRDefault="00FE4E56" w:rsidP="00DC5252">
      <w:pPr>
        <w:pStyle w:val="Alldraftingnotes"/>
        <w:rPr>
          <w:b w:val="0"/>
          <w:bCs/>
        </w:rPr>
      </w:pPr>
      <w:r w:rsidRPr="004A0212">
        <w:rPr>
          <w:bCs/>
        </w:rPr>
        <w:t>Current</w:t>
      </w:r>
      <w:r>
        <w:rPr>
          <w:bCs/>
        </w:rPr>
        <w:t>ly</w:t>
      </w:r>
      <w:r w:rsidRPr="004A0212">
        <w:rPr>
          <w:b w:val="0"/>
          <w:bCs/>
        </w:rPr>
        <w:t xml:space="preserve"> Ms OF has a partner, who encouraged her to study. She also has a daughter in her thirties, and a grandson. She was friends with her daughter’s father but not in a relationship with him. Her daughter has been diagnosed as being on the autism spectrum.</w:t>
      </w:r>
    </w:p>
    <w:p w14:paraId="06AB6137" w14:textId="77777777" w:rsidR="00FE4E56" w:rsidRDefault="00FE4E56" w:rsidP="00DC5252">
      <w:pPr>
        <w:pStyle w:val="Alldraftingnotes"/>
        <w:rPr>
          <w:b w:val="0"/>
          <w:bCs/>
        </w:rPr>
      </w:pPr>
    </w:p>
    <w:p w14:paraId="04F6A38B" w14:textId="336D643E" w:rsidR="00FE4E56" w:rsidRPr="004A0212" w:rsidRDefault="00FE4E56" w:rsidP="00D97A2A">
      <w:pPr>
        <w:pStyle w:val="Alldraftingnotes"/>
        <w:spacing w:before="0" w:after="200"/>
        <w:rPr>
          <w:b w:val="0"/>
          <w:bCs/>
        </w:rPr>
      </w:pPr>
      <w:r w:rsidRPr="004A0212">
        <w:rPr>
          <w:b w:val="0"/>
          <w:bCs/>
        </w:rPr>
        <w:t xml:space="preserve">I was in Cherry Farm on and off for 10 years. I was told I was crazy, and treated like I was crazy, but I wasn’t crazy when I went in there.  </w:t>
      </w:r>
    </w:p>
    <w:p w14:paraId="04ECC3EC" w14:textId="77777777" w:rsidR="00FE4E56" w:rsidRPr="004A0212" w:rsidRDefault="00FE4E56" w:rsidP="00D97A2A">
      <w:pPr>
        <w:pStyle w:val="Alldraftingnotes"/>
        <w:spacing w:before="0" w:after="200"/>
        <w:rPr>
          <w:b w:val="0"/>
          <w:bCs/>
        </w:rPr>
      </w:pPr>
      <w:r w:rsidRPr="004A0212">
        <w:rPr>
          <w:b w:val="0"/>
          <w:bCs/>
        </w:rPr>
        <w:t xml:space="preserve">Growing up, I had a family that loved me, but it wasn’t the best environment. There was the normal sort of argy-bargy with my brother and sisters, and my parents fought a lot, but it was a violent home. There was no engagement with te ao Māori or with my culture. My father was frustrated with how Pākehā treated Māori.  </w:t>
      </w:r>
    </w:p>
    <w:p w14:paraId="0A24DF99" w14:textId="77777777" w:rsidR="00FE4E56" w:rsidRPr="004A0212" w:rsidRDefault="00FE4E56" w:rsidP="00D97A2A">
      <w:pPr>
        <w:pStyle w:val="Alldraftingnotes"/>
        <w:spacing w:before="0" w:after="200"/>
        <w:rPr>
          <w:b w:val="0"/>
          <w:bCs/>
        </w:rPr>
      </w:pPr>
      <w:r w:rsidRPr="004A0212">
        <w:rPr>
          <w:b w:val="0"/>
          <w:bCs/>
        </w:rPr>
        <w:t xml:space="preserve">Several factors combined to make me depressed and angry, including being sexually abused by a friend’s father for about three years from 6 years old, struggling with my sexuality, and my best friend moving away when I was around 16 years old. As a result, I got into trouble a lot at school. I wasn’t stupid but I was put in the ‘cabbage’ class. I think I was treated pretty unfairly throughout school simply because I am Māori.  </w:t>
      </w:r>
    </w:p>
    <w:p w14:paraId="43A2A029" w14:textId="77777777" w:rsidR="00FE4E56" w:rsidRPr="004A0212" w:rsidRDefault="00FE4E56" w:rsidP="00D97A2A">
      <w:pPr>
        <w:pStyle w:val="Alldraftingnotes"/>
        <w:spacing w:before="0" w:after="200"/>
        <w:rPr>
          <w:b w:val="0"/>
          <w:bCs/>
        </w:rPr>
      </w:pPr>
      <w:r w:rsidRPr="004A0212">
        <w:rPr>
          <w:b w:val="0"/>
          <w:bCs/>
        </w:rPr>
        <w:lastRenderedPageBreak/>
        <w:t xml:space="preserve">I began attempting to take my own life and was admitted to hospital – and they just sent me over to Ward 12. I was admitted maybe three times that year. Before that, I had seen a school counsellor but not a psychiatrist. I had been involved with Ward 12 for probably for a year before an incident that led to police involvement. I was then remanded to Cherry Farm for psychiatric assessment.   </w:t>
      </w:r>
    </w:p>
    <w:p w14:paraId="50E72BD8" w14:textId="77777777" w:rsidR="00FE4E56" w:rsidRPr="004A0212" w:rsidRDefault="00FE4E56" w:rsidP="00D97A2A">
      <w:pPr>
        <w:pStyle w:val="Alldraftingnotes"/>
        <w:spacing w:before="0" w:after="200"/>
        <w:rPr>
          <w:b w:val="0"/>
          <w:bCs/>
        </w:rPr>
      </w:pPr>
      <w:r w:rsidRPr="004A0212">
        <w:rPr>
          <w:b w:val="0"/>
          <w:bCs/>
        </w:rPr>
        <w:t xml:space="preserve">I was 16. Up until then I had probably been depressed, but not psychotic.   </w:t>
      </w:r>
    </w:p>
    <w:p w14:paraId="4F89ED56" w14:textId="77777777" w:rsidR="00FE4E56" w:rsidRPr="004A0212" w:rsidRDefault="00FE4E56" w:rsidP="00D97A2A">
      <w:pPr>
        <w:pStyle w:val="Alldraftingnotes"/>
        <w:spacing w:before="0" w:after="200"/>
        <w:rPr>
          <w:b w:val="0"/>
          <w:bCs/>
        </w:rPr>
      </w:pPr>
      <w:r w:rsidRPr="004A0212">
        <w:rPr>
          <w:b w:val="0"/>
          <w:bCs/>
        </w:rPr>
        <w:t xml:space="preserve">On my first day, a woman who’d had a lobotomy picked me up and threw me, for no reason. In the showers, women would smack me in the back of the head, and nothing was done. I was in with a bunch of very unwell women.  </w:t>
      </w:r>
    </w:p>
    <w:p w14:paraId="7962DD59" w14:textId="77777777" w:rsidR="00FE4E56" w:rsidRPr="004A0212" w:rsidRDefault="00FE4E56" w:rsidP="00D97A2A">
      <w:pPr>
        <w:pStyle w:val="Alldraftingnotes"/>
        <w:spacing w:before="0" w:after="200"/>
        <w:rPr>
          <w:b w:val="0"/>
          <w:bCs/>
        </w:rPr>
      </w:pPr>
      <w:r w:rsidRPr="004A0212">
        <w:rPr>
          <w:b w:val="0"/>
          <w:bCs/>
        </w:rPr>
        <w:t xml:space="preserve">I saw a counsellor when I was admitted. I remember being told I was a lesbian because I had penis envy, and that I came out of my mother’s body the wrong way and got damaged on the way out. I was diagnosed as schizophrenic. However, I was never schizophrenic, I was simply a lesbian.   </w:t>
      </w:r>
    </w:p>
    <w:p w14:paraId="60D288C1" w14:textId="77777777" w:rsidR="00FE4E56" w:rsidRPr="004A0212" w:rsidRDefault="00FE4E56" w:rsidP="00D97A2A">
      <w:pPr>
        <w:pStyle w:val="Alldraftingnotes"/>
        <w:spacing w:before="0" w:after="200"/>
        <w:rPr>
          <w:b w:val="0"/>
          <w:bCs/>
        </w:rPr>
      </w:pPr>
      <w:r w:rsidRPr="004A0212">
        <w:rPr>
          <w:b w:val="0"/>
          <w:bCs/>
        </w:rPr>
        <w:t xml:space="preserve">They focused on the schizophrenia and what they described as my ‘personality disorder’. This involved constant treatment. I would act up about a lot of it, but they would simply increase my medication or add something new.   </w:t>
      </w:r>
    </w:p>
    <w:p w14:paraId="07D543D6" w14:textId="77777777" w:rsidR="00FE4E56" w:rsidRPr="004A0212" w:rsidRDefault="00FE4E56" w:rsidP="00D97A2A">
      <w:pPr>
        <w:pStyle w:val="Alldraftingnotes"/>
        <w:spacing w:before="0" w:after="200"/>
        <w:rPr>
          <w:b w:val="0"/>
          <w:bCs/>
        </w:rPr>
      </w:pPr>
      <w:r w:rsidRPr="004A0212">
        <w:rPr>
          <w:b w:val="0"/>
          <w:bCs/>
        </w:rPr>
        <w:t xml:space="preserve">I don’t believe my parents consented to me receiving ECT treatments. I don’t think they even knew about it until they came to visit. But they wouldn’t have challenged it because doctors were gods. Everyone’s view of doctors at the time was the same.  </w:t>
      </w:r>
    </w:p>
    <w:p w14:paraId="1B98158D" w14:textId="77777777" w:rsidR="00FE4E56" w:rsidRPr="004A0212" w:rsidRDefault="00FE4E56" w:rsidP="00D97A2A">
      <w:pPr>
        <w:pStyle w:val="Alldraftingnotes"/>
        <w:spacing w:before="0" w:after="200"/>
        <w:rPr>
          <w:b w:val="0"/>
          <w:bCs/>
        </w:rPr>
      </w:pPr>
      <w:r w:rsidRPr="004A0212">
        <w:rPr>
          <w:b w:val="0"/>
          <w:bCs/>
        </w:rPr>
        <w:t xml:space="preserve">A normal course of ECT was three times a week for two weeks but I would go four or five times a week for weeks on end. We’d be herded into a room and one after another we’d go in and then be trolleyed out. I was given anaesthetic, which contained a muscle relaxant to ensure I was asleep, and electrodes were put on my head. After the shock I would be zombified.   </w:t>
      </w:r>
    </w:p>
    <w:p w14:paraId="347F8D87" w14:textId="77777777" w:rsidR="00FE4E56" w:rsidRPr="004A0212" w:rsidRDefault="00FE4E56" w:rsidP="00D97A2A">
      <w:pPr>
        <w:pStyle w:val="Alldraftingnotes"/>
        <w:spacing w:before="0" w:after="200"/>
        <w:rPr>
          <w:b w:val="0"/>
          <w:bCs/>
        </w:rPr>
      </w:pPr>
      <w:r w:rsidRPr="004A0212">
        <w:rPr>
          <w:b w:val="0"/>
          <w:bCs/>
        </w:rPr>
        <w:t xml:space="preserve">We did a deep sleep programme in the narcosis unit where they filled us up with highly addictive barbiturates and didn’t tell us much. I wasn’t asked for my consent. It probably went on for six weeks, but it could have been several months. I was so out of it that I really can’t remember a lot of what went on.   </w:t>
      </w:r>
    </w:p>
    <w:p w14:paraId="1C653C93" w14:textId="77777777" w:rsidR="00FE4E56" w:rsidRPr="004A0212" w:rsidRDefault="00FE4E56" w:rsidP="00D97A2A">
      <w:pPr>
        <w:pStyle w:val="Alldraftingnotes"/>
        <w:spacing w:before="0" w:after="200"/>
        <w:rPr>
          <w:b w:val="0"/>
          <w:bCs/>
        </w:rPr>
      </w:pPr>
      <w:r w:rsidRPr="004A0212">
        <w:rPr>
          <w:b w:val="0"/>
          <w:bCs/>
        </w:rPr>
        <w:t xml:space="preserve">I do remember going to court when I was about 18 or 19. There was no social worker or support person, just nurses. I think I had to sign something after they decided what was going to happen to me. I believe I was put under a section of the Health Act where I had no say.   </w:t>
      </w:r>
    </w:p>
    <w:p w14:paraId="72D1A6A5" w14:textId="77777777" w:rsidR="00FE4E56" w:rsidRPr="004A0212" w:rsidRDefault="00FE4E56" w:rsidP="00D97A2A">
      <w:pPr>
        <w:pStyle w:val="Alldraftingnotes"/>
        <w:spacing w:before="0" w:after="200"/>
        <w:rPr>
          <w:b w:val="0"/>
          <w:bCs/>
        </w:rPr>
      </w:pPr>
      <w:r w:rsidRPr="004A0212">
        <w:rPr>
          <w:b w:val="0"/>
          <w:bCs/>
        </w:rPr>
        <w:t xml:space="preserve">The punishments at Cherry Farm were horrendous, and I started cutting myself because of them. I hadn’t been a slasher before that. We’d be put in seclusion, which meant being put in a room with windows and a cardboard potty for up to 12 days – they wouldn’t tell you how long it would be for. You’d be naked with only a horse blanket, and they’d observe you. I hated isolation and I don’t like locked doors because of it.   </w:t>
      </w:r>
    </w:p>
    <w:p w14:paraId="6FF30093" w14:textId="77777777" w:rsidR="00FE4E56" w:rsidRPr="004A0212" w:rsidRDefault="00FE4E56" w:rsidP="00D97A2A">
      <w:pPr>
        <w:pStyle w:val="Alldraftingnotes"/>
        <w:spacing w:before="0" w:after="200"/>
        <w:rPr>
          <w:b w:val="0"/>
          <w:bCs/>
        </w:rPr>
      </w:pPr>
      <w:r w:rsidRPr="004A0212">
        <w:rPr>
          <w:b w:val="0"/>
          <w:bCs/>
        </w:rPr>
        <w:t xml:space="preserve">I was never sexually assaulted at Cherry Farm but there was some physical harm. Once I had a serious cut on my wrist, which the doctor stitched without anaesthetic, on purpose. The pain was excruciating but I didn’t want that bastard doctor to see me cry. A student nurse was watching, and she cried.   </w:t>
      </w:r>
    </w:p>
    <w:p w14:paraId="5869F253" w14:textId="77777777" w:rsidR="00FE4E56" w:rsidRPr="004A0212" w:rsidRDefault="00FE4E56" w:rsidP="00D97A2A">
      <w:pPr>
        <w:pStyle w:val="Alldraftingnotes"/>
        <w:spacing w:before="0" w:after="200"/>
        <w:rPr>
          <w:b w:val="0"/>
          <w:bCs/>
        </w:rPr>
      </w:pPr>
      <w:r w:rsidRPr="004A0212">
        <w:rPr>
          <w:b w:val="0"/>
          <w:bCs/>
        </w:rPr>
        <w:lastRenderedPageBreak/>
        <w:t xml:space="preserve">When I first went to Cherry Farm, there were separate units for males and females. Once, as punishment, I was taken to the male ward. There were rapists, murderers and child molesters in there. Men would also do stuff to your clothes in the drying room and your clothes would be covered in whatever.  </w:t>
      </w:r>
    </w:p>
    <w:p w14:paraId="73823BC8" w14:textId="77777777" w:rsidR="00FE4E56" w:rsidRPr="004A0212" w:rsidRDefault="00FE4E56" w:rsidP="00D97A2A">
      <w:pPr>
        <w:pStyle w:val="Alldraftingnotes"/>
        <w:spacing w:before="0" w:after="200"/>
        <w:rPr>
          <w:b w:val="0"/>
          <w:bCs/>
        </w:rPr>
      </w:pPr>
      <w:r w:rsidRPr="004A0212">
        <w:rPr>
          <w:b w:val="0"/>
          <w:bCs/>
        </w:rPr>
        <w:t xml:space="preserve">I was afraid of men even before I went to Cherry Farm. I didn’t like being around them, except for my brother and father. I think the staff knew about my fear. Male staff would observe me when I was naked and supervise baths and showers. We couldn’t do anything because if we misbehaved, we’d be dragged down to seclusion again.   </w:t>
      </w:r>
    </w:p>
    <w:p w14:paraId="663C5B7E" w14:textId="77777777" w:rsidR="00FE4E56" w:rsidRPr="004A0212" w:rsidRDefault="00FE4E56" w:rsidP="00D97A2A">
      <w:pPr>
        <w:pStyle w:val="Alldraftingnotes"/>
        <w:spacing w:before="0" w:after="200"/>
        <w:rPr>
          <w:b w:val="0"/>
          <w:bCs/>
        </w:rPr>
      </w:pPr>
      <w:r w:rsidRPr="004A0212">
        <w:rPr>
          <w:b w:val="0"/>
          <w:bCs/>
        </w:rPr>
        <w:t xml:space="preserve">I did make some friends in there and I was close with some of the nurses. One gave me a hug once, but a senior nurse saw it, so the nurse was shipped off to another unit. I thought it was weird they couldn’t even show affection.   </w:t>
      </w:r>
    </w:p>
    <w:p w14:paraId="348EEA15" w14:textId="77777777" w:rsidR="00FE4E56" w:rsidRPr="004A0212" w:rsidRDefault="00FE4E56" w:rsidP="00D97A2A">
      <w:pPr>
        <w:pStyle w:val="Alldraftingnotes"/>
        <w:spacing w:before="0" w:after="200"/>
        <w:rPr>
          <w:b w:val="0"/>
          <w:bCs/>
        </w:rPr>
      </w:pPr>
      <w:r w:rsidRPr="004A0212">
        <w:rPr>
          <w:b w:val="0"/>
          <w:bCs/>
        </w:rPr>
        <w:t xml:space="preserve">Mum and Dad came to visit every month and it was traumatising for them. It was clear I wasn’t getting any better, and they couldn’t understand it. Dad told me how one time I was dribbling and incoherent. I don’t remember that, but he said it was simply heartbreaking. They were devastated when they found out what happened to me. Mum died thinking it was their fault. I’ve told Dad we can’t go back and change it, but I do feel sorry they feel so guilty.  </w:t>
      </w:r>
    </w:p>
    <w:p w14:paraId="69B70463" w14:textId="77777777" w:rsidR="00FE4E56" w:rsidRPr="004A0212" w:rsidRDefault="00FE4E56" w:rsidP="00D97A2A">
      <w:pPr>
        <w:pStyle w:val="Alldraftingnotes"/>
        <w:spacing w:before="0" w:after="200"/>
        <w:rPr>
          <w:b w:val="0"/>
          <w:bCs/>
        </w:rPr>
      </w:pPr>
      <w:r w:rsidRPr="004A0212">
        <w:rPr>
          <w:b w:val="0"/>
          <w:bCs/>
        </w:rPr>
        <w:t xml:space="preserve">I got out because one of the doctors saved me. She took me under her wing, got me off the drugs and into a job. She said she understood this wasn’t right and that a young woman shouldn’t be like this.  </w:t>
      </w:r>
    </w:p>
    <w:p w14:paraId="2D304539" w14:textId="77777777" w:rsidR="00FE4E56" w:rsidRPr="004A0212" w:rsidRDefault="00FE4E56" w:rsidP="00D97A2A">
      <w:pPr>
        <w:pStyle w:val="Alldraftingnotes"/>
        <w:spacing w:before="0" w:after="200"/>
        <w:rPr>
          <w:b w:val="0"/>
          <w:bCs/>
        </w:rPr>
      </w:pPr>
      <w:r w:rsidRPr="004A0212">
        <w:rPr>
          <w:b w:val="0"/>
          <w:bCs/>
        </w:rPr>
        <w:t xml:space="preserve">When I left, I initially went home to my parents, then moved in with my sister and got a job. It was hard because I didn’t know how to function properly and I had a lot of issues, particularly with alcohol. This became too much so I went to AA and got sober.  </w:t>
      </w:r>
    </w:p>
    <w:p w14:paraId="2FDC6DD4" w14:textId="77777777" w:rsidR="00FE4E56" w:rsidRPr="004A0212" w:rsidRDefault="00FE4E56" w:rsidP="00D97A2A">
      <w:pPr>
        <w:pStyle w:val="Alldraftingnotes"/>
        <w:spacing w:before="0" w:after="200"/>
        <w:rPr>
          <w:b w:val="0"/>
          <w:bCs/>
        </w:rPr>
      </w:pPr>
      <w:r w:rsidRPr="004A0212">
        <w:rPr>
          <w:b w:val="0"/>
          <w:bCs/>
        </w:rPr>
        <w:t xml:space="preserve">I had my daughter in 1989. I was friends with her father, but we weren’t in a relationship. I wasn’t taking any drugs while I was pregnant but was still getting injected with a very strong anti-psychotic drug every few months. I said I wouldn’t take it anymore because of what it might do to my baby. They said it wouldn’t do anything major, but they were wrong. She was in neonatal for over a week, twitching, with low body temperature and wouldn’t feed. I did some research and found getting the injection in the first and second trimester can cause this.  </w:t>
      </w:r>
    </w:p>
    <w:p w14:paraId="366E3ADA" w14:textId="77777777" w:rsidR="00FE4E56" w:rsidRPr="004A0212" w:rsidRDefault="00FE4E56" w:rsidP="00D97A2A">
      <w:pPr>
        <w:pStyle w:val="Alldraftingnotes"/>
        <w:spacing w:before="0" w:after="200"/>
        <w:rPr>
          <w:b w:val="0"/>
          <w:bCs/>
        </w:rPr>
      </w:pPr>
      <w:r w:rsidRPr="004A0212">
        <w:rPr>
          <w:b w:val="0"/>
          <w:bCs/>
        </w:rPr>
        <w:t xml:space="preserve">My daughter has some issues and has been diagnosed on the autism spectrum. She isn’t living the life I’d like her to, but she’s okay.   </w:t>
      </w:r>
    </w:p>
    <w:p w14:paraId="3DD4990F" w14:textId="77777777" w:rsidR="00FE4E56" w:rsidRPr="004A0212" w:rsidRDefault="00FE4E56" w:rsidP="00D97A2A">
      <w:pPr>
        <w:pStyle w:val="Alldraftingnotes"/>
        <w:spacing w:before="0" w:after="200"/>
        <w:rPr>
          <w:b w:val="0"/>
          <w:bCs/>
        </w:rPr>
      </w:pPr>
      <w:r w:rsidRPr="004A0212">
        <w:rPr>
          <w:b w:val="0"/>
          <w:bCs/>
        </w:rPr>
        <w:t xml:space="preserve">I met my partner, and she encouraged me to go to a polytech open night, which led me to start studying. I now have two degrees and have worked in public health for 14 years, including for the DHB that locked me up, which is ironic.   </w:t>
      </w:r>
    </w:p>
    <w:p w14:paraId="2000A274" w14:textId="77777777" w:rsidR="00FE4E56" w:rsidRPr="004A0212" w:rsidRDefault="00FE4E56" w:rsidP="00D97A2A">
      <w:pPr>
        <w:pStyle w:val="Alldraftingnotes"/>
        <w:spacing w:before="0" w:after="200"/>
        <w:rPr>
          <w:b w:val="0"/>
          <w:bCs/>
        </w:rPr>
      </w:pPr>
      <w:r w:rsidRPr="004A0212">
        <w:rPr>
          <w:b w:val="0"/>
          <w:bCs/>
        </w:rPr>
        <w:t xml:space="preserve">Once, when I was in seclusion, I was extremely distressed and could only think of the life I wanted. This included having someone I love, children and grandchildren, travelling and being educated. The staff at Cherry Farm said I’d never have these things, but now I do. I did it all without their ‘help’. Without their drugs.   </w:t>
      </w:r>
    </w:p>
    <w:p w14:paraId="5364F2FD" w14:textId="77777777" w:rsidR="00FE4E56" w:rsidRPr="004A0212" w:rsidRDefault="00FE4E56" w:rsidP="00D97A2A">
      <w:pPr>
        <w:pStyle w:val="Alldraftingnotes"/>
        <w:spacing w:before="0" w:after="200"/>
        <w:rPr>
          <w:b w:val="0"/>
          <w:bCs/>
        </w:rPr>
      </w:pPr>
      <w:r w:rsidRPr="004A0212">
        <w:rPr>
          <w:b w:val="0"/>
          <w:bCs/>
        </w:rPr>
        <w:t xml:space="preserve">I am very proud of who I have become, but I am extremely frustrated at how I was treated, like a piece of shit, like a nutter. There was no schizophrenia, it was just a waste of years. You simply wouldn’t do that to a 16-year-old now.   </w:t>
      </w:r>
    </w:p>
    <w:p w14:paraId="12D0FD4D" w14:textId="03B1D5A8" w:rsidR="00FE4E56" w:rsidRDefault="00FE4E56" w:rsidP="00D97A2A">
      <w:pPr>
        <w:pStyle w:val="Alldraftingnotes"/>
        <w:spacing w:before="0" w:after="200"/>
        <w:rPr>
          <w:b w:val="0"/>
          <w:bCs/>
        </w:rPr>
      </w:pPr>
      <w:r w:rsidRPr="004A0212">
        <w:rPr>
          <w:b w:val="0"/>
          <w:bCs/>
        </w:rPr>
        <w:lastRenderedPageBreak/>
        <w:t xml:space="preserve">I do have survivors’ guilt. So many in there died, a lot of them by their own hands, and I didn’t die. I still have nightmares about being there and trying to get out. I still get anxious, and some smells take me back.   </w:t>
      </w:r>
    </w:p>
    <w:p w14:paraId="2E93AD91" w14:textId="0CA06F85" w:rsidR="00FE4E56" w:rsidRPr="009B7215" w:rsidRDefault="00FE4E56" w:rsidP="002E1F4E">
      <w:pPr>
        <w:pStyle w:val="AllQuotes"/>
        <w:ind w:left="0"/>
        <w:rPr>
          <w:bCs/>
        </w:rPr>
      </w:pPr>
      <w:r w:rsidRPr="009B7215">
        <w:rPr>
          <w:bCs/>
        </w:rPr>
        <w:t>Thank goodness those places have gone but the issue remains the same – no one listens. We must listen to those with mental health issues.</w:t>
      </w:r>
      <w:r w:rsidRPr="009B7215">
        <w:rPr>
          <w:rStyle w:val="EndnoteReference"/>
          <w:bCs/>
        </w:rPr>
        <w:endnoteReference w:id="185"/>
      </w:r>
    </w:p>
    <w:p w14:paraId="7F572F09" w14:textId="77777777" w:rsidR="00FE4E56" w:rsidRDefault="00FE4E56" w:rsidP="002E1F4E">
      <w:pPr>
        <w:pStyle w:val="AllQuotes"/>
        <w:ind w:left="0"/>
        <w:rPr>
          <w:b/>
        </w:rPr>
      </w:pPr>
    </w:p>
    <w:p w14:paraId="38EB4386" w14:textId="0FDCF02E" w:rsidR="00FE4E56" w:rsidRPr="003453F5" w:rsidRDefault="00FE4E56" w:rsidP="003453F5">
      <w:pPr>
        <w:keepLines w:val="0"/>
        <w:rPr>
          <w:rFonts w:ascii="Arial" w:hAnsi="Arial"/>
          <w:b/>
          <w:sz w:val="22"/>
        </w:rPr>
      </w:pPr>
      <w:r>
        <w:rPr>
          <w:b/>
        </w:rPr>
        <w:t>[Survivor quote]</w:t>
      </w:r>
    </w:p>
    <w:p w14:paraId="019C8E32" w14:textId="066935BF" w:rsidR="00FE4E56" w:rsidRDefault="00FE4E56" w:rsidP="002E1F4E">
      <w:pPr>
        <w:pStyle w:val="AllQuotes"/>
        <w:ind w:left="0"/>
        <w:rPr>
          <w:b/>
        </w:rPr>
      </w:pPr>
      <w:r w:rsidRPr="00285AFA">
        <w:rPr>
          <w:b/>
        </w:rPr>
        <w:t>“Thank goodness those places have gone but the issue remains the same – no one listens. We must listen to those with mental health issues.”</w:t>
      </w:r>
    </w:p>
    <w:p w14:paraId="6E07B581" w14:textId="77777777" w:rsidR="00FE4E56" w:rsidRDefault="00FE4E56" w:rsidP="002E1F4E">
      <w:pPr>
        <w:pStyle w:val="AllQuotes"/>
        <w:rPr>
          <w:b/>
        </w:rPr>
      </w:pPr>
      <w:r w:rsidRPr="00285AFA">
        <w:rPr>
          <w:b/>
        </w:rPr>
        <w:t>Ms OF</w:t>
      </w:r>
    </w:p>
    <w:p w14:paraId="38CB0F8C" w14:textId="77777777" w:rsidR="00FE4E56" w:rsidRPr="00285AFA" w:rsidRDefault="00FE4E56" w:rsidP="002E1F4E">
      <w:pPr>
        <w:pStyle w:val="AllQuotes"/>
        <w:rPr>
          <w:b/>
        </w:rPr>
      </w:pPr>
      <w:r w:rsidRPr="00285AFA">
        <w:rPr>
          <w:b/>
        </w:rPr>
        <w:t>Māori Ngāti Kahungunu</w:t>
      </w:r>
    </w:p>
    <w:p w14:paraId="710D0F6A" w14:textId="77777777" w:rsidR="00FE4E56" w:rsidRDefault="00FE4E56" w:rsidP="009B7215">
      <w:pPr>
        <w:pStyle w:val="AllQuotes"/>
        <w:ind w:left="0"/>
        <w:rPr>
          <w:b/>
        </w:rPr>
      </w:pPr>
    </w:p>
    <w:p w14:paraId="054DE165" w14:textId="77777777" w:rsidR="00FE4E56" w:rsidRDefault="00FE4E56">
      <w:pPr>
        <w:keepLines w:val="0"/>
      </w:pPr>
    </w:p>
    <w:p w14:paraId="17021FCC" w14:textId="1380E9D5" w:rsidR="00FE4E56" w:rsidRDefault="00FE4E56">
      <w:pPr>
        <w:keepLines w:val="0"/>
        <w:rPr>
          <w:rFonts w:ascii="Arial" w:hAnsi="Arial" w:cs="Arial"/>
          <w:b/>
          <w:bCs/>
          <w:color w:val="4F7D29" w:themeColor="accent4"/>
          <w:sz w:val="36"/>
          <w:szCs w:val="36"/>
        </w:rPr>
      </w:pPr>
      <w:r>
        <w:br w:type="page"/>
      </w:r>
    </w:p>
    <w:p w14:paraId="56939398" w14:textId="7F845B7C" w:rsidR="00FE4E56" w:rsidRPr="004A0212" w:rsidRDefault="00FE4E56" w:rsidP="00282055">
      <w:pPr>
        <w:pStyle w:val="Heading1"/>
        <w:rPr>
          <w:color w:val="3B5D1E" w:themeColor="accent4" w:themeShade="BF"/>
        </w:rPr>
      </w:pPr>
      <w:bookmarkStart w:id="249" w:name="_Toc153984107"/>
      <w:bookmarkStart w:id="250" w:name="_Toc150933126"/>
      <w:bookmarkStart w:id="251" w:name="_Toc150953443"/>
      <w:bookmarkStart w:id="252" w:name="_Toc147935374"/>
      <w:bookmarkStart w:id="253" w:name="_Toc148443554"/>
      <w:bookmarkStart w:id="254" w:name="_Toc181084830"/>
      <w:bookmarkEnd w:id="104"/>
      <w:bookmarkEnd w:id="105"/>
      <w:bookmarkEnd w:id="106"/>
      <w:bookmarkEnd w:id="107"/>
      <w:r w:rsidRPr="004A0212">
        <w:rPr>
          <w:color w:val="3B5D1E" w:themeColor="accent4" w:themeShade="BF"/>
        </w:rPr>
        <w:lastRenderedPageBreak/>
        <w:t>Ūpoko 5: 1900–1950 – Ka tīmata te Kāwana ki te kuhu ki waenga i te whānau</w:t>
      </w:r>
      <w:bookmarkEnd w:id="249"/>
      <w:bookmarkEnd w:id="254"/>
    </w:p>
    <w:p w14:paraId="2F95DC1E" w14:textId="63F7D0F6" w:rsidR="00FE4E56" w:rsidRPr="004A0212" w:rsidRDefault="00FE4E56" w:rsidP="00282055">
      <w:pPr>
        <w:pStyle w:val="Heading1"/>
        <w:rPr>
          <w:color w:val="3B5D1E" w:themeColor="accent4" w:themeShade="BF"/>
        </w:rPr>
      </w:pPr>
      <w:bookmarkStart w:id="255" w:name="_Toc789898380"/>
      <w:bookmarkStart w:id="256" w:name="_Toc181084831"/>
      <w:r w:rsidRPr="004A0212">
        <w:rPr>
          <w:color w:val="3B5D1E" w:themeColor="accent4" w:themeShade="BF"/>
        </w:rPr>
        <w:t>Chapter 5: 1900–1950</w:t>
      </w:r>
      <w:bookmarkEnd w:id="250"/>
      <w:bookmarkEnd w:id="251"/>
      <w:r w:rsidRPr="004A0212">
        <w:rPr>
          <w:color w:val="3B5D1E" w:themeColor="accent4" w:themeShade="BF"/>
        </w:rPr>
        <w:t xml:space="preserve"> – The State begins to intervene in family life</w:t>
      </w:r>
      <w:bookmarkEnd w:id="255"/>
      <w:bookmarkEnd w:id="256"/>
    </w:p>
    <w:p w14:paraId="2C48D7D2" w14:textId="678B28E2" w:rsidR="00FE4E56" w:rsidRPr="004A0212" w:rsidRDefault="00FE4E56" w:rsidP="00FD4EDE">
      <w:pPr>
        <w:pStyle w:val="AllNumbparas"/>
      </w:pPr>
      <w:bookmarkStart w:id="257" w:name="_Toc147935383"/>
      <w:bookmarkStart w:id="258" w:name="_Toc148443564"/>
      <w:bookmarkStart w:id="259" w:name="_Toc150933127"/>
      <w:bookmarkStart w:id="260" w:name="_Toc150953444"/>
      <w:r w:rsidRPr="004A0212">
        <w:t xml:space="preserve">The 50 years before the Inquiry period saw two world wars, economic hardship for many, increasing urban migration for Māori and the beginnings of Pacific Peoples’ large-scale migration to Aotearoa New Zealand. The heterosexual nuclear family was seen as the preferred, natural model and diversity was often not tolerated. These decades also saw the beginnings of widespread State welfare and the growth of large institutions. </w:t>
      </w:r>
    </w:p>
    <w:p w14:paraId="487D68F0" w14:textId="77777777" w:rsidR="00FE4E56" w:rsidRPr="004A0212" w:rsidRDefault="00FE4E56" w:rsidP="00282055">
      <w:pPr>
        <w:pStyle w:val="Heading2"/>
      </w:pPr>
      <w:bookmarkStart w:id="261" w:name="_Toc1192654894"/>
      <w:bookmarkStart w:id="262" w:name="_Toc181084832"/>
      <w:r w:rsidRPr="004A0212">
        <w:t>Ngā raraunga tukupū mō te Māori i ngā pūnaha taurima i mua i te 1950</w:t>
      </w:r>
      <w:bookmarkEnd w:id="261"/>
      <w:bookmarkEnd w:id="262"/>
      <w:r w:rsidRPr="004A0212">
        <w:t xml:space="preserve"> </w:t>
      </w:r>
    </w:p>
    <w:p w14:paraId="5172E97D" w14:textId="4D1C0F22" w:rsidR="00FE4E56" w:rsidRPr="004A0212" w:rsidRDefault="00FE4E56" w:rsidP="00282055">
      <w:pPr>
        <w:pStyle w:val="Heading2"/>
      </w:pPr>
      <w:bookmarkStart w:id="263" w:name="_Toc230139926"/>
      <w:bookmarkStart w:id="264" w:name="_Toc181084833"/>
      <w:r w:rsidRPr="004A0212">
        <w:t>General data on Māori in care before 1950</w:t>
      </w:r>
      <w:bookmarkEnd w:id="257"/>
      <w:bookmarkEnd w:id="258"/>
      <w:bookmarkEnd w:id="259"/>
      <w:bookmarkEnd w:id="260"/>
      <w:bookmarkEnd w:id="263"/>
      <w:bookmarkEnd w:id="264"/>
    </w:p>
    <w:p w14:paraId="4074529A" w14:textId="70493782" w:rsidR="00FE4E56" w:rsidRPr="004A0212" w:rsidRDefault="00FE4E56" w:rsidP="007D73A6">
      <w:pPr>
        <w:pStyle w:val="AllNumbparas"/>
      </w:pPr>
      <w:r w:rsidRPr="004A0212">
        <w:t xml:space="preserve">Few tamariki or rangatahi Māori lived in any form of State or faith-based care before the 1940s. </w:t>
      </w:r>
    </w:p>
    <w:p w14:paraId="4991B0E4" w14:textId="2DA1DCE1" w:rsidR="00FE4E56" w:rsidRPr="004A0212" w:rsidRDefault="00FE4E56" w:rsidP="007D73A6">
      <w:pPr>
        <w:pStyle w:val="AllNumbparas"/>
      </w:pPr>
      <w:r w:rsidRPr="004A0212">
        <w:t>A 1942 study of church homes noted that there were “no orphanages for Māori children”, and that there was little demand for such homes among Māori.</w:t>
      </w:r>
      <w:r w:rsidRPr="004A0212">
        <w:rPr>
          <w:rStyle w:val="StyleFootnoteReferenceFagoFunotenzeichenFagoFunotenzeichen"/>
        </w:rPr>
        <w:endnoteReference w:id="186"/>
      </w:r>
      <w:r w:rsidRPr="004A0212">
        <w:t xml:space="preserve"> In addition, some private children’s homes refused to admit Māori.</w:t>
      </w:r>
      <w:r w:rsidRPr="004A0212">
        <w:rPr>
          <w:rStyle w:val="StyleFootnoteReferenceFagoFunotenzeichenFagoFunotenzeichen"/>
        </w:rPr>
        <w:endnoteReference w:id="187"/>
      </w:r>
      <w:r w:rsidRPr="004A0212">
        <w:t xml:space="preserve"> </w:t>
      </w:r>
    </w:p>
    <w:p w14:paraId="189630C1" w14:textId="42FEDDD3" w:rsidR="00FE4E56" w:rsidRPr="004A0212" w:rsidRDefault="00FE4E56" w:rsidP="00861801">
      <w:pPr>
        <w:pStyle w:val="AllNumbparas"/>
      </w:pPr>
      <w:r w:rsidRPr="004A0212">
        <w:t>There is little information available on the number of tāngata whaikaha Māori / whānau hauā Māori admitted to State or faith-based care during the first half of the 20</w:t>
      </w:r>
      <w:r w:rsidRPr="004A0212">
        <w:rPr>
          <w:vertAlign w:val="superscript"/>
        </w:rPr>
        <w:t>th</w:t>
      </w:r>
      <w:r w:rsidRPr="004A0212">
        <w:t xml:space="preserve"> century. Given Māori understandings of and attitudes to disability, it is likely that they were integrated into their whānau and cared for alongside all other members.</w:t>
      </w:r>
    </w:p>
    <w:p w14:paraId="54D907F2" w14:textId="0506C9A2" w:rsidR="00FE4E56" w:rsidRPr="004A0212" w:rsidRDefault="00FE4E56" w:rsidP="007D73A6">
      <w:pPr>
        <w:pStyle w:val="AllNumbparas"/>
      </w:pPr>
      <w:r w:rsidRPr="004A0212">
        <w:t>Prior to the 1940s, the number of Māori residing in psychiatric hospitals was low. In 1909, Māori made up just more than 1 percent of 3,549 psychiatric inpatients nationwide, increasing to 1.8 percent of 7,797 in 1938.</w:t>
      </w:r>
      <w:r w:rsidRPr="004A0212">
        <w:rPr>
          <w:rStyle w:val="StyleFootnoteReferenceFagoFunotenzeichenFagoFunotenzeichen"/>
        </w:rPr>
        <w:endnoteReference w:id="188"/>
      </w:r>
      <w:r w:rsidRPr="004A0212">
        <w:t xml:space="preserve"> A decade later, in 1948, the number of Māori in psychiatric hospitals had increased to 2.6 percent of the total psychiatric patient population.</w:t>
      </w:r>
      <w:r w:rsidRPr="004A0212">
        <w:rPr>
          <w:rStyle w:val="StyleFootnoteReferenceFagoFunotenzeichenFagoFunotenzeichen"/>
        </w:rPr>
        <w:endnoteReference w:id="189"/>
      </w:r>
      <w:r w:rsidRPr="004A0212">
        <w:t xml:space="preserve"> </w:t>
      </w:r>
    </w:p>
    <w:p w14:paraId="2C231DE2" w14:textId="46277D79" w:rsidR="00FE4E56" w:rsidRPr="00771FCB" w:rsidRDefault="00FE4E56" w:rsidP="00771FCB">
      <w:pPr>
        <w:pStyle w:val="AllNumbparas"/>
      </w:pPr>
      <w:r w:rsidRPr="004A0212">
        <w:t>Before the Inquiry period there were proportionally fewer Māori in psychiatric hospitals compared to non-Māori. Available data shows that for every 100,000 people in Aotearoa New Zealand, there were 208 Māori in psychiatric care, compared to 510 non-Māori.</w:t>
      </w:r>
      <w:r w:rsidRPr="004A0212">
        <w:rPr>
          <w:rStyle w:val="StyleFootnoteReferenceFagoFunotenzeichenFagoFunotenzeichen"/>
        </w:rPr>
        <w:endnoteReference w:id="190"/>
      </w:r>
      <w:r w:rsidRPr="004A0212">
        <w:t xml:space="preserve"> </w:t>
      </w:r>
    </w:p>
    <w:p w14:paraId="595F1495" w14:textId="5868160F" w:rsidR="00FE4E56" w:rsidRPr="004A0212" w:rsidRDefault="00FE4E56" w:rsidP="007D73A6">
      <w:pPr>
        <w:pStyle w:val="AllNumbparas"/>
      </w:pPr>
      <w:r w:rsidRPr="004A0212">
        <w:t>Reasons for this may include the preference of whānau to care for members experiencing mental distress at home using the resources of extended kin. Some Māori did not trust Western medicine and preferred to consult tohunga for their ailments.</w:t>
      </w:r>
      <w:r w:rsidRPr="004A0212">
        <w:rPr>
          <w:rStyle w:val="StyleFootnoteReferenceFagoFunotenzeichenFagoFunotenzeichen"/>
        </w:rPr>
        <w:endnoteReference w:id="191"/>
      </w:r>
      <w:r w:rsidRPr="004A0212">
        <w:t xml:space="preserve"> </w:t>
      </w:r>
    </w:p>
    <w:p w14:paraId="0FBEE35A" w14:textId="77777777" w:rsidR="004243E1" w:rsidRDefault="004243E1">
      <w:pPr>
        <w:keepLines w:val="0"/>
        <w:rPr>
          <w:rFonts w:ascii="Arial" w:eastAsia="Calibri" w:hAnsi="Arial" w:cs="Arial"/>
          <w:bCs/>
          <w:color w:val="222222"/>
          <w:sz w:val="22"/>
          <w:szCs w:val="22"/>
          <w:shd w:val="clear" w:color="auto" w:fill="FFFFFF"/>
        </w:rPr>
      </w:pPr>
      <w:r>
        <w:br w:type="page"/>
      </w:r>
    </w:p>
    <w:p w14:paraId="2FA58CDE" w14:textId="740570A2" w:rsidR="00FE4E56" w:rsidRPr="004A0212" w:rsidRDefault="00FE4E56" w:rsidP="007D73A6">
      <w:pPr>
        <w:pStyle w:val="AllNumbparas"/>
      </w:pPr>
      <w:r w:rsidRPr="004A0212">
        <w:lastRenderedPageBreak/>
        <w:t>Other reasons may have included the fact that public hospitals charged fees and that some barred Māori patients, on the grounds of non-rates payment.</w:t>
      </w:r>
      <w:r w:rsidRPr="004A0212">
        <w:rPr>
          <w:rStyle w:val="StyleFootnoteReferenceFagoFunotenzeichenFagoFunotenzeichen"/>
        </w:rPr>
        <w:endnoteReference w:id="192"/>
      </w:r>
      <w:r w:rsidRPr="004A0212">
        <w:t xml:space="preserve"> The number of Māori patients entering public hospitals of all types increased markedly after the State introduced free hospital care in 1939.</w:t>
      </w:r>
      <w:r w:rsidRPr="004A0212">
        <w:rPr>
          <w:rStyle w:val="StyleFootnoteReferenceFagoFunotenzeichenFagoFunotenzeichen"/>
        </w:rPr>
        <w:endnoteReference w:id="193"/>
      </w:r>
    </w:p>
    <w:p w14:paraId="6CC0C4A8" w14:textId="13B696EA" w:rsidR="00FE4E56" w:rsidRPr="004A0212" w:rsidRDefault="00FE4E56" w:rsidP="00282055">
      <w:pPr>
        <w:pStyle w:val="Heading2"/>
      </w:pPr>
      <w:bookmarkStart w:id="265" w:name="_Toc1743801516"/>
      <w:bookmarkStart w:id="266" w:name="_Toc150933128"/>
      <w:bookmarkStart w:id="267" w:name="_Toc150953445"/>
      <w:bookmarkStart w:id="268" w:name="_Toc181084834"/>
      <w:r w:rsidRPr="004A0212">
        <w:t>Te pikinga o ngā uauatanga i ngā h</w:t>
      </w:r>
      <w:r w:rsidRPr="000C0692">
        <w:t>ā</w:t>
      </w:r>
      <w:r w:rsidRPr="004A0212">
        <w:t>pori Māori</w:t>
      </w:r>
      <w:bookmarkEnd w:id="265"/>
      <w:bookmarkEnd w:id="268"/>
      <w:r w:rsidRPr="004A0212">
        <w:t xml:space="preserve"> </w:t>
      </w:r>
    </w:p>
    <w:p w14:paraId="1988FD17" w14:textId="436DF79B" w:rsidR="00FE4E56" w:rsidRPr="004A0212" w:rsidRDefault="00FE4E56" w:rsidP="00282055">
      <w:pPr>
        <w:pStyle w:val="Heading2"/>
      </w:pPr>
      <w:bookmarkStart w:id="269" w:name="_Toc870375266"/>
      <w:bookmarkStart w:id="270" w:name="_Toc181084835"/>
      <w:r w:rsidRPr="004A0212">
        <w:t>Increasing hardship in Māori communities</w:t>
      </w:r>
      <w:bookmarkEnd w:id="266"/>
      <w:bookmarkEnd w:id="267"/>
      <w:bookmarkEnd w:id="269"/>
      <w:bookmarkEnd w:id="270"/>
    </w:p>
    <w:p w14:paraId="62428E32" w14:textId="1F98C200" w:rsidR="00FE4E56" w:rsidRPr="004A0212" w:rsidRDefault="00FE4E56" w:rsidP="007D73A6">
      <w:pPr>
        <w:pStyle w:val="AllNumbparas"/>
      </w:pPr>
      <w:r w:rsidRPr="004A0212">
        <w:t>During the first half of the 20</w:t>
      </w:r>
      <w:r w:rsidRPr="004A0212">
        <w:rPr>
          <w:vertAlign w:val="superscript"/>
        </w:rPr>
        <w:t>th</w:t>
      </w:r>
      <w:r w:rsidRPr="004A0212">
        <w:t xml:space="preserve"> century there were several factors that led to whānau and hapū Māori experiencing increased financial and social hardship. For example, there was a significant loss of Māori life in the First and Second World Wars. This, the lack of support available to Māori veterans, and the introduction of mass trauma into whānau, hapū and communities from men returning home from war untreated negatively affected whānau, hapū and iwi. </w:t>
      </w:r>
    </w:p>
    <w:p w14:paraId="7D19FA56" w14:textId="28AB5833" w:rsidR="00FE4E56" w:rsidRPr="004A0212" w:rsidRDefault="00FE4E56" w:rsidP="007D73A6">
      <w:pPr>
        <w:pStyle w:val="AllNumbparas"/>
      </w:pPr>
      <w:r w:rsidRPr="004A0212">
        <w:t>The</w:t>
      </w:r>
      <w:r w:rsidRPr="004A0212" w:rsidDel="00F92F30">
        <w:t xml:space="preserve"> </w:t>
      </w:r>
      <w:r w:rsidRPr="004A0212">
        <w:t>State encouraged Māori urban migration from the mid to late 1940s partly because of the view that it would help the goal of full assimilation. The Department of Māori Affairs provided incentives for Māori to move to the cities, in the form of housing assistance and job opportunities. It also facilitated access to social services and welfare support.</w:t>
      </w:r>
      <w:r w:rsidRPr="004A0212">
        <w:rPr>
          <w:rStyle w:val="StyleFootnoteReferenceFagoFunotenzeichenFagoFunotenzeichen"/>
        </w:rPr>
        <w:endnoteReference w:id="194"/>
      </w:r>
      <w:r w:rsidRPr="004A0212">
        <w:t xml:space="preserve"> Hostels, some established and managed by churches, were set up from the mid-1940s for Māori seeking work in towns and cities.</w:t>
      </w:r>
      <w:r w:rsidRPr="004A0212">
        <w:rPr>
          <w:rStyle w:val="EndnoteReference"/>
        </w:rPr>
        <w:endnoteReference w:id="195"/>
      </w:r>
    </w:p>
    <w:p w14:paraId="3C087AFB" w14:textId="19E4CB7A" w:rsidR="00FE4E56" w:rsidRPr="004A0212" w:rsidRDefault="00FE4E56" w:rsidP="009E2ABB">
      <w:pPr>
        <w:pStyle w:val="AllNumbparas"/>
      </w:pPr>
      <w:r w:rsidRPr="004A0212">
        <w:t>While many of those who moved to the cities returned regularly to their whenua, moving between the two worlds,</w:t>
      </w:r>
      <w:r w:rsidRPr="004A0212">
        <w:rPr>
          <w:rStyle w:val="StyleFootnoteReferenceFagoFunotenzeichenFagoFunotenzeichen"/>
        </w:rPr>
        <w:endnoteReference w:id="196"/>
      </w:r>
      <w:r w:rsidRPr="004A0212">
        <w:t xml:space="preserve"> the policy of urbanisation contributed to the breakdown of whānau, hapū and iwi and decline of te reo Māori. Tribal organisational structures were still important, and new collective entities were established.</w:t>
      </w:r>
      <w:r w:rsidRPr="004A0212">
        <w:rPr>
          <w:rStyle w:val="StyleFootnoteReferenceFagoFunotenzeichenFagoFunotenzeichen"/>
        </w:rPr>
        <w:endnoteReference w:id="197"/>
      </w:r>
      <w:r w:rsidRPr="004A0212">
        <w:t xml:space="preserve"> But urbanisation and other impacts of colonisation had a direct impact on the health of Māori and their culture. This included the ability for Māori to maintain and uphold traditional family structures, cultural values and practices, including the use of mātauranga (knowledge). </w:t>
      </w:r>
    </w:p>
    <w:p w14:paraId="7F31D514" w14:textId="2E8919BD" w:rsidR="00FE4E56" w:rsidRPr="004A0212" w:rsidRDefault="00FE4E56" w:rsidP="007D73A6">
      <w:pPr>
        <w:pStyle w:val="AllNumbparas"/>
      </w:pPr>
      <w:r w:rsidRPr="004A0212">
        <w:t>Throughout the 20</w:t>
      </w:r>
      <w:r w:rsidRPr="004A0212">
        <w:rPr>
          <w:vertAlign w:val="superscript"/>
        </w:rPr>
        <w:t>th</w:t>
      </w:r>
      <w:r w:rsidRPr="004A0212">
        <w:t xml:space="preserve"> century, Māori would often be empowered by the State to develop policies and programmes, but only to the extent that these met criteria set by the State.</w:t>
      </w:r>
      <w:r w:rsidRPr="004A0212">
        <w:rPr>
          <w:rStyle w:val="StyleFootnoteReferenceFagoFunotenzeichenFagoFunotenzeichen"/>
        </w:rPr>
        <w:endnoteReference w:id="198"/>
      </w:r>
      <w:r w:rsidRPr="004A0212">
        <w:t xml:space="preserve"> This is a pattern that persisted throughout the Inquiry period and beyond, one where “the illusion of self-government exists, but the reality is mainstream control”.</w:t>
      </w:r>
      <w:r w:rsidRPr="004A0212">
        <w:rPr>
          <w:rStyle w:val="StyleFootnoteReferenceFagoFunotenzeichenFagoFunotenzeichen"/>
        </w:rPr>
        <w:endnoteReference w:id="199"/>
      </w:r>
      <w:r w:rsidRPr="004A0212">
        <w:t xml:space="preserve"> </w:t>
      </w:r>
    </w:p>
    <w:p w14:paraId="6E165500" w14:textId="294FB36B" w:rsidR="00FE4E56" w:rsidRPr="004A0212" w:rsidRDefault="00FE4E56" w:rsidP="007D73A6">
      <w:pPr>
        <w:pStyle w:val="AllNumbparas"/>
        <w:rPr>
          <w:rStyle w:val="ui-provider"/>
        </w:rPr>
      </w:pPr>
      <w:r w:rsidRPr="004A0212">
        <w:t xml:space="preserve">This pattern took the form of periods of change and increased power for Māori followed by a wave of Crown actions to decrease their level of autonomy. </w:t>
      </w:r>
    </w:p>
    <w:p w14:paraId="5DCF27A2" w14:textId="0E9655CE" w:rsidR="00FE4E56" w:rsidRPr="004A0212" w:rsidRDefault="00FE4E56" w:rsidP="007D73A6">
      <w:pPr>
        <w:pStyle w:val="AllNumbparas"/>
      </w:pPr>
      <w:r w:rsidRPr="004A0212">
        <w:t>During the Second World War, Sir Āpirana Ngata’s Māori War Effort Organisation showed the potential for Māori to work independently and cultivate kotahitanga, or unity. Towards the end of the war, Māori leaders argued that, based on this success, an independent tribal committee system should take over from the Department of Native Affairs.</w:t>
      </w:r>
      <w:r w:rsidRPr="004A0212">
        <w:rPr>
          <w:rStyle w:val="StyleFootnoteReferenceFagoFunotenzeichenFagoFunotenzeichen"/>
        </w:rPr>
        <w:endnoteReference w:id="200"/>
      </w:r>
    </w:p>
    <w:p w14:paraId="6F306B02" w14:textId="65C555B2" w:rsidR="00FE4E56" w:rsidRPr="004A0212" w:rsidRDefault="00FE4E56" w:rsidP="007D73A6">
      <w:pPr>
        <w:pStyle w:val="AllNumbparas"/>
      </w:pPr>
      <w:r w:rsidRPr="004A0212">
        <w:t xml:space="preserve">As the war ended and Māori support was no longer as critical, the State became concerned at the power Māori leadership had achieved. The Māori Social and Economic Advancement Act of 1945 established a network of official Tribal Committees and Tribal Executives operating within the Department of Native Affairs </w:t>
      </w:r>
      <w:r w:rsidRPr="004A0212">
        <w:lastRenderedPageBreak/>
        <w:t>(the Department of Māori Affairs after 1947, which oversaw general issues relating to Māori development).</w:t>
      </w:r>
      <w:r w:rsidRPr="004A0212">
        <w:rPr>
          <w:rStyle w:val="StyleFootnoteReferenceFagoFunotenzeichenFagoFunotenzeichen"/>
        </w:rPr>
        <w:endnoteReference w:id="201"/>
      </w:r>
    </w:p>
    <w:p w14:paraId="2F8620EA" w14:textId="187D02F9" w:rsidR="00FE4E56" w:rsidRPr="004A0212" w:rsidRDefault="00FE4E56" w:rsidP="007D73A6">
      <w:pPr>
        <w:pStyle w:val="AllNumbparas"/>
      </w:pPr>
      <w:r w:rsidRPr="004A0212">
        <w:t>Māori communities had to join the new system to gain official recognition for their tribal committees, which had to “follow European administration and meeting procedure”.</w:t>
      </w:r>
      <w:r w:rsidRPr="004A0212">
        <w:rPr>
          <w:rStyle w:val="StyleFootnoteReferenceFagoFunotenzeichenFagoFunotenzeichen"/>
        </w:rPr>
        <w:endnoteReference w:id="202"/>
      </w:r>
      <w:r w:rsidRPr="004A0212">
        <w:t xml:space="preserve"> In 1949, the department characterised the main purpose of the Māori Social and Economic Advancement Act as being “to facilitate the full integration of the Māori race into the social and economic structure of the country”.</w:t>
      </w:r>
      <w:r w:rsidRPr="004A0212">
        <w:rPr>
          <w:rStyle w:val="StyleFootnoteReferenceFagoFunotenzeichenFagoFunotenzeichen"/>
        </w:rPr>
        <w:endnoteReference w:id="203"/>
      </w:r>
      <w:r w:rsidRPr="004A0212">
        <w:t xml:space="preserve"> </w:t>
      </w:r>
    </w:p>
    <w:p w14:paraId="2EC383FE" w14:textId="4C79C036" w:rsidR="00FE4E56" w:rsidRPr="004A0212" w:rsidRDefault="00FE4E56" w:rsidP="007D73A6">
      <w:pPr>
        <w:pStyle w:val="AllNumbparas"/>
      </w:pPr>
      <w:r w:rsidRPr="004A0212">
        <w:t>The Māori Women’s Welfare League was formed in 1951 to assist with issues such as health, housing and discrimination faced by Māori, and helped the voice of Māori women to be heard at a national level.</w:t>
      </w:r>
      <w:r w:rsidRPr="004A0212">
        <w:rPr>
          <w:rStyle w:val="StyleFootnoteReferenceFagoFunotenzeichenFagoFunotenzeichen"/>
        </w:rPr>
        <w:endnoteReference w:id="204"/>
      </w:r>
      <w:r w:rsidRPr="004A0212">
        <w:t xml:space="preserve"> This was largely in response to increased urbanisation of Māori during the 1930s and 1940s.</w:t>
      </w:r>
    </w:p>
    <w:p w14:paraId="13767E88" w14:textId="7D3AEA9F" w:rsidR="00FE4E56" w:rsidRDefault="00FE4E56" w:rsidP="004243E1">
      <w:pPr>
        <w:pStyle w:val="AllNumbparas"/>
      </w:pPr>
      <w:r w:rsidRPr="004A0212">
        <w:t>However, continued policies of assimilation and integration affected the ability of hapū and iwi to enforce and uphold important cultural controls, supports and practices. This contributed to an environment where tamariki and rangatahi Māori and whānau members could experience abuse and neglect inflicted in families and wider communities.</w:t>
      </w:r>
      <w:bookmarkStart w:id="271" w:name="_Toc150933129"/>
      <w:bookmarkStart w:id="272" w:name="_Toc150953446"/>
    </w:p>
    <w:p w14:paraId="0EC0EB6E" w14:textId="2D567CF4" w:rsidR="00FE4E56" w:rsidRPr="004A0212" w:rsidRDefault="00FE4E56" w:rsidP="00282055">
      <w:pPr>
        <w:pStyle w:val="Heading2"/>
      </w:pPr>
      <w:bookmarkStart w:id="273" w:name="_Toc1537021508"/>
      <w:bookmarkStart w:id="274" w:name="_Toc181084836"/>
      <w:r w:rsidRPr="004A0212">
        <w:t>Te whakatāuke i te hunga whaikaha me te hunga e rongo ana i te wairangitanga</w:t>
      </w:r>
      <w:bookmarkEnd w:id="273"/>
      <w:bookmarkEnd w:id="274"/>
    </w:p>
    <w:p w14:paraId="1BB61BB6" w14:textId="466E4103" w:rsidR="00FE4E56" w:rsidRPr="004A0212" w:rsidRDefault="00FE4E56" w:rsidP="00282055">
      <w:pPr>
        <w:pStyle w:val="Heading2"/>
      </w:pPr>
      <w:bookmarkStart w:id="275" w:name="_Toc1803882511"/>
      <w:bookmarkStart w:id="276" w:name="_Toc181084837"/>
      <w:r w:rsidRPr="004A0212">
        <w:t>Segregation for disabled people and people who experienced mental distress</w:t>
      </w:r>
      <w:bookmarkEnd w:id="271"/>
      <w:bookmarkEnd w:id="272"/>
      <w:bookmarkEnd w:id="275"/>
      <w:bookmarkEnd w:id="276"/>
    </w:p>
    <w:p w14:paraId="0073E05B" w14:textId="09D6FDCB" w:rsidR="00FE4E56" w:rsidRPr="004A0212" w:rsidRDefault="00FE4E56" w:rsidP="007D73A6">
      <w:pPr>
        <w:pStyle w:val="AllNumbparas"/>
      </w:pPr>
      <w:r w:rsidRPr="004A0212">
        <w:t xml:space="preserve">As mentioned in Chapter 3, the eugenics movement promoted the idea that some individuals were better suited to having children than others. Eugenicists </w:t>
      </w:r>
      <w:r w:rsidRPr="004A0212" w:rsidDel="00740BDC">
        <w:t xml:space="preserve">argued that disabled people should be separated from the rest of society to prevent them </w:t>
      </w:r>
      <w:r w:rsidRPr="004A0212">
        <w:t xml:space="preserve">from </w:t>
      </w:r>
      <w:r w:rsidRPr="004A0212" w:rsidDel="00740BDC">
        <w:t>breeding a “subnormal” race.</w:t>
      </w:r>
      <w:r w:rsidRPr="004A0212" w:rsidDel="00740BDC">
        <w:rPr>
          <w:rStyle w:val="StyleFootnoteReferenceFagoFunotenzeichenFagoFunotenzeichen"/>
        </w:rPr>
        <w:endnoteReference w:id="205"/>
      </w:r>
      <w:r w:rsidRPr="004A0212">
        <w:t xml:space="preserve"> This occurred at the same time as people were becoming concerned about a decline in the European birth rate.</w:t>
      </w:r>
    </w:p>
    <w:p w14:paraId="7872A29A" w14:textId="1B20BAEE" w:rsidR="00FE4E56" w:rsidRPr="004A0212" w:rsidRDefault="00FE4E56" w:rsidP="007D73A6">
      <w:pPr>
        <w:pStyle w:val="AllNumbparas"/>
      </w:pPr>
      <w:r w:rsidRPr="004A0212">
        <w:t>Eugenics gained momentum and popularity in the second half of the 19</w:t>
      </w:r>
      <w:r w:rsidRPr="004A0212">
        <w:rPr>
          <w:vertAlign w:val="superscript"/>
        </w:rPr>
        <w:t>th</w:t>
      </w:r>
      <w:r w:rsidRPr="004A0212">
        <w:t xml:space="preserve"> century and continued into the 20</w:t>
      </w:r>
      <w:r w:rsidRPr="004A0212">
        <w:rPr>
          <w:vertAlign w:val="superscript"/>
        </w:rPr>
        <w:t>th</w:t>
      </w:r>
      <w:r w:rsidRPr="004A0212">
        <w:t xml:space="preserve"> century. It was supported by some prominent figures in science and politics, including Plunket founder Sir Truby King. </w:t>
      </w:r>
    </w:p>
    <w:p w14:paraId="60D4D9D7" w14:textId="4D080CB0" w:rsidR="00FE4E56" w:rsidRPr="004A0212" w:rsidRDefault="00FE4E56" w:rsidP="007D73A6">
      <w:pPr>
        <w:pStyle w:val="AllNumbparas"/>
      </w:pPr>
      <w:r w:rsidRPr="004A0212">
        <w:t>Training institutions and detention centres were opened for “those who could be brought up to … standard, and the segregation of those who could not”.</w:t>
      </w:r>
      <w:r w:rsidRPr="004A0212">
        <w:rPr>
          <w:rStyle w:val="StyleFootnoteReferenceFagoFunotenzeichenFagoFunotenzeichen"/>
        </w:rPr>
        <w:endnoteReference w:id="206"/>
      </w:r>
      <w:r w:rsidRPr="004A0212">
        <w:t xml:space="preserve"> The Education Act 1914 required parents, as well as officials, teachers and police, to report “mentally defective” children to the Department of Education.</w:t>
      </w:r>
      <w:r w:rsidRPr="004A0212">
        <w:rPr>
          <w:rStyle w:val="StyleFootnoteReferenceFagoFunotenzeichenFagoFunotenzeichen"/>
        </w:rPr>
        <w:endnoteReference w:id="207"/>
      </w:r>
    </w:p>
    <w:p w14:paraId="60B60810" w14:textId="6FD0EB7B" w:rsidR="00FE4E56" w:rsidRPr="004A0212" w:rsidRDefault="00FE4E56" w:rsidP="007D73A6">
      <w:pPr>
        <w:pStyle w:val="AllNumbparas"/>
      </w:pPr>
      <w:r w:rsidRPr="004A0212">
        <w:t>The mass recruitment for the First World War resulted in 57 percent of men rejected for service on medical grounds, focussing State attention on the health of the nation and on children in particular.</w:t>
      </w:r>
      <w:r w:rsidRPr="004A0212">
        <w:rPr>
          <w:rStyle w:val="StyleFootnoteReferenceFagoFunotenzeichenFagoFunotenzeichen"/>
        </w:rPr>
        <w:endnoteReference w:id="208"/>
      </w:r>
    </w:p>
    <w:p w14:paraId="42602A6D" w14:textId="503DDFE1" w:rsidR="00FE4E56" w:rsidRPr="004A0212" w:rsidRDefault="00FE4E56" w:rsidP="007D73A6">
      <w:pPr>
        <w:pStyle w:val="AllNumbparas"/>
      </w:pPr>
      <w:r w:rsidRPr="004A0212">
        <w:t>In 1925, the Committee of Inquiry into Mental Defectives and Sexual Offenders addressed anxiety about “the number of mental defectives becoming a charge upon the State and the alarming increase in their numbers through the uncontrolled fecundity of this class”.</w:t>
      </w:r>
      <w:r w:rsidRPr="004A0212">
        <w:rPr>
          <w:rStyle w:val="StyleFootnoteReferenceFagoFunotenzeichenFagoFunotenzeichen"/>
        </w:rPr>
        <w:endnoteReference w:id="209"/>
      </w:r>
    </w:p>
    <w:p w14:paraId="53841D88" w14:textId="77777777" w:rsidR="004243E1" w:rsidRDefault="004243E1">
      <w:pPr>
        <w:keepLines w:val="0"/>
        <w:rPr>
          <w:rFonts w:ascii="Arial" w:eastAsia="Calibri" w:hAnsi="Arial" w:cs="Arial"/>
          <w:bCs/>
          <w:color w:val="222222"/>
          <w:sz w:val="22"/>
          <w:szCs w:val="22"/>
          <w:shd w:val="clear" w:color="auto" w:fill="FFFFFF"/>
        </w:rPr>
      </w:pPr>
      <w:r>
        <w:br w:type="page"/>
      </w:r>
    </w:p>
    <w:p w14:paraId="550217F1" w14:textId="5847BF56" w:rsidR="00FE4E56" w:rsidRPr="004A0212" w:rsidRDefault="00FE4E56" w:rsidP="00A83810">
      <w:pPr>
        <w:pStyle w:val="AllNumbparas"/>
        <w:rPr>
          <w:b/>
          <w:color w:val="3B5D1E" w:themeColor="accent4" w:themeShade="BF"/>
          <w:szCs w:val="28"/>
        </w:rPr>
      </w:pPr>
      <w:r w:rsidRPr="004A0212">
        <w:lastRenderedPageBreak/>
        <w:t>Eugenics was condemned after the Second World War following the horrors of the Nazi regime, but its ideas still influenced laws, policies and attitudes during the Inquiry period. For example, the use of contraception without consent in care settings and the segregation of disabled people away from their communities can be seen as echoing the ableist beliefs underlying the eugenics movement, that non-disabled people are more valuable than disabled people.</w:t>
      </w:r>
      <w:r w:rsidRPr="004A0212">
        <w:rPr>
          <w:rStyle w:val="StyleFootnoteReferenceFagoFunotenzeichenFagoFunotenzeichen"/>
        </w:rPr>
        <w:endnoteReference w:id="210"/>
      </w:r>
      <w:bookmarkStart w:id="277" w:name="_Toc150933130"/>
      <w:bookmarkStart w:id="278" w:name="_Toc150953447"/>
    </w:p>
    <w:p w14:paraId="6BDDF398" w14:textId="0785B511" w:rsidR="00FE4E56" w:rsidRPr="004A0212" w:rsidRDefault="00FE4E56" w:rsidP="00282055">
      <w:pPr>
        <w:pStyle w:val="Heading2"/>
      </w:pPr>
      <w:bookmarkStart w:id="279" w:name="_Toc1164263934"/>
      <w:bookmarkStart w:id="280" w:name="_Toc181084838"/>
      <w:r w:rsidRPr="004A0212">
        <w:t>Ka rongo pea te hunga Turi, te hunga whaikaha me te hunga wairangi i te rawakoretanga mō te roanga o ō rātou oranga</w:t>
      </w:r>
      <w:bookmarkEnd w:id="279"/>
      <w:bookmarkEnd w:id="280"/>
      <w:r w:rsidRPr="004A0212">
        <w:t xml:space="preserve"> </w:t>
      </w:r>
    </w:p>
    <w:p w14:paraId="2557A7BB" w14:textId="2E2B31C9" w:rsidR="00FE4E56" w:rsidRPr="004A0212" w:rsidRDefault="00FE4E56" w:rsidP="00282055">
      <w:pPr>
        <w:pStyle w:val="Heading2"/>
      </w:pPr>
      <w:bookmarkStart w:id="281" w:name="_Toc1904897825"/>
      <w:bookmarkStart w:id="282" w:name="_Toc181084839"/>
      <w:r w:rsidRPr="004A0212">
        <w:t xml:space="preserve">Deaf, disabled </w:t>
      </w:r>
      <w:r>
        <w:t xml:space="preserve">people </w:t>
      </w:r>
      <w:r w:rsidRPr="004A0212">
        <w:t>and people experiencing mental distress could experience lifelong poverty</w:t>
      </w:r>
      <w:bookmarkEnd w:id="281"/>
      <w:bookmarkEnd w:id="282"/>
      <w:r w:rsidRPr="004A0212">
        <w:t xml:space="preserve"> </w:t>
      </w:r>
    </w:p>
    <w:bookmarkEnd w:id="277"/>
    <w:bookmarkEnd w:id="278"/>
    <w:p w14:paraId="749448CF" w14:textId="1477B07D" w:rsidR="00FE4E56" w:rsidRPr="004A0212" w:rsidRDefault="00FE4E56" w:rsidP="007D73A6">
      <w:pPr>
        <w:pStyle w:val="AllNumbparas"/>
      </w:pPr>
      <w:r w:rsidRPr="004A0212">
        <w:t>During the Inquiry period, Deaf, disabled people and people who experienced mental distress often experienced lifelong poverty that impacted their life options. They were generally excluded from mainstream work. When work was available, it was often low paid, part time or temporary, with poor working conditions and few career opportunities.</w:t>
      </w:r>
      <w:r w:rsidRPr="004A0212">
        <w:rPr>
          <w:rStyle w:val="StyleFootnoteReferenceFagoFunotenzeichenFagoFunotenzeichen"/>
        </w:rPr>
        <w:endnoteReference w:id="211"/>
      </w:r>
      <w:r w:rsidRPr="004A0212">
        <w:t xml:space="preserve"> </w:t>
      </w:r>
    </w:p>
    <w:p w14:paraId="77BA308C" w14:textId="034C8479" w:rsidR="00FE4E56" w:rsidRPr="004A0212" w:rsidRDefault="00FE4E56" w:rsidP="007D73A6">
      <w:pPr>
        <w:pStyle w:val="AllNumbparas"/>
      </w:pPr>
      <w:r w:rsidRPr="004A0212">
        <w:t>The Soldiers’ Civil Re-establishment League established workshop-based employment for returned servicemen considered unfit to resume former occupations from the 1930s.</w:t>
      </w:r>
      <w:r w:rsidRPr="004A0212">
        <w:rPr>
          <w:rStyle w:val="StyleFootnoteReferenceFagoFunotenzeichenFagoFunotenzeichen"/>
        </w:rPr>
        <w:endnoteReference w:id="212"/>
      </w:r>
      <w:r w:rsidRPr="004A0212">
        <w:t xml:space="preserve"> Sheltered workshops were also established for other disabled New Zealanders, and these continued operating throughout the Inquiry period. See Part 2 </w:t>
      </w:r>
      <w:r w:rsidRPr="004A0212">
        <w:rPr>
          <w:color w:val="auto"/>
        </w:rPr>
        <w:t>Chapter</w:t>
      </w:r>
      <w:r w:rsidRPr="004A0212" w:rsidDel="00EE07EE">
        <w:rPr>
          <w:color w:val="auto"/>
        </w:rPr>
        <w:t xml:space="preserve"> </w:t>
      </w:r>
      <w:r w:rsidRPr="004A0212">
        <w:rPr>
          <w:color w:val="auto"/>
        </w:rPr>
        <w:t xml:space="preserve">12 </w:t>
      </w:r>
      <w:r w:rsidRPr="004A0212">
        <w:t xml:space="preserve">for more information on sheltered workshops. </w:t>
      </w:r>
    </w:p>
    <w:p w14:paraId="168307B1" w14:textId="0F20A75F" w:rsidR="00FE4E56" w:rsidRPr="004A0212" w:rsidRDefault="00FE4E56" w:rsidP="00282055">
      <w:pPr>
        <w:pStyle w:val="Heading2"/>
      </w:pPr>
      <w:bookmarkStart w:id="283" w:name="_Toc1007860929"/>
      <w:bookmarkStart w:id="284" w:name="_Toc150933131"/>
      <w:bookmarkStart w:id="285" w:name="_Toc150953448"/>
      <w:bookmarkStart w:id="286" w:name="_Toc147935382"/>
      <w:bookmarkStart w:id="287" w:name="_Toc148443563"/>
      <w:bookmarkStart w:id="288" w:name="_Toc147935375"/>
      <w:bookmarkStart w:id="289" w:name="_Toc148443555"/>
      <w:bookmarkStart w:id="290" w:name="_Toc181084840"/>
      <w:bookmarkEnd w:id="252"/>
      <w:bookmarkEnd w:id="253"/>
      <w:r w:rsidRPr="004A0212">
        <w:t>Te hūnuku o ngā iwi Pasifika ki Aotearoa</w:t>
      </w:r>
      <w:bookmarkEnd w:id="283"/>
      <w:bookmarkEnd w:id="290"/>
    </w:p>
    <w:p w14:paraId="0980FA42" w14:textId="0FD4014F" w:rsidR="00FE4E56" w:rsidRPr="004A0212" w:rsidRDefault="00FE4E56" w:rsidP="00282055">
      <w:pPr>
        <w:pStyle w:val="Heading2"/>
      </w:pPr>
      <w:bookmarkStart w:id="291" w:name="_Toc822880219"/>
      <w:bookmarkStart w:id="292" w:name="_Toc181084841"/>
      <w:r w:rsidRPr="004A0212">
        <w:t>Pacific Peoples’ migration to Aotearoa</w:t>
      </w:r>
      <w:bookmarkEnd w:id="284"/>
      <w:bookmarkEnd w:id="285"/>
      <w:r w:rsidRPr="004A0212">
        <w:t xml:space="preserve"> New Zealand</w:t>
      </w:r>
      <w:bookmarkEnd w:id="291"/>
      <w:bookmarkEnd w:id="292"/>
      <w:r w:rsidRPr="004A0212">
        <w:t xml:space="preserve"> </w:t>
      </w:r>
    </w:p>
    <w:p w14:paraId="1F231B94" w14:textId="77777777" w:rsidR="00FE4E56" w:rsidRPr="004A0212" w:rsidRDefault="00FE4E56" w:rsidP="00845434">
      <w:pPr>
        <w:pStyle w:val="Heading3"/>
        <w:rPr>
          <w:rFonts w:cs="Arial"/>
        </w:rPr>
      </w:pPr>
      <w:bookmarkStart w:id="293" w:name="_Toc1019316027"/>
      <w:bookmarkStart w:id="294" w:name="_Toc147935420"/>
      <w:bookmarkStart w:id="295" w:name="_Toc148443604"/>
      <w:bookmarkStart w:id="296" w:name="_Toc150933077"/>
      <w:bookmarkStart w:id="297" w:name="_Toc150953394"/>
      <w:bookmarkStart w:id="298" w:name="_Toc181084842"/>
      <w:r w:rsidRPr="004A0212">
        <w:rPr>
          <w:rFonts w:cs="Arial"/>
        </w:rPr>
        <w:t>Te whanaungatanga i waenganui i a Aotearoa me ngā whenua Pasifika</w:t>
      </w:r>
      <w:bookmarkEnd w:id="293"/>
      <w:bookmarkEnd w:id="298"/>
      <w:r w:rsidRPr="004A0212">
        <w:rPr>
          <w:rFonts w:cs="Arial"/>
        </w:rPr>
        <w:t xml:space="preserve"> </w:t>
      </w:r>
    </w:p>
    <w:p w14:paraId="1EEBF421" w14:textId="381BD765" w:rsidR="00FE4E56" w:rsidRPr="004A0212" w:rsidRDefault="00FE4E56" w:rsidP="00845434">
      <w:pPr>
        <w:pStyle w:val="Heading3"/>
        <w:rPr>
          <w:rFonts w:cs="Arial"/>
        </w:rPr>
      </w:pPr>
      <w:bookmarkStart w:id="299" w:name="_Toc808860946"/>
      <w:bookmarkStart w:id="300" w:name="_Toc181084843"/>
      <w:r w:rsidRPr="004A0212">
        <w:rPr>
          <w:rFonts w:cs="Arial"/>
        </w:rPr>
        <w:t>Relationships between Aotearoa New Zealand and the Pacific nations</w:t>
      </w:r>
      <w:bookmarkEnd w:id="294"/>
      <w:bookmarkEnd w:id="295"/>
      <w:bookmarkEnd w:id="296"/>
      <w:bookmarkEnd w:id="297"/>
      <w:bookmarkEnd w:id="299"/>
      <w:bookmarkEnd w:id="300"/>
      <w:r w:rsidRPr="004A0212">
        <w:rPr>
          <w:rFonts w:cs="Arial"/>
        </w:rPr>
        <w:t xml:space="preserve"> </w:t>
      </w:r>
    </w:p>
    <w:p w14:paraId="5D014EF8" w14:textId="3D29E86B" w:rsidR="00FE4E56" w:rsidRPr="004A0212" w:rsidRDefault="00FE4E56" w:rsidP="007D73A6">
      <w:pPr>
        <w:pStyle w:val="AllNumbparas"/>
      </w:pPr>
      <w:r w:rsidRPr="004A0212">
        <w:t xml:space="preserve">Aotearoa New Zealand has longstanding historical relationships with Pacific Peoples that predate European contact. Māori and Pacific Peoples share whakapapa and a common history of migration across the South Pacific region. However, these connections have not always extended to how some New Zealanders and the State viewed and treated Pacific Peoples. </w:t>
      </w:r>
    </w:p>
    <w:p w14:paraId="163F7266" w14:textId="3B58FC37" w:rsidR="00FE4E56" w:rsidRPr="004A0212" w:rsidRDefault="00FE4E56" w:rsidP="007D73A6">
      <w:pPr>
        <w:pStyle w:val="AllNumbparas"/>
      </w:pPr>
      <w:r w:rsidRPr="004A0212">
        <w:t>The historic relationship with Pacific nations has tended to be paternalistic, with Aotearoa New Zealand “doing what was best for the immature, incapable and unknowing children, with or without their consent”.</w:t>
      </w:r>
      <w:r w:rsidRPr="004A0212">
        <w:rPr>
          <w:rStyle w:val="StyleFootnoteReferenceFagoFunotenzeichenFagoFunotenzeichen"/>
        </w:rPr>
        <w:endnoteReference w:id="213"/>
      </w:r>
      <w:r w:rsidRPr="004A0212">
        <w:t xml:space="preserve"> This relationship included a civilising agenda and led to the colonisation of some Pacific nations. </w:t>
      </w:r>
    </w:p>
    <w:p w14:paraId="340D6868" w14:textId="51509CAD" w:rsidR="00FE4E56" w:rsidRPr="004A0212" w:rsidRDefault="00FE4E56" w:rsidP="007D73A6">
      <w:pPr>
        <w:pStyle w:val="AllNumbparas"/>
      </w:pPr>
      <w:r w:rsidRPr="004A0212">
        <w:t xml:space="preserve">Pacific Peoples have had a unique experience as a migrant community in Aotearoa New Zealand. This is due to the relationship between Pacific Peoples and Māori, and Aotearoa New Zealand’s colonial relationship with the Pacific nations. </w:t>
      </w:r>
    </w:p>
    <w:p w14:paraId="63503F0F" w14:textId="77777777" w:rsidR="00FE4E56" w:rsidRDefault="00FE4E56">
      <w:pPr>
        <w:keepLines w:val="0"/>
        <w:rPr>
          <w:rFonts w:ascii="Arial" w:eastAsia="Calibri" w:hAnsi="Arial" w:cs="Arial"/>
          <w:bCs/>
          <w:color w:val="222222"/>
          <w:sz w:val="22"/>
          <w:szCs w:val="22"/>
          <w:shd w:val="clear" w:color="auto" w:fill="FFFFFF"/>
        </w:rPr>
      </w:pPr>
      <w:r>
        <w:br w:type="page"/>
      </w:r>
    </w:p>
    <w:p w14:paraId="3608B727" w14:textId="5D0D53AF" w:rsidR="00FE4E56" w:rsidRPr="004A0212" w:rsidRDefault="00FE4E56" w:rsidP="00D7126F">
      <w:pPr>
        <w:pStyle w:val="AllNumbparas"/>
      </w:pPr>
      <w:r w:rsidRPr="004A0212">
        <w:lastRenderedPageBreak/>
        <w:t>Pacific People</w:t>
      </w:r>
      <w:r>
        <w:t>s</w:t>
      </w:r>
      <w:r w:rsidRPr="004A0212">
        <w:t xml:space="preserve"> have a history of migration to Aotearoa New Zealand, especially from the Realm countries with citizenship rights. Aotearoa New Zealand is called a Realm because it is a monarchy. The Realm of New Zealand includes Aotearoa New Zealand, Tokelau, the Ross Dependency (in Antarctica) and the self-governing states of the Cook Islands and Niue.</w:t>
      </w:r>
      <w:r w:rsidRPr="004A0212">
        <w:rPr>
          <w:rStyle w:val="StyleFootnoteReferenceFagoFunotenzeichenFagoFunotenzeichen"/>
        </w:rPr>
        <w:endnoteReference w:id="214"/>
      </w:r>
    </w:p>
    <w:p w14:paraId="42DCD883" w14:textId="2E6DD159" w:rsidR="00FE4E56" w:rsidRPr="004A0212" w:rsidRDefault="00FE4E56" w:rsidP="007D73A6">
      <w:pPr>
        <w:pStyle w:val="AllNumbparas"/>
      </w:pPr>
      <w:r w:rsidRPr="004A0212">
        <w:t>Aotearoa New Zealand annexed the Cook Islands and Niue in 1901 and began an administration of Tokelau in 1926, before annexing it in 1948.</w:t>
      </w:r>
      <w:r w:rsidRPr="004A0212">
        <w:rPr>
          <w:rStyle w:val="StyleFootnoteReferenceFagoFunotenzeichenFagoFunotenzeichen"/>
        </w:rPr>
        <w:endnoteReference w:id="215"/>
      </w:r>
      <w:r w:rsidRPr="004A0212">
        <w:t xml:space="preserve"> The Cook Islands declared independence in 1965 and Niue in 1974, but both continued to have a formal relationship with Aotearoa New Zealand.</w:t>
      </w:r>
      <w:r w:rsidRPr="004A0212">
        <w:rPr>
          <w:rStyle w:val="StyleFootnoteReferenceFagoFunotenzeichenFagoFunotenzeichen"/>
        </w:rPr>
        <w:endnoteReference w:id="216"/>
      </w:r>
      <w:r w:rsidRPr="004A0212">
        <w:t xml:space="preserve"> Tokelau is still a territory of Aotearoa New Zealand. People born in Niue, Tokelau or the Cook Islands are New Zealand citizens, and Aotearoa New Zealand has a legal duty to them.</w:t>
      </w:r>
      <w:r w:rsidRPr="004A0212">
        <w:rPr>
          <w:rStyle w:val="StyleFootnoteReferenceFagoFunotenzeichenFagoFunotenzeichen"/>
        </w:rPr>
        <w:endnoteReference w:id="217"/>
      </w:r>
      <w:r w:rsidRPr="004A0212">
        <w:t xml:space="preserve"> </w:t>
      </w:r>
    </w:p>
    <w:p w14:paraId="52CA94A7" w14:textId="77777777" w:rsidR="00FE4E56" w:rsidRDefault="00FE4E56" w:rsidP="0099524B">
      <w:pPr>
        <w:pStyle w:val="BodyText"/>
        <w:rPr>
          <w:rFonts w:ascii="Arial" w:hAnsi="Arial" w:cs="Arial"/>
          <w:sz w:val="22"/>
        </w:rPr>
      </w:pPr>
    </w:p>
    <w:p w14:paraId="248E6D6F" w14:textId="7619B1E5" w:rsidR="00FE4E56" w:rsidRPr="0099524B" w:rsidRDefault="00FE4E56" w:rsidP="0099524B">
      <w:pPr>
        <w:pStyle w:val="BodyText"/>
        <w:rPr>
          <w:rFonts w:ascii="Arial" w:hAnsi="Arial" w:cs="Arial"/>
          <w:sz w:val="22"/>
        </w:rPr>
      </w:pPr>
      <w:r w:rsidRPr="0099524B">
        <w:rPr>
          <w:rFonts w:ascii="Arial" w:hAnsi="Arial" w:cs="Arial"/>
          <w:sz w:val="22"/>
        </w:rPr>
        <w:t>[</w:t>
      </w:r>
      <w:r>
        <w:rPr>
          <w:rFonts w:ascii="Arial" w:hAnsi="Arial" w:cs="Arial"/>
          <w:sz w:val="22"/>
        </w:rPr>
        <w:t>Q</w:t>
      </w:r>
      <w:r w:rsidRPr="0099524B">
        <w:rPr>
          <w:rFonts w:ascii="Arial" w:hAnsi="Arial" w:cs="Arial"/>
          <w:sz w:val="22"/>
        </w:rPr>
        <w:t>uote]</w:t>
      </w:r>
    </w:p>
    <w:p w14:paraId="0709043C" w14:textId="77777777" w:rsidR="00FE4E56" w:rsidRPr="0099524B" w:rsidRDefault="00FE4E56" w:rsidP="0099524B">
      <w:pPr>
        <w:pStyle w:val="AllQuotes"/>
        <w:rPr>
          <w:b/>
        </w:rPr>
      </w:pPr>
      <w:r w:rsidRPr="0099524B">
        <w:rPr>
          <w:b/>
        </w:rPr>
        <w:t>“The general population appears to have a very distorted image of psychiatric patients. This image is influenced by a lack of education and knowledge of the major psychiatric disorders and a misconception that psychiatric illness is inextricably linked with dangerousness.”</w:t>
      </w:r>
    </w:p>
    <w:p w14:paraId="16BF6FAB" w14:textId="3DB47F02" w:rsidR="00FE4E56" w:rsidRPr="0099524B" w:rsidRDefault="00FE4E56" w:rsidP="0099524B">
      <w:pPr>
        <w:pStyle w:val="AllQuotes"/>
        <w:rPr>
          <w:b/>
        </w:rPr>
      </w:pPr>
      <w:r w:rsidRPr="0099524B">
        <w:rPr>
          <w:b/>
        </w:rPr>
        <w:t>Mason</w:t>
      </w:r>
      <w:r>
        <w:rPr>
          <w:b/>
        </w:rPr>
        <w:t>, K</w:t>
      </w:r>
    </w:p>
    <w:p w14:paraId="460506B1" w14:textId="5171D32E" w:rsidR="00FE4E56" w:rsidRPr="00835066" w:rsidRDefault="00FE4E56" w:rsidP="00835066">
      <w:pPr>
        <w:pStyle w:val="AllQuotes"/>
        <w:rPr>
          <w:b/>
        </w:rPr>
      </w:pPr>
      <w:r w:rsidRPr="00835066">
        <w:rPr>
          <w:b/>
        </w:rPr>
        <w:t>Report of the Committee of Inquiry into Procedures Used In Certain Psychiatric Hospitals In Relation To Admission, Discharge Or Release On Leave Of Certain Classes Of Patients</w:t>
      </w:r>
    </w:p>
    <w:p w14:paraId="041B97C4" w14:textId="46E6475A" w:rsidR="00FE4E56" w:rsidRPr="004A0212" w:rsidRDefault="00FE4E56" w:rsidP="007D73A6">
      <w:pPr>
        <w:pStyle w:val="AllNumbparas"/>
      </w:pPr>
      <w:r w:rsidRPr="004A0212">
        <w:t>Aotearoa New Zealand also has a special relationship with Samoa because of its formal administration of the nation from 1920 to 1962 (under a League of Nations mandate from 1920, and as a United Nations Trust Territory from 1946). This administration was resisted almost from its beginning by the Mau movement, culminating in the Aotearoa New Zealand administration opening fire on peaceful protestors in 1929 and killing several people.</w:t>
      </w:r>
      <w:r w:rsidRPr="004A0212">
        <w:rPr>
          <w:rStyle w:val="StyleFootnoteReferenceFagoFunotenzeichenFagoFunotenzeichen"/>
        </w:rPr>
        <w:endnoteReference w:id="218"/>
      </w:r>
    </w:p>
    <w:p w14:paraId="2D6AE8B7" w14:textId="5FA547A9" w:rsidR="00FE4E56" w:rsidRPr="004A0212" w:rsidRDefault="00FE4E56" w:rsidP="007D73A6">
      <w:pPr>
        <w:pStyle w:val="AllNumbparas"/>
      </w:pPr>
      <w:r w:rsidRPr="004A0212">
        <w:t>Samoa obtained independence in 1962 and the two countries signed a Treaty of Friendship, pledging to work closely together to promote the welfare of the Samoan people.</w:t>
      </w:r>
      <w:r w:rsidRPr="004A0212">
        <w:rPr>
          <w:rStyle w:val="StyleFootnoteReferenceFagoFunotenzeichenFagoFunotenzeichen"/>
        </w:rPr>
        <w:endnoteReference w:id="219"/>
      </w:r>
      <w:r w:rsidRPr="004A0212">
        <w:t xml:space="preserve"> </w:t>
      </w:r>
    </w:p>
    <w:p w14:paraId="796E8720" w14:textId="188FFE2A" w:rsidR="00FE4E56" w:rsidRPr="004A0212" w:rsidRDefault="00FE4E56" w:rsidP="007D73A6">
      <w:pPr>
        <w:pStyle w:val="AllNumbparas"/>
      </w:pPr>
      <w:r w:rsidRPr="004A0212">
        <w:t>Large-scale immigration of Pacific Peoples to Aotearoa New Zealand began in the 1950s and increased rapidly.</w:t>
      </w:r>
      <w:r w:rsidRPr="004A0212">
        <w:rPr>
          <w:rStyle w:val="StyleFootnoteReferenceFagoFunotenzeichenFagoFunotenzeichen"/>
        </w:rPr>
        <w:endnoteReference w:id="220"/>
      </w:r>
      <w:r w:rsidRPr="004A0212">
        <w:t xml:space="preserve"> The State initially actively recruited Pacific Peoples for low-skilled, low-paid jobs.</w:t>
      </w:r>
      <w:r w:rsidRPr="004A0212">
        <w:rPr>
          <w:rStyle w:val="StyleFootnoteReferenceFagoFunotenzeichenFagoFunotenzeichen"/>
        </w:rPr>
        <w:endnoteReference w:id="221"/>
      </w:r>
      <w:r w:rsidRPr="004A0212">
        <w:t xml:space="preserve"> Pacific Peoples also participated in the New Zealand armed forces in both the First and Second World Wars, and some of these veterans returned and settled in New Zealand.</w:t>
      </w:r>
      <w:r w:rsidRPr="004A0212">
        <w:rPr>
          <w:rStyle w:val="StyleFootnoteReferenceFagoFunotenzeichenFagoFunotenzeichen"/>
        </w:rPr>
        <w:endnoteReference w:id="222"/>
      </w:r>
    </w:p>
    <w:p w14:paraId="1A818B0F" w14:textId="50793629" w:rsidR="00FE4E56" w:rsidRPr="004A0212" w:rsidRDefault="00FE4E56" w:rsidP="00A83810">
      <w:pPr>
        <w:pStyle w:val="AllNumbparas"/>
        <w:rPr>
          <w:rStyle w:val="normaltextrun"/>
          <w:b/>
          <w:color w:val="3B5D1E" w:themeColor="accent4" w:themeShade="BF"/>
          <w:szCs w:val="28"/>
        </w:rPr>
      </w:pPr>
      <w:r w:rsidRPr="004A0212">
        <w:t>While Pacific Peoples took up the opportunity for a new life in Aotearoa New Zealand, some found the migration challenging. Economic hardship and racism made it hard to adjust to a new way of living and affected the ability of aiga or k</w:t>
      </w:r>
      <w:r>
        <w:t>a</w:t>
      </w:r>
      <w:r w:rsidRPr="004A0212">
        <w:t>inga (family) to enforce and uphold important cultural controls, values, supports and practices.</w:t>
      </w:r>
      <w:r w:rsidRPr="004A0212">
        <w:rPr>
          <w:rStyle w:val="StyleFootnoteReferenceFagoFunotenzeichenFagoFunotenzeichen"/>
        </w:rPr>
        <w:endnoteReference w:id="223"/>
      </w:r>
      <w:r w:rsidRPr="004A0212">
        <w:t xml:space="preserve"> </w:t>
      </w:r>
    </w:p>
    <w:p w14:paraId="14779543" w14:textId="77777777" w:rsidR="00FE4E56" w:rsidRPr="00E94190" w:rsidRDefault="00FE4E56" w:rsidP="00282055">
      <w:pPr>
        <w:pStyle w:val="Heading2"/>
        <w:rPr>
          <w:rStyle w:val="normaltextrun"/>
        </w:rPr>
      </w:pPr>
      <w:bookmarkStart w:id="303" w:name="_Toc1077635772"/>
      <w:bookmarkStart w:id="304" w:name="_Toc181084844"/>
      <w:r w:rsidRPr="00E94190">
        <w:rPr>
          <w:rStyle w:val="normaltextrun"/>
        </w:rPr>
        <w:lastRenderedPageBreak/>
        <w:t>Ka tipu haere ngā mōtika tamariki</w:t>
      </w:r>
      <w:bookmarkEnd w:id="304"/>
    </w:p>
    <w:p w14:paraId="44E30ED5" w14:textId="0051F56D" w:rsidR="00FE4E56" w:rsidRPr="007125B4" w:rsidRDefault="00FE4E56" w:rsidP="00282055">
      <w:pPr>
        <w:pStyle w:val="Heading2"/>
        <w:rPr>
          <w:rStyle w:val="normaltextrun"/>
        </w:rPr>
      </w:pPr>
      <w:bookmarkStart w:id="305" w:name="_Toc181084845"/>
      <w:r w:rsidRPr="00FB6DE5">
        <w:rPr>
          <w:rStyle w:val="normaltextrun"/>
        </w:rPr>
        <w:t>Children’s rights begin to increase</w:t>
      </w:r>
      <w:bookmarkEnd w:id="303"/>
      <w:bookmarkEnd w:id="305"/>
      <w:r w:rsidRPr="00FB6DE5">
        <w:rPr>
          <w:rStyle w:val="normaltextrun"/>
        </w:rPr>
        <w:t xml:space="preserve"> </w:t>
      </w:r>
    </w:p>
    <w:p w14:paraId="48A8CB39" w14:textId="5381BF9B" w:rsidR="00FE4E56" w:rsidRPr="004A0212" w:rsidRDefault="00FE4E56" w:rsidP="007D73A6">
      <w:pPr>
        <w:pStyle w:val="AllNumbparas"/>
      </w:pPr>
      <w:r w:rsidRPr="004A0212">
        <w:t>From the late 19</w:t>
      </w:r>
      <w:r w:rsidRPr="004A0212">
        <w:rPr>
          <w:vertAlign w:val="superscript"/>
        </w:rPr>
        <w:t>th</w:t>
      </w:r>
      <w:r w:rsidRPr="004A0212">
        <w:t xml:space="preserve"> century children increasingly became seen as human beings in their own right and in need of protection, and the State began to take a more active role in child welfare.</w:t>
      </w:r>
      <w:r w:rsidRPr="004A0212">
        <w:rPr>
          <w:rStyle w:val="StyleFootnoteReferenceFagoFunotenzeichenFagoFunotenzeichen"/>
        </w:rPr>
        <w:endnoteReference w:id="224"/>
      </w:r>
      <w:r w:rsidRPr="004A0212">
        <w:t xml:space="preserve"> By the early 20</w:t>
      </w:r>
      <w:r w:rsidRPr="004A0212">
        <w:rPr>
          <w:vertAlign w:val="superscript"/>
        </w:rPr>
        <w:t>th</w:t>
      </w:r>
      <w:r w:rsidRPr="004A0212">
        <w:t xml:space="preserve"> century there was general acceptance in Aotearoa New Zealand that the State had a role in intervening in families to promote child welfare, resulting in legislation that concerned children and their rights specifically, such as the Infant Life Protection Act 1908 and the Child Welfare Act 1925. </w:t>
      </w:r>
    </w:p>
    <w:p w14:paraId="055FAAA9" w14:textId="77777777" w:rsidR="00FE4E56" w:rsidRPr="004A0212" w:rsidRDefault="00FE4E56" w:rsidP="00282055">
      <w:pPr>
        <w:pStyle w:val="Heading2"/>
      </w:pPr>
      <w:bookmarkStart w:id="306" w:name="_Toc377193167"/>
      <w:bookmarkStart w:id="307" w:name="_Toc181084846"/>
      <w:r w:rsidRPr="004A0212">
        <w:t>Te mārama haere ki te whanaketanga tamariki</w:t>
      </w:r>
      <w:bookmarkStart w:id="308" w:name="_Toc147935398"/>
      <w:bookmarkStart w:id="309" w:name="_Toc148443579"/>
      <w:bookmarkStart w:id="310" w:name="_Toc150933134"/>
      <w:bookmarkStart w:id="311" w:name="_Toc150953451"/>
      <w:bookmarkStart w:id="312" w:name="_Toc140921331"/>
      <w:bookmarkEnd w:id="306"/>
      <w:bookmarkEnd w:id="307"/>
      <w:r w:rsidRPr="004A0212">
        <w:t xml:space="preserve"> </w:t>
      </w:r>
    </w:p>
    <w:p w14:paraId="3A119665" w14:textId="536FDC34" w:rsidR="00FE4E56" w:rsidRPr="004A0212" w:rsidRDefault="00FE4E56" w:rsidP="00282055">
      <w:pPr>
        <w:pStyle w:val="Heading2"/>
      </w:pPr>
      <w:bookmarkStart w:id="313" w:name="_Toc198295029"/>
      <w:bookmarkStart w:id="314" w:name="_Toc181084847"/>
      <w:r w:rsidRPr="004A0212">
        <w:t>Growth in the understanding</w:t>
      </w:r>
      <w:bookmarkEnd w:id="308"/>
      <w:bookmarkEnd w:id="309"/>
      <w:bookmarkEnd w:id="310"/>
      <w:bookmarkEnd w:id="311"/>
      <w:r w:rsidRPr="004A0212">
        <w:t xml:space="preserve"> of child development</w:t>
      </w:r>
      <w:bookmarkEnd w:id="313"/>
      <w:bookmarkEnd w:id="314"/>
      <w:r w:rsidRPr="004A0212">
        <w:t xml:space="preserve"> </w:t>
      </w:r>
    </w:p>
    <w:p w14:paraId="07FD53A6" w14:textId="24577737" w:rsidR="00FE4E56" w:rsidRPr="004A0212" w:rsidRDefault="00FE4E56" w:rsidP="007D73A6">
      <w:pPr>
        <w:pStyle w:val="AllNumbparas"/>
      </w:pPr>
      <w:r w:rsidRPr="004A0212">
        <w:t>During the Second World War,</w:t>
      </w:r>
      <w:r w:rsidRPr="004A0212" w:rsidDel="008202B2">
        <w:t xml:space="preserve"> </w:t>
      </w:r>
      <w:r w:rsidRPr="004A0212">
        <w:t>British psychiatrist</w:t>
      </w:r>
      <w:r w:rsidRPr="004A0212" w:rsidDel="008202B2">
        <w:t xml:space="preserve"> </w:t>
      </w:r>
      <w:r w:rsidRPr="004A0212">
        <w:t>John Bowlby studied what happened to children who were separated from their caregivers. His research showed the importance of the relationship between children and their caregivers. He called this ‘attachment theory’ and it helped people understand the bond between children and their caregivers, including in Aotearoa New Zealand.</w:t>
      </w:r>
      <w:r w:rsidRPr="004A0212">
        <w:rPr>
          <w:rStyle w:val="StyleFootnoteReferenceFagoFunotenzeichenFagoFunotenzeichen"/>
        </w:rPr>
        <w:endnoteReference w:id="225"/>
      </w:r>
      <w:r w:rsidRPr="004A0212">
        <w:t xml:space="preserve"> </w:t>
      </w:r>
    </w:p>
    <w:p w14:paraId="429CF5AD" w14:textId="5E3A9C3E" w:rsidR="00FE4E56" w:rsidRPr="004A0212" w:rsidRDefault="00FE4E56" w:rsidP="007D73A6">
      <w:pPr>
        <w:pStyle w:val="AllNumbparas"/>
      </w:pPr>
      <w:r w:rsidRPr="004A0212">
        <w:t>Attachment is the bond (physical and psychologically) that babies develop with their caregivers, and helps the developing child feel safe and secure.</w:t>
      </w:r>
      <w:r w:rsidRPr="004A0212">
        <w:rPr>
          <w:rStyle w:val="StyleFootnoteReferenceFagoFunotenzeichenFagoFunotenzeichen"/>
        </w:rPr>
        <w:endnoteReference w:id="226"/>
      </w:r>
      <w:r w:rsidRPr="004A0212">
        <w:t xml:space="preserve"> Attachment shapes early brain development and is so fundamental to human development that failure to develop, or loss of, these bonds can create distress in babies, serious developmental delay and heightened risk of long-term mental illness.</w:t>
      </w:r>
      <w:r w:rsidRPr="004A0212">
        <w:rPr>
          <w:rStyle w:val="StyleFootnoteReferenceFagoFunotenzeichenFagoFunotenzeichen"/>
        </w:rPr>
        <w:endnoteReference w:id="227"/>
      </w:r>
      <w:r w:rsidRPr="004A0212">
        <w:t xml:space="preserve"> </w:t>
      </w:r>
    </w:p>
    <w:p w14:paraId="1A89C956" w14:textId="64CD7543" w:rsidR="00FE4E56" w:rsidRPr="004A0212" w:rsidRDefault="00FE4E56" w:rsidP="007D73A6">
      <w:pPr>
        <w:pStyle w:val="AllNumbparas"/>
        <w:rPr>
          <w:sz w:val="20"/>
          <w:szCs w:val="20"/>
        </w:rPr>
      </w:pPr>
      <w:r w:rsidRPr="004A0212">
        <w:t>Attachment is expressed and understood differently across cultures. European approaches have a more individualised view of the process of attachment, particularly regarding the mother-to-child bond.</w:t>
      </w:r>
      <w:r w:rsidRPr="004A0212">
        <w:rPr>
          <w:rStyle w:val="StyleFootnoteReferenceFagoFunotenzeichenFagoFunotenzeichen"/>
        </w:rPr>
        <w:endnoteReference w:id="228"/>
      </w:r>
      <w:r w:rsidRPr="004A0212">
        <w:t xml:space="preserve"> </w:t>
      </w:r>
    </w:p>
    <w:p w14:paraId="51B10DD1" w14:textId="610D42A8" w:rsidR="00FE4E56" w:rsidRPr="004A0212" w:rsidRDefault="00FE4E56" w:rsidP="00A83810">
      <w:pPr>
        <w:pStyle w:val="AllNumbparas"/>
      </w:pPr>
      <w:r w:rsidRPr="004A0212">
        <w:t xml:space="preserve">Te ao Māori understandings of attachment are more collective. While parent to child attachments are integral, these are only some of many crucial relationships essential to developing a sense of self, including connection to wider whānau, hapū, iwi, whenua and wairuatanga (spirituality). </w:t>
      </w:r>
      <w:bookmarkStart w:id="315" w:name="_Hlk178400930"/>
      <w:r w:rsidRPr="004A0212">
        <w:t xml:space="preserve">Pacific </w:t>
      </w:r>
      <w:r>
        <w:t>P</w:t>
      </w:r>
      <w:r w:rsidRPr="004A0212">
        <w:t>eoples</w:t>
      </w:r>
      <w:r>
        <w:t>’</w:t>
      </w:r>
      <w:bookmarkEnd w:id="315"/>
      <w:r w:rsidRPr="004A0212">
        <w:t xml:space="preserve"> views of attachment are also more collective. </w:t>
      </w:r>
    </w:p>
    <w:p w14:paraId="331D6AF5" w14:textId="54C32090" w:rsidR="00FE4E56" w:rsidRPr="004A0212" w:rsidRDefault="00FE4E56" w:rsidP="007D73A6">
      <w:pPr>
        <w:pStyle w:val="AllNumbparas"/>
      </w:pPr>
      <w:r w:rsidRPr="004A0212">
        <w:t>The ability to form, develop and maintain key relationships is vital for any child’s healthy growth.</w:t>
      </w:r>
      <w:r w:rsidRPr="004A0212">
        <w:rPr>
          <w:rStyle w:val="StyleFootnoteReferenceFagoFunotenzeichenFagoFunotenzeichen"/>
        </w:rPr>
        <w:endnoteReference w:id="229"/>
      </w:r>
      <w:r w:rsidRPr="004A0212">
        <w:t xml:space="preserve"> By the 1950s, State</w:t>
      </w:r>
      <w:r w:rsidRPr="004A0212" w:rsidDel="00516E78">
        <w:t xml:space="preserve"> </w:t>
      </w:r>
      <w:r w:rsidRPr="004A0212">
        <w:t>and other officials would have been aware of the theory that children needed secure, loving care from parents or other familiar caregivers. Fr example, even the 1954 Mazengarb Report, which was very critical of children and young people’s motivations and behaviour,</w:t>
      </w:r>
      <w:r w:rsidRPr="004A0212">
        <w:rPr>
          <w:rStyle w:val="EndnoteReference"/>
        </w:rPr>
        <w:endnoteReference w:id="230"/>
      </w:r>
      <w:r w:rsidRPr="004A0212">
        <w:t xml:space="preserve"> noted the importance of the psychological link between mother and child.</w:t>
      </w:r>
      <w:r w:rsidRPr="004A0212">
        <w:rPr>
          <w:rStyle w:val="StyleFootnoteReferenceFagoFunotenzeichenFagoFunotenzeichen"/>
        </w:rPr>
        <w:endnoteReference w:id="231"/>
      </w:r>
      <w:r w:rsidRPr="004A0212">
        <w:rPr>
          <w:vertAlign w:val="superscript"/>
        </w:rPr>
        <w:t xml:space="preserve">  </w:t>
      </w:r>
      <w:r w:rsidRPr="004A0212">
        <w:t>Despite this</w:t>
      </w:r>
      <w:r w:rsidRPr="004A0212">
        <w:rPr>
          <w:vertAlign w:val="superscript"/>
        </w:rPr>
        <w:t xml:space="preserve"> </w:t>
      </w:r>
      <w:r w:rsidRPr="004A0212">
        <w:t>understanding,</w:t>
      </w:r>
      <w:r w:rsidRPr="004A0212">
        <w:rPr>
          <w:vertAlign w:val="superscript"/>
        </w:rPr>
        <w:t xml:space="preserve"> </w:t>
      </w:r>
      <w:r w:rsidRPr="004A0212">
        <w:t xml:space="preserve">there was a sharp rise in the number of children and young people being removed from their families into care settings from the 1950s through to the 1980s. </w:t>
      </w:r>
      <w:r w:rsidRPr="000C0692">
        <w:t>Parts 3 and 4</w:t>
      </w:r>
      <w:r w:rsidRPr="004A0212">
        <w:t xml:space="preserve"> cover  the removal of children in Aotearoa.</w:t>
      </w:r>
    </w:p>
    <w:bookmarkEnd w:id="312"/>
    <w:p w14:paraId="4BF06A92" w14:textId="77777777" w:rsidR="00FE4E56" w:rsidRPr="004A0212" w:rsidRDefault="00FE4E56" w:rsidP="007D73A6">
      <w:pPr>
        <w:pStyle w:val="AllNumbparas"/>
        <w:numPr>
          <w:ilvl w:val="0"/>
          <w:numId w:val="0"/>
        </w:numPr>
        <w:ind w:left="851"/>
      </w:pPr>
    </w:p>
    <w:p w14:paraId="1F2FF5F7" w14:textId="755C9D18" w:rsidR="00FE4E56" w:rsidRPr="004A0212" w:rsidRDefault="00FE4E56" w:rsidP="002403AA">
      <w:pPr>
        <w:pStyle w:val="AllQuotes"/>
      </w:pPr>
      <w:bookmarkStart w:id="316" w:name="_Toc150933135"/>
      <w:bookmarkStart w:id="317" w:name="_Toc150953452"/>
      <w:r w:rsidRPr="004A0212">
        <w:br w:type="page"/>
      </w:r>
    </w:p>
    <w:p w14:paraId="265BB134" w14:textId="5EC85404" w:rsidR="00FE4E56" w:rsidRPr="004A0212" w:rsidRDefault="00FE4E56" w:rsidP="00282055">
      <w:pPr>
        <w:pStyle w:val="Heading1"/>
        <w:rPr>
          <w:color w:val="3B5D1E" w:themeColor="accent4" w:themeShade="BF"/>
        </w:rPr>
      </w:pPr>
      <w:bookmarkStart w:id="318" w:name="_Toc401082714"/>
      <w:bookmarkStart w:id="319" w:name="_Toc181084848"/>
      <w:r w:rsidRPr="004A0212">
        <w:rPr>
          <w:color w:val="3B5D1E" w:themeColor="accent4" w:themeShade="BF"/>
        </w:rPr>
        <w:lastRenderedPageBreak/>
        <w:t>Ūpoko 6: 1950–1970 – Te whakawehi matatika me te tupu o te whenua tokoora</w:t>
      </w:r>
      <w:bookmarkEnd w:id="318"/>
      <w:bookmarkEnd w:id="319"/>
    </w:p>
    <w:p w14:paraId="3BC6513F" w14:textId="1C94491B" w:rsidR="00FE4E56" w:rsidRPr="004A0212" w:rsidRDefault="00FE4E56" w:rsidP="00282055">
      <w:pPr>
        <w:pStyle w:val="Heading1"/>
        <w:rPr>
          <w:color w:val="3B5D1E" w:themeColor="accent4" w:themeShade="BF"/>
        </w:rPr>
      </w:pPr>
      <w:bookmarkStart w:id="320" w:name="_Toc2086767011"/>
      <w:bookmarkStart w:id="321" w:name="_Toc181084849"/>
      <w:r w:rsidRPr="004A0212">
        <w:rPr>
          <w:color w:val="3B5D1E" w:themeColor="accent4" w:themeShade="BF"/>
        </w:rPr>
        <w:t>Chapter 6: 1950–1970</w:t>
      </w:r>
      <w:bookmarkEnd w:id="316"/>
      <w:bookmarkEnd w:id="317"/>
      <w:r w:rsidRPr="004A0212">
        <w:rPr>
          <w:color w:val="3B5D1E" w:themeColor="accent4" w:themeShade="BF"/>
        </w:rPr>
        <w:t xml:space="preserve"> – Moral panic and the growth of the welfare state</w:t>
      </w:r>
      <w:bookmarkEnd w:id="320"/>
      <w:bookmarkEnd w:id="321"/>
    </w:p>
    <w:p w14:paraId="67F252BD" w14:textId="3C845801" w:rsidR="00FE4E56" w:rsidRPr="004A0212" w:rsidRDefault="00FE4E56" w:rsidP="007D73A6">
      <w:pPr>
        <w:pStyle w:val="AllNumbparas"/>
      </w:pPr>
      <w:r w:rsidRPr="004A0212">
        <w:t xml:space="preserve">The first 20 years of the Inquiry period involved increased urban migration, assimilationist State policies and the beginning of the modern care settings network. This was during a period of relative economic and social stability with strong population growth due to the baby boom following the Second World War. Care settings grew both in the range of settings and the numbers of children, young people and adults taken and placed in them. Māori and Pacific Peoples were increasingly placed in all care settings, becoming over-represented. </w:t>
      </w:r>
    </w:p>
    <w:p w14:paraId="70A43EEF" w14:textId="77777777" w:rsidR="00FE4E56" w:rsidRDefault="00FE4E56" w:rsidP="00282055">
      <w:pPr>
        <w:pStyle w:val="Heading2"/>
      </w:pPr>
      <w:bookmarkStart w:id="322" w:name="_Toc150933136"/>
      <w:bookmarkStart w:id="323" w:name="_Toc150953453"/>
      <w:bookmarkStart w:id="324" w:name="_Toc1186527818"/>
      <w:bookmarkStart w:id="325" w:name="_Toc181084850"/>
      <w:r w:rsidRPr="004A0212">
        <w:t>Te urutau a te Māori ki te noho tāone</w:t>
      </w:r>
      <w:bookmarkEnd w:id="325"/>
    </w:p>
    <w:p w14:paraId="6D71E2C6" w14:textId="6341159C" w:rsidR="00FE4E56" w:rsidRPr="004A0212" w:rsidRDefault="00FE4E56" w:rsidP="00282055">
      <w:pPr>
        <w:pStyle w:val="Heading2"/>
      </w:pPr>
      <w:bookmarkStart w:id="326" w:name="_Toc181084851"/>
      <w:r w:rsidRPr="004A0212">
        <w:t>Māori adapting to an urban way of life</w:t>
      </w:r>
      <w:bookmarkEnd w:id="322"/>
      <w:bookmarkEnd w:id="323"/>
      <w:bookmarkEnd w:id="324"/>
      <w:bookmarkEnd w:id="326"/>
    </w:p>
    <w:p w14:paraId="4AF13C03" w14:textId="2B4C568B" w:rsidR="00FE4E56" w:rsidRPr="004A0212" w:rsidRDefault="00FE4E56" w:rsidP="007D73A6">
      <w:pPr>
        <w:pStyle w:val="AllNumbparas"/>
      </w:pPr>
      <w:bookmarkStart w:id="327" w:name="_Toc117001329"/>
      <w:bookmarkStart w:id="328" w:name="_Toc147935411"/>
      <w:bookmarkStart w:id="329" w:name="_Toc148443594"/>
      <w:bookmarkStart w:id="330" w:name="_Toc148443588"/>
      <w:r w:rsidRPr="004A0212">
        <w:t>By 1966, 62 percent of Māori lived in towns and cities compared to 9 percent in 1929. Within a few decades, Māori had become “a predominately urban people”.</w:t>
      </w:r>
      <w:r w:rsidRPr="004A0212">
        <w:rPr>
          <w:rStyle w:val="StyleFootnoteReferenceFagoFunotenzeichenFagoFunotenzeichen"/>
        </w:rPr>
        <w:endnoteReference w:id="232"/>
      </w:r>
      <w:r w:rsidRPr="004A0212">
        <w:t xml:space="preserve"> This was due to a combination of factors, including the impact of government policy on Māori farming, growing numbers of jobs in the cities and, after 1962, encouragement from the State to move to the cities. </w:t>
      </w:r>
      <w:bookmarkEnd w:id="327"/>
      <w:bookmarkEnd w:id="328"/>
      <w:bookmarkEnd w:id="329"/>
      <w:bookmarkEnd w:id="330"/>
    </w:p>
    <w:p w14:paraId="23981137" w14:textId="51B9BEF2" w:rsidR="00FE4E56" w:rsidRPr="004A0212" w:rsidRDefault="00FE4E56" w:rsidP="007D73A6">
      <w:pPr>
        <w:pStyle w:val="AllNumbparas"/>
      </w:pPr>
      <w:r w:rsidRPr="004A0212">
        <w:t>Throughout the 1950s, many Māori raised issues with the way their mana and organisational capacities were being undermined by the State.</w:t>
      </w:r>
      <w:r w:rsidRPr="004A0212">
        <w:rPr>
          <w:rStyle w:val="StyleFootnoteReferenceFagoFunotenzeichenFagoFunotenzeichen"/>
        </w:rPr>
        <w:endnoteReference w:id="233"/>
      </w:r>
      <w:r w:rsidRPr="004A0212">
        <w:t xml:space="preserve"> At the same time, Māori were adapting State initiatives to their own ends. By mid-century, the tribal committee system under the Māori Social and Economic Advancement Act 1945 was achieving results in areas such as improvements to meeting houses, marae complexes, sports facilities and interactions with the Department of Māori Affairs.</w:t>
      </w:r>
      <w:r w:rsidRPr="004A0212">
        <w:rPr>
          <w:rStyle w:val="StyleFootnoteReferenceFagoFunotenzeichenFagoFunotenzeichen"/>
        </w:rPr>
        <w:endnoteReference w:id="234"/>
      </w:r>
      <w:r w:rsidRPr="004A0212">
        <w:t xml:space="preserve"> </w:t>
      </w:r>
    </w:p>
    <w:p w14:paraId="1BD92175" w14:textId="43FCB778" w:rsidR="00FE4E56" w:rsidRPr="004A0212" w:rsidRDefault="00FE4E56" w:rsidP="00814720">
      <w:pPr>
        <w:pStyle w:val="AllNumbparas"/>
      </w:pPr>
      <w:r w:rsidRPr="004A0212">
        <w:t>The 1945 Act also provided for Māori Wardens, volunteers who were authorised to enforce “order and regularity”. Wardens came to play a significant role in the life of whānau, hapū iwi and hāpori Māori by, organising events, acting as intermediaries with government agencies and assisting with legal matters.</w:t>
      </w:r>
      <w:r w:rsidRPr="004A0212">
        <w:rPr>
          <w:rStyle w:val="StyleFootnoteReferenceFagoFunotenzeichenFagoFunotenzeichen"/>
        </w:rPr>
        <w:endnoteReference w:id="235"/>
      </w:r>
      <w:r w:rsidRPr="004A0212">
        <w:t xml:space="preserve"> </w:t>
      </w:r>
    </w:p>
    <w:p w14:paraId="3C15635D" w14:textId="56088991" w:rsidR="00FE4E56" w:rsidRPr="004A0212" w:rsidRDefault="00FE4E56" w:rsidP="007D73A6">
      <w:pPr>
        <w:pStyle w:val="AllNumbparas"/>
      </w:pPr>
      <w:r w:rsidRPr="004A0212">
        <w:t xml:space="preserve">The State encouraged organisations such as </w:t>
      </w:r>
      <w:r w:rsidRPr="004A0212">
        <w:rPr>
          <w:color w:val="auto"/>
        </w:rPr>
        <w:t>M</w:t>
      </w:r>
      <w:r w:rsidRPr="004A0212">
        <w:rPr>
          <w:rStyle w:val="normaltextrun"/>
          <w:color w:val="auto"/>
          <w:bdr w:val="none" w:sz="0" w:space="0" w:color="auto" w:frame="1"/>
        </w:rPr>
        <w:t>ā</w:t>
      </w:r>
      <w:r w:rsidRPr="004A0212">
        <w:rPr>
          <w:color w:val="auto"/>
        </w:rPr>
        <w:t xml:space="preserve">ori Wardens </w:t>
      </w:r>
      <w:r w:rsidRPr="004A0212">
        <w:t>and the Māori Women’s Welfare League in part because it saw them as a way to help Māori adjust to life in the city. Support could be withdrawn if they were considered to have gone outside their official briefs.</w:t>
      </w:r>
      <w:r w:rsidRPr="004A0212">
        <w:rPr>
          <w:rStyle w:val="StyleFootnoteReferenceFagoFunotenzeichenFagoFunotenzeichen"/>
        </w:rPr>
        <w:endnoteReference w:id="236"/>
      </w:r>
      <w:r w:rsidRPr="004A0212">
        <w:t xml:space="preserve"> </w:t>
      </w:r>
    </w:p>
    <w:p w14:paraId="1B91C413" w14:textId="238AC016" w:rsidR="00FE4E56" w:rsidRPr="004A0212" w:rsidRDefault="00FE4E56" w:rsidP="007D73A6">
      <w:pPr>
        <w:pStyle w:val="AllNumbparas"/>
      </w:pPr>
      <w:r w:rsidRPr="004A0212">
        <w:t>A wave of laws were passed in the 1950s aimed at further assimilation. These included:</w:t>
      </w:r>
    </w:p>
    <w:p w14:paraId="1071516A" w14:textId="39E2A136" w:rsidR="00FE4E56" w:rsidRPr="004A0212" w:rsidRDefault="00FE4E56" w:rsidP="00370D96">
      <w:pPr>
        <w:pStyle w:val="Bulletpoints"/>
      </w:pPr>
      <w:r w:rsidRPr="004A0212">
        <w:t>the Māori Purposes Act 1950, which allowed the leasing of any Māori lands considered unproductive</w:t>
      </w:r>
    </w:p>
    <w:p w14:paraId="60C037B5" w14:textId="77777777" w:rsidR="00A449D5" w:rsidRDefault="00A449D5">
      <w:pPr>
        <w:keepLines w:val="0"/>
        <w:rPr>
          <w:rFonts w:ascii="Arial" w:eastAsia="Calibri" w:hAnsi="Arial" w:cs="Arial"/>
          <w:bCs/>
          <w:color w:val="222222"/>
          <w:sz w:val="22"/>
          <w:szCs w:val="22"/>
          <w:shd w:val="clear" w:color="auto" w:fill="FFFFFF"/>
        </w:rPr>
      </w:pPr>
      <w:r>
        <w:br w:type="page"/>
      </w:r>
    </w:p>
    <w:p w14:paraId="3E81F178" w14:textId="269FEFD3" w:rsidR="00FE4E56" w:rsidRPr="004A0212" w:rsidRDefault="00FE4E56" w:rsidP="00370D96">
      <w:pPr>
        <w:pStyle w:val="Bulletpoints"/>
      </w:pPr>
      <w:r w:rsidRPr="004A0212">
        <w:lastRenderedPageBreak/>
        <w:t>the abolition of the Māori Land Boards, and the introduction of the Māori Affairs Act 1953, which gave the Māori Trustee the power to buy interests in land which the State deemed to be uneconomic</w:t>
      </w:r>
      <w:r w:rsidRPr="004A0212">
        <w:rPr>
          <w:rStyle w:val="StyleFootnoteReferenceFagoFunotenzeichenFagoFunotenzeichen"/>
        </w:rPr>
        <w:endnoteReference w:id="237"/>
      </w:r>
      <w:r w:rsidRPr="004A0212">
        <w:t xml:space="preserve"> </w:t>
      </w:r>
    </w:p>
    <w:p w14:paraId="1A19680E" w14:textId="418B35FD" w:rsidR="00FE4E56" w:rsidRPr="004A0212" w:rsidRDefault="00FE4E56" w:rsidP="00370D96">
      <w:pPr>
        <w:pStyle w:val="Bulletpoints"/>
      </w:pPr>
      <w:r w:rsidRPr="004A0212">
        <w:t>Māori customary marriage being invalidated in 1953</w:t>
      </w:r>
    </w:p>
    <w:p w14:paraId="5BB9A44C" w14:textId="4A40A414" w:rsidR="00FE4E56" w:rsidRPr="004A0212" w:rsidRDefault="00FE4E56" w:rsidP="00370D96">
      <w:pPr>
        <w:pStyle w:val="Bulletpoints"/>
      </w:pPr>
      <w:r w:rsidRPr="004A0212">
        <w:t>the Adoption Act 1955 weakened customary adoption (whāngai) by promoting secrecy about family origins and legally severing any links between birth and adoptive families</w:t>
      </w:r>
      <w:r w:rsidRPr="004A0212">
        <w:rPr>
          <w:rStyle w:val="StyleFootnoteReferenceFagoFunotenzeichenFagoFunotenzeichen"/>
        </w:rPr>
        <w:endnoteReference w:id="238"/>
      </w:r>
      <w:r w:rsidRPr="004A0212">
        <w:rPr>
          <w:vertAlign w:val="superscript"/>
        </w:rPr>
        <w:t> </w:t>
      </w:r>
    </w:p>
    <w:p w14:paraId="7BE0CED3" w14:textId="0B92E0A0" w:rsidR="00FE4E56" w:rsidRPr="004A0212" w:rsidRDefault="00FE4E56" w:rsidP="00370D96">
      <w:pPr>
        <w:pStyle w:val="Bulletpoints"/>
      </w:pPr>
      <w:r w:rsidRPr="004A0212">
        <w:t>in 1962 the Adoption Act was amended to remove the Māori Land Court’s jurisdiction in adoptions and applicants were forced to go to the more formal Magistrates’ Court.</w:t>
      </w:r>
      <w:r w:rsidRPr="004A0212">
        <w:rPr>
          <w:rStyle w:val="StyleFootnoteReferenceFagoFunotenzeichenFagoFunotenzeichen"/>
        </w:rPr>
        <w:endnoteReference w:id="239"/>
      </w:r>
      <w:r w:rsidRPr="004A0212">
        <w:t xml:space="preserve"> </w:t>
      </w:r>
    </w:p>
    <w:p w14:paraId="7A6B5EF9" w14:textId="512B8315" w:rsidR="00FE4E56" w:rsidRPr="004A0212" w:rsidRDefault="00FE4E56" w:rsidP="007D73A6">
      <w:pPr>
        <w:pStyle w:val="AllNumbparas"/>
      </w:pPr>
      <w:r w:rsidRPr="004A0212">
        <w:t>In 1960,</w:t>
      </w:r>
      <w:r w:rsidRPr="004A0212" w:rsidDel="00AD329B">
        <w:t xml:space="preserve"> </w:t>
      </w:r>
      <w:r w:rsidRPr="004A0212">
        <w:t>then Prime Minister Walter Nash asked the Department of Māori Welfare to do a stocktake of the state of Māoridom to inform future policy.</w:t>
      </w:r>
      <w:r w:rsidRPr="004A0212">
        <w:rPr>
          <w:rStyle w:val="StyleFootnoteReferenceFagoFunotenzeichenFagoFunotenzeichen"/>
        </w:rPr>
        <w:endnoteReference w:id="240"/>
      </w:r>
      <w:r w:rsidRPr="004A0212">
        <w:t xml:space="preserve"> The review was charged with recommending changes to assist departmental operations and the State’s immediate, medium-term, and ultimate goals for Māori. </w:t>
      </w:r>
    </w:p>
    <w:p w14:paraId="04276D13" w14:textId="5265C3FA" w:rsidR="00FE4E56" w:rsidRPr="004A0212" w:rsidRDefault="00FE4E56" w:rsidP="007D73A6">
      <w:pPr>
        <w:pStyle w:val="AllNumbparas"/>
      </w:pPr>
      <w:r w:rsidRPr="004A0212">
        <w:t>The resulting report, known as the Hunn Report, made it clear that Māori were essentially marginalised and continued to lag behind Pākehā in all socioeconomic indicators.</w:t>
      </w:r>
      <w:r w:rsidRPr="004A0212">
        <w:rPr>
          <w:rStyle w:val="StyleFootnoteReferenceFagoFunotenzeichenFagoFunotenzeichen"/>
        </w:rPr>
        <w:endnoteReference w:id="241"/>
      </w:r>
      <w:r w:rsidRPr="004A0212">
        <w:t xml:space="preserve"> The State saw increased attempts at assimilation and integration as the solution. A number of Māori commentators criticised the Hunn Report for failing to recognise tino rangatiratanga. The Māori Synod of the Presbyterian Church challenged the report’s assumption that it was Māori, rather than Pākehā, who needed to adjust.</w:t>
      </w:r>
      <w:r w:rsidRPr="004A0212">
        <w:rPr>
          <w:rStyle w:val="EndnoteReference"/>
        </w:rPr>
        <w:endnoteReference w:id="242"/>
      </w:r>
    </w:p>
    <w:p w14:paraId="725D7F8D" w14:textId="2D1D953A" w:rsidR="00FE4E56" w:rsidRPr="004A0212" w:rsidRDefault="00FE4E56" w:rsidP="00282055">
      <w:pPr>
        <w:pStyle w:val="Heading2"/>
      </w:pPr>
      <w:bookmarkStart w:id="331" w:name="_Toc1330518631"/>
      <w:bookmarkStart w:id="332" w:name="_Toc181084852"/>
      <w:r w:rsidRPr="004A0212">
        <w:t>Te hunga Turi, whaikaha me te hunga i rongo i te wairangitanga</w:t>
      </w:r>
      <w:bookmarkEnd w:id="331"/>
      <w:bookmarkEnd w:id="332"/>
    </w:p>
    <w:p w14:paraId="32E0FF65" w14:textId="077C53B6" w:rsidR="00FE4E56" w:rsidRPr="004A0212" w:rsidRDefault="00FE4E56" w:rsidP="00282055">
      <w:pPr>
        <w:pStyle w:val="Heading2"/>
      </w:pPr>
      <w:bookmarkStart w:id="333" w:name="_Toc198447905"/>
      <w:bookmarkStart w:id="334" w:name="_Toc181084853"/>
      <w:r w:rsidRPr="004A0212">
        <w:t xml:space="preserve">Deaf, disabled </w:t>
      </w:r>
      <w:r>
        <w:t xml:space="preserve">people </w:t>
      </w:r>
      <w:r w:rsidRPr="004A0212">
        <w:t>and people who experienced mental distress</w:t>
      </w:r>
      <w:bookmarkEnd w:id="333"/>
      <w:bookmarkEnd w:id="334"/>
    </w:p>
    <w:p w14:paraId="66764C45" w14:textId="0DB6AFBC" w:rsidR="00FE4E56" w:rsidRPr="004A0212" w:rsidRDefault="00FE4E56" w:rsidP="02397200">
      <w:pPr>
        <w:pStyle w:val="Heading3"/>
      </w:pPr>
      <w:bookmarkStart w:id="335" w:name="_Toc181084854"/>
      <w:r w:rsidRPr="004A0212">
        <w:t>Te whaikaha</w:t>
      </w:r>
      <w:bookmarkEnd w:id="335"/>
    </w:p>
    <w:p w14:paraId="3E2AF175" w14:textId="0B2C7564" w:rsidR="00FE4E56" w:rsidRPr="004A0212" w:rsidRDefault="00FE4E56" w:rsidP="00D668D0">
      <w:pPr>
        <w:pStyle w:val="Heading3"/>
      </w:pPr>
      <w:bookmarkStart w:id="336" w:name="_Toc559406012"/>
      <w:bookmarkStart w:id="337" w:name="_Toc181084855"/>
      <w:r w:rsidRPr="004A0212">
        <w:t>Disability</w:t>
      </w:r>
      <w:bookmarkEnd w:id="336"/>
      <w:bookmarkEnd w:id="337"/>
    </w:p>
    <w:p w14:paraId="28FD41A7" w14:textId="3AA3EF95" w:rsidR="00FE4E56" w:rsidRPr="004A0212" w:rsidRDefault="00FE4E56" w:rsidP="007D73A6">
      <w:pPr>
        <w:pStyle w:val="AllNumbparas"/>
      </w:pPr>
      <w:r w:rsidRPr="004A0212">
        <w:t>From the 1940s, there was a growing public concern about disabled people entering institutions both nationally and internationally. In 1949, the Intellectually Disabled Children’s Parent’s Association was founded and advocated for schools and community facilities to keep their children and young people out of institutions.</w:t>
      </w:r>
      <w:r w:rsidRPr="004A0212">
        <w:rPr>
          <w:rStyle w:val="StyleFootnoteReferenceFagoFunotenzeichenFagoFunotenzeichen"/>
        </w:rPr>
        <w:endnoteReference w:id="243"/>
      </w:r>
      <w:r w:rsidRPr="004A0212">
        <w:rPr>
          <w:vertAlign w:val="superscript"/>
        </w:rPr>
        <w:t xml:space="preserve"> </w:t>
      </w:r>
    </w:p>
    <w:p w14:paraId="6C9FD633" w14:textId="60E550D9" w:rsidR="00FE4E56" w:rsidRPr="004A0212" w:rsidRDefault="00FE4E56" w:rsidP="007D73A6">
      <w:pPr>
        <w:pStyle w:val="AllNumbparas"/>
      </w:pPr>
      <w:r w:rsidRPr="004A0212">
        <w:t xml:space="preserve">The Minister of Education, Hon Ronald Algie, set up a Consultative Committee </w:t>
      </w:r>
      <w:r w:rsidRPr="004A0212">
        <w:rPr>
          <w:color w:val="auto"/>
        </w:rPr>
        <w:t xml:space="preserve">in 1951 </w:t>
      </w:r>
      <w:r w:rsidRPr="004A0212">
        <w:t>to review education for disabled people. This was led by Dr Robert Aitken and the resulting report became known as the Aitken Report. The Aitken Report promoted putting disabled children, young people and adults into large-scale facilities (approximately 400 to 500 people) as the best model of care.</w:t>
      </w:r>
      <w:r w:rsidRPr="004A0212">
        <w:rPr>
          <w:rStyle w:val="StyleFootnoteReferenceFagoFunotenzeichenFagoFunotenzeichen"/>
        </w:rPr>
        <w:endnoteReference w:id="244"/>
      </w:r>
      <w:r w:rsidRPr="004A0212">
        <w:t xml:space="preserve"> </w:t>
      </w:r>
    </w:p>
    <w:p w14:paraId="2CA44ACF" w14:textId="04C7DD87" w:rsidR="00FE4E56" w:rsidRPr="004A0212" w:rsidRDefault="00FE4E56" w:rsidP="007D73A6">
      <w:pPr>
        <w:pStyle w:val="AllNumbparas"/>
      </w:pPr>
      <w:r w:rsidRPr="004A0212">
        <w:t xml:space="preserve">The New Zealand Branch of the British Medical Association released a report in 1959 (known as the Burns Report) criticising the State’s policy of putting people into institutions. The report instead advocated for community-based care. </w:t>
      </w:r>
    </w:p>
    <w:p w14:paraId="56080D15" w14:textId="77777777" w:rsidR="009F7863" w:rsidRDefault="009F7863">
      <w:pPr>
        <w:keepLines w:val="0"/>
        <w:rPr>
          <w:rFonts w:ascii="Arial" w:eastAsia="Calibri" w:hAnsi="Arial" w:cs="Arial"/>
          <w:bCs/>
          <w:color w:val="222222"/>
          <w:sz w:val="22"/>
          <w:szCs w:val="22"/>
          <w:shd w:val="clear" w:color="auto" w:fill="FFFFFF"/>
        </w:rPr>
      </w:pPr>
      <w:r>
        <w:br w:type="page"/>
      </w:r>
    </w:p>
    <w:p w14:paraId="6DA1DCA0" w14:textId="0FC6BB31" w:rsidR="00FE4E56" w:rsidRPr="004A0212" w:rsidRDefault="00FE4E56" w:rsidP="007D73A6">
      <w:pPr>
        <w:pStyle w:val="AllNumbparas"/>
      </w:pPr>
      <w:r w:rsidRPr="004A0212">
        <w:lastRenderedPageBreak/>
        <w:t>The Burns Report described the State’s policies towards children with learning disabilities as “based on outworn and outmoded ideas” and doing little to improve the lives of disabled people.</w:t>
      </w:r>
      <w:r w:rsidRPr="004A0212">
        <w:rPr>
          <w:rStyle w:val="StyleFootnoteReferenceFagoFunotenzeichenFagoFunotenzeichen"/>
        </w:rPr>
        <w:endnoteReference w:id="245"/>
      </w:r>
      <w:r w:rsidRPr="004A0212">
        <w:t xml:space="preserve"> It was particularly critical of the practice of admitting very young children into institutions.</w:t>
      </w:r>
      <w:r w:rsidRPr="004A0212">
        <w:rPr>
          <w:rStyle w:val="StyleFootnoteReferenceFagoFunotenzeichenFagoFunotenzeichen"/>
        </w:rPr>
        <w:endnoteReference w:id="246"/>
      </w:r>
      <w:r w:rsidRPr="004A0212">
        <w:rPr>
          <w:rStyle w:val="normaltextrun"/>
        </w:rPr>
        <w:t xml:space="preserve"> </w:t>
      </w:r>
    </w:p>
    <w:p w14:paraId="584ED174" w14:textId="77777777" w:rsidR="00FE4E56" w:rsidRPr="004A0212" w:rsidRDefault="00FE4E56" w:rsidP="007D73A6">
      <w:pPr>
        <w:pStyle w:val="AllNumbparas"/>
      </w:pPr>
      <w:r w:rsidRPr="004A0212">
        <w:t>Despite this growing public and professional concern, health policy for disabled people from 1952 to 1972 largely followed the direction of the Ai</w:t>
      </w:r>
      <w:r w:rsidRPr="004A0212">
        <w:rPr>
          <w:rStyle w:val="normaltextrun"/>
        </w:rPr>
        <w:t>tken Report.</w:t>
      </w:r>
      <w:r w:rsidRPr="004A0212">
        <w:rPr>
          <w:rStyle w:val="StyleFootnoteReferenceFagoFunotenzeichenFagoFunotenzeichen"/>
        </w:rPr>
        <w:endnoteReference w:id="247"/>
      </w:r>
      <w:r w:rsidRPr="004A0212">
        <w:rPr>
          <w:rStyle w:val="normaltextrun"/>
        </w:rPr>
        <w:t xml:space="preserve"> </w:t>
      </w:r>
      <w:r w:rsidRPr="004A0212">
        <w:t>Following its publication, and until the early 1970s, large-scale institutions became the State’s preferred option for housing disabled people, particularly those with learning disabilities.</w:t>
      </w:r>
      <w:r w:rsidRPr="004A0212">
        <w:rPr>
          <w:rStyle w:val="StyleFootnoteReferenceFagoFunotenzeichenFagoFunotenzeichen"/>
        </w:rPr>
        <w:endnoteReference w:id="248"/>
      </w:r>
      <w:r w:rsidRPr="004A0212">
        <w:t xml:space="preserve"> </w:t>
      </w:r>
    </w:p>
    <w:p w14:paraId="19850CBD" w14:textId="60581556" w:rsidR="00FE4E56" w:rsidRPr="004A0212" w:rsidRDefault="00FE4E56" w:rsidP="003046AA">
      <w:pPr>
        <w:pStyle w:val="AllNumbparas"/>
      </w:pPr>
      <w:r w:rsidRPr="004A0212">
        <w:t>In 1967 the</w:t>
      </w:r>
      <w:r w:rsidRPr="004A0212" w:rsidDel="002C4AFE">
        <w:t xml:space="preserve"> </w:t>
      </w:r>
      <w:r w:rsidRPr="004A0212">
        <w:t>Government set up a royal commission of inquiry to look at developing a scheme to ensure people who acquired a disability had fair and equal access to income support, care and treatment.</w:t>
      </w:r>
      <w:r w:rsidRPr="004A0212">
        <w:rPr>
          <w:rStyle w:val="StyleFootnoteReferenceFagoFunotenzeichenFagoFunotenzeichen"/>
        </w:rPr>
        <w:endnoteReference w:id="249"/>
      </w:r>
      <w:r w:rsidRPr="004A0212">
        <w:rPr>
          <w:rStyle w:val="StyleFootnoteReferenceFagoFunotenzeichenFagoFunotenzeichen"/>
        </w:rPr>
        <w:t xml:space="preserve"> </w:t>
      </w:r>
      <w:r w:rsidRPr="004A0212">
        <w:t>The resulting report, known as the Woodhouse Report, recommended a public insurance scheme where people would get ongoing care and support from a single system, no matter how they acquired their impairment (whether through an accident or otherwise), what their age was, or whether they were working.</w:t>
      </w:r>
      <w:r w:rsidRPr="004A0212">
        <w:rPr>
          <w:rStyle w:val="StyleFootnoteReferenceFagoFunotenzeichenFagoFunotenzeichen"/>
        </w:rPr>
        <w:endnoteReference w:id="250"/>
      </w:r>
      <w:r w:rsidRPr="004A0212">
        <w:rPr>
          <w:rStyle w:val="StyleFootnoteReferenceFagoFunotenzeichenFagoFunotenzeichen"/>
        </w:rPr>
        <w:t xml:space="preserve"> </w:t>
      </w:r>
      <w:r w:rsidRPr="004A0212">
        <w:t>The Woodhouse Report eventually led to the establishment of the Accident Compensation Corporation (ACC) in 1974.  The original recommendations in the Woodhouse Report were for the system to include support for people whose impairments did not result from an accident – these were never fully implemented, and the resulting system created ongoing inequities between people disabled by accident, and people with who acquired their disability in other ways.</w:t>
      </w:r>
      <w:r w:rsidRPr="004A0212">
        <w:rPr>
          <w:rStyle w:val="StyleFootnoteReferenceFagoFunotenzeichenFagoFunotenzeichen"/>
        </w:rPr>
        <w:endnoteReference w:id="251"/>
      </w:r>
      <w:r w:rsidRPr="004A0212">
        <w:t xml:space="preserve"> </w:t>
      </w:r>
    </w:p>
    <w:p w14:paraId="7272CAB2" w14:textId="3F908C35" w:rsidR="00FE4E56" w:rsidRPr="004A0212" w:rsidRDefault="00FE4E56" w:rsidP="005F479A">
      <w:pPr>
        <w:pStyle w:val="Heading3"/>
      </w:pPr>
      <w:bookmarkStart w:id="338" w:name="_Toc181084856"/>
      <w:r w:rsidRPr="004A0212">
        <w:t>Te wairangitanga</w:t>
      </w:r>
      <w:bookmarkEnd w:id="338"/>
    </w:p>
    <w:p w14:paraId="2A2B4E86" w14:textId="295A3A83" w:rsidR="00FE4E56" w:rsidRPr="004A0212" w:rsidRDefault="00FE4E56" w:rsidP="00D668D0">
      <w:pPr>
        <w:pStyle w:val="Heading3"/>
      </w:pPr>
      <w:bookmarkStart w:id="339" w:name="_Toc1083863325"/>
      <w:bookmarkStart w:id="340" w:name="_Toc181084857"/>
      <w:r w:rsidRPr="004A0212">
        <w:t>Mental distress</w:t>
      </w:r>
      <w:bookmarkEnd w:id="339"/>
      <w:bookmarkEnd w:id="340"/>
    </w:p>
    <w:p w14:paraId="4D622436" w14:textId="77777777" w:rsidR="00FE4E56" w:rsidRPr="004A0212" w:rsidRDefault="00FE4E56" w:rsidP="00FD7498">
      <w:pPr>
        <w:pStyle w:val="AllNumbparas"/>
      </w:pPr>
      <w:r w:rsidRPr="004A0212">
        <w:t>Rates of admissions to psychiatric hospitals peaked in Aotearoa New Zealand during the 1940s and the 1950s, a time when rates of institutionalisation for mental distress among non-Māori were among the highest in the world.</w:t>
      </w:r>
      <w:r w:rsidRPr="004A0212">
        <w:rPr>
          <w:rStyle w:val="StyleFootnoteReferenceFagoFunotenzeichenFagoFunotenzeichen"/>
        </w:rPr>
        <w:endnoteReference w:id="252"/>
      </w:r>
      <w:r w:rsidRPr="004A0212">
        <w:t xml:space="preserve"> </w:t>
      </w:r>
    </w:p>
    <w:p w14:paraId="0A86ECA6" w14:textId="4CFB9E2B" w:rsidR="00FE4E56" w:rsidRPr="004A0212" w:rsidRDefault="00FE4E56" w:rsidP="028A5F3E">
      <w:pPr>
        <w:pStyle w:val="AllNumbparas"/>
        <w:rPr>
          <w:sz w:val="28"/>
          <w:szCs w:val="28"/>
        </w:rPr>
      </w:pPr>
      <w:r w:rsidRPr="004A0212">
        <w:t>At the end of 1953, there was a combined total of 9,742 people in the country’s psychiatric hospitals – a population average of 478 per 100,000 of population.</w:t>
      </w:r>
      <w:r w:rsidRPr="004A0212">
        <w:rPr>
          <w:rStyle w:val="StyleFootnoteReferenceFagoFunotenzeichenFagoFunotenzeichen"/>
        </w:rPr>
        <w:endnoteReference w:id="253"/>
      </w:r>
      <w:r w:rsidRPr="004A0212">
        <w:t xml:space="preserve"> These numbers fell over the next few decades, partly due to the introduction of new and effective drugs to treat common conditions such as depression and schizophrenia, as well as the growing popularity of individual and group therapy.</w:t>
      </w:r>
      <w:r w:rsidRPr="004A0212">
        <w:rPr>
          <w:rStyle w:val="StyleFootnoteReferenceFagoFunotenzeichenFagoFunotenzeichen"/>
        </w:rPr>
        <w:endnoteReference w:id="254"/>
      </w:r>
    </w:p>
    <w:p w14:paraId="386D2AF3" w14:textId="4945866F" w:rsidR="00FE4E56" w:rsidRPr="00A9404D" w:rsidRDefault="00FE4E56" w:rsidP="00B0236A">
      <w:pPr>
        <w:pStyle w:val="AllNumbparas"/>
        <w:numPr>
          <w:ilvl w:val="0"/>
          <w:numId w:val="0"/>
        </w:numPr>
        <w:ind w:left="851"/>
      </w:pPr>
      <w:r w:rsidRPr="00A9404D">
        <w:t>[Survivor Quote]</w:t>
      </w:r>
    </w:p>
    <w:p w14:paraId="55C9BE62" w14:textId="6C641E53" w:rsidR="00FE4E56" w:rsidRPr="00A449D5" w:rsidRDefault="00FE4E56" w:rsidP="009B7215">
      <w:pPr>
        <w:pStyle w:val="AllQuotes"/>
        <w:rPr>
          <w:rFonts w:asciiTheme="minorBidi" w:hAnsiTheme="minorBidi" w:cstheme="minorBidi"/>
          <w:b/>
          <w:szCs w:val="22"/>
          <w:lang w:bidi="th-TH"/>
        </w:rPr>
      </w:pPr>
      <w:r w:rsidRPr="00A449D5">
        <w:rPr>
          <w:rFonts w:asciiTheme="minorBidi" w:hAnsiTheme="minorBidi" w:cstheme="minorBidi"/>
          <w:b/>
          <w:szCs w:val="22"/>
          <w:lang w:bidi="th-TH"/>
        </w:rPr>
        <w:t>“The courts had an attitude, and the police had an attitude, too.</w:t>
      </w:r>
    </w:p>
    <w:p w14:paraId="0ADA73C5" w14:textId="6D1090F3" w:rsidR="00FE4E56" w:rsidRPr="00A449D5" w:rsidRDefault="00FE4E56" w:rsidP="009B7215">
      <w:pPr>
        <w:pStyle w:val="AllQuotes"/>
        <w:rPr>
          <w:rFonts w:asciiTheme="minorBidi" w:hAnsiTheme="minorBidi" w:cstheme="minorBidi"/>
          <w:b/>
          <w:szCs w:val="22"/>
          <w:lang w:bidi="th-TH"/>
        </w:rPr>
      </w:pPr>
      <w:r w:rsidRPr="00A449D5">
        <w:rPr>
          <w:rFonts w:asciiTheme="minorBidi" w:hAnsiTheme="minorBidi" w:cstheme="minorBidi"/>
          <w:b/>
          <w:szCs w:val="22"/>
          <w:lang w:bidi="th-TH"/>
        </w:rPr>
        <w:t>The court acted differently to young M</w:t>
      </w:r>
      <w:r w:rsidRPr="00A449D5">
        <w:rPr>
          <w:rFonts w:asciiTheme="minorBidi" w:hAnsiTheme="minorBidi" w:cstheme="minorBidi" w:hint="eastAsia"/>
          <w:b/>
          <w:szCs w:val="22"/>
          <w:lang w:bidi="th-TH"/>
        </w:rPr>
        <w:t>ā</w:t>
      </w:r>
      <w:r w:rsidRPr="00A449D5">
        <w:rPr>
          <w:rFonts w:asciiTheme="minorBidi" w:hAnsiTheme="minorBidi" w:cstheme="minorBidi"/>
          <w:b/>
          <w:szCs w:val="22"/>
          <w:lang w:bidi="th-TH"/>
        </w:rPr>
        <w:t>ori compared to young P</w:t>
      </w:r>
      <w:r w:rsidRPr="00A449D5">
        <w:rPr>
          <w:rFonts w:asciiTheme="minorBidi" w:hAnsiTheme="minorBidi" w:cstheme="minorBidi" w:hint="eastAsia"/>
          <w:b/>
          <w:szCs w:val="22"/>
          <w:lang w:bidi="th-TH"/>
        </w:rPr>
        <w:t>ā</w:t>
      </w:r>
      <w:r w:rsidRPr="00A449D5">
        <w:rPr>
          <w:rFonts w:asciiTheme="minorBidi" w:hAnsiTheme="minorBidi" w:cstheme="minorBidi"/>
          <w:b/>
          <w:szCs w:val="22"/>
          <w:lang w:bidi="th-TH"/>
        </w:rPr>
        <w:t>keh</w:t>
      </w:r>
      <w:r w:rsidRPr="00A449D5">
        <w:rPr>
          <w:rFonts w:asciiTheme="minorBidi" w:hAnsiTheme="minorBidi" w:cstheme="minorBidi" w:hint="eastAsia"/>
          <w:b/>
          <w:szCs w:val="22"/>
          <w:lang w:bidi="th-TH"/>
        </w:rPr>
        <w:t>ā</w:t>
      </w:r>
      <w:r w:rsidRPr="00A449D5">
        <w:rPr>
          <w:rFonts w:asciiTheme="minorBidi" w:hAnsiTheme="minorBidi" w:cstheme="minorBidi"/>
          <w:b/>
          <w:szCs w:val="22"/>
          <w:lang w:bidi="th-TH"/>
        </w:rPr>
        <w:t xml:space="preserve"> offenders. The court was more willing to give second chances and lighter sentences to P</w:t>
      </w:r>
      <w:r w:rsidRPr="00A449D5">
        <w:rPr>
          <w:rFonts w:asciiTheme="minorBidi" w:hAnsiTheme="minorBidi" w:cstheme="minorBidi" w:hint="eastAsia"/>
          <w:b/>
          <w:szCs w:val="22"/>
          <w:lang w:bidi="th-TH"/>
        </w:rPr>
        <w:t>ā</w:t>
      </w:r>
      <w:r w:rsidRPr="00A449D5">
        <w:rPr>
          <w:rFonts w:asciiTheme="minorBidi" w:hAnsiTheme="minorBidi" w:cstheme="minorBidi"/>
          <w:b/>
          <w:szCs w:val="22"/>
          <w:lang w:bidi="th-TH"/>
        </w:rPr>
        <w:t>keh</w:t>
      </w:r>
      <w:r w:rsidRPr="00A449D5">
        <w:rPr>
          <w:rFonts w:asciiTheme="minorBidi" w:hAnsiTheme="minorBidi" w:cstheme="minorBidi" w:hint="eastAsia"/>
          <w:b/>
          <w:szCs w:val="22"/>
          <w:lang w:bidi="th-TH"/>
        </w:rPr>
        <w:t>ā</w:t>
      </w:r>
      <w:r w:rsidRPr="00A449D5">
        <w:rPr>
          <w:rFonts w:asciiTheme="minorBidi" w:hAnsiTheme="minorBidi" w:cstheme="minorBidi"/>
          <w:b/>
          <w:szCs w:val="22"/>
          <w:lang w:bidi="th-TH"/>
        </w:rPr>
        <w:t xml:space="preserve"> offenders.”</w:t>
      </w:r>
    </w:p>
    <w:p w14:paraId="7D5E785B" w14:textId="77777777" w:rsidR="00FE4E56" w:rsidRPr="00A449D5" w:rsidRDefault="00FE4E56" w:rsidP="00C935A8">
      <w:pPr>
        <w:pStyle w:val="AllQuotes"/>
        <w:rPr>
          <w:rFonts w:asciiTheme="minorBidi" w:eastAsia="Degular-Black" w:hAnsiTheme="minorBidi" w:cstheme="minorBidi"/>
          <w:b/>
          <w:szCs w:val="22"/>
          <w:lang w:bidi="th-TH"/>
        </w:rPr>
      </w:pPr>
      <w:r w:rsidRPr="00A449D5">
        <w:rPr>
          <w:rFonts w:asciiTheme="minorBidi" w:eastAsia="Degular-Black" w:hAnsiTheme="minorBidi" w:cstheme="minorBidi"/>
          <w:b/>
          <w:szCs w:val="22"/>
          <w:lang w:bidi="th-TH"/>
        </w:rPr>
        <w:t>MR SO</w:t>
      </w:r>
    </w:p>
    <w:p w14:paraId="2022988E" w14:textId="2F106F88" w:rsidR="00FE4E56" w:rsidRPr="00A449D5" w:rsidRDefault="00FE4E56" w:rsidP="00A449D5">
      <w:pPr>
        <w:pStyle w:val="AllQuotes"/>
        <w:rPr>
          <w:rFonts w:asciiTheme="minorBidi" w:eastAsia="Degular-Black" w:hAnsiTheme="minorBidi" w:cstheme="minorBidi"/>
          <w:b/>
          <w:szCs w:val="22"/>
          <w:lang w:bidi="th-TH"/>
        </w:rPr>
      </w:pPr>
      <w:r w:rsidRPr="00A449D5">
        <w:rPr>
          <w:rFonts w:asciiTheme="minorBidi" w:hAnsiTheme="minorBidi" w:cstheme="minorBidi"/>
          <w:b/>
          <w:szCs w:val="22"/>
          <w:lang w:bidi="th-TH"/>
        </w:rPr>
        <w:t>Social Worker</w:t>
      </w:r>
      <w:r>
        <w:br w:type="page"/>
      </w:r>
    </w:p>
    <w:p w14:paraId="7379D62F" w14:textId="1E578F56" w:rsidR="00FE4E56" w:rsidRPr="004A0212" w:rsidRDefault="00FE4E56" w:rsidP="005F479A">
      <w:pPr>
        <w:pStyle w:val="Heading3"/>
      </w:pPr>
      <w:bookmarkStart w:id="341" w:name="_Toc181084858"/>
      <w:r w:rsidRPr="004A0212">
        <w:lastRenderedPageBreak/>
        <w:t>Te hunga Turi</w:t>
      </w:r>
      <w:bookmarkEnd w:id="341"/>
    </w:p>
    <w:p w14:paraId="53CC8C04" w14:textId="6EF2BFE0" w:rsidR="00FE4E56" w:rsidRPr="004A0212" w:rsidRDefault="00FE4E56" w:rsidP="00D668D0">
      <w:pPr>
        <w:pStyle w:val="Heading3"/>
      </w:pPr>
      <w:bookmarkStart w:id="342" w:name="_Toc825008280"/>
      <w:bookmarkStart w:id="343" w:name="_Toc181084859"/>
      <w:r w:rsidRPr="004A0212">
        <w:t>Deaf</w:t>
      </w:r>
      <w:bookmarkEnd w:id="342"/>
      <w:bookmarkEnd w:id="343"/>
    </w:p>
    <w:p w14:paraId="7A3D0B98" w14:textId="1935A794" w:rsidR="00FE4E56" w:rsidRPr="004A0212" w:rsidRDefault="00FE4E56" w:rsidP="00536E67">
      <w:pPr>
        <w:pStyle w:val="AllNumbparas"/>
      </w:pPr>
      <w:r w:rsidRPr="004A0212">
        <w:t xml:space="preserve">Kelston School for Deaf children was established in 1958 in Tāmaki Makaurau Auckland, replacing temporary State schools for Deaf children and young people at Mount Wellington and Titirangi (Lopdell House). Like Sumner in </w:t>
      </w:r>
      <w:r w:rsidRPr="004A0212">
        <w:rPr>
          <w:color w:val="4D5156"/>
        </w:rPr>
        <w:t>Ō</w:t>
      </w:r>
      <w:r w:rsidRPr="004A0212">
        <w:t xml:space="preserve">tautahi Christchurch, (later named van Asch college and then Van Asch Deaf Education Center), Kelston School followed the oralist method of education. Two epidemics of maternal rubella in the 1960s increased Deaf student numbers, with maternal rubella thought to account for half of hearing loss in the 1960s. Kelston School had a high proportion of tāngata Turi </w:t>
      </w:r>
      <w:r w:rsidRPr="00004798">
        <w:t xml:space="preserve">Māori </w:t>
      </w:r>
      <w:r w:rsidRPr="004A0212">
        <w:t>and Pacific students. In 1974, 35 percent of students at Kelston School were recorded as “Polynesian”.</w:t>
      </w:r>
      <w:r w:rsidRPr="004A0212">
        <w:rPr>
          <w:rStyle w:val="StyleFootnoteReferenceFagoFunotenzeichenFagoFunotenzeichen"/>
        </w:rPr>
        <w:endnoteReference w:id="255"/>
      </w:r>
      <w:r w:rsidRPr="004A0212">
        <w:rPr>
          <w:rStyle w:val="StyleFootnoteReferenceFagoFunotenzeichenFagoFunotenzeichen"/>
        </w:rPr>
        <w:t xml:space="preserve"> </w:t>
      </w:r>
      <w:r w:rsidRPr="004A0212">
        <w:t xml:space="preserve">As with </w:t>
      </w:r>
      <w:r>
        <w:t>V</w:t>
      </w:r>
      <w:r w:rsidRPr="004A0212">
        <w:t xml:space="preserve">an Asch </w:t>
      </w:r>
      <w:r>
        <w:t>C</w:t>
      </w:r>
      <w:r w:rsidRPr="004A0212">
        <w:t>ollege, “Polynesian” was not defined.</w:t>
      </w:r>
    </w:p>
    <w:p w14:paraId="38D4C4EA" w14:textId="77777777" w:rsidR="00FE4E56" w:rsidRDefault="00FE4E56" w:rsidP="00282055">
      <w:pPr>
        <w:pStyle w:val="Heading2"/>
      </w:pPr>
      <w:bookmarkStart w:id="344" w:name="_Toc1817107774"/>
      <w:bookmarkStart w:id="345" w:name="_Toc181084860"/>
      <w:r w:rsidRPr="004A0212">
        <w:t>I kaha te whāia o ngāi Pasifika</w:t>
      </w:r>
      <w:bookmarkEnd w:id="345"/>
    </w:p>
    <w:p w14:paraId="3F0AC3A7" w14:textId="460A6C5E" w:rsidR="00FE4E56" w:rsidRPr="004A0212" w:rsidRDefault="00FE4E56" w:rsidP="00282055">
      <w:pPr>
        <w:pStyle w:val="Heading2"/>
      </w:pPr>
      <w:bookmarkStart w:id="346" w:name="_Toc150933140"/>
      <w:bookmarkStart w:id="347" w:name="_Toc150953457"/>
      <w:bookmarkStart w:id="348" w:name="_Toc181084861"/>
      <w:r w:rsidRPr="004A0212">
        <w:t xml:space="preserve">Pacific Peoples increasingly </w:t>
      </w:r>
      <w:bookmarkEnd w:id="346"/>
      <w:bookmarkEnd w:id="347"/>
      <w:r w:rsidRPr="004A0212">
        <w:t>targeted</w:t>
      </w:r>
      <w:bookmarkEnd w:id="344"/>
      <w:bookmarkEnd w:id="348"/>
      <w:r w:rsidRPr="004A0212">
        <w:t xml:space="preserve"> </w:t>
      </w:r>
    </w:p>
    <w:p w14:paraId="2BAA4454" w14:textId="723DE216" w:rsidR="00FE4E56" w:rsidRPr="009B7215" w:rsidRDefault="00FE4E56" w:rsidP="00814720">
      <w:pPr>
        <w:pStyle w:val="AllNumbparas"/>
        <w:rPr>
          <w:color w:val="000000" w:themeColor="text1"/>
          <w:vertAlign w:val="superscript"/>
        </w:rPr>
      </w:pPr>
      <w:r w:rsidRPr="004A0212">
        <w:t>As more Pacific families migrated to Aotearoa New Zealand and settled in urban areas, Pacific children and young people became more visible to authorities. Over surveillance led to increased court appearances and reports of abuse and neglect in Pacific families.</w:t>
      </w:r>
      <w:r w:rsidRPr="004A0212">
        <w:rPr>
          <w:rStyle w:val="StyleFootnoteReferenceFagoFunotenzeichenFagoFunotenzeichen"/>
        </w:rPr>
        <w:endnoteReference w:id="256"/>
      </w:r>
      <w:r w:rsidRPr="004A0212">
        <w:rPr>
          <w:rStyle w:val="StyleFootnoteReferenceFagoFunotenzeichenFagoFunotenzeichen"/>
        </w:rPr>
        <w:t xml:space="preserve"> </w:t>
      </w:r>
      <w:r w:rsidRPr="004A0212">
        <w:t xml:space="preserve"> </w:t>
      </w:r>
      <w:r>
        <w:t>. Niuean survivor Tigilau Ness told the Inquiry</w:t>
      </w:r>
      <w:r w:rsidRPr="004A0212">
        <w:t xml:space="preserve">: </w:t>
      </w:r>
    </w:p>
    <w:p w14:paraId="5DC708F4" w14:textId="706DE185" w:rsidR="00FE4E56" w:rsidRPr="004A0212" w:rsidRDefault="00FE4E56" w:rsidP="00E94190">
      <w:pPr>
        <w:pStyle w:val="AllNumbparas"/>
        <w:numPr>
          <w:ilvl w:val="0"/>
          <w:numId w:val="0"/>
        </w:numPr>
        <w:ind w:left="1701"/>
        <w:mirrorIndents w:val="0"/>
        <w:rPr>
          <w:rStyle w:val="StyleFootnoteReferenceFagoFunotenzeichenFagoFunotenzeichen"/>
        </w:rPr>
      </w:pPr>
      <w:r>
        <w:t>“I</w:t>
      </w:r>
      <w:r w:rsidRPr="004A0212">
        <w:t>t was not uncommon to walk down Karangahape Road and see Pacific Islanders being stopped randomly and questioned by the Police. It was not uncommon for Pacific Islanders to get picked up for no reason by the Police and be charged with idle and disorderly offences. Some of our children would be taken.</w:t>
      </w:r>
      <w:r>
        <w:t>”</w:t>
      </w:r>
      <w:r w:rsidRPr="004A0212">
        <w:rPr>
          <w:rStyle w:val="StyleFootnoteReferenceFagoFunotenzeichenFagoFunotenzeichen"/>
        </w:rPr>
        <w:endnoteReference w:id="257"/>
      </w:r>
    </w:p>
    <w:p w14:paraId="63967911" w14:textId="633737DB" w:rsidR="00FE4E56" w:rsidRPr="004A0212" w:rsidRDefault="00FE4E56" w:rsidP="006D238A">
      <w:pPr>
        <w:pStyle w:val="AllNumbparas"/>
        <w:rPr>
          <w:b/>
          <w:color w:val="3B5D1E" w:themeColor="accent4" w:themeShade="BF"/>
          <w:szCs w:val="28"/>
        </w:rPr>
      </w:pPr>
      <w:r w:rsidRPr="004A0212" w:rsidDel="00696447">
        <w:t xml:space="preserve">Pacific </w:t>
      </w:r>
      <w:r w:rsidRPr="004A0212">
        <w:t xml:space="preserve">children and young people </w:t>
      </w:r>
      <w:r w:rsidRPr="004A0212" w:rsidDel="00696447">
        <w:t xml:space="preserve">began appearing before the courts in increasing numbers from the 1960s. Similar to </w:t>
      </w:r>
      <w:r w:rsidRPr="004A0212">
        <w:t xml:space="preserve">tamariki and rangatahi </w:t>
      </w:r>
      <w:r w:rsidRPr="004A0212" w:rsidDel="00696447">
        <w:t xml:space="preserve">Māori, Pacific </w:t>
      </w:r>
      <w:r w:rsidRPr="004A0212">
        <w:t xml:space="preserve">children and young people </w:t>
      </w:r>
      <w:r w:rsidRPr="004A0212" w:rsidDel="00696447">
        <w:t xml:space="preserve">were more likely than non-Pacific </w:t>
      </w:r>
      <w:r w:rsidRPr="004A0212">
        <w:t xml:space="preserve">youth </w:t>
      </w:r>
      <w:r w:rsidRPr="004A0212" w:rsidDel="00696447">
        <w:t xml:space="preserve">to be targeted by </w:t>
      </w:r>
      <w:r w:rsidRPr="004A0212">
        <w:t>P</w:t>
      </w:r>
      <w:r w:rsidRPr="004A0212" w:rsidDel="00696447">
        <w:t>olice and prosecuted.</w:t>
      </w:r>
      <w:r w:rsidRPr="004A0212">
        <w:rPr>
          <w:rStyle w:val="StyleFootnoteReferenceFagoFunotenzeichenFagoFunotenzeichen"/>
        </w:rPr>
        <w:endnoteReference w:id="258"/>
      </w:r>
      <w:r w:rsidRPr="004A0212">
        <w:rPr>
          <w:rStyle w:val="CommentReference"/>
          <w:rFonts w:eastAsiaTheme="minorEastAsia" w:cs="Times New Roman"/>
          <w:color w:val="404040" w:themeColor="text1" w:themeTint="BF"/>
          <w:shd w:val="clear" w:color="auto" w:fill="auto"/>
          <w:lang w:eastAsia="en-US"/>
        </w:rPr>
        <w:t xml:space="preserve"> </w:t>
      </w:r>
      <w:bookmarkStart w:id="349" w:name="_Toc147935397"/>
      <w:bookmarkStart w:id="350" w:name="_Toc148443578"/>
      <w:bookmarkStart w:id="351" w:name="_Toc147935396"/>
      <w:bookmarkStart w:id="352" w:name="_Toc148443577"/>
    </w:p>
    <w:p w14:paraId="7AC9F256" w14:textId="6A434FE8" w:rsidR="00FE4E56" w:rsidRDefault="00FE4E56" w:rsidP="00282055">
      <w:pPr>
        <w:pStyle w:val="Heading2"/>
      </w:pPr>
      <w:bookmarkStart w:id="353" w:name="_Toc2000293573"/>
      <w:bookmarkStart w:id="354" w:name="_Toc181084862"/>
      <w:r w:rsidRPr="004A0212">
        <w:t>Te āmaimai mō te taiharatanga rangatahi</w:t>
      </w:r>
      <w:bookmarkEnd w:id="354"/>
    </w:p>
    <w:p w14:paraId="31375D98" w14:textId="1BCB0B09" w:rsidR="00FE4E56" w:rsidRPr="004A0212" w:rsidRDefault="00FE4E56" w:rsidP="00282055">
      <w:pPr>
        <w:pStyle w:val="Heading2"/>
      </w:pPr>
      <w:bookmarkStart w:id="355" w:name="_Toc181084863"/>
      <w:r w:rsidRPr="004A0212">
        <w:t>Concern about juvenile delinquency</w:t>
      </w:r>
      <w:bookmarkEnd w:id="353"/>
      <w:bookmarkEnd w:id="355"/>
    </w:p>
    <w:p w14:paraId="42765678" w14:textId="5866AD37" w:rsidR="00FE4E56" w:rsidRPr="004A0212" w:rsidRDefault="00FE4E56" w:rsidP="007D73A6">
      <w:pPr>
        <w:pStyle w:val="AllNumbparas"/>
      </w:pPr>
      <w:r w:rsidRPr="004A0212">
        <w:t>In the 1950s there were heightened anxieties about juvenile delinquency. This was due to the increase in the country’s youth population (approximately 13 – 19 years) and a separate youth culture developing in the main cities, combined with rising rates of youth crime.</w:t>
      </w:r>
      <w:r w:rsidRPr="004A0212">
        <w:rPr>
          <w:vertAlign w:val="superscript"/>
        </w:rPr>
        <w:t xml:space="preserve"> </w:t>
      </w:r>
      <w:r w:rsidRPr="004A0212">
        <w:rPr>
          <w:rStyle w:val="StyleFootnoteReferenceFagoFunotenzeichenFagoFunotenzeichen"/>
        </w:rPr>
        <w:endnoteReference w:id="259"/>
      </w:r>
      <w:r w:rsidRPr="004A0212">
        <w:t xml:space="preserve"> Deepening fears about youth behaviour were part of wider social unease about how things were changing, including “adolescent independence, gendered social shifts and weakening family control”.</w:t>
      </w:r>
      <w:r w:rsidRPr="004A0212">
        <w:rPr>
          <w:rStyle w:val="StyleFootnoteReferenceFagoFunotenzeichenFagoFunotenzeichen"/>
        </w:rPr>
        <w:endnoteReference w:id="260"/>
      </w:r>
      <w:r w:rsidRPr="004A0212">
        <w:t xml:space="preserve"> </w:t>
      </w:r>
    </w:p>
    <w:p w14:paraId="25D7ED0B" w14:textId="77777777" w:rsidR="00A449D5" w:rsidRDefault="00A449D5">
      <w:pPr>
        <w:keepLines w:val="0"/>
        <w:rPr>
          <w:rFonts w:ascii="Arial" w:eastAsia="Calibri" w:hAnsi="Arial" w:cs="Arial"/>
          <w:bCs/>
          <w:color w:val="222222"/>
          <w:sz w:val="22"/>
          <w:szCs w:val="22"/>
          <w:shd w:val="clear" w:color="auto" w:fill="FFFFFF"/>
        </w:rPr>
      </w:pPr>
      <w:r>
        <w:br w:type="page"/>
      </w:r>
    </w:p>
    <w:p w14:paraId="50E00665" w14:textId="0F009EC7" w:rsidR="00FE4E56" w:rsidRPr="004A0212" w:rsidRDefault="00FE4E56" w:rsidP="007D73A6">
      <w:pPr>
        <w:pStyle w:val="AllNumbparas"/>
      </w:pPr>
      <w:r w:rsidRPr="004A0212">
        <w:lastRenderedPageBreak/>
        <w:t xml:space="preserve">Two events in 1954 triggered these anxieties: the murder of an </w:t>
      </w:r>
      <w:bookmarkStart w:id="356" w:name="_Hlk178258662"/>
      <w:r w:rsidRPr="004A0212">
        <w:t>Ōtautahi Christchurch</w:t>
      </w:r>
      <w:bookmarkEnd w:id="356"/>
      <w:r w:rsidRPr="004A0212">
        <w:t xml:space="preserve"> mother by two teenage girls, one of them her daughter,</w:t>
      </w:r>
      <w:r w:rsidRPr="004A0212">
        <w:rPr>
          <w:rStyle w:val="StyleFootnoteReferenceFagoFunotenzeichenFagoFunotenzeichen"/>
        </w:rPr>
        <w:endnoteReference w:id="261"/>
      </w:r>
      <w:r w:rsidRPr="004A0212">
        <w:rPr>
          <w:vertAlign w:val="superscript"/>
        </w:rPr>
        <w:t xml:space="preserve"> </w:t>
      </w:r>
      <w:r w:rsidRPr="004A0212">
        <w:t xml:space="preserve">and the uncovering of a supposed “teenage sex ring” in </w:t>
      </w:r>
      <w:bookmarkStart w:id="357" w:name="_Hlk178258646"/>
      <w:r w:rsidRPr="004A0212">
        <w:t>Te Awa Kairangi ki Tai Lower Hutt</w:t>
      </w:r>
      <w:bookmarkEnd w:id="357"/>
      <w:r w:rsidRPr="004A0212">
        <w:t>.</w:t>
      </w:r>
      <w:r w:rsidRPr="004A0212">
        <w:rPr>
          <w:rStyle w:val="StyleFootnoteReferenceFagoFunotenzeichenFagoFunotenzeichen"/>
        </w:rPr>
        <w:endnoteReference w:id="262"/>
      </w:r>
      <w:r w:rsidRPr="004A0212">
        <w:t xml:space="preserve"> Both attracted wide media coverage and fuelled a growing unease about teenage behaviour.</w:t>
      </w:r>
      <w:r w:rsidRPr="004A0212">
        <w:rPr>
          <w:rStyle w:val="StyleFootnoteReferenceFagoFunotenzeichenFagoFunotenzeichen"/>
        </w:rPr>
        <w:endnoteReference w:id="263"/>
      </w:r>
      <w:r w:rsidRPr="004A0212">
        <w:t xml:space="preserve"> </w:t>
      </w:r>
    </w:p>
    <w:p w14:paraId="3D623180" w14:textId="62945DDD" w:rsidR="00FE4E56" w:rsidRPr="004A0212" w:rsidRDefault="00FE4E56" w:rsidP="007D73A6">
      <w:pPr>
        <w:pStyle w:val="AllNumbparas"/>
      </w:pPr>
      <w:r w:rsidRPr="004A0212">
        <w:t>The State responded by appointing lawyer Oswald Mazengarb to chair a Special Committee on Moral Delinquency in Children and Adolescents. A few months later, after interviewing 145 witnesses and taking 120 written submissions, the Committee released what is known as the Mazengarb Report. A copy of the report was sent to every household in the country. This further fuelled public anxieties about young people.</w:t>
      </w:r>
      <w:r w:rsidRPr="004A0212">
        <w:rPr>
          <w:rStyle w:val="StyleFootnoteReferenceFagoFunotenzeichenFagoFunotenzeichen"/>
        </w:rPr>
        <w:endnoteReference w:id="264"/>
      </w:r>
      <w:r w:rsidRPr="004A0212">
        <w:t xml:space="preserve"> </w:t>
      </w:r>
    </w:p>
    <w:p w14:paraId="131D689E" w14:textId="13F5077A" w:rsidR="00FE4E56" w:rsidRPr="004A0212" w:rsidRDefault="00FE4E56" w:rsidP="007D73A6">
      <w:pPr>
        <w:pStyle w:val="AllNumbparas"/>
        <w:rPr>
          <w:b/>
          <w:lang w:eastAsia="en-US"/>
        </w:rPr>
      </w:pPr>
      <w:r w:rsidRPr="004A0212">
        <w:t>The report said, “juvenile immorality” was “uncertain in origin, insidious in growth, and [had] developed over a wide field”.</w:t>
      </w:r>
      <w:r w:rsidRPr="004A0212">
        <w:rPr>
          <w:rStyle w:val="StyleFootnoteReferenceFagoFunotenzeichenFagoFunotenzeichen"/>
        </w:rPr>
        <w:endnoteReference w:id="265"/>
      </w:r>
      <w:r w:rsidRPr="004A0212">
        <w:t xml:space="preserve"> It particularly focussed on perceived promiscuity or immorality of girls as an issue and linked juvenile delinquency to girls being more open and confident about their sexuality.</w:t>
      </w:r>
      <w:r w:rsidRPr="004A0212">
        <w:rPr>
          <w:rStyle w:val="EndnoteReference"/>
        </w:rPr>
        <w:endnoteReference w:id="266"/>
      </w:r>
      <w:r w:rsidRPr="004A0212">
        <w:t xml:space="preserve"> The report recommended broadening the Child Welfare Act 1925 so State authorities could undertake preventive work. Its recommendations were quickly enacted into law and included the addition of sexual acts between children to the list of care and protection issues in the Act.</w:t>
      </w:r>
      <w:r w:rsidRPr="004A0212">
        <w:rPr>
          <w:rStyle w:val="StyleFootnoteReferenceFagoFunotenzeichenFagoFunotenzeichen"/>
        </w:rPr>
        <w:endnoteReference w:id="267"/>
      </w:r>
    </w:p>
    <w:p w14:paraId="3BECF251" w14:textId="7BF2E6C8" w:rsidR="00FE4E56" w:rsidRDefault="00FE4E56" w:rsidP="00282055">
      <w:pPr>
        <w:pStyle w:val="Heading2"/>
      </w:pPr>
      <w:bookmarkStart w:id="358" w:name="_Toc1192252600"/>
      <w:bookmarkStart w:id="359" w:name="_Toc181084864"/>
      <w:r w:rsidRPr="004A0212">
        <w:t>Ka whanake te hauora hinengaro tamariki</w:t>
      </w:r>
      <w:bookmarkEnd w:id="359"/>
    </w:p>
    <w:p w14:paraId="7CA515BB" w14:textId="7403AB24" w:rsidR="00FE4E56" w:rsidRPr="004A0212" w:rsidRDefault="00FE4E56" w:rsidP="00282055">
      <w:pPr>
        <w:pStyle w:val="Heading2"/>
      </w:pPr>
      <w:bookmarkStart w:id="360" w:name="_Toc181084865"/>
      <w:r w:rsidRPr="004A0212">
        <w:t>Child psychiatry develops</w:t>
      </w:r>
      <w:bookmarkStart w:id="361" w:name="_Toc150933142"/>
      <w:bookmarkEnd w:id="358"/>
      <w:bookmarkEnd w:id="360"/>
    </w:p>
    <w:p w14:paraId="4D092329" w14:textId="22E75486" w:rsidR="00FE4E56" w:rsidRPr="004A0212" w:rsidRDefault="00FE4E56" w:rsidP="005864F8">
      <w:pPr>
        <w:pStyle w:val="AllNumbparas"/>
      </w:pPr>
      <w:r w:rsidRPr="004A0212">
        <w:t>At the beginning of the Inquiry period, psychology was still a relatively new discipline and standards of care for children and young people focused less on mental health and more on the importance of a healthy diet, routine, exercise, and fresh air.</w:t>
      </w:r>
      <w:r w:rsidRPr="004A0212">
        <w:rPr>
          <w:rStyle w:val="StyleFootnoteReferenceFagoFunotenzeichenFagoFunotenzeichen"/>
        </w:rPr>
        <w:endnoteReference w:id="268"/>
      </w:r>
      <w:r w:rsidRPr="004A0212">
        <w:t xml:space="preserve"> </w:t>
      </w:r>
    </w:p>
    <w:p w14:paraId="635F13F8" w14:textId="6130CA1F" w:rsidR="00FE4E56" w:rsidRPr="004A0212" w:rsidRDefault="00FE4E56" w:rsidP="007D73A6">
      <w:pPr>
        <w:pStyle w:val="AllNumbparas"/>
      </w:pPr>
      <w:r w:rsidRPr="004A0212">
        <w:t>Throughout the Inquiry period, as research and understanding grew, people started to pay more attention to children and young peoples’ emotional, as well as physical, wellbeing.</w:t>
      </w:r>
      <w:r w:rsidRPr="004A0212">
        <w:rPr>
          <w:rStyle w:val="StyleFootnoteReferenceFagoFunotenzeichenFagoFunotenzeichen"/>
        </w:rPr>
        <w:endnoteReference w:id="269"/>
      </w:r>
      <w:r w:rsidRPr="004A0212">
        <w:t xml:space="preserve"> Some physical discipline of children and young people was accepted for a large part of the Inquiry period but the law noted that this should be “reasonable force”.</w:t>
      </w:r>
      <w:r w:rsidRPr="004A0212">
        <w:rPr>
          <w:rStyle w:val="EndnoteReference"/>
        </w:rPr>
        <w:t xml:space="preserve"> </w:t>
      </w:r>
      <w:r w:rsidRPr="004A0212">
        <w:rPr>
          <w:rStyle w:val="StyleFootnoteReferenceFagoFunotenzeichenFagoFunotenzeichen"/>
        </w:rPr>
        <w:endnoteReference w:id="270"/>
      </w:r>
    </w:p>
    <w:p w14:paraId="11D6562E" w14:textId="2AFB3670" w:rsidR="00FE4E56" w:rsidRPr="004A0212" w:rsidRDefault="00FE4E56" w:rsidP="009574D1">
      <w:pPr>
        <w:pStyle w:val="Numbparas"/>
      </w:pPr>
      <w:r w:rsidRPr="004A0212">
        <w:t>Globally, the influence of culture on child development was well established by the 1950s, based on works such as those of cultural anthropologist Margaret Mead, Carl Murchison’s Handbook of Child Psychology and Leonard Carmichael’s Manual of Child Psychology. B.F. Skinner’s experimental work, and its focus on observable behaviour and how it can be shaped using reward and punishment, was highly influential. John Bowlby’s attachment theory was further developed by researchers such as Mary Ainsworth over the 1960s.</w:t>
      </w:r>
    </w:p>
    <w:p w14:paraId="5CE3155C" w14:textId="6381EF38" w:rsidR="00FE4E56" w:rsidRPr="004A0212" w:rsidRDefault="00FE4E56" w:rsidP="007D73A6">
      <w:pPr>
        <w:pStyle w:val="AllNumbparas"/>
      </w:pPr>
      <w:r w:rsidRPr="004A0212">
        <w:t>Child psychiatry developed as a separate branch of psychiatry after the Second World War. In 1959, senior lecturer in psychiatry, Dr Wallace Ironside, wrote that child psychiatry was “an almost unknown specialty” in Aotearoa New Zealand.</w:t>
      </w:r>
      <w:r w:rsidRPr="004A0212">
        <w:rPr>
          <w:rStyle w:val="StyleFootnoteReferenceFagoFunotenzeichenFagoFunotenzeichen"/>
        </w:rPr>
        <w:endnoteReference w:id="271"/>
      </w:r>
      <w:r w:rsidRPr="004A0212">
        <w:t xml:space="preserve"> </w:t>
      </w:r>
    </w:p>
    <w:p w14:paraId="29465ACE" w14:textId="77777777" w:rsidR="00A449D5" w:rsidRDefault="00A449D5">
      <w:pPr>
        <w:keepLines w:val="0"/>
        <w:rPr>
          <w:rFonts w:ascii="Arial" w:eastAsia="Calibri" w:hAnsi="Arial" w:cs="Arial"/>
          <w:bCs/>
          <w:color w:val="222222"/>
          <w:sz w:val="22"/>
          <w:szCs w:val="22"/>
          <w:shd w:val="clear" w:color="auto" w:fill="FFFFFF"/>
        </w:rPr>
      </w:pPr>
      <w:r>
        <w:br w:type="page"/>
      </w:r>
    </w:p>
    <w:p w14:paraId="5755D21F" w14:textId="0B0711E6" w:rsidR="00FE4E56" w:rsidRPr="004A0212" w:rsidRDefault="00FE4E56" w:rsidP="007D73A6">
      <w:pPr>
        <w:pStyle w:val="AllNumbparas"/>
      </w:pPr>
      <w:r w:rsidRPr="004A0212">
        <w:lastRenderedPageBreak/>
        <w:t>Psychologists based in Aotearoa New Zealand and elsewhere were researching and publishing on local child development issues from at least the late 1950s.</w:t>
      </w:r>
      <w:r w:rsidRPr="004A0212">
        <w:rPr>
          <w:rStyle w:val="StyleFootnoteReferenceFagoFunotenzeichenFagoFunotenzeichen"/>
        </w:rPr>
        <w:endnoteReference w:id="272"/>
      </w:r>
      <w:r w:rsidRPr="004A0212">
        <w:t xml:space="preserve"> At the end of the 1960s the Association for the Study of Childhood held a conference that included papers on the role of the family in personality, and intellectual development.</w:t>
      </w:r>
      <w:r w:rsidRPr="004A0212">
        <w:rPr>
          <w:rStyle w:val="StyleFootnoteReferenceFagoFunotenzeichenFagoFunotenzeichen"/>
        </w:rPr>
        <w:endnoteReference w:id="273"/>
      </w:r>
    </w:p>
    <w:p w14:paraId="1F0A1AD1" w14:textId="11ED42A5" w:rsidR="00FE4E56" w:rsidRPr="004A0212" w:rsidRDefault="00FE4E56" w:rsidP="005864F8">
      <w:pPr>
        <w:pStyle w:val="AllNumbparas"/>
        <w:rPr>
          <w:b/>
          <w:color w:val="3B5D1E" w:themeColor="accent4" w:themeShade="BF"/>
          <w:szCs w:val="28"/>
        </w:rPr>
      </w:pPr>
      <w:r w:rsidRPr="004A0212">
        <w:t>In the 1960s there was a high demand for mental health services for youths but very few child psychiatrists. In 1972, it was estimated, based on population, that Aotearoa New Zealand needed at least 60 child psychiatrists to meet local need. Six were available.</w:t>
      </w:r>
      <w:r w:rsidRPr="004A0212">
        <w:rPr>
          <w:rStyle w:val="StyleFootnoteReferenceFagoFunotenzeichenFagoFunotenzeichen"/>
        </w:rPr>
        <w:endnoteReference w:id="274"/>
      </w:r>
      <w:r w:rsidRPr="004A0212">
        <w:t xml:space="preserve"> More information on child psychiatry is contained in the Inquiry’s 2022 interim report, Beautiful Children – Inquiry into the Lake Alice Child and Adolescent Unit.</w:t>
      </w:r>
      <w:r w:rsidRPr="004A0212">
        <w:rPr>
          <w:rStyle w:val="StyleFootnoteReferenceFagoFunotenzeichenFagoFunotenzeichen"/>
        </w:rPr>
        <w:endnoteReference w:id="275"/>
      </w:r>
      <w:bookmarkStart w:id="362" w:name="_Toc150953459"/>
    </w:p>
    <w:p w14:paraId="445D5E63" w14:textId="77777777" w:rsidR="00FE4E56" w:rsidRDefault="00FE4E56" w:rsidP="00282055">
      <w:pPr>
        <w:pStyle w:val="Heading2"/>
      </w:pPr>
      <w:bookmarkStart w:id="363" w:name="_Toc1177114535"/>
      <w:bookmarkStart w:id="364" w:name="_Toc181084866"/>
      <w:r w:rsidRPr="004A0212">
        <w:t>Te iti o te aroā ki te tūkino tamariki</w:t>
      </w:r>
      <w:bookmarkEnd w:id="364"/>
    </w:p>
    <w:p w14:paraId="7B3D8D77" w14:textId="4CFAC3D2" w:rsidR="00FE4E56" w:rsidRPr="004A0212" w:rsidDel="0016490E" w:rsidRDefault="00FE4E56" w:rsidP="00282055">
      <w:pPr>
        <w:pStyle w:val="Heading2"/>
      </w:pPr>
      <w:bookmarkStart w:id="365" w:name="_Toc181084867"/>
      <w:r w:rsidRPr="004A0212">
        <w:t>Little awareness of child abuse and neglect</w:t>
      </w:r>
      <w:bookmarkEnd w:id="365"/>
    </w:p>
    <w:bookmarkEnd w:id="363"/>
    <w:p w14:paraId="3C19CAE5" w14:textId="2B7B9EAE" w:rsidR="00FE4E56" w:rsidRPr="004A0212" w:rsidRDefault="00FE4E56" w:rsidP="007D73A6">
      <w:pPr>
        <w:pStyle w:val="AllNumbparas"/>
      </w:pPr>
      <w:r w:rsidRPr="004A0212">
        <w:t xml:space="preserve">Data collection and published statistics on abuse varied over the Inquiry period, and it is not always easy to paint an accurate picture of its frequency. </w:t>
      </w:r>
    </w:p>
    <w:p w14:paraId="448982C4" w14:textId="77777777" w:rsidR="00FE4E56" w:rsidRPr="004A0212" w:rsidRDefault="00FE4E56" w:rsidP="007D73A6">
      <w:pPr>
        <w:pStyle w:val="AllNumbparas"/>
      </w:pPr>
      <w:r w:rsidRPr="004A0212">
        <w:t xml:space="preserve">During the early part of the Inquiry period, societal awareness of child abuse and child sexual abuse was often limited or, in the case of child discipline, was not considered abuse by many. Using physical force to correct bad behaviour in schools and the family environment was legal and socially acceptable for most of the Inquiry period. </w:t>
      </w:r>
    </w:p>
    <w:p w14:paraId="6A6A6F4B" w14:textId="3A42B33D" w:rsidR="00FE4E56" w:rsidRPr="004A0212" w:rsidRDefault="00FE4E56" w:rsidP="007D73A6">
      <w:pPr>
        <w:pStyle w:val="AllNumbparas"/>
      </w:pPr>
      <w:r w:rsidRPr="004A0212">
        <w:t>However, throughout the Inquiry period many of the forms of abuse the Inquiry heard about were against the law. Under the Crimes Act 1961, which largely continued provisions under the Crimes Act 1908, it was a crime to:</w:t>
      </w:r>
    </w:p>
    <w:p w14:paraId="103C8523" w14:textId="77777777" w:rsidR="00FE4E56" w:rsidRPr="004A0212" w:rsidRDefault="00FE4E56" w:rsidP="00370D96">
      <w:pPr>
        <w:pStyle w:val="Bulletpoints"/>
      </w:pPr>
      <w:r w:rsidRPr="004A0212">
        <w:t>rape or have unconsented, unlawful sexual connection with another person</w:t>
      </w:r>
      <w:r w:rsidRPr="004A0212">
        <w:rPr>
          <w:rStyle w:val="StyleFootnoteReferenceFagoFunotenzeichenFagoFunotenzeichen"/>
        </w:rPr>
        <w:endnoteReference w:id="276"/>
      </w:r>
      <w:r w:rsidRPr="004A0212">
        <w:t> or to have sex with a child under the age of 16</w:t>
      </w:r>
      <w:r w:rsidRPr="004A0212">
        <w:rPr>
          <w:rStyle w:val="StyleFootnoteReferenceFagoFunotenzeichenFagoFunotenzeichen"/>
        </w:rPr>
        <w:endnoteReference w:id="277"/>
      </w:r>
      <w:r w:rsidRPr="004A0212">
        <w:t> </w:t>
      </w:r>
    </w:p>
    <w:p w14:paraId="7CCC50F9" w14:textId="16DA2975" w:rsidR="00FE4E56" w:rsidRPr="004A0212" w:rsidRDefault="00FE4E56" w:rsidP="00370D96">
      <w:pPr>
        <w:pStyle w:val="Bulletpoints"/>
      </w:pPr>
      <w:r w:rsidRPr="004A0212">
        <w:t>ill-treat or neglect a child</w:t>
      </w:r>
      <w:r w:rsidRPr="004A0212">
        <w:rPr>
          <w:rStyle w:val="StyleFootnoteReferenceFagoFunotenzeichenFagoFunotenzeichen"/>
        </w:rPr>
        <w:endnoteReference w:id="278"/>
      </w:r>
      <w:r w:rsidRPr="004A0212">
        <w:t> </w:t>
      </w:r>
    </w:p>
    <w:p w14:paraId="454B68AD" w14:textId="77777777" w:rsidR="00FE4E56" w:rsidRPr="004A0212" w:rsidRDefault="00FE4E56" w:rsidP="00370D96">
      <w:pPr>
        <w:pStyle w:val="Bulletpoints"/>
      </w:pPr>
      <w:r w:rsidRPr="004A0212">
        <w:t>wound, injure or assault anyone.</w:t>
      </w:r>
      <w:r w:rsidRPr="004A0212">
        <w:rPr>
          <w:rStyle w:val="StyleFootnoteReferenceFagoFunotenzeichenFagoFunotenzeichen"/>
        </w:rPr>
        <w:endnoteReference w:id="279"/>
      </w:r>
    </w:p>
    <w:p w14:paraId="657FD719" w14:textId="221ED37F" w:rsidR="00FE4E56" w:rsidRPr="004A0212" w:rsidRDefault="00FE4E56" w:rsidP="007D73A6">
      <w:pPr>
        <w:pStyle w:val="AllNumbparas"/>
      </w:pPr>
      <w:r w:rsidRPr="004A0212">
        <w:t xml:space="preserve">In annual reports published by the Division of Child Welfare from 1950 to 1966, there was little mention of child abuse, other than a more general reference to protecting children under the age of 6 in foster care from ill-treatment. </w:t>
      </w:r>
    </w:p>
    <w:p w14:paraId="78FB9760" w14:textId="66C461C9" w:rsidR="00FE4E56" w:rsidRPr="004A0212" w:rsidRDefault="00FE4E56" w:rsidP="007D73A6">
      <w:pPr>
        <w:pStyle w:val="AllNumbparas"/>
      </w:pPr>
      <w:r w:rsidRPr="004A0212">
        <w:t>At least some level of parental physical discipline was seen as acceptable by the Child Welfare division during this time, although it was acknowledged that there were better alternatives to disciplining a child than “thrashing”.</w:t>
      </w:r>
      <w:r w:rsidRPr="004A0212">
        <w:rPr>
          <w:rStyle w:val="StyleFootnoteReferenceFagoFunotenzeichenFagoFunotenzeichen"/>
        </w:rPr>
        <w:endnoteReference w:id="280"/>
      </w:r>
      <w:r w:rsidRPr="004A0212">
        <w:t xml:space="preserve"> </w:t>
      </w:r>
    </w:p>
    <w:p w14:paraId="66EB389B" w14:textId="01DA9A8E" w:rsidR="00FE4E56" w:rsidRPr="004A0212" w:rsidRDefault="00FE4E56" w:rsidP="007D73A6">
      <w:pPr>
        <w:pStyle w:val="AllNumbparas"/>
      </w:pPr>
      <w:r w:rsidRPr="004A0212">
        <w:t>The division’s research unit began collecting data on child abuse in the community from the early 1960s.</w:t>
      </w:r>
      <w:r w:rsidRPr="004A0212">
        <w:rPr>
          <w:rStyle w:val="StyleFootnoteReferenceFagoFunotenzeichenFagoFunotenzeichen"/>
        </w:rPr>
        <w:endnoteReference w:id="281"/>
      </w:r>
      <w:r w:rsidRPr="004A0212">
        <w:t xml:space="preserve"> By the mid-1960s, division staff were investigating, on average, between 300 and 400 incidents of suspected abuse per year. Child welfare officers believed that the true scale was vastly underestimated due to the lack of reporting.</w:t>
      </w:r>
      <w:r w:rsidRPr="004A0212">
        <w:rPr>
          <w:rStyle w:val="StyleFootnoteReferenceFagoFunotenzeichenFagoFunotenzeichen"/>
        </w:rPr>
        <w:endnoteReference w:id="282"/>
      </w:r>
      <w:r w:rsidRPr="004A0212">
        <w:t xml:space="preserve"> </w:t>
      </w:r>
    </w:p>
    <w:p w14:paraId="3D0E07A8" w14:textId="52B90D82" w:rsidR="00FE4E56" w:rsidRPr="004A0212" w:rsidRDefault="00FE4E56" w:rsidP="006B176E">
      <w:pPr>
        <w:pStyle w:val="Numbparas"/>
      </w:pPr>
      <w:r w:rsidRPr="004A0212">
        <w:t>In 1967 the first nationwide survey of physical child abuse in Aotearoa New Zealand was conducted.</w:t>
      </w:r>
      <w:r w:rsidRPr="004A0212">
        <w:rPr>
          <w:rStyle w:val="StyleFootnoteReferenceFagoFunotenzeichenFagoFunotenzeichen"/>
        </w:rPr>
        <w:endnoteReference w:id="283"/>
      </w:r>
      <w:r w:rsidRPr="004A0212">
        <w:t xml:space="preserve"> The survey did not collect data on child sexual abuse.</w:t>
      </w:r>
    </w:p>
    <w:p w14:paraId="54D42814" w14:textId="29718C73" w:rsidR="00FE4E56" w:rsidRPr="004A0212" w:rsidRDefault="00FE4E56" w:rsidP="00282055">
      <w:pPr>
        <w:pStyle w:val="Heading2"/>
      </w:pPr>
      <w:bookmarkStart w:id="366" w:name="_Toc732902998"/>
      <w:bookmarkStart w:id="367" w:name="_Toc181084868"/>
      <w:r w:rsidRPr="004A0212">
        <w:lastRenderedPageBreak/>
        <w:t>Te haere tonutanga o ngā wero me ngā porotū</w:t>
      </w:r>
      <w:bookmarkEnd w:id="366"/>
      <w:bookmarkEnd w:id="367"/>
      <w:r w:rsidRPr="004A0212">
        <w:t xml:space="preserve"> </w:t>
      </w:r>
    </w:p>
    <w:p w14:paraId="12BDB4E4" w14:textId="0C207925" w:rsidR="00FE4E56" w:rsidRPr="004A0212" w:rsidRDefault="00FE4E56" w:rsidP="00282055">
      <w:pPr>
        <w:pStyle w:val="Heading2"/>
        <w:rPr>
          <w:lang w:eastAsia="en-US"/>
        </w:rPr>
      </w:pPr>
      <w:bookmarkStart w:id="368" w:name="_Toc278059059"/>
      <w:bookmarkStart w:id="369" w:name="_Toc181084869"/>
      <w:r w:rsidRPr="004A0212">
        <w:t>Continuing challenges and activism</w:t>
      </w:r>
      <w:bookmarkEnd w:id="361"/>
      <w:bookmarkEnd w:id="362"/>
      <w:bookmarkEnd w:id="368"/>
      <w:bookmarkEnd w:id="369"/>
    </w:p>
    <w:p w14:paraId="4D3563B2" w14:textId="5BAF73A1" w:rsidR="00FE4E56" w:rsidRPr="004A0212" w:rsidRDefault="00FE4E56" w:rsidP="007D73A6">
      <w:pPr>
        <w:pStyle w:val="AllNumbparas"/>
      </w:pPr>
      <w:r w:rsidRPr="004A0212">
        <w:t xml:space="preserve">During the 1960s and 1970s, several groups, including Māori, human rights, gay rights and disability rights activists and Pacific Peoples placed the State’s care and protection system under increased scrutiny and broadly challenged the status quo. </w:t>
      </w:r>
    </w:p>
    <w:p w14:paraId="5F4C1C30" w14:textId="307B5AD4" w:rsidR="00FE4E56" w:rsidRPr="004A0212" w:rsidRDefault="00FE4E56" w:rsidP="0067540C">
      <w:pPr>
        <w:pStyle w:val="AllNumbparas"/>
      </w:pPr>
      <w:r w:rsidRPr="004A0212">
        <w:t xml:space="preserve">In the late 1960s, a number of emerging movements and ideas influenced Māori activism: </w:t>
      </w:r>
    </w:p>
    <w:p w14:paraId="05E250FB" w14:textId="5E0C37ED" w:rsidR="00FE4E56" w:rsidRPr="004A0212" w:rsidRDefault="00FE4E56" w:rsidP="005915BE">
      <w:pPr>
        <w:pStyle w:val="AllNumbparas"/>
        <w:numPr>
          <w:ilvl w:val="0"/>
          <w:numId w:val="31"/>
        </w:numPr>
        <w:ind w:left="1701" w:hanging="425"/>
        <w:mirrorIndents w:val="0"/>
      </w:pPr>
      <w:r w:rsidRPr="004A0212">
        <w:t>Pākehā anti-racist groups and emerging Māori protest movements joined together in response to the ban of Māori rugby players from the 1960 All Blacks tour of South Africa</w:t>
      </w:r>
      <w:r w:rsidRPr="004A0212">
        <w:rPr>
          <w:rStyle w:val="StyleFootnoteReferenceFagoFunotenzeichenFagoFunotenzeichen"/>
        </w:rPr>
        <w:endnoteReference w:id="284"/>
      </w:r>
    </w:p>
    <w:p w14:paraId="5649641B" w14:textId="330DD3E5" w:rsidR="00FE4E56" w:rsidRPr="004A0212" w:rsidRDefault="00FE4E56" w:rsidP="005915BE">
      <w:pPr>
        <w:pStyle w:val="AllNumbparas"/>
        <w:numPr>
          <w:ilvl w:val="0"/>
          <w:numId w:val="31"/>
        </w:numPr>
        <w:ind w:left="1701" w:hanging="425"/>
        <w:mirrorIndents w:val="0"/>
      </w:pPr>
      <w:r w:rsidRPr="004A0212">
        <w:t xml:space="preserve">Māori activists, including Ngahuia Te Awekotuku and Donna Awatere Huata advocated for the rights of wāhine Māori </w:t>
      </w:r>
      <w:r w:rsidRPr="004A0212">
        <w:rPr>
          <w:rStyle w:val="StyleFootnoteReferenceFagoFunotenzeichenFagoFunotenzeichen"/>
        </w:rPr>
        <w:endnoteReference w:id="285"/>
      </w:r>
    </w:p>
    <w:p w14:paraId="3D76CEBF" w14:textId="5A150584" w:rsidR="00FE4E56" w:rsidRPr="004A0212" w:rsidRDefault="00FE4E56" w:rsidP="005915BE">
      <w:pPr>
        <w:pStyle w:val="AllNumbparas"/>
        <w:numPr>
          <w:ilvl w:val="0"/>
          <w:numId w:val="31"/>
        </w:numPr>
        <w:ind w:left="1701" w:hanging="425"/>
        <w:mirrorIndents w:val="0"/>
      </w:pPr>
      <w:r w:rsidRPr="004A0212">
        <w:t>the surge in strikes and class struggles influenced the political awareness of Māori workers. Te Hokioi and the Māori Organisation on Human Rights (MOOHR) aimed to unite Māori and working-class activism. They highlighted issues in housing, sports, employment, and Māori political rights, addressing Treaty of Waitangi concerns and advocating for a bicultural Aotearoa New Zealand.</w:t>
      </w:r>
      <w:r w:rsidRPr="004A0212">
        <w:rPr>
          <w:rStyle w:val="StyleFootnoteReferenceFagoFunotenzeichenFagoFunotenzeichen"/>
        </w:rPr>
        <w:endnoteReference w:id="286"/>
      </w:r>
    </w:p>
    <w:p w14:paraId="65A9937D" w14:textId="517BEFF4" w:rsidR="00FE4E56" w:rsidRPr="004A0212" w:rsidRDefault="00FE4E56" w:rsidP="007D73A6">
      <w:pPr>
        <w:pStyle w:val="AllNumbparas"/>
      </w:pPr>
      <w:r w:rsidRPr="004A0212">
        <w:t>Blind people mobilised in response to the nature of the cradle-to-grave provision of services to blind people, and the numerous allegations of sexual abuse of blind children.</w:t>
      </w:r>
      <w:r w:rsidRPr="004A0212">
        <w:rPr>
          <w:rStyle w:val="StyleFootnoteReferenceFagoFunotenzeichenFagoFunotenzeichen"/>
        </w:rPr>
        <w:endnoteReference w:id="287"/>
      </w:r>
      <w:r w:rsidRPr="004A0212">
        <w:t xml:space="preserve"> Blind Citizens NZ was founded in 1945 (as the Dominion Association for the Blind) to advance the interests of blind people. Only blind people could be members. Its achievements included:</w:t>
      </w:r>
    </w:p>
    <w:p w14:paraId="37408AC3" w14:textId="19380C29" w:rsidR="00FE4E56" w:rsidRPr="004A0212" w:rsidRDefault="00FE4E56" w:rsidP="00977D82">
      <w:pPr>
        <w:pStyle w:val="Bulletpoints"/>
      </w:pPr>
      <w:r w:rsidRPr="004A0212">
        <w:t>the 1958 abolition of the means test for blind people applying for the invalid’s benefitbeginning talking-book services, radio for the blind, and magazine taping</w:t>
      </w:r>
    </w:p>
    <w:p w14:paraId="58895D62" w14:textId="207157C3" w:rsidR="00FE4E56" w:rsidRPr="00045FC7" w:rsidRDefault="00FE4E56" w:rsidP="4F7CD8E4">
      <w:pPr>
        <w:pStyle w:val="Bulletpoints"/>
        <w:rPr>
          <w:rStyle w:val="StyleFootnoteReferenceFagoFunotenzeichenFagoFunotenzeichen"/>
          <w:color w:val="222222"/>
          <w:vertAlign w:val="baseline"/>
        </w:rPr>
      </w:pPr>
      <w:r w:rsidRPr="004A0212">
        <w:t>training members to use speech and braille programmes on computers.</w:t>
      </w:r>
      <w:r w:rsidRPr="004A0212">
        <w:rPr>
          <w:rStyle w:val="StyleFootnoteReferenceFagoFunotenzeichenFagoFunotenzeichen"/>
        </w:rPr>
        <w:endnoteReference w:id="288"/>
      </w:r>
    </w:p>
    <w:p w14:paraId="018A570C" w14:textId="5EF9AEB2" w:rsidR="00FE4E56" w:rsidRPr="004A0212" w:rsidRDefault="00FE4E56" w:rsidP="007D73A6">
      <w:pPr>
        <w:pStyle w:val="AllNumbparas"/>
      </w:pPr>
      <w:r w:rsidRPr="004A0212">
        <w:t>Due to</w:t>
      </w:r>
      <w:r w:rsidRPr="004A0212" w:rsidDel="00893E13">
        <w:t xml:space="preserve"> </w:t>
      </w:r>
      <w:r w:rsidRPr="004A0212">
        <w:t>the State and society often devaluing Pacific Peoples, they created their own support systems and communities to rely on. Churches often became the hearts of Pacific communities.</w:t>
      </w:r>
      <w:r w:rsidRPr="004A0212">
        <w:rPr>
          <w:rStyle w:val="StyleFootnoteReferenceFagoFunotenzeichenFagoFunotenzeichen"/>
        </w:rPr>
        <w:endnoteReference w:id="289"/>
      </w:r>
      <w:r w:rsidRPr="004A0212">
        <w:t xml:space="preserve"> These support systems were often formed from the ground up and were community or worker focused – for example, a community support group for immigrating Pacific teachers. </w:t>
      </w:r>
    </w:p>
    <w:p w14:paraId="41BB4542" w14:textId="6F562FB3" w:rsidR="00FE4E56" w:rsidRPr="004A0212" w:rsidRDefault="00FE4E56" w:rsidP="00A83810">
      <w:pPr>
        <w:pStyle w:val="AllNumbparas"/>
      </w:pPr>
      <w:r w:rsidRPr="004A0212">
        <w:t>Pacific Peoples developed resilience in the face of racism, and civil rights activists fought back against discrimination. In 1964, the Citizens Association for Racial Equality was established. It was made up of Māori and Pacific Peoples and aimed to devote equal attention to racial questions in Aotearoa New Zealand and abroad. They considered the problems faced by Māori and Pacific Peoples moving to the cities.</w:t>
      </w:r>
      <w:r w:rsidRPr="004A0212">
        <w:rPr>
          <w:rStyle w:val="StyleFootnoteReferenceFagoFunotenzeichenFagoFunotenzeichen"/>
        </w:rPr>
        <w:endnoteReference w:id="290"/>
      </w:r>
    </w:p>
    <w:p w14:paraId="617BD42E" w14:textId="77777777" w:rsidR="00C67681" w:rsidRDefault="00C67681">
      <w:pPr>
        <w:keepLines w:val="0"/>
        <w:rPr>
          <w:rFonts w:ascii="Arial" w:eastAsia="Calibri" w:hAnsi="Arial" w:cs="Arial"/>
          <w:bCs/>
          <w:color w:val="222222"/>
          <w:sz w:val="22"/>
          <w:szCs w:val="22"/>
          <w:shd w:val="clear" w:color="auto" w:fill="FFFFFF"/>
        </w:rPr>
      </w:pPr>
      <w:r>
        <w:br w:type="page"/>
      </w:r>
    </w:p>
    <w:p w14:paraId="31910A3B" w14:textId="163745C2" w:rsidR="00FE4E56" w:rsidRPr="004A0212" w:rsidRDefault="00FE4E56" w:rsidP="007D73A6">
      <w:pPr>
        <w:pStyle w:val="AllNumbparas"/>
      </w:pPr>
      <w:r w:rsidRPr="004A0212">
        <w:lastRenderedPageBreak/>
        <w:t>The 1960s saw the beginnings of gradual change towards the realisation of rights for Takatāpui, Rainbow and MVPFAFF+ New Zealanders. The Dorian Society, Aotearoa New Zealand’s first social club for homosexual men, was formed in Te Whanganui-</w:t>
      </w:r>
      <w:r w:rsidRPr="0050016F">
        <w:rPr>
          <w:rStyle w:val="normaltextrun"/>
        </w:rPr>
        <w:t>ā</w:t>
      </w:r>
      <w:r w:rsidRPr="004A0212">
        <w:t>-Tara Wellington in 1962.</w:t>
      </w:r>
      <w:r w:rsidRPr="004A0212">
        <w:rPr>
          <w:rStyle w:val="StyleFootnoteReferenceFagoFunotenzeichenFagoFunotenzeichen"/>
        </w:rPr>
        <w:endnoteReference w:id="291"/>
      </w:r>
      <w:r w:rsidRPr="004A0212">
        <w:rPr>
          <w:rStyle w:val="EndnoteReference"/>
        </w:rPr>
        <w:t xml:space="preserve"> </w:t>
      </w:r>
      <w:r w:rsidRPr="004A0212">
        <w:t xml:space="preserve"> In 1967, a group of lawyers formed the New Zealand Homosexual Law Reform Society. It presented a petition to Parliament urging homosexual law reform in 1968.</w:t>
      </w:r>
      <w:r w:rsidRPr="004A0212">
        <w:rPr>
          <w:rStyle w:val="StyleFootnoteReferenceFagoFunotenzeichenFagoFunotenzeichen"/>
        </w:rPr>
        <w:endnoteReference w:id="292"/>
      </w:r>
      <w:r w:rsidRPr="004A0212">
        <w:t xml:space="preserve"> Internationally, in 1969 homosexual men and women resisted arrest during the Stonewall Riots in New York City. This is regarded as the start of the gay liberation movement.</w:t>
      </w:r>
      <w:r w:rsidRPr="004A0212">
        <w:rPr>
          <w:rStyle w:val="StyleFootnoteReferenceFagoFunotenzeichenFagoFunotenzeichen"/>
        </w:rPr>
        <w:endnoteReference w:id="293"/>
      </w:r>
      <w:r w:rsidRPr="004A0212">
        <w:rPr>
          <w:rStyle w:val="EndnoteReference"/>
        </w:rPr>
        <w:t xml:space="preserve"> </w:t>
      </w:r>
    </w:p>
    <w:p w14:paraId="4BAAEAA9" w14:textId="2588E909" w:rsidR="00FE4E56" w:rsidRPr="004A0212" w:rsidRDefault="00FE4E56" w:rsidP="00282055">
      <w:pPr>
        <w:pStyle w:val="Heading2"/>
      </w:pPr>
      <w:bookmarkStart w:id="370" w:name="_Toc1724804516"/>
      <w:bookmarkStart w:id="371" w:name="_Toc181084870"/>
      <w:r w:rsidRPr="004A0212">
        <w:t>Kāore he tautoko tokoora, ka heke ngā āhuatanga ohanga</w:t>
      </w:r>
      <w:bookmarkEnd w:id="370"/>
      <w:bookmarkEnd w:id="371"/>
      <w:r w:rsidRPr="004A0212">
        <w:t xml:space="preserve"> </w:t>
      </w:r>
      <w:bookmarkStart w:id="372" w:name="_Toc147935399"/>
      <w:bookmarkStart w:id="373" w:name="_Toc148443580"/>
    </w:p>
    <w:p w14:paraId="02CE61AA" w14:textId="10313AD6" w:rsidR="00FE4E56" w:rsidRPr="004A0212" w:rsidRDefault="00FE4E56" w:rsidP="00282055">
      <w:pPr>
        <w:pStyle w:val="Heading2"/>
      </w:pPr>
      <w:bookmarkStart w:id="374" w:name="_Toc796836005"/>
      <w:bookmarkStart w:id="375" w:name="_Toc181084871"/>
      <w:r w:rsidRPr="004A0212">
        <w:t>No dedicated welfare support, economic conditions decline</w:t>
      </w:r>
      <w:bookmarkEnd w:id="374"/>
      <w:bookmarkEnd w:id="375"/>
    </w:p>
    <w:p w14:paraId="53A35EED" w14:textId="7E9CA1EC" w:rsidR="00FE4E56" w:rsidRPr="004A0212" w:rsidRDefault="00FE4E56" w:rsidP="007D73A6">
      <w:pPr>
        <w:pStyle w:val="AllNumbparas"/>
      </w:pPr>
      <w:r w:rsidRPr="004A0212">
        <w:t>Before the 1970s, there were few dedicated benefits for single parents or parents with disabled children under 16.</w:t>
      </w:r>
      <w:r w:rsidRPr="004A0212">
        <w:rPr>
          <w:rStyle w:val="StyleFootnoteReferenceFagoFunotenzeichenFagoFunotenzeichen"/>
        </w:rPr>
        <w:endnoteReference w:id="294"/>
      </w:r>
      <w:r w:rsidRPr="004A0212">
        <w:t xml:space="preserve"> Those in households with no wage earner, or with additional needs, could find themselves dependent on a system of discretionary benefits, tax abatements and welfare services.</w:t>
      </w:r>
      <w:r w:rsidRPr="004A0212">
        <w:rPr>
          <w:rStyle w:val="StyleFootnoteReferenceFagoFunotenzeichenFagoFunotenzeichen"/>
        </w:rPr>
        <w:endnoteReference w:id="295"/>
      </w:r>
      <w:r w:rsidRPr="004A0212">
        <w:rPr>
          <w:rStyle w:val="EndnoteReference"/>
        </w:rPr>
        <w:t xml:space="preserve"> </w:t>
      </w:r>
    </w:p>
    <w:p w14:paraId="7228037E" w14:textId="59FCDDDC" w:rsidR="00FE4E56" w:rsidRPr="004A0212" w:rsidRDefault="00FE4E56" w:rsidP="007D73A6">
      <w:pPr>
        <w:pStyle w:val="AllNumbparas"/>
      </w:pPr>
      <w:r w:rsidRPr="004A0212">
        <w:t xml:space="preserve">Discretionary welfare included assistance such as food, blankets, cash grants and support with life stress such as family relationships, children’s behaviour and parenting advice. The community in the form of family members, friends and neighbours were also a source of care and support to individuals in need. </w:t>
      </w:r>
    </w:p>
    <w:p w14:paraId="041AF190" w14:textId="3003899F" w:rsidR="00FE4E56" w:rsidRPr="004A0212" w:rsidRDefault="00FE4E56" w:rsidP="007D73A6">
      <w:pPr>
        <w:pStyle w:val="AllNumbparas"/>
      </w:pPr>
      <w:r w:rsidRPr="004A0212">
        <w:t>In 1967, Aotearoa New Zealand faced a short recession.</w:t>
      </w:r>
      <w:r w:rsidRPr="004A0212">
        <w:rPr>
          <w:rStyle w:val="StyleFootnoteReferenceFagoFunotenzeichenFagoFunotenzeichen"/>
        </w:rPr>
        <w:endnoteReference w:id="296"/>
      </w:r>
      <w:r w:rsidRPr="004A0212">
        <w:rPr>
          <w:rStyle w:val="EndnoteReference"/>
        </w:rPr>
        <w:t xml:space="preserve"> </w:t>
      </w:r>
      <w:r w:rsidRPr="004A0212">
        <w:t>Throughout the 1970s, issues such as the oil shocks, increasing prices and the rising costs of land and property reduced buying power.</w:t>
      </w:r>
      <w:r w:rsidRPr="004A0212">
        <w:rPr>
          <w:rStyle w:val="StyleFootnoteReferenceFagoFunotenzeichenFagoFunotenzeichen"/>
        </w:rPr>
        <w:endnoteReference w:id="297"/>
      </w:r>
      <w:r w:rsidRPr="004A0212">
        <w:t xml:space="preserve"> Families receiving discretionary welfare support rose from 7,150 in 1950 to 39,759 by 1965.</w:t>
      </w:r>
      <w:r w:rsidRPr="004A0212">
        <w:rPr>
          <w:rStyle w:val="StyleFootnoteReferenceFagoFunotenzeichenFagoFunotenzeichen"/>
        </w:rPr>
        <w:endnoteReference w:id="298"/>
      </w:r>
      <w:r w:rsidRPr="004A0212">
        <w:t xml:space="preserve"> The universal family benefit, introduced in 1946 and payable to families for each child under 16, was not indexed to inflation and decreased in value over the period.</w:t>
      </w:r>
      <w:r w:rsidRPr="004A0212">
        <w:rPr>
          <w:rStyle w:val="StyleFootnoteReferenceFagoFunotenzeichenFagoFunotenzeichen"/>
        </w:rPr>
        <w:endnoteReference w:id="299"/>
      </w:r>
      <w:r w:rsidRPr="004A0212">
        <w:rPr>
          <w:rStyle w:val="EndnoteReference"/>
        </w:rPr>
        <w:t xml:space="preserve"> </w:t>
      </w:r>
    </w:p>
    <w:p w14:paraId="11789ED0" w14:textId="23539829" w:rsidR="00FE4E56" w:rsidRPr="004A0212" w:rsidRDefault="00FE4E56" w:rsidP="007F32D7">
      <w:pPr>
        <w:pStyle w:val="AllNumbparas"/>
      </w:pPr>
      <w:r w:rsidRPr="004A0212">
        <w:t>Women whose husbands had died were eligible for the Widow’s Benefit from 1911, with additional payments for dependent children.</w:t>
      </w:r>
      <w:r w:rsidRPr="004A0212">
        <w:rPr>
          <w:rStyle w:val="StyleFootnoteReferenceFagoFunotenzeichenFagoFunotenzeichen"/>
        </w:rPr>
        <w:endnoteReference w:id="300"/>
      </w:r>
      <w:r w:rsidRPr="004A0212">
        <w:t xml:space="preserve"> There was also support available for women whose husbands had abandoned them.</w:t>
      </w:r>
      <w:r w:rsidRPr="004A0212">
        <w:rPr>
          <w:rStyle w:val="StyleFootnoteReferenceFagoFunotenzeichenFagoFunotenzeichen"/>
        </w:rPr>
        <w:endnoteReference w:id="301"/>
      </w:r>
      <w:r w:rsidRPr="004A0212">
        <w:t xml:space="preserve"> There was no equivalent support for widowers or solo fathers, creating a loophole in government policies that meant many solo fathers were unable to support their children at home.  An unemployment benefit was available from 1938 for both men and women. Qualifying criteria included not being unemployed without a good reason, being available for work and taking reasonable steps to find employment.</w:t>
      </w:r>
      <w:r w:rsidRPr="004A0212">
        <w:rPr>
          <w:rStyle w:val="StyleFootnoteReferenceFagoFunotenzeichenFagoFunotenzeichen"/>
        </w:rPr>
        <w:endnoteReference w:id="302"/>
      </w:r>
      <w:r w:rsidRPr="004A0212">
        <w:t xml:space="preserve"> In practice the Department of Social Security was reluctant to grant the unemployment benefit to unmarried mothers, partly out of concerns about creating long term welfare dependency.</w:t>
      </w:r>
      <w:r w:rsidRPr="004A0212">
        <w:rPr>
          <w:rStyle w:val="StyleFootnoteReferenceFagoFunotenzeichenFagoFunotenzeichen"/>
        </w:rPr>
        <w:endnoteReference w:id="303"/>
      </w:r>
    </w:p>
    <w:p w14:paraId="1A065867" w14:textId="2F2F5E48" w:rsidR="00FE4E56" w:rsidRPr="004A0212" w:rsidRDefault="00FE4E56" w:rsidP="007753A7">
      <w:pPr>
        <w:pStyle w:val="Numbparas"/>
      </w:pPr>
      <w:r w:rsidRPr="004A0212">
        <w:t>During the Inquiry period the State funded many social services in New Zealand, but a significant quantity of social services was also funded by charities and church organisations. These and the available State supports were uncoordinated and offered mostly targeted assistance. Targeted assistance often fails to address the social and economic barriers that prevent the most disadvantaged from thriving and at best functions as a stop gap rather than a long term solution. These barriers include factors such as the national economic framework, gender dynamics, power disparities, racial biases, political beliefs, and community influences.</w:t>
      </w:r>
    </w:p>
    <w:p w14:paraId="1F392D7F" w14:textId="69FB8CDD" w:rsidR="00FE4E56" w:rsidRPr="004A0212" w:rsidRDefault="00FE4E56" w:rsidP="001F7027">
      <w:pPr>
        <w:pStyle w:val="Numbparas"/>
      </w:pPr>
      <w:r w:rsidRPr="004A0212">
        <w:lastRenderedPageBreak/>
        <w:t>Multiple State agencies, departments and charities could be involved with a family, each unaware of what the others were doing. The Child Welfare division of the Ministry of Education could be involved because of concerns with a child’s behaviour at school, Internal Affairs and the Justice Departments could be involved through the Family Guidance Council if marriage counselling was needed. Various charities such as Catholic Social Services, The Salvation Army, Rotary, Mayoral Relief Committees and the Society for the Protection of Women and Children might also be involved too.</w:t>
      </w:r>
      <w:r w:rsidRPr="004A0212">
        <w:rPr>
          <w:rStyle w:val="StyleFootnoteReferenceFagoFunotenzeichenFagoFunotenzeichen"/>
        </w:rPr>
        <w:endnoteReference w:id="304"/>
      </w:r>
    </w:p>
    <w:p w14:paraId="2880EEDE" w14:textId="2451C5BB" w:rsidR="00FE4E56" w:rsidRPr="004A0212" w:rsidRDefault="00FE4E56" w:rsidP="007F32D7">
      <w:pPr>
        <w:pStyle w:val="Numbparas"/>
      </w:pPr>
      <w:r w:rsidRPr="004A0212">
        <w:t>Author Margaret McClure summed up the number of agencies a family in need could interact with in seeking support with her example of the Rowlands family:</w:t>
      </w:r>
    </w:p>
    <w:p w14:paraId="2840DE96" w14:textId="5DBC2BFA" w:rsidR="00FE4E56" w:rsidRPr="004A0212" w:rsidRDefault="00FE4E56" w:rsidP="007F32D7">
      <w:pPr>
        <w:pStyle w:val="Numbparas"/>
        <w:numPr>
          <w:ilvl w:val="0"/>
          <w:numId w:val="0"/>
        </w:numPr>
        <w:ind w:left="1701"/>
        <w:mirrorIndents w:val="0"/>
      </w:pPr>
      <w:r w:rsidRPr="004A0212">
        <w:t>“While the father was away for five weeks the mother and family of five children lived and paid rent out of the family benefit alone.  When Mr Rowlands returned home he was arrested for failing to support his family.   His wife withdrew the charge when she realised that he would be imprisoned and unable to work…the maintenance officer refused to act for her in future if her husband left again, which would make her ineligible for a full deserted wives’ benefit.  The Social Security officer refused to grant help from the special assistance fund because the husband had returned home and had a job.  The Child Welfare officer suggested that in view of the father’s drinking…Child Welfare should support the family…claiming that short-term help could save the mother from breakdown, and was cheaper than the long-term institutionalisation of the children.”</w:t>
      </w:r>
      <w:r w:rsidRPr="004A0212">
        <w:rPr>
          <w:rStyle w:val="StyleFootnoteReferenceFagoFunotenzeichenFagoFunotenzeichen"/>
        </w:rPr>
        <w:endnoteReference w:id="305"/>
      </w:r>
    </w:p>
    <w:p w14:paraId="7CBA817B" w14:textId="2DA2C076" w:rsidR="00FE4E56" w:rsidRPr="004A0212" w:rsidRDefault="00FE4E56" w:rsidP="00912F3E">
      <w:pPr>
        <w:pStyle w:val="Numbparas"/>
      </w:pPr>
      <w:r w:rsidRPr="004A0212">
        <w:t>Government grants to the non-profit sector grew from the 1960s. By the late 1960s central government was providing around $3.9 million ($144 million in 2024) to the non-governmental sector for services like churches’ work for Pacific migrants, kindergartens, Marriage Guidance, Prisoners’ Aid and Rehabilitation, the Māori Education Foundation and youth groups such like Girl Guides. By the mid-1980s, 68 percent of this funding was pre-allocated, meaning it rolled over to the same providers year on year.</w:t>
      </w:r>
      <w:r w:rsidRPr="004A0212">
        <w:rPr>
          <w:rStyle w:val="StyleFootnoteReferenceFagoFunotenzeichenFagoFunotenzeichen"/>
        </w:rPr>
        <w:endnoteReference w:id="306"/>
      </w:r>
      <w:r w:rsidRPr="004A0212">
        <w:t xml:space="preserve"> This funding included grants to faith-based organisations providing care for tamariki and rangatahi who were in care or otherwise not living with their families.</w:t>
      </w:r>
    </w:p>
    <w:p w14:paraId="6DC169C0" w14:textId="77777777" w:rsidR="00FE4E56" w:rsidRPr="004A0212" w:rsidRDefault="00FE4E56">
      <w:pPr>
        <w:keepLines w:val="0"/>
        <w:rPr>
          <w:rFonts w:ascii="Arial" w:hAnsi="Arial" w:cs="Arial"/>
          <w:b/>
          <w:bCs/>
          <w:color w:val="4F7D29" w:themeColor="accent4"/>
          <w:sz w:val="36"/>
          <w:szCs w:val="36"/>
        </w:rPr>
      </w:pPr>
      <w:bookmarkStart w:id="376" w:name="_Toc150933143"/>
      <w:bookmarkStart w:id="377" w:name="_Toc150953460"/>
      <w:r w:rsidRPr="004A0212">
        <w:br w:type="page"/>
      </w:r>
    </w:p>
    <w:p w14:paraId="26530003" w14:textId="755CEFD6" w:rsidR="00FE4E56" w:rsidRPr="004A0212" w:rsidRDefault="00FE4E56" w:rsidP="00282055">
      <w:pPr>
        <w:pStyle w:val="Heading1"/>
        <w:rPr>
          <w:color w:val="3B5D1E" w:themeColor="accent4" w:themeShade="BF"/>
        </w:rPr>
      </w:pPr>
      <w:bookmarkStart w:id="378" w:name="_Toc2086040179"/>
      <w:bookmarkStart w:id="379" w:name="_Toc181084872"/>
      <w:r w:rsidRPr="004A0212">
        <w:rPr>
          <w:color w:val="3B5D1E" w:themeColor="accent4" w:themeShade="BF"/>
        </w:rPr>
        <w:lastRenderedPageBreak/>
        <w:t>Ūpoko 7: 1970–1999 – Te akaakatanga ā-ōhanga me te panonitanga pāpori</w:t>
      </w:r>
      <w:bookmarkEnd w:id="378"/>
      <w:bookmarkEnd w:id="379"/>
    </w:p>
    <w:p w14:paraId="48323042" w14:textId="4644FA10" w:rsidR="00FE4E56" w:rsidRPr="004A0212" w:rsidRDefault="00FE4E56" w:rsidP="00282055">
      <w:pPr>
        <w:pStyle w:val="Heading1"/>
        <w:rPr>
          <w:color w:val="3B5D1E" w:themeColor="accent4" w:themeShade="BF"/>
        </w:rPr>
      </w:pPr>
      <w:bookmarkStart w:id="380" w:name="_Toc1686392604"/>
      <w:bookmarkStart w:id="381" w:name="_Toc181084873"/>
      <w:r w:rsidRPr="004A0212">
        <w:rPr>
          <w:color w:val="3B5D1E" w:themeColor="accent4" w:themeShade="BF"/>
        </w:rPr>
        <w:t>Chapter 7: 1970–1999</w:t>
      </w:r>
      <w:bookmarkEnd w:id="376"/>
      <w:bookmarkEnd w:id="377"/>
      <w:r w:rsidRPr="004A0212">
        <w:rPr>
          <w:color w:val="3B5D1E" w:themeColor="accent4" w:themeShade="BF"/>
        </w:rPr>
        <w:t xml:space="preserve"> – Economic upheaval and social change</w:t>
      </w:r>
      <w:bookmarkEnd w:id="380"/>
      <w:bookmarkEnd w:id="381"/>
      <w:r w:rsidRPr="004A0212">
        <w:rPr>
          <w:color w:val="3B5D1E" w:themeColor="accent4" w:themeShade="BF"/>
        </w:rPr>
        <w:t xml:space="preserve"> </w:t>
      </w:r>
    </w:p>
    <w:p w14:paraId="5CCC05EC" w14:textId="3215CF19" w:rsidR="00FE4E56" w:rsidRPr="00E94190" w:rsidRDefault="00FE4E56" w:rsidP="08C22B3F">
      <w:pPr>
        <w:pStyle w:val="AllNumbparas"/>
        <w:rPr>
          <w:rStyle w:val="normaltextrun"/>
          <w:color w:val="auto"/>
          <w:u w:val="single"/>
        </w:rPr>
      </w:pPr>
      <w:r w:rsidRPr="004A0212">
        <w:rPr>
          <w:rStyle w:val="normaltextrun"/>
          <w:color w:val="000000" w:themeColor="text1"/>
        </w:rPr>
        <w:t xml:space="preserve">From the 1970s there was increasing pressure for Aotearoa New Zealand to become a more diverse and more accepting society. Across the last thirty years of the Inquiry period there were advances in human rights, in line with international developments, and some recognition of </w:t>
      </w:r>
      <w:r>
        <w:rPr>
          <w:rStyle w:val="normaltextrun"/>
          <w:color w:val="000000" w:themeColor="text1"/>
        </w:rPr>
        <w:t>t</w:t>
      </w:r>
      <w:r w:rsidRPr="004A0212">
        <w:rPr>
          <w:rStyle w:val="normaltextrun"/>
          <w:color w:val="000000" w:themeColor="text1"/>
        </w:rPr>
        <w:t xml:space="preserve">e Tiriti o Waitangi. </w:t>
      </w:r>
      <w:r w:rsidRPr="004A0212">
        <w:rPr>
          <w:color w:val="000000" w:themeColor="text1"/>
        </w:rPr>
        <w:t xml:space="preserve">Legislation </w:t>
      </w:r>
      <w:r w:rsidRPr="004A0212">
        <w:t xml:space="preserve">was updated to recognise some rights and needs of </w:t>
      </w:r>
      <w:r w:rsidRPr="00E94190">
        <w:rPr>
          <w:color w:val="auto"/>
        </w:rPr>
        <w:t>people</w:t>
      </w:r>
      <w:r w:rsidRPr="00E94190">
        <w:rPr>
          <w:rStyle w:val="normaltextrun"/>
          <w:color w:val="auto"/>
          <w:u w:val="single"/>
        </w:rPr>
        <w:t xml:space="preserve">. </w:t>
      </w:r>
    </w:p>
    <w:p w14:paraId="61EB13C0" w14:textId="56D32F92" w:rsidR="00FE4E56" w:rsidRPr="004A0212" w:rsidRDefault="00FE4E56" w:rsidP="007D73A6">
      <w:pPr>
        <w:pStyle w:val="AllNumbparas"/>
      </w:pPr>
      <w:r w:rsidRPr="004A0212">
        <w:t xml:space="preserve">The State was reorganised along free market principles between 1984 and 1999, and increasingly sought to contract out services previously provided by the State. </w:t>
      </w:r>
    </w:p>
    <w:p w14:paraId="60F4CDD9" w14:textId="57BE2E68" w:rsidR="00FE4E56" w:rsidRPr="004A0212" w:rsidRDefault="00FE4E56" w:rsidP="007D73A6">
      <w:pPr>
        <w:pStyle w:val="AllNumbparas"/>
      </w:pPr>
      <w:r w:rsidRPr="004A0212">
        <w:t>It is also the period when understanding and awareness about abuse, neglect and trauma became better recognised and understood. There were increasing numbers of reports drawing attention to abuse and neglect in care settings, and from the mid-1980s some of the large children’s homes and psychiatric institutions began to close.</w:t>
      </w:r>
    </w:p>
    <w:p w14:paraId="674CA6B9" w14:textId="77777777" w:rsidR="00FE4E56" w:rsidRPr="004A0212" w:rsidRDefault="00FE4E56" w:rsidP="00282055">
      <w:pPr>
        <w:pStyle w:val="Heading2"/>
      </w:pPr>
      <w:bookmarkStart w:id="382" w:name="_Toc657924182"/>
      <w:bookmarkStart w:id="383" w:name="_Toc181084874"/>
      <w:r w:rsidRPr="004A0212">
        <w:t>Ka kaha ake te hononga o te Māori me te Karauna</w:t>
      </w:r>
      <w:bookmarkEnd w:id="382"/>
      <w:bookmarkEnd w:id="383"/>
      <w:r w:rsidRPr="004A0212">
        <w:t xml:space="preserve"> </w:t>
      </w:r>
      <w:bookmarkStart w:id="384" w:name="_Toc150933144"/>
      <w:bookmarkStart w:id="385" w:name="_Toc150953461"/>
    </w:p>
    <w:p w14:paraId="22268194" w14:textId="63A90C60" w:rsidR="00FE4E56" w:rsidRPr="004A0212" w:rsidRDefault="00FE4E56" w:rsidP="00282055">
      <w:pPr>
        <w:pStyle w:val="Heading2"/>
      </w:pPr>
      <w:bookmarkStart w:id="386" w:name="_Toc2010530241"/>
      <w:bookmarkStart w:id="387" w:name="_Toc181084875"/>
      <w:r w:rsidRPr="004A0212">
        <w:t>Māori–Crown relationship</w:t>
      </w:r>
      <w:bookmarkEnd w:id="384"/>
      <w:bookmarkEnd w:id="385"/>
      <w:r w:rsidRPr="004A0212">
        <w:t xml:space="preserve"> grows</w:t>
      </w:r>
      <w:bookmarkEnd w:id="386"/>
      <w:bookmarkEnd w:id="387"/>
    </w:p>
    <w:p w14:paraId="04F0CBB2" w14:textId="641A1F4A" w:rsidR="00FE4E56" w:rsidRPr="004A0212" w:rsidRDefault="00FE4E56" w:rsidP="007D73A6">
      <w:pPr>
        <w:pStyle w:val="AllNumbparas"/>
      </w:pPr>
      <w:r w:rsidRPr="004A0212">
        <w:t>The Māori Renaissance in the 1970s led to a resurgence of Māori identity and autonomy. Activism among Māori and some Pākehā was fuelled by events such as the eviction at Bastion Point in Tāmaki Makaurau Auckland.</w:t>
      </w:r>
      <w:r w:rsidRPr="004A0212">
        <w:rPr>
          <w:rStyle w:val="StyleFootnoteReferenceFagoFunotenzeichenFagoFunotenzeichen"/>
        </w:rPr>
        <w:endnoteReference w:id="307"/>
      </w:r>
      <w:r w:rsidRPr="004A0212">
        <w:t xml:space="preserve"> In the 1970s and 1980s, significant changes were initiated, including the revision of Māori land law and increased Māori community participation in planning and management of State programmes.</w:t>
      </w:r>
    </w:p>
    <w:p w14:paraId="24C312C7" w14:textId="124ED6B8" w:rsidR="00FE4E56" w:rsidRPr="004A0212" w:rsidRDefault="00FE4E56" w:rsidP="007D73A6">
      <w:pPr>
        <w:pStyle w:val="AllNumbparas"/>
      </w:pPr>
      <w:r w:rsidRPr="004A0212">
        <w:t xml:space="preserve">Kara Puketapu, </w:t>
      </w:r>
      <w:r w:rsidRPr="004A0212">
        <w:rPr>
          <w:color w:val="auto"/>
        </w:rPr>
        <w:t>Secretary</w:t>
      </w:r>
      <w:r w:rsidRPr="004A0212">
        <w:t xml:space="preserve"> of the Department of Māori Affairs from 1977 to 1983, initiated the Tū Tangata programme, which focused on community-based Māori development. The overall aim of the programme was to promote cultural and economic advancement through encouraging self-reliance and self-determination at community levels.</w:t>
      </w:r>
      <w:r w:rsidRPr="004A0212">
        <w:rPr>
          <w:rStyle w:val="StyleFootnoteReferenceFagoFunotenzeichenFagoFunotenzeichen"/>
        </w:rPr>
        <w:endnoteReference w:id="308"/>
      </w:r>
      <w:r w:rsidRPr="004A0212">
        <w:t xml:space="preserve"> The 1988 </w:t>
      </w:r>
      <w:r w:rsidRPr="007D232D">
        <w:t>Puao-te-Ata-Tū</w:t>
      </w:r>
      <w:r w:rsidRPr="004A0212">
        <w:t xml:space="preserve"> Report also resulted in an increased focus on biculturalism in the public sector.</w:t>
      </w:r>
      <w:r w:rsidRPr="004A0212">
        <w:rPr>
          <w:rStyle w:val="StyleFootnoteReferenceFagoFunotenzeichenFagoFunotenzeichen"/>
        </w:rPr>
        <w:endnoteReference w:id="309"/>
      </w:r>
    </w:p>
    <w:p w14:paraId="0FEB7A2E" w14:textId="360726D2" w:rsidR="00FE4E56" w:rsidRPr="004A0212" w:rsidRDefault="00FE4E56" w:rsidP="002E795A">
      <w:pPr>
        <w:pStyle w:val="Numbparas"/>
        <w:keepLines/>
        <w:spacing w:before="240"/>
        <w:jc w:val="both"/>
      </w:pPr>
      <w:r w:rsidRPr="004A0212">
        <w:t>Legislative references giving legal recognition to the Treaty began with the Treaty of Waitangi Act 1975, the State-Owned Enterprises Act 1986 and in early environmental law.</w:t>
      </w:r>
      <w:r w:rsidRPr="004A0212">
        <w:rPr>
          <w:rStyle w:val="StyleFootnoteReferenceFagoFunotenzeichenFagoFunotenzeichen"/>
        </w:rPr>
        <w:endnoteReference w:id="310"/>
      </w:r>
      <w:r w:rsidRPr="004A0212">
        <w:t xml:space="preserve"> These legislative provisions are commonly referred to as “Treaty clauses”.</w:t>
      </w:r>
    </w:p>
    <w:p w14:paraId="2305E778" w14:textId="77777777" w:rsidR="000E6463" w:rsidRDefault="000E6463">
      <w:pPr>
        <w:keepLines w:val="0"/>
        <w:rPr>
          <w:rFonts w:ascii="Arial" w:eastAsia="Calibri" w:hAnsi="Arial" w:cs="Arial"/>
          <w:bCs/>
          <w:color w:val="222222"/>
          <w:sz w:val="22"/>
          <w:szCs w:val="22"/>
          <w:shd w:val="clear" w:color="auto" w:fill="FFFFFF"/>
        </w:rPr>
      </w:pPr>
      <w:r>
        <w:br w:type="page"/>
      </w:r>
    </w:p>
    <w:p w14:paraId="0A422C78" w14:textId="6D16E96D" w:rsidR="00FE4E56" w:rsidRPr="004A0212" w:rsidRDefault="00FE4E56" w:rsidP="004501DF">
      <w:pPr>
        <w:pStyle w:val="AllNumbparas"/>
      </w:pPr>
      <w:r w:rsidRPr="004A0212">
        <w:lastRenderedPageBreak/>
        <w:t xml:space="preserve">In 1985 an amendment to the Treaty of Waitangi Act extended the jurisdiction of the Waitangi Tribunal to cover claims for historical breaches of </w:t>
      </w:r>
      <w:r>
        <w:t>t</w:t>
      </w:r>
      <w:r w:rsidRPr="004A0212">
        <w:t>e Tiriti o Waitangi from 6 February 1840 onwards.</w:t>
      </w:r>
      <w:r w:rsidRPr="004A0212">
        <w:rPr>
          <w:rStyle w:val="StyleFootnoteReferenceFagoFunotenzeichenFagoFunotenzeichen"/>
        </w:rPr>
        <w:endnoteReference w:id="311"/>
      </w:r>
      <w:r w:rsidRPr="004A0212">
        <w:t xml:space="preserve"> Before this, its jurisdiction had only covered contemporary claims for breaches of </w:t>
      </w:r>
      <w:r>
        <w:t>t</w:t>
      </w:r>
      <w:r w:rsidRPr="004A0212">
        <w:t>e Tiriti</w:t>
      </w:r>
      <w:r>
        <w:t xml:space="preserve"> </w:t>
      </w:r>
      <w:r w:rsidRPr="004A0212">
        <w:t>o Waitangi. The modern Treaty settlements era began in the 1990s. The first major settlements occurred in the 1990s with the Treaty of Waitangi (Fisheries Claims) Settlement Act in 1992 and the Waikato-Tainui and Ngāi Tahu settlements in 1995 and 1998.</w:t>
      </w:r>
    </w:p>
    <w:p w14:paraId="6476A4A3" w14:textId="77777777" w:rsidR="00FE4E56" w:rsidRPr="004A0212" w:rsidRDefault="00FE4E56" w:rsidP="002E795A">
      <w:pPr>
        <w:pStyle w:val="Numbparas"/>
        <w:keepLines/>
        <w:spacing w:before="240"/>
        <w:jc w:val="both"/>
      </w:pPr>
      <w:r w:rsidRPr="004A0212">
        <w:t xml:space="preserve">Treaty clauses have two common forms: </w:t>
      </w:r>
    </w:p>
    <w:p w14:paraId="71228407" w14:textId="77777777" w:rsidR="00FE4E56" w:rsidRPr="004A0212" w:rsidRDefault="00FE4E56" w:rsidP="005D2822">
      <w:pPr>
        <w:pStyle w:val="Bulletpoints"/>
      </w:pPr>
      <w:r w:rsidRPr="004A0212">
        <w:t>general, requiring decision makers or those exercising functions under an Act to consider or act in accordance with the Treaty principles</w:t>
      </w:r>
    </w:p>
    <w:p w14:paraId="58B04C4E" w14:textId="1157D211" w:rsidR="00FE4E56" w:rsidRPr="004A0212" w:rsidRDefault="00FE4E56" w:rsidP="005D2822">
      <w:pPr>
        <w:pStyle w:val="Bulletpoints"/>
      </w:pPr>
      <w:r w:rsidRPr="004A0212">
        <w:t>specific, referencing the Crown’s Treaty responsibilities and prescribing how these are given effect to in the Act.</w:t>
      </w:r>
      <w:r w:rsidRPr="004A0212">
        <w:rPr>
          <w:rStyle w:val="StyleFootnoteReferenceFagoFunotenzeichenFagoFunotenzeichen"/>
        </w:rPr>
        <w:endnoteReference w:id="312"/>
      </w:r>
      <w:r w:rsidRPr="004A0212">
        <w:t xml:space="preserve"> </w:t>
      </w:r>
    </w:p>
    <w:p w14:paraId="4B184164" w14:textId="4D72F950" w:rsidR="00FE4E56" w:rsidRPr="004A0212" w:rsidRDefault="00FE4E56" w:rsidP="00695459">
      <w:pPr>
        <w:pStyle w:val="AllNumbparas"/>
      </w:pPr>
      <w:r w:rsidRPr="004A0212">
        <w:t xml:space="preserve">Research shows that once tamariki and rangatahi Māori were brought to the attention of the State, they were more likely than non-Māori to be taken into social welfare care. This was for both care and protection and youth justice purposes. </w:t>
      </w:r>
    </w:p>
    <w:p w14:paraId="38CD45D9" w14:textId="54AC0173" w:rsidR="00FE4E56" w:rsidRPr="004A0212" w:rsidRDefault="00FE4E56" w:rsidP="007D73A6">
      <w:pPr>
        <w:pStyle w:val="AllNumbparas"/>
      </w:pPr>
      <w:r w:rsidRPr="004A0212">
        <w:t>While many of the efforts to recognise Māori culture and calls for self-determination were genuine, some commentators suggest that these only amounted to changes in the State’s strategies to achieve policy goals “that do not depart significantly from 19th-century assimilationist goals”.</w:t>
      </w:r>
      <w:r w:rsidRPr="004A0212">
        <w:rPr>
          <w:rStyle w:val="StyleFootnoteReferenceFagoFunotenzeichenFagoFunotenzeichen"/>
        </w:rPr>
        <w:endnoteReference w:id="313"/>
      </w:r>
      <w:r w:rsidRPr="004A0212">
        <w:t xml:space="preserve"> </w:t>
      </w:r>
    </w:p>
    <w:p w14:paraId="35FD6735" w14:textId="577000E9" w:rsidR="00FE4E56" w:rsidRPr="004A0212" w:rsidRDefault="00FE4E56" w:rsidP="00BF6F53">
      <w:pPr>
        <w:pStyle w:val="AllNumbparas"/>
      </w:pPr>
      <w:r w:rsidRPr="004A0212">
        <w:t>In 1989, the State proposed a partnership model with iwi, aimed at transforming the Māori–Crown relationship and devolving social services to iwi.</w:t>
      </w:r>
      <w:r w:rsidRPr="004A0212">
        <w:rPr>
          <w:rStyle w:val="StyleFootnoteReferenceFagoFunotenzeichenFagoFunotenzeichen"/>
        </w:rPr>
        <w:endnoteReference w:id="314"/>
      </w:r>
      <w:r w:rsidRPr="004A0212">
        <w:t xml:space="preserve"> The newly formed Ministry of Māori Affairs was charged with encouraging Māori expression of rangatiratanga, although this expression would be subject to it enhancing Aotearoa New Zealand’s economic, social and cultural life as defined by the State. The Runanga Iwi Act 1990 was enacted to provide for iwi to become ‘authorised voices’ enabled to exercise powers granted to them under the Act by the State to deliver social, economic and cultural programmes.</w:t>
      </w:r>
      <w:r w:rsidRPr="004A0212">
        <w:rPr>
          <w:rStyle w:val="StyleFootnoteReferenceFagoFunotenzeichenFagoFunotenzeichen"/>
        </w:rPr>
        <w:endnoteReference w:id="315"/>
      </w:r>
    </w:p>
    <w:p w14:paraId="55827946" w14:textId="66AB5A25" w:rsidR="00FE4E56" w:rsidRPr="004A0212" w:rsidRDefault="00FE4E56" w:rsidP="007D73A6">
      <w:pPr>
        <w:pStyle w:val="AllNumbparas"/>
      </w:pPr>
      <w:r w:rsidRPr="004A0212">
        <w:t>Despite the proposals to devolve services, power was still in in State hands.</w:t>
      </w:r>
      <w:r w:rsidRPr="004A0212" w:rsidDel="005342B6">
        <w:t xml:space="preserve"> </w:t>
      </w:r>
      <w:r w:rsidRPr="004A0212">
        <w:t>Many saw this as institutional assimilation rather than the partnership the Crown claimed it was seeking with iwi; “‘a denial of rangatiratanga rather than progress towards it”.</w:t>
      </w:r>
      <w:r w:rsidRPr="004A0212">
        <w:rPr>
          <w:rStyle w:val="StyleFootnoteReferenceFagoFunotenzeichenFagoFunotenzeichen"/>
        </w:rPr>
        <w:endnoteReference w:id="316"/>
      </w:r>
      <w:r w:rsidRPr="004A0212">
        <w:t xml:space="preserve"> Others argued that making “provision for Māori cultural preferences…[as] an “extra”” within existing State frameworks was rooted in colonial notions of cultural superiority.</w:t>
      </w:r>
      <w:r w:rsidRPr="004A0212">
        <w:rPr>
          <w:rStyle w:val="EndnoteReference"/>
        </w:rPr>
        <w:endnoteReference w:id="317"/>
      </w:r>
    </w:p>
    <w:p w14:paraId="031C9320" w14:textId="4486C6C0" w:rsidR="00FE4E56" w:rsidRPr="004A0212" w:rsidRDefault="00FE4E56" w:rsidP="00E94190">
      <w:pPr>
        <w:pStyle w:val="AllNumbparas"/>
        <w:keepLines/>
        <w:tabs>
          <w:tab w:val="num" w:pos="1701"/>
        </w:tabs>
        <w:mirrorIndents w:val="0"/>
      </w:pPr>
      <w:r w:rsidRPr="004A0212">
        <w:t>The move towards devolution was diverted in the 1990s, with the Government emphasising mainstreaming State service delivery to Māori instead. Services were organised around supporting the not-for-profit sector and providing for Māori entities to tender for Crown contracts.</w:t>
      </w:r>
      <w:r w:rsidRPr="004A0212">
        <w:rPr>
          <w:rStyle w:val="StyleFootnoteReferenceFagoFunotenzeichenFagoFunotenzeichen"/>
        </w:rPr>
        <w:endnoteReference w:id="318"/>
      </w:r>
      <w:r w:rsidRPr="004A0212">
        <w:t xml:space="preserve"> </w:t>
      </w:r>
      <w:r w:rsidRPr="004A0212">
        <w:rPr>
          <w:rStyle w:val="eop"/>
        </w:rPr>
        <w:t>Although</w:t>
      </w:r>
      <w:r w:rsidRPr="004A0212">
        <w:t xml:space="preserve"> the number of Māori service providers rose from “almost zero to more than a thousand”,</w:t>
      </w:r>
      <w:r w:rsidRPr="004A0212">
        <w:rPr>
          <w:rStyle w:val="EndnoteReference"/>
        </w:rPr>
        <w:endnoteReference w:id="319"/>
      </w:r>
      <w:r w:rsidRPr="004A0212">
        <w:t xml:space="preserve"> Māori argued that the State’s procurement rules constrained the exercise of rangatiratanga, and thus fell short of the partnership required under the Treaty of Waitangi:</w:t>
      </w:r>
      <w:r w:rsidRPr="004A0212">
        <w:rPr>
          <w:rStyle w:val="EndnoteReference"/>
        </w:rPr>
        <w:endnoteReference w:id="320"/>
      </w:r>
      <w:r w:rsidRPr="004A0212">
        <w:t xml:space="preserve">  </w:t>
      </w:r>
    </w:p>
    <w:p w14:paraId="0973630D" w14:textId="23928CD3" w:rsidR="00FE4E56" w:rsidRPr="004A0212" w:rsidRDefault="00FE4E56" w:rsidP="005B5357">
      <w:pPr>
        <w:pStyle w:val="AllQuotes"/>
      </w:pPr>
      <w:r w:rsidRPr="004A0212">
        <w:t>“…any resources or powers conceded to Māori communities could be taken back if the actions of the recipients displeased ministers or officials”.</w:t>
      </w:r>
      <w:r w:rsidRPr="004A0212">
        <w:rPr>
          <w:rStyle w:val="StyleFootnoteReferenceFagoFunotenzeichenFagoFunotenzeichen"/>
        </w:rPr>
        <w:endnoteReference w:id="321"/>
      </w:r>
    </w:p>
    <w:p w14:paraId="392C061B" w14:textId="77777777" w:rsidR="00FE4E56" w:rsidRPr="004A0212" w:rsidRDefault="00FE4E56" w:rsidP="00282055">
      <w:pPr>
        <w:pStyle w:val="Heading2"/>
      </w:pPr>
      <w:bookmarkStart w:id="388" w:name="_Toc459995009"/>
      <w:bookmarkStart w:id="389" w:name="_Toc150933145"/>
      <w:bookmarkStart w:id="390" w:name="_Toc150953462"/>
      <w:bookmarkStart w:id="391" w:name="_Toc181084876"/>
      <w:r w:rsidRPr="004A0212">
        <w:lastRenderedPageBreak/>
        <w:t>Ka tīmata te tino kite i te Māori i ngā pūnaha taurima</w:t>
      </w:r>
      <w:bookmarkEnd w:id="388"/>
      <w:bookmarkEnd w:id="391"/>
      <w:r w:rsidRPr="004A0212">
        <w:t xml:space="preserve"> </w:t>
      </w:r>
      <w:bookmarkEnd w:id="389"/>
      <w:bookmarkEnd w:id="390"/>
    </w:p>
    <w:p w14:paraId="6DCA1EA9" w14:textId="0D8EC519" w:rsidR="00FE4E56" w:rsidRPr="004A0212" w:rsidRDefault="00FE4E56" w:rsidP="00282055">
      <w:pPr>
        <w:pStyle w:val="Heading2"/>
      </w:pPr>
      <w:bookmarkStart w:id="392" w:name="_Toc64958091"/>
      <w:bookmarkStart w:id="393" w:name="_Toc181084877"/>
      <w:r w:rsidRPr="004A0212">
        <w:t>Māori begin to be over-represented in care</w:t>
      </w:r>
      <w:bookmarkEnd w:id="392"/>
      <w:bookmarkEnd w:id="393"/>
    </w:p>
    <w:p w14:paraId="76EE8C41" w14:textId="1D5F4EE6" w:rsidR="00FE4E56" w:rsidRPr="004A0212" w:rsidRDefault="00FE4E56" w:rsidP="007D73A6">
      <w:pPr>
        <w:pStyle w:val="AllNumbparas"/>
      </w:pPr>
      <w:bookmarkStart w:id="394" w:name="_Hlk120191967"/>
      <w:r w:rsidRPr="004A0212">
        <w:t>During the Inquiry period, once tamariki and rangatahi Māori were brought to the attention of the State, they were more likely than non-Māori children to be taken into social welfare care. Once in social welfare care, Māori were more likely to be criminalised or placed in a harsher environment, and less likely to receive intensive support, than non-Māori.</w:t>
      </w:r>
      <w:r w:rsidRPr="004A0212">
        <w:rPr>
          <w:rStyle w:val="StyleFootnoteReferenceFagoFunotenzeichenFagoFunotenzeichen"/>
        </w:rPr>
        <w:endnoteReference w:id="322"/>
      </w:r>
      <w:bookmarkEnd w:id="394"/>
    </w:p>
    <w:p w14:paraId="388789EE" w14:textId="24DFFD34" w:rsidR="00FE4E56" w:rsidRPr="004A0212" w:rsidRDefault="00FE4E56" w:rsidP="007D73A6">
      <w:pPr>
        <w:pStyle w:val="AllNumbparas"/>
      </w:pPr>
      <w:r w:rsidRPr="004A0212">
        <w:t>At the Inquiry’s Contextual Hearing, expert witnesses Dr Moana Jackson and Dr Rawiri Waretini-Karena highlighted this over-representation as an integral part of colonisation, assimilation, and racism in Aotearoa New Zealand.</w:t>
      </w:r>
      <w:r w:rsidRPr="004A0212">
        <w:rPr>
          <w:rStyle w:val="StyleFootnoteReferenceFagoFunotenzeichenFagoFunotenzeichen"/>
        </w:rPr>
        <w:endnoteReference w:id="323"/>
      </w:r>
      <w:r w:rsidRPr="004A0212">
        <w:t xml:space="preserve"> </w:t>
      </w:r>
    </w:p>
    <w:p w14:paraId="42C35417" w14:textId="721B9BAB" w:rsidR="00FE4E56" w:rsidRPr="004A0212" w:rsidRDefault="00FE4E56" w:rsidP="007D73A6">
      <w:pPr>
        <w:pStyle w:val="AllNumbparas"/>
      </w:pPr>
      <w:r w:rsidRPr="004A0212">
        <w:t>In the 1970s NZ Police were more likely to apprehend and prosecute tamariki and rangatahi Māori than their Pākehā counterparts for similar offences.</w:t>
      </w:r>
      <w:r w:rsidRPr="004A0212">
        <w:rPr>
          <w:rStyle w:val="StyleFootnoteReferenceFagoFunotenzeichenFagoFunotenzeichen"/>
        </w:rPr>
        <w:endnoteReference w:id="324"/>
      </w:r>
      <w:r w:rsidRPr="004A0212">
        <w:rPr>
          <w:rStyle w:val="EndnoteReference"/>
        </w:rPr>
        <w:t xml:space="preserve"> </w:t>
      </w:r>
      <w:r w:rsidRPr="004A0212">
        <w:t>These biases also existed in the courts. Mr SO, a social worker during the 1970s and 1980s, saw institutional racism in the courts’ treatment of Māori:</w:t>
      </w:r>
    </w:p>
    <w:p w14:paraId="5A7DCE05" w14:textId="77777777" w:rsidR="00FE4E56" w:rsidRPr="004A0212" w:rsidRDefault="00FE4E56" w:rsidP="002A6C7D">
      <w:pPr>
        <w:pStyle w:val="AllQuotes"/>
        <w:rPr>
          <w:rFonts w:cs="Arial"/>
        </w:rPr>
      </w:pPr>
      <w:r w:rsidRPr="004A0212">
        <w:rPr>
          <w:rFonts w:cs="Arial"/>
        </w:rPr>
        <w:tab/>
        <w:t>“The courts had an attitude, and the police had an attitude, too. The court acted differently to young Māori compared to young Pākehā offenders. The court was more willing to give second chances and lighter sentences to Pākehā offenders.”</w:t>
      </w:r>
      <w:r w:rsidRPr="004A0212">
        <w:rPr>
          <w:rFonts w:cs="Arial"/>
          <w:vertAlign w:val="superscript"/>
        </w:rPr>
        <w:t xml:space="preserve"> </w:t>
      </w:r>
      <w:r w:rsidRPr="004A0212">
        <w:rPr>
          <w:rStyle w:val="StyleFootnoteReferenceFagoFunotenzeichenFagoFunotenzeichen"/>
        </w:rPr>
        <w:endnoteReference w:id="325"/>
      </w:r>
      <w:r w:rsidRPr="004A0212">
        <w:rPr>
          <w:rFonts w:cs="Arial"/>
        </w:rPr>
        <w:t xml:space="preserve"> </w:t>
      </w:r>
    </w:p>
    <w:p w14:paraId="27558397" w14:textId="4868BFBB" w:rsidR="00FE4E56" w:rsidRPr="004A0212" w:rsidRDefault="00FE4E56" w:rsidP="007D73A6">
      <w:pPr>
        <w:pStyle w:val="AllNumbparas"/>
        <w:rPr>
          <w:b/>
          <w:lang w:eastAsia="en-US"/>
        </w:rPr>
      </w:pPr>
      <w:r w:rsidRPr="004A0212">
        <w:t>Throughout the 1970s and 1980s, there were increasing concerns about issues such as poor conditions, ill-treatment and racism in overcrowded social welfare institutions.</w:t>
      </w:r>
      <w:r w:rsidRPr="004A0212">
        <w:rPr>
          <w:rStyle w:val="StyleFootnoteReferenceFagoFunotenzeichenFagoFunotenzeichen"/>
        </w:rPr>
        <w:endnoteReference w:id="326"/>
      </w:r>
      <w:r w:rsidRPr="004A0212">
        <w:t xml:space="preserve"> </w:t>
      </w:r>
    </w:p>
    <w:p w14:paraId="16A5EF4E" w14:textId="759032E3" w:rsidR="00FE4E56" w:rsidRPr="004A0212" w:rsidRDefault="00FE4E56" w:rsidP="007D73A6">
      <w:pPr>
        <w:pStyle w:val="AllNumbparas"/>
        <w:rPr>
          <w:b/>
          <w:lang w:eastAsia="en-US"/>
        </w:rPr>
      </w:pPr>
      <w:r w:rsidRPr="004A0212">
        <w:t>There was also growing understanding that the care and protection and youth justice systems operated in direct opposition to Māori concepts of whānau and tino rangatiratanga.</w:t>
      </w:r>
      <w:r w:rsidRPr="004A0212">
        <w:rPr>
          <w:rStyle w:val="StyleFootnoteReferenceFagoFunotenzeichenFagoFunotenzeichen"/>
        </w:rPr>
        <w:endnoteReference w:id="327"/>
      </w:r>
    </w:p>
    <w:p w14:paraId="5F4FC060" w14:textId="68B66821" w:rsidR="00FE4E56" w:rsidRPr="004A0212" w:rsidRDefault="00FE4E56" w:rsidP="00282055">
      <w:pPr>
        <w:pStyle w:val="Heading2"/>
      </w:pPr>
      <w:bookmarkStart w:id="395" w:name="_Toc1491496219"/>
      <w:bookmarkStart w:id="396" w:name="_Toc150933147"/>
      <w:bookmarkStart w:id="397" w:name="_Toc150953464"/>
      <w:bookmarkStart w:id="398" w:name="_Toc181084878"/>
      <w:r w:rsidRPr="004A0212">
        <w:t>Ngā pāpātanga ki ngā iwi Pasifika i ngā urutomotanga atatū</w:t>
      </w:r>
      <w:bookmarkEnd w:id="395"/>
      <w:bookmarkEnd w:id="398"/>
      <w:r w:rsidRPr="004A0212">
        <w:t xml:space="preserve"> </w:t>
      </w:r>
    </w:p>
    <w:p w14:paraId="0298F345" w14:textId="70230D89" w:rsidR="00FE4E56" w:rsidRPr="004A0212" w:rsidRDefault="00FE4E56" w:rsidP="00282055">
      <w:pPr>
        <w:pStyle w:val="Heading2"/>
      </w:pPr>
      <w:bookmarkStart w:id="399" w:name="_Toc553577459"/>
      <w:bookmarkStart w:id="400" w:name="_Toc181084879"/>
      <w:r w:rsidRPr="004A0212">
        <w:t>Pacific Peoples impacted by Dawn Raids</w:t>
      </w:r>
      <w:bookmarkEnd w:id="396"/>
      <w:bookmarkEnd w:id="397"/>
      <w:bookmarkEnd w:id="399"/>
      <w:bookmarkEnd w:id="400"/>
    </w:p>
    <w:p w14:paraId="40B94328" w14:textId="69D92334" w:rsidR="00FE4E56" w:rsidRPr="004A0212" w:rsidRDefault="00FE4E56" w:rsidP="007D73A6">
      <w:pPr>
        <w:pStyle w:val="AllNumbparas"/>
      </w:pPr>
      <w:r w:rsidRPr="004A0212">
        <w:t xml:space="preserve">As a relatively wealthy country with educational and economic opportunities, Aotearoa New Zealand was known to some people in the Pacific </w:t>
      </w:r>
      <w:r>
        <w:t>I</w:t>
      </w:r>
      <w:r w:rsidRPr="004A0212">
        <w:t>slands as “the land of milk and honey”.</w:t>
      </w:r>
      <w:r w:rsidRPr="004A0212">
        <w:rPr>
          <w:rStyle w:val="StyleFootnoteReferenceFagoFunotenzeichenFagoFunotenzeichen"/>
        </w:rPr>
        <w:endnoteReference w:id="328"/>
      </w:r>
      <w:r w:rsidRPr="004A0212">
        <w:t xml:space="preserve"> For New Zealanders, the Pacific </w:t>
      </w:r>
      <w:r>
        <w:t>I</w:t>
      </w:r>
      <w:r w:rsidRPr="004A0212">
        <w:t>slands represented a source of cheap labour.</w:t>
      </w:r>
      <w:r w:rsidRPr="004A0212">
        <w:rPr>
          <w:rStyle w:val="StyleFootnoteReferenceFagoFunotenzeichenFagoFunotenzeichen"/>
        </w:rPr>
        <w:endnoteReference w:id="329"/>
      </w:r>
      <w:r w:rsidRPr="004A0212">
        <w:t xml:space="preserve"> </w:t>
      </w:r>
    </w:p>
    <w:p w14:paraId="1E522C01" w14:textId="4292756A" w:rsidR="00FE4E56" w:rsidRPr="004A0212" w:rsidRDefault="00FE4E56" w:rsidP="007D73A6">
      <w:pPr>
        <w:pStyle w:val="AllNumbparas"/>
      </w:pPr>
      <w:r w:rsidRPr="004A0212">
        <w:t>The economic downturn of the 1970s led to a State focus on Pacific Peoples and made their “place in Aotearoa New Zealand both difficult and precarious”.</w:t>
      </w:r>
      <w:r w:rsidRPr="004A0212">
        <w:rPr>
          <w:rStyle w:val="StyleFootnoteReferenceFagoFunotenzeichenFagoFunotenzeichen"/>
        </w:rPr>
        <w:endnoteReference w:id="330"/>
      </w:r>
      <w:r w:rsidRPr="004A0212">
        <w:t xml:space="preserve"> Pacific Peoples faced increasing discrimination and backlash. The State falsely accused “overstaying” Pacific Peoples of both taking New Zealanders’ jobs and being a burden on society through unemployment.</w:t>
      </w:r>
      <w:r w:rsidRPr="004A0212">
        <w:rPr>
          <w:rStyle w:val="StyleFootnoteReferenceFagoFunotenzeichenFagoFunotenzeichen"/>
        </w:rPr>
        <w:endnoteReference w:id="331"/>
      </w:r>
      <w:r w:rsidRPr="004A0212">
        <w:t xml:space="preserve"> </w:t>
      </w:r>
    </w:p>
    <w:p w14:paraId="2CC6D3D7" w14:textId="77777777" w:rsidR="00FE4E56" w:rsidRDefault="00FE4E56">
      <w:pPr>
        <w:keepLines w:val="0"/>
        <w:rPr>
          <w:rFonts w:ascii="Arial" w:eastAsia="Calibri" w:hAnsi="Arial" w:cs="Arial"/>
          <w:bCs/>
          <w:color w:val="222222"/>
          <w:sz w:val="22"/>
          <w:szCs w:val="22"/>
          <w:shd w:val="clear" w:color="auto" w:fill="FFFFFF"/>
        </w:rPr>
      </w:pPr>
      <w:r>
        <w:br w:type="page"/>
      </w:r>
    </w:p>
    <w:p w14:paraId="516EDE01" w14:textId="4EB5BAA9" w:rsidR="00FE4E56" w:rsidRPr="004A0212" w:rsidRDefault="00FE4E56" w:rsidP="007D73A6">
      <w:pPr>
        <w:pStyle w:val="AllNumbparas"/>
      </w:pPr>
      <w:r w:rsidRPr="004A0212">
        <w:lastRenderedPageBreak/>
        <w:t>This led to what is now known as the Dawn Raids, which involved NZ Police raiding the homes and workplaces of Pacific Peoples, often in the early hours of the morning, and “…employing aggressive or intimidatory tactics” to find overstayers with expired work permits.</w:t>
      </w:r>
      <w:r w:rsidRPr="004A0212">
        <w:rPr>
          <w:rStyle w:val="StyleFootnoteReferenceFagoFunotenzeichenFagoFunotenzeichen"/>
        </w:rPr>
        <w:endnoteReference w:id="332"/>
      </w:r>
      <w:r w:rsidRPr="004A0212">
        <w:t xml:space="preserve"> </w:t>
      </w:r>
    </w:p>
    <w:p w14:paraId="2547BCAF" w14:textId="758FFDB9" w:rsidR="00FE4E56" w:rsidRPr="004A0212" w:rsidRDefault="00FE4E56" w:rsidP="007D73A6">
      <w:pPr>
        <w:pStyle w:val="AllNumbparas"/>
      </w:pPr>
      <w:r w:rsidRPr="004A0212">
        <w:t>The Dawn Raids began in 1974 under the Labour Government. A new series of Dawn Raids occurred in 1976 after the National Government was elected in 1975 and had drawn on racist stereotypes to distort societal views of Pacific Peoples.</w:t>
      </w:r>
      <w:r w:rsidRPr="004A0212">
        <w:rPr>
          <w:rStyle w:val="StyleFootnoteReferenceFagoFunotenzeichenFagoFunotenzeichen"/>
        </w:rPr>
        <w:endnoteReference w:id="333"/>
      </w:r>
      <w:r w:rsidRPr="004A0212">
        <w:t xml:space="preserve"> These raids were carried out at any time of the day or night by NZ Police specifically targeted Pacific Peoples rather than other groups of workers who had also overstayed their visas.</w:t>
      </w:r>
      <w:r w:rsidRPr="004A0212">
        <w:rPr>
          <w:rStyle w:val="StyleFootnoteReferenceFagoFunotenzeichenFagoFunotenzeichen"/>
        </w:rPr>
        <w:endnoteReference w:id="334"/>
      </w:r>
      <w:r w:rsidRPr="004A0212">
        <w:t xml:space="preserve"> </w:t>
      </w:r>
    </w:p>
    <w:p w14:paraId="4C1E43C4" w14:textId="3F00289E" w:rsidR="00FE4E56" w:rsidRPr="004A0212" w:rsidRDefault="00FE4E56" w:rsidP="00CF1376">
      <w:pPr>
        <w:pStyle w:val="AllNumbparas"/>
      </w:pPr>
      <w:r w:rsidRPr="004A0212">
        <w:t>Pacific communities were distressed by the raids. Imprisonment and deportation disrupted families’ and individuals’ lives. Children and young people could find themselves alone while parents and caregivers were processed as overstayers.</w:t>
      </w:r>
      <w:r w:rsidRPr="004A0212">
        <w:rPr>
          <w:rStyle w:val="StyleFootnoteReferenceFagoFunotenzeichenFagoFunotenzeichen"/>
        </w:rPr>
        <w:endnoteReference w:id="335"/>
      </w:r>
      <w:r w:rsidRPr="004A0212">
        <w:t xml:space="preserve"> Some enduring effects of the Dawn Raids included Pacific Peoples and the term overstayer being seen as one and the same, and experiences of ongoing and widespread racism. </w:t>
      </w:r>
    </w:p>
    <w:p w14:paraId="401A86E7" w14:textId="63EE9C27" w:rsidR="00FE4E56" w:rsidRPr="004A0212" w:rsidRDefault="00FE4E56" w:rsidP="007D73A6">
      <w:pPr>
        <w:pStyle w:val="AllNumbparas"/>
      </w:pPr>
      <w:r w:rsidRPr="004A0212">
        <w:t>The Dawn Raids also affected Pacific Peoples’ relationships with authorities. The Dawn Raids lasted until 1976, only stopping after strong community protests and criticism.</w:t>
      </w:r>
      <w:r w:rsidRPr="004A0212">
        <w:rPr>
          <w:rStyle w:val="StyleFootnoteReferenceFagoFunotenzeichenFagoFunotenzeichen"/>
        </w:rPr>
        <w:endnoteReference w:id="336"/>
      </w:r>
      <w:r w:rsidRPr="004A0212">
        <w:t xml:space="preserve"> </w:t>
      </w:r>
    </w:p>
    <w:p w14:paraId="032D2FD1" w14:textId="1D35AA92" w:rsidR="00FE4E56" w:rsidRPr="004A0212" w:rsidRDefault="00FE4E56" w:rsidP="00021C43">
      <w:pPr>
        <w:pStyle w:val="AllNumbparas"/>
      </w:pPr>
      <w:r w:rsidRPr="004A0212">
        <w:t>Despite the challenges they faced, Pacific Peoples remained resilient and built their own support systems. Pacific churches became both spiritual and community hubs. For many, churches replaced the village structures of their previous homes.</w:t>
      </w:r>
      <w:r w:rsidRPr="004A0212">
        <w:rPr>
          <w:rStyle w:val="StyleFootnoteReferenceFagoFunotenzeichenFagoFunotenzeichen"/>
        </w:rPr>
        <w:endnoteReference w:id="337"/>
      </w:r>
      <w:r w:rsidRPr="004A0212">
        <w:t xml:space="preserve"> The significance of the church to Pacific Peoples increased the number of pastoral care relationships between clergy and young people. </w:t>
      </w:r>
    </w:p>
    <w:p w14:paraId="056E59FE" w14:textId="62B9AEE7" w:rsidR="00FE4E56" w:rsidRPr="004A0212" w:rsidRDefault="00FE4E56" w:rsidP="00282055">
      <w:pPr>
        <w:pStyle w:val="Heading2"/>
      </w:pPr>
      <w:bookmarkStart w:id="401" w:name="_Toc429024528"/>
      <w:bookmarkStart w:id="402" w:name="_Toc181084880"/>
      <w:r w:rsidRPr="004A0212">
        <w:t>Ngā panonitanga ki ngā penihana tokoora me te whakahouhia ōhanga</w:t>
      </w:r>
      <w:bookmarkEnd w:id="401"/>
      <w:bookmarkEnd w:id="402"/>
      <w:r w:rsidRPr="004A0212">
        <w:t xml:space="preserve"> </w:t>
      </w:r>
    </w:p>
    <w:p w14:paraId="3FB3D5D6" w14:textId="69D0AC49" w:rsidR="00FE4E56" w:rsidRPr="004A0212" w:rsidRDefault="00FE4E56" w:rsidP="00282055">
      <w:pPr>
        <w:pStyle w:val="Heading2"/>
      </w:pPr>
      <w:bookmarkStart w:id="403" w:name="_Toc1318293317"/>
      <w:bookmarkStart w:id="404" w:name="_Toc181084881"/>
      <w:r w:rsidRPr="004A0212">
        <w:t>Changes to welfare benefits and economic restructuring</w:t>
      </w:r>
      <w:bookmarkEnd w:id="403"/>
      <w:bookmarkEnd w:id="404"/>
    </w:p>
    <w:p w14:paraId="10555351" w14:textId="0A3D9687" w:rsidR="00FE4E56" w:rsidRDefault="00FE4E56" w:rsidP="007F47AE">
      <w:pPr>
        <w:pStyle w:val="Heading3"/>
        <w:rPr>
          <w:rFonts w:cs="Arial"/>
        </w:rPr>
      </w:pPr>
      <w:bookmarkStart w:id="405" w:name="_Toc170068517"/>
      <w:bookmarkStart w:id="406" w:name="_Toc181084882"/>
      <w:r w:rsidRPr="004A0212">
        <w:rPr>
          <w:rFonts w:cs="Arial"/>
        </w:rPr>
        <w:t>Ka whakauruhia te penihana take kāinga</w:t>
      </w:r>
      <w:bookmarkEnd w:id="406"/>
    </w:p>
    <w:p w14:paraId="31DE0E48" w14:textId="2BC3C47A" w:rsidR="00FE4E56" w:rsidRPr="004A0212" w:rsidRDefault="00FE4E56" w:rsidP="007F47AE">
      <w:pPr>
        <w:pStyle w:val="Heading3"/>
        <w:rPr>
          <w:rFonts w:cs="Arial"/>
        </w:rPr>
      </w:pPr>
      <w:bookmarkStart w:id="407" w:name="_Toc181084883"/>
      <w:r w:rsidRPr="004A0212">
        <w:rPr>
          <w:rFonts w:cs="Arial"/>
        </w:rPr>
        <w:t>Domestic Purposes Benefit introduced</w:t>
      </w:r>
      <w:bookmarkEnd w:id="405"/>
      <w:bookmarkEnd w:id="407"/>
      <w:r w:rsidRPr="004A0212">
        <w:rPr>
          <w:rFonts w:cs="Arial"/>
        </w:rPr>
        <w:t xml:space="preserve"> </w:t>
      </w:r>
    </w:p>
    <w:p w14:paraId="5F43B9B5" w14:textId="0E6D1121" w:rsidR="00FE4E56" w:rsidRPr="004A0212" w:rsidRDefault="00FE4E56" w:rsidP="007D73A6">
      <w:pPr>
        <w:pStyle w:val="AllNumbparas"/>
      </w:pPr>
      <w:r w:rsidRPr="004A0212">
        <w:t>By the 1970s, social attitudes towards single motherhood were changing and more babies born to unmarried mothers stayed with their mothers than were placed up for adoption.</w:t>
      </w:r>
      <w:r w:rsidRPr="004A0212">
        <w:rPr>
          <w:rStyle w:val="StyleFootnoteReferenceFagoFunotenzeichenFagoFunotenzeichen"/>
        </w:rPr>
        <w:endnoteReference w:id="338"/>
      </w:r>
      <w:r w:rsidRPr="004A0212">
        <w:rPr>
          <w:rStyle w:val="EndnoteReference"/>
        </w:rPr>
        <w:t xml:space="preserve"> </w:t>
      </w:r>
    </w:p>
    <w:p w14:paraId="44384B24" w14:textId="4D359FC9" w:rsidR="00FE4E56" w:rsidRPr="004A0212" w:rsidRDefault="00FE4E56" w:rsidP="007D73A6">
      <w:pPr>
        <w:pStyle w:val="AllNumbparas"/>
      </w:pPr>
      <w:r w:rsidRPr="004A0212">
        <w:t>The 1973 introduction of the Domestic Purposes Benefit, for which unmarried mothers and other sole parents were eligible, was a sign of some relaxation of social attitudes towards sex outside of marriage and made it easier for single women to keep their babies.</w:t>
      </w:r>
      <w:r w:rsidRPr="004A0212">
        <w:rPr>
          <w:rStyle w:val="StyleFootnoteReferenceFagoFunotenzeichenFagoFunotenzeichen"/>
        </w:rPr>
        <w:endnoteReference w:id="339"/>
      </w:r>
      <w:r w:rsidRPr="004A0212">
        <w:rPr>
          <w:vertAlign w:val="superscript"/>
        </w:rPr>
        <w:t xml:space="preserve"> </w:t>
      </w:r>
      <w:r w:rsidRPr="004A0212">
        <w:t xml:space="preserve">Both single parents and women leaving relationships benefited from the </w:t>
      </w:r>
      <w:r w:rsidRPr="004A0212">
        <w:rPr>
          <w:rStyle w:val="eop"/>
        </w:rPr>
        <w:t>DPB</w:t>
      </w:r>
      <w:r w:rsidRPr="004A0212">
        <w:t xml:space="preserve"> once it was introduced.</w:t>
      </w:r>
      <w:r w:rsidRPr="004A0212">
        <w:rPr>
          <w:vertAlign w:val="superscript"/>
        </w:rPr>
        <w:t xml:space="preserve"> </w:t>
      </w:r>
    </w:p>
    <w:p w14:paraId="3065F653" w14:textId="77777777" w:rsidR="000E6463" w:rsidRDefault="000E6463">
      <w:pPr>
        <w:keepLines w:val="0"/>
        <w:rPr>
          <w:rFonts w:ascii="Arial" w:eastAsia="Calibri" w:hAnsi="Arial" w:cs="Arial"/>
          <w:bCs/>
          <w:color w:val="222222"/>
          <w:sz w:val="22"/>
          <w:szCs w:val="22"/>
          <w:shd w:val="clear" w:color="auto" w:fill="FFFFFF"/>
        </w:rPr>
      </w:pPr>
      <w:r>
        <w:br w:type="page"/>
      </w:r>
    </w:p>
    <w:p w14:paraId="75B78E5D" w14:textId="229E5D17" w:rsidR="00FE4E56" w:rsidRPr="004A0212" w:rsidRDefault="00FE4E56" w:rsidP="007D73A6">
      <w:pPr>
        <w:pStyle w:val="AllNumbparas"/>
      </w:pPr>
      <w:r w:rsidRPr="004A0212">
        <w:lastRenderedPageBreak/>
        <w:t>These changes came out of the recommendations of the Royal Commission of Inquiry into Social Security. Established in 1969, the Commission reported back in 1972 with the core principle that the State should “ensure ... that everyone is able to enjoy a standard of living much like that of the rest of the community and thus is able to feel a sense of participation and belonging to the community”.</w:t>
      </w:r>
      <w:r w:rsidRPr="004A0212">
        <w:rPr>
          <w:rStyle w:val="StyleFootnoteReferenceFagoFunotenzeichenFagoFunotenzeichen"/>
        </w:rPr>
        <w:endnoteReference w:id="340"/>
      </w:r>
      <w:r w:rsidRPr="004A0212">
        <w:t xml:space="preserve"> Other changes included an increase in the Family Benefit from $3 to $6 a week,</w:t>
      </w:r>
      <w:r w:rsidRPr="004A0212">
        <w:rPr>
          <w:rStyle w:val="StyleFootnoteReferenceFagoFunotenzeichenFagoFunotenzeichen"/>
        </w:rPr>
        <w:endnoteReference w:id="341"/>
      </w:r>
      <w:r w:rsidRPr="004A0212">
        <w:t xml:space="preserve"> equivalent to around $80 in 2024.</w:t>
      </w:r>
      <w:r w:rsidRPr="004A0212">
        <w:rPr>
          <w:rStyle w:val="StyleFootnoteReferenceFagoFunotenzeichenFagoFunotenzeichen"/>
        </w:rPr>
        <w:endnoteReference w:id="342"/>
      </w:r>
    </w:p>
    <w:p w14:paraId="4FCA0E5B" w14:textId="77777777" w:rsidR="00FE4E56" w:rsidRPr="004A0212" w:rsidRDefault="00FE4E56" w:rsidP="00D6367F">
      <w:pPr>
        <w:pStyle w:val="Heading3"/>
        <w:rPr>
          <w:rFonts w:cs="Arial"/>
        </w:rPr>
      </w:pPr>
      <w:bookmarkStart w:id="408" w:name="_Toc64416865"/>
      <w:bookmarkStart w:id="409" w:name="_Toc150953466"/>
      <w:bookmarkStart w:id="410" w:name="_Toc181084884"/>
      <w:r w:rsidRPr="004A0212">
        <w:rPr>
          <w:rFonts w:cs="Arial"/>
        </w:rPr>
        <w:t>Ka whakauruhia he tautoko mō te hunga whaikaha</w:t>
      </w:r>
      <w:bookmarkEnd w:id="408"/>
      <w:bookmarkEnd w:id="410"/>
      <w:r w:rsidRPr="004A0212">
        <w:rPr>
          <w:rFonts w:cs="Arial"/>
        </w:rPr>
        <w:t xml:space="preserve"> </w:t>
      </w:r>
      <w:bookmarkEnd w:id="409"/>
    </w:p>
    <w:p w14:paraId="098D4C5F" w14:textId="463A9099" w:rsidR="00FE4E56" w:rsidRPr="004A0212" w:rsidRDefault="00FE4E56" w:rsidP="00D6367F">
      <w:pPr>
        <w:pStyle w:val="Heading3"/>
        <w:rPr>
          <w:rFonts w:cs="Arial"/>
        </w:rPr>
      </w:pPr>
      <w:bookmarkStart w:id="411" w:name="_Toc260035783"/>
      <w:bookmarkStart w:id="412" w:name="_Toc181084885"/>
      <w:r w:rsidRPr="004A0212">
        <w:rPr>
          <w:rFonts w:cs="Arial"/>
        </w:rPr>
        <w:t>Support for disabled people introduced</w:t>
      </w:r>
      <w:bookmarkEnd w:id="411"/>
      <w:bookmarkEnd w:id="412"/>
    </w:p>
    <w:p w14:paraId="1EAFA612" w14:textId="1FBF71DF" w:rsidR="00FE4E56" w:rsidRPr="004A0212" w:rsidRDefault="00FE4E56" w:rsidP="007D73A6">
      <w:pPr>
        <w:pStyle w:val="AllNumbparas"/>
      </w:pPr>
      <w:r w:rsidRPr="004A0212">
        <w:t xml:space="preserve">The 1967 Woodhouse Report, which had recommended a public insurance scheme for people with impairments, was the foundation for the passage of the Accident Compensation Act 1972 and the establishment of the Accident Compensation Commission (later Corporation), ACC, in 1974. The new ACC system removed an individual’s right to sue an individual or organisation </w:t>
      </w:r>
      <w:r w:rsidRPr="004A0212">
        <w:rPr>
          <w:color w:val="auto"/>
        </w:rPr>
        <w:t xml:space="preserve">in relation to injuries caused by accident </w:t>
      </w:r>
      <w:r w:rsidRPr="004A0212">
        <w:t xml:space="preserve">and replaced it with public funding for the costs of living and rehabilitation. </w:t>
      </w:r>
    </w:p>
    <w:p w14:paraId="6D080478" w14:textId="74E3FF88" w:rsidR="00FE4E56" w:rsidRPr="004A0212" w:rsidRDefault="00FE4E56" w:rsidP="00A83810">
      <w:pPr>
        <w:pStyle w:val="AllNumbparas"/>
        <w:rPr>
          <w:bCs w:val="0"/>
        </w:rPr>
      </w:pPr>
      <w:r w:rsidRPr="004A0212">
        <w:t>The ACC system only covered people whose impairment had been acquired by an accident or certain criminal acts. People who were congenitally Deaf or born with a disability were excluded.</w:t>
      </w:r>
      <w:r w:rsidRPr="004A0212">
        <w:rPr>
          <w:rStyle w:val="StyleFootnoteReferenceFagoFunotenzeichenFagoFunotenzeichen"/>
        </w:rPr>
        <w:endnoteReference w:id="343"/>
      </w:r>
      <w:r w:rsidRPr="004A0212">
        <w:t xml:space="preserve"> </w:t>
      </w:r>
    </w:p>
    <w:p w14:paraId="5D095808" w14:textId="2BC14F9E" w:rsidR="00FE4E56" w:rsidRPr="004A0212" w:rsidRDefault="00FE4E56" w:rsidP="007D73A6">
      <w:pPr>
        <w:pStyle w:val="AllNumbparas"/>
      </w:pPr>
      <w:r w:rsidRPr="004A0212">
        <w:t>The original recommendations in the Woodhouse Report were for the system to include support for people whose impairments did not result from an accident, and a later attempt was made to extend the scope of ACC.</w:t>
      </w:r>
      <w:r w:rsidRPr="004A0212">
        <w:rPr>
          <w:rStyle w:val="StyleFootnoteReferenceFagoFunotenzeichenFagoFunotenzeichen"/>
        </w:rPr>
        <w:endnoteReference w:id="344"/>
      </w:r>
      <w:r w:rsidRPr="004A0212">
        <w:t xml:space="preserve"> The system created ongoing inequities between people disabled by accident, and people with who acquired their disability in other ways, who were not covered by ACC.</w:t>
      </w:r>
      <w:r w:rsidRPr="004A0212">
        <w:rPr>
          <w:rStyle w:val="StyleFootnoteReferenceFagoFunotenzeichenFagoFunotenzeichen"/>
        </w:rPr>
        <w:endnoteReference w:id="345"/>
      </w:r>
      <w:r w:rsidRPr="004A0212">
        <w:t xml:space="preserve"> </w:t>
      </w:r>
    </w:p>
    <w:p w14:paraId="4A830D70" w14:textId="53DB2098" w:rsidR="00FE4E56" w:rsidRPr="004A0212" w:rsidRDefault="00FE4E56" w:rsidP="007D73A6">
      <w:pPr>
        <w:pStyle w:val="AllNumbparas"/>
      </w:pPr>
      <w:r w:rsidRPr="004A0212">
        <w:t>The Disabled Persons Community Welfare Act 1975 was introduced to further promote access to community-based supports and services for disabled people.</w:t>
      </w:r>
      <w:r w:rsidRPr="004A0212">
        <w:rPr>
          <w:rStyle w:val="StyleFootnoteReferenceFagoFunotenzeichenFagoFunotenzeichen"/>
        </w:rPr>
        <w:endnoteReference w:id="346"/>
      </w:r>
      <w:r w:rsidRPr="004A0212">
        <w:t xml:space="preserve"> It provided some support and assistance for disabled people not covered by ACC. </w:t>
      </w:r>
    </w:p>
    <w:p w14:paraId="4E9D4528" w14:textId="0412ADE6" w:rsidR="00FE4E56" w:rsidRPr="004A0212" w:rsidRDefault="00FE4E56" w:rsidP="007D73A6">
      <w:pPr>
        <w:pStyle w:val="AllNumbparas"/>
      </w:pPr>
      <w:r w:rsidRPr="004A0212">
        <w:t>It introduced accessible building standards and provided for home alterations, motor vehicle purchase and vehicle modification and other financial assistance. This was to increase accessibility for disabled people within the community. Under this regime, training facilities for people with learning disabilities and short-term care for disabled children were provided.</w:t>
      </w:r>
      <w:r w:rsidRPr="004A0212">
        <w:rPr>
          <w:rStyle w:val="StyleFootnoteReferenceFagoFunotenzeichenFagoFunotenzeichen"/>
        </w:rPr>
        <w:endnoteReference w:id="347"/>
      </w:r>
      <w:r w:rsidRPr="004A0212">
        <w:t xml:space="preserve"> </w:t>
      </w:r>
    </w:p>
    <w:p w14:paraId="442C77A1" w14:textId="77777777" w:rsidR="00FE4E56" w:rsidRPr="004A0212" w:rsidRDefault="00FE4E56" w:rsidP="00BA1007">
      <w:pPr>
        <w:pStyle w:val="AllNumbparas"/>
      </w:pPr>
      <w:r w:rsidRPr="004A0212">
        <w:t>A Handicapped Child Allowance was introduced in 1978 for people looking after children with a severe physical or mental disability. Initially set at $8 per week, it was later increased to $14.50 per week.</w:t>
      </w:r>
      <w:r w:rsidRPr="004A0212">
        <w:rPr>
          <w:rStyle w:val="StyleFootnoteReferenceFagoFunotenzeichenFagoFunotenzeichen"/>
        </w:rPr>
        <w:endnoteReference w:id="348"/>
      </w:r>
      <w:r w:rsidRPr="004A0212">
        <w:t xml:space="preserve"> </w:t>
      </w:r>
    </w:p>
    <w:p w14:paraId="1910CB6C" w14:textId="5BD12F6A" w:rsidR="00FE4E56" w:rsidRPr="004A0212" w:rsidRDefault="00FE4E56" w:rsidP="00BA1007">
      <w:pPr>
        <w:pStyle w:val="AllNumbparas"/>
      </w:pPr>
      <w:r w:rsidRPr="004A0212">
        <w:t>Despite these changes, many disabled people “had considerable difficulties in proving their eligibility to access services and other resources, and therefore were unable to access adequate supports to be able to fully participate in their community.”</w:t>
      </w:r>
      <w:r w:rsidRPr="004A0212">
        <w:rPr>
          <w:rStyle w:val="StyleFootnoteReferenceFagoFunotenzeichenFagoFunotenzeichen"/>
        </w:rPr>
        <w:endnoteReference w:id="349"/>
      </w:r>
    </w:p>
    <w:p w14:paraId="7A981E7D" w14:textId="77777777" w:rsidR="000E6463" w:rsidRDefault="000E6463">
      <w:pPr>
        <w:keepLines w:val="0"/>
        <w:rPr>
          <w:rFonts w:ascii="Arial" w:hAnsi="Arial" w:cs="Arial"/>
          <w:color w:val="3B5D1E" w:themeColor="accent4" w:themeShade="BF"/>
          <w:szCs w:val="26"/>
        </w:rPr>
      </w:pPr>
      <w:bookmarkStart w:id="413" w:name="_Toc948261518"/>
      <w:r>
        <w:rPr>
          <w:rFonts w:cs="Arial"/>
        </w:rPr>
        <w:br w:type="page"/>
      </w:r>
    </w:p>
    <w:p w14:paraId="1E36B92A" w14:textId="0A1FA20A" w:rsidR="00FE4E56" w:rsidRDefault="00FE4E56" w:rsidP="00D6367F">
      <w:pPr>
        <w:pStyle w:val="Heading3"/>
        <w:rPr>
          <w:rFonts w:cs="Arial"/>
        </w:rPr>
      </w:pPr>
      <w:bookmarkStart w:id="414" w:name="_Toc181084886"/>
      <w:r w:rsidRPr="004A0212">
        <w:rPr>
          <w:rFonts w:cs="Arial"/>
        </w:rPr>
        <w:lastRenderedPageBreak/>
        <w:t>Ngā whakahoutanga o ngā tau 1980</w:t>
      </w:r>
      <w:bookmarkEnd w:id="414"/>
    </w:p>
    <w:p w14:paraId="2152FCCD" w14:textId="77C47129" w:rsidR="00FE4E56" w:rsidRPr="004A0212" w:rsidRDefault="00FE4E56" w:rsidP="00D6367F">
      <w:pPr>
        <w:pStyle w:val="Heading3"/>
        <w:rPr>
          <w:rFonts w:cs="Arial"/>
        </w:rPr>
      </w:pPr>
      <w:bookmarkStart w:id="415" w:name="_Toc181084887"/>
      <w:r w:rsidRPr="004A0212">
        <w:rPr>
          <w:rFonts w:cs="Arial"/>
        </w:rPr>
        <w:t>1980s reforms</w:t>
      </w:r>
      <w:bookmarkEnd w:id="413"/>
      <w:bookmarkEnd w:id="415"/>
    </w:p>
    <w:p w14:paraId="4568303C" w14:textId="5D96A3AB" w:rsidR="00FE4E56" w:rsidRPr="004A0212" w:rsidRDefault="00FE4E56" w:rsidP="007F55CE">
      <w:pPr>
        <w:pStyle w:val="AllNumbparas"/>
        <w:rPr>
          <w:rStyle w:val="normaltextrun"/>
          <w:color w:val="000000" w:themeColor="text1"/>
        </w:rPr>
      </w:pPr>
      <w:r w:rsidRPr="004A0212">
        <w:rPr>
          <w:rStyle w:val="normaltextrun"/>
          <w:color w:val="000000" w:themeColor="text1"/>
        </w:rPr>
        <w:t>In 1984 the new Labour Government began restructuring the economy and transforming how the State sector was run. This restructure was influenced by neoliberal ideas and was an attempt to address long-standing issues with the structure and performance of Aotearoa New Zealand’s economy.</w:t>
      </w:r>
      <w:r w:rsidRPr="004A0212">
        <w:rPr>
          <w:rStyle w:val="StyleFootnoteReferenceFagoFunotenzeichenFagoFunotenzeichen"/>
        </w:rPr>
        <w:endnoteReference w:id="350"/>
      </w:r>
    </w:p>
    <w:p w14:paraId="112CF404" w14:textId="426CEEF9" w:rsidR="00FE4E56" w:rsidRPr="004A0212" w:rsidRDefault="00FE4E56" w:rsidP="007F55CE">
      <w:pPr>
        <w:pStyle w:val="AllNumbparas"/>
        <w:rPr>
          <w:rStyle w:val="eop"/>
        </w:rPr>
      </w:pPr>
      <w:r w:rsidRPr="004A0212">
        <w:rPr>
          <w:rStyle w:val="eop"/>
        </w:rPr>
        <w:t>The restructure had an immediate social effect. State sector restructuring alone added 40,000 unemployed to the benefit queue, while major manufacturing industries such as forestry declined by 67 percent.</w:t>
      </w:r>
      <w:r w:rsidRPr="004A0212">
        <w:rPr>
          <w:rStyle w:val="StyleFootnoteReferenceFagoFunotenzeichenFagoFunotenzeichen"/>
        </w:rPr>
        <w:endnoteReference w:id="351"/>
      </w:r>
    </w:p>
    <w:p w14:paraId="6288ECF8" w14:textId="30059AD8" w:rsidR="00FE4E56" w:rsidRPr="004A0212" w:rsidRDefault="00FE4E56" w:rsidP="007D73A6">
      <w:pPr>
        <w:pStyle w:val="AllNumbparas"/>
        <w:rPr>
          <w:rStyle w:val="eop"/>
        </w:rPr>
      </w:pPr>
      <w:r w:rsidRPr="004A0212">
        <w:rPr>
          <w:rStyle w:val="eop"/>
        </w:rPr>
        <w:t>All of this had a disproportionately negative impact on social and economic outcomes for Māori and Pacific Peoples.</w:t>
      </w:r>
      <w:r w:rsidRPr="004A0212">
        <w:rPr>
          <w:rStyle w:val="StyleFootnoteReferenceFagoFunotenzeichenFagoFunotenzeichen"/>
        </w:rPr>
        <w:endnoteReference w:id="352"/>
      </w:r>
      <w:r w:rsidRPr="004A0212">
        <w:t xml:space="preserve"> </w:t>
      </w:r>
      <w:r w:rsidRPr="004A0212">
        <w:rPr>
          <w:rStyle w:val="eop"/>
        </w:rPr>
        <w:t>Māori have been described as the “shock absorbers” of these reforms, bearing the brunt as many worked in the industries most affected by the economic restructure as well as government jobs in forestry, the post office and the railways that were disestablished in the restructures.</w:t>
      </w:r>
      <w:r w:rsidRPr="004A0212">
        <w:rPr>
          <w:rStyle w:val="StyleFootnoteReferenceFagoFunotenzeichenFagoFunotenzeichen"/>
        </w:rPr>
        <w:endnoteReference w:id="353"/>
      </w:r>
      <w:r w:rsidRPr="004A0212">
        <w:rPr>
          <w:rStyle w:val="eop"/>
        </w:rPr>
        <w:t xml:space="preserve"> The resulting unemployment levels for Māori increased educational, health and socioeconomic disparities between Māori and non-Māori.</w:t>
      </w:r>
      <w:r w:rsidRPr="004A0212">
        <w:rPr>
          <w:rStyle w:val="StyleFootnoteReferenceFagoFunotenzeichenFagoFunotenzeichen"/>
        </w:rPr>
        <w:endnoteReference w:id="354"/>
      </w:r>
      <w:r w:rsidRPr="004A0212">
        <w:rPr>
          <w:rStyle w:val="eop"/>
        </w:rPr>
        <w:t xml:space="preserve"> It also made them more likely to experience State intervention in their family life.</w:t>
      </w:r>
      <w:r w:rsidRPr="004A0212">
        <w:rPr>
          <w:rStyle w:val="StyleFootnoteReferenceFagoFunotenzeichenFagoFunotenzeichen"/>
        </w:rPr>
        <w:endnoteReference w:id="355"/>
      </w:r>
      <w:r w:rsidRPr="004A0212">
        <w:rPr>
          <w:rStyle w:val="eop"/>
        </w:rPr>
        <w:t xml:space="preserve">  There was a corresponding negative impact social and economic outcomes for Pacific </w:t>
      </w:r>
      <w:r>
        <w:rPr>
          <w:rStyle w:val="eop"/>
        </w:rPr>
        <w:t>P</w:t>
      </w:r>
      <w:r w:rsidRPr="004A0212">
        <w:rPr>
          <w:rStyle w:val="eop"/>
        </w:rPr>
        <w:t>eople</w:t>
      </w:r>
      <w:r>
        <w:rPr>
          <w:rStyle w:val="eop"/>
        </w:rPr>
        <w:t>s</w:t>
      </w:r>
      <w:r w:rsidRPr="004A0212">
        <w:rPr>
          <w:rStyle w:val="eop"/>
        </w:rPr>
        <w:t>.</w:t>
      </w:r>
    </w:p>
    <w:p w14:paraId="35381639" w14:textId="77777777" w:rsidR="00FE4E56" w:rsidRPr="004A0212" w:rsidRDefault="00FE4E56" w:rsidP="00D6367F">
      <w:pPr>
        <w:pStyle w:val="Heading3"/>
        <w:rPr>
          <w:rFonts w:cs="Arial"/>
        </w:rPr>
      </w:pPr>
      <w:bookmarkStart w:id="416" w:name="_Toc89875136"/>
      <w:bookmarkStart w:id="417" w:name="_Toc147935403"/>
      <w:bookmarkStart w:id="418" w:name="_Toc148443584"/>
      <w:bookmarkStart w:id="419" w:name="_Toc150933155"/>
      <w:bookmarkStart w:id="420" w:name="_Toc150953473"/>
      <w:bookmarkStart w:id="421" w:name="_Toc150953467"/>
      <w:bookmarkStart w:id="422" w:name="_Toc181084888"/>
      <w:r w:rsidRPr="004A0212">
        <w:rPr>
          <w:rFonts w:cs="Arial"/>
        </w:rPr>
        <w:t>Ngā awenga o te paheketanga ōhanga i ngā tau 1990</w:t>
      </w:r>
      <w:bookmarkEnd w:id="416"/>
      <w:bookmarkEnd w:id="422"/>
      <w:r w:rsidRPr="004A0212">
        <w:rPr>
          <w:rFonts w:cs="Arial"/>
        </w:rPr>
        <w:t xml:space="preserve"> </w:t>
      </w:r>
    </w:p>
    <w:p w14:paraId="5CE7066D" w14:textId="165E282D" w:rsidR="00FE4E56" w:rsidRPr="004A0212" w:rsidRDefault="00FE4E56" w:rsidP="00D6367F">
      <w:pPr>
        <w:pStyle w:val="Heading3"/>
        <w:rPr>
          <w:rFonts w:cs="Arial"/>
        </w:rPr>
      </w:pPr>
      <w:bookmarkStart w:id="423" w:name="_Toc2135288591"/>
      <w:bookmarkStart w:id="424" w:name="_Toc181084889"/>
      <w:r w:rsidRPr="004A0212">
        <w:rPr>
          <w:rFonts w:cs="Arial"/>
        </w:rPr>
        <w:t>Impacts of recession</w:t>
      </w:r>
      <w:bookmarkEnd w:id="417"/>
      <w:r w:rsidRPr="004A0212">
        <w:rPr>
          <w:rFonts w:cs="Arial"/>
        </w:rPr>
        <w:t xml:space="preserve"> in the 1990s</w:t>
      </w:r>
      <w:bookmarkEnd w:id="418"/>
      <w:bookmarkEnd w:id="419"/>
      <w:bookmarkEnd w:id="420"/>
      <w:bookmarkEnd w:id="423"/>
      <w:bookmarkEnd w:id="424"/>
    </w:p>
    <w:p w14:paraId="3971162C" w14:textId="7E979056" w:rsidR="00FE4E56" w:rsidRPr="004A0212" w:rsidRDefault="00FE4E56" w:rsidP="007D73A6">
      <w:pPr>
        <w:pStyle w:val="AllNumbparas"/>
        <w:rPr>
          <w:rFonts w:eastAsia="Segoe UI"/>
          <w:color w:val="333333"/>
          <w:sz w:val="18"/>
          <w:szCs w:val="18"/>
        </w:rPr>
      </w:pPr>
      <w:r w:rsidRPr="004A0212">
        <w:t>The economic reforms begun in 1984 under the fourth Labour Government and continued into the 1990s under the fourth National Government. In 1991, the State began a programme of economic and welfare reform.</w:t>
      </w:r>
      <w:r w:rsidRPr="004A0212">
        <w:rPr>
          <w:rStyle w:val="StyleFootnoteReferenceFagoFunotenzeichenFagoFunotenzeichen"/>
        </w:rPr>
        <w:endnoteReference w:id="356"/>
      </w:r>
      <w:r w:rsidRPr="004A0212">
        <w:t xml:space="preserve"> This negatively impacted all children and young people, but disproportionately affected Māori and Pacific children and young people.</w:t>
      </w:r>
      <w:r w:rsidRPr="004A0212">
        <w:rPr>
          <w:rStyle w:val="StyleFootnoteReferenceFagoFunotenzeichenFagoFunotenzeichen"/>
        </w:rPr>
        <w:endnoteReference w:id="357"/>
      </w:r>
    </w:p>
    <w:p w14:paraId="04D5D9FF" w14:textId="7593DFA2" w:rsidR="00FE4E56" w:rsidRPr="004A0212" w:rsidRDefault="00FE4E56" w:rsidP="007D73A6">
      <w:pPr>
        <w:pStyle w:val="AllNumbparas"/>
      </w:pPr>
      <w:r w:rsidRPr="004A0212">
        <w:t>The reforms increased unemployment and widened the gap between rich and poor. From the mid-1980s to mid-2000s, the increase in inequality in Aotearoa New Zealand was the greatest recorded anywhere in the developed world.</w:t>
      </w:r>
      <w:r w:rsidRPr="004A0212">
        <w:rPr>
          <w:rStyle w:val="StyleFootnoteReferenceFagoFunotenzeichenFagoFunotenzeichen"/>
        </w:rPr>
        <w:endnoteReference w:id="358"/>
      </w:r>
    </w:p>
    <w:p w14:paraId="548A01CF" w14:textId="13A4F6F7" w:rsidR="00FE4E56" w:rsidRPr="004A0212" w:rsidRDefault="00FE4E56" w:rsidP="00282055">
      <w:pPr>
        <w:pStyle w:val="Heading2"/>
      </w:pPr>
      <w:bookmarkStart w:id="425" w:name="_Toc614990353"/>
      <w:bookmarkStart w:id="426" w:name="_Toc181084890"/>
      <w:bookmarkEnd w:id="421"/>
      <w:r w:rsidRPr="004A0212">
        <w:t>K</w:t>
      </w:r>
      <w:r w:rsidRPr="000C0692">
        <w:t>a kapi</w:t>
      </w:r>
      <w:r w:rsidRPr="004A0212">
        <w:t xml:space="preserve"> haere ngā whare hauora hinengaro,hauora hinengaro tamariki</w:t>
      </w:r>
      <w:bookmarkEnd w:id="425"/>
      <w:r w:rsidRPr="004A0212">
        <w:t xml:space="preserve"> hoki</w:t>
      </w:r>
      <w:bookmarkEnd w:id="426"/>
    </w:p>
    <w:p w14:paraId="0CFDE108" w14:textId="4A55B192" w:rsidR="00FE4E56" w:rsidRPr="004A0212" w:rsidRDefault="00FE4E56" w:rsidP="00282055">
      <w:pPr>
        <w:pStyle w:val="Heading2"/>
      </w:pPr>
      <w:bookmarkStart w:id="427" w:name="_Toc162166504"/>
      <w:bookmarkStart w:id="428" w:name="_Toc181084891"/>
      <w:r w:rsidRPr="004A0212">
        <w:t>Psychiatric and psychopaedic hospitals begin to close</w:t>
      </w:r>
      <w:bookmarkEnd w:id="427"/>
      <w:bookmarkEnd w:id="428"/>
      <w:r w:rsidRPr="004A0212">
        <w:t xml:space="preserve"> </w:t>
      </w:r>
    </w:p>
    <w:p w14:paraId="66B286D6" w14:textId="536E2448" w:rsidR="00FE4E56" w:rsidRPr="004A0212" w:rsidRDefault="00FE4E56" w:rsidP="007D73A6">
      <w:pPr>
        <w:pStyle w:val="AllNumbparas"/>
        <w:rPr>
          <w:rStyle w:val="normaltextrun"/>
          <w:color w:val="000000" w:themeColor="text1"/>
        </w:rPr>
      </w:pPr>
      <w:r w:rsidRPr="004A0212">
        <w:rPr>
          <w:rStyle w:val="normaltextrun"/>
          <w:color w:val="000000" w:themeColor="text1"/>
        </w:rPr>
        <w:t>The Mental Health Foundation was established in 1977, at a time when mental distress was not generally spoken about openly.  The Foundation had its roots in the belief that early developmental experiences are critical to people’s lifelong mental health and was formed to promote the mental health and wellbeing of all New Zealanders.</w:t>
      </w:r>
      <w:r w:rsidRPr="004A0212">
        <w:rPr>
          <w:rStyle w:val="StyleFootnoteReferenceFagoFunotenzeichenFagoFunotenzeichen"/>
        </w:rPr>
        <w:endnoteReference w:id="359"/>
      </w:r>
    </w:p>
    <w:p w14:paraId="58B62E54" w14:textId="77777777" w:rsidR="00BF26F3" w:rsidRDefault="00BF26F3">
      <w:pPr>
        <w:keepLines w:val="0"/>
        <w:rPr>
          <w:rFonts w:ascii="Arial" w:eastAsia="Calibri" w:hAnsi="Arial" w:cs="Arial"/>
          <w:bCs/>
          <w:color w:val="222222"/>
          <w:sz w:val="22"/>
          <w:szCs w:val="22"/>
          <w:shd w:val="clear" w:color="auto" w:fill="FFFFFF"/>
        </w:rPr>
      </w:pPr>
      <w:r>
        <w:br w:type="page"/>
      </w:r>
    </w:p>
    <w:p w14:paraId="1734C639" w14:textId="1F5D4895" w:rsidR="00FE4E56" w:rsidRPr="004A0212" w:rsidRDefault="00FE4E56" w:rsidP="007D73A6">
      <w:pPr>
        <w:pStyle w:val="AllNumbparas"/>
      </w:pPr>
      <w:r w:rsidRPr="004A0212">
        <w:lastRenderedPageBreak/>
        <w:t>The public’s fear of mental distress continued throughout the 1980s and 1990s. The 1988 Mason Report stated that:</w:t>
      </w:r>
    </w:p>
    <w:p w14:paraId="1FA018F0" w14:textId="298FE0A4" w:rsidR="00FE4E56" w:rsidRPr="004A0212" w:rsidRDefault="00FE4E56" w:rsidP="004071A1">
      <w:pPr>
        <w:pStyle w:val="AllQuotes"/>
        <w:rPr>
          <w:rFonts w:eastAsia="Calibri" w:cs="Arial"/>
          <w:bCs/>
          <w:color w:val="222222"/>
          <w:szCs w:val="22"/>
          <w:shd w:val="clear" w:color="auto" w:fill="FFFFFF"/>
        </w:rPr>
      </w:pPr>
      <w:r w:rsidRPr="004A0212">
        <w:rPr>
          <w:rFonts w:cs="Arial"/>
        </w:rPr>
        <w:t>“The general population appears to have a very distorted image of psychiatric patients. This image is influenced by a lack of education and knowledge of the major psychiatric disorders and a misconception that psychiatric illness is inextricably linked with dangerousness.”</w:t>
      </w:r>
      <w:r w:rsidRPr="004A0212">
        <w:rPr>
          <w:rStyle w:val="StyleFootnoteReferenceFagoFunotenzeichenFagoFunotenzeichen"/>
        </w:rPr>
        <w:endnoteReference w:id="360"/>
      </w:r>
      <w:r w:rsidRPr="004A0212">
        <w:rPr>
          <w:rFonts w:cs="Arial"/>
        </w:rPr>
        <w:t xml:space="preserve"> </w:t>
      </w:r>
    </w:p>
    <w:p w14:paraId="03DBBEE3" w14:textId="62E105A5" w:rsidR="00FE4E56" w:rsidRPr="004A0212" w:rsidRDefault="00FE4E56" w:rsidP="007D73A6">
      <w:pPr>
        <w:pStyle w:val="AllNumbparas"/>
      </w:pPr>
      <w:r w:rsidRPr="004A0212">
        <w:t>The 1980s and 1990s also featured increased recognition of the lack of appropriate care and resourcing for people who experienced mental distress. including inquiries into the mental health system in the mid-1980s and 1990s.</w:t>
      </w:r>
      <w:r w:rsidRPr="004A0212">
        <w:rPr>
          <w:rStyle w:val="StyleFootnoteReferenceFagoFunotenzeichenFagoFunotenzeichen"/>
        </w:rPr>
        <w:endnoteReference w:id="361"/>
      </w:r>
      <w:r w:rsidRPr="004A0212">
        <w:t xml:space="preserve"> </w:t>
      </w:r>
    </w:p>
    <w:p w14:paraId="2036AAE9" w14:textId="0A27775A" w:rsidR="00FE4E56" w:rsidRPr="004A0212" w:rsidRDefault="00FE4E56" w:rsidP="007D73A6">
      <w:pPr>
        <w:pStyle w:val="AllNumbparas"/>
      </w:pPr>
      <w:r w:rsidRPr="004A0212">
        <w:t>The Mental Health Act 1992 provided a new definition of mental disorder and set out patients’ rights and processes, reviews and inquiries to protect them.</w:t>
      </w:r>
      <w:r w:rsidRPr="004A0212">
        <w:rPr>
          <w:rStyle w:val="StyleFootnoteReferenceFagoFunotenzeichenFagoFunotenzeichen"/>
        </w:rPr>
        <w:endnoteReference w:id="362"/>
      </w:r>
      <w:r w:rsidRPr="004A0212">
        <w:t xml:space="preserve"> The intent was to provide compulsory treatment in the least intrusive and restrictive </w:t>
      </w:r>
      <w:r w:rsidRPr="004A0212" w:rsidDel="00884A50">
        <w:t>way</w:t>
      </w:r>
      <w:r w:rsidRPr="004A0212">
        <w:t>, but medical professionals could still require compulsory treatment and incarceration.</w:t>
      </w:r>
    </w:p>
    <w:p w14:paraId="6C477912" w14:textId="2281BB21" w:rsidR="00FE4E56" w:rsidRPr="004A0212" w:rsidRDefault="00FE4E56" w:rsidP="007D73A6">
      <w:pPr>
        <w:pStyle w:val="AllNumbparas"/>
      </w:pPr>
      <w:r w:rsidRPr="004A0212">
        <w:t>The State set up an Inquiry in 1995 to investigate serious shortcomings in the mental health system. The resulting second Mason Report was released in 1996 and highlighted issues with funding, discrimination and the workforce.</w:t>
      </w:r>
      <w:r w:rsidRPr="004A0212">
        <w:rPr>
          <w:rStyle w:val="StyleFootnoteReferenceFagoFunotenzeichenFagoFunotenzeichen"/>
        </w:rPr>
        <w:endnoteReference w:id="363"/>
      </w:r>
      <w:r w:rsidRPr="004A0212">
        <w:t xml:space="preserve"> </w:t>
      </w:r>
    </w:p>
    <w:p w14:paraId="75E954C0" w14:textId="634BBB23" w:rsidR="00FE4E56" w:rsidRPr="004A0212" w:rsidRDefault="00FE4E56" w:rsidP="00BC1440">
      <w:pPr>
        <w:pStyle w:val="AllQuotes"/>
        <w:rPr>
          <w:rFonts w:cs="Arial"/>
        </w:rPr>
      </w:pPr>
      <w:r w:rsidRPr="004A0212">
        <w:rPr>
          <w:rFonts w:cs="Arial"/>
        </w:rPr>
        <w:t>“The Mental Health strategy is basically a fairly good document, but it has no legs. If it remains standing still it is nothing more than a vision statement.”</w:t>
      </w:r>
      <w:r w:rsidRPr="004A0212">
        <w:rPr>
          <w:rStyle w:val="StyleFootnoteReferenceFagoFunotenzeichenFagoFunotenzeichen"/>
        </w:rPr>
        <w:endnoteReference w:id="364"/>
      </w:r>
    </w:p>
    <w:p w14:paraId="4F8EA5E1" w14:textId="1FA7AA73" w:rsidR="00FE4E56" w:rsidRPr="004A0212" w:rsidRDefault="00FE4E56" w:rsidP="007D73A6">
      <w:pPr>
        <w:pStyle w:val="AllNumbparas"/>
      </w:pPr>
      <w:r w:rsidRPr="004A0212">
        <w:t>Following the second Mason Report, the Mental Health Commission was established in 1996 and the State increased funding for community mental health support services. The Mason Report advised that the Mental Health Commission should be a single organisation responsible for mental health planning, including policy, purchases and service provision.</w:t>
      </w:r>
      <w:r w:rsidRPr="004A0212">
        <w:rPr>
          <w:rStyle w:val="StyleFootnoteReferenceFagoFunotenzeichenFagoFunotenzeichen"/>
        </w:rPr>
        <w:endnoteReference w:id="365"/>
      </w:r>
    </w:p>
    <w:p w14:paraId="2E7E8799" w14:textId="6722C3B2" w:rsidR="00FE4E56" w:rsidRPr="004A0212" w:rsidRDefault="00FE4E56" w:rsidP="007D73A6">
      <w:pPr>
        <w:pStyle w:val="AllNumbparas"/>
      </w:pPr>
      <w:r w:rsidRPr="004A0212">
        <w:t>The State did not implement this advice but tasked the Commission to monitor the national mental health strategy. The Mason Report’s support for an anti-stigma campaign led to the establishment of the Like Minds – Like Mine programme in 1997.</w:t>
      </w:r>
      <w:r w:rsidRPr="004A0212">
        <w:rPr>
          <w:rStyle w:val="StyleFootnoteReferenceFagoFunotenzeichenFagoFunotenzeichen"/>
        </w:rPr>
        <w:endnoteReference w:id="366"/>
      </w:r>
      <w:r w:rsidRPr="004A0212">
        <w:t xml:space="preserve"> </w:t>
      </w:r>
    </w:p>
    <w:p w14:paraId="270FDC2D" w14:textId="33442388" w:rsidR="00FE4E56" w:rsidRPr="004A0212" w:rsidRDefault="00FE4E56" w:rsidP="007F55CE">
      <w:pPr>
        <w:pStyle w:val="Numbparas"/>
      </w:pPr>
      <w:r w:rsidRPr="004A0212">
        <w:rPr>
          <w:rStyle w:val="normaltextrun"/>
          <w:rFonts w:cs="Calibri"/>
          <w:color w:val="000000" w:themeColor="text1"/>
        </w:rPr>
        <w:t>From the 1970s to the 1990s, large scale institutions were slowly replaced with smaller group settings.</w:t>
      </w:r>
      <w:r w:rsidRPr="004A0212">
        <w:rPr>
          <w:rFonts w:asciiTheme="minorHAnsi" w:hAnsiTheme="minorHAnsi" w:cstheme="minorBidi"/>
        </w:rPr>
        <w:t xml:space="preserve"> </w:t>
      </w:r>
      <w:r w:rsidRPr="004A0212">
        <w:t xml:space="preserve">By 1996, almost all psychopaedic and psychiatric hospitals had closed. </w:t>
      </w:r>
    </w:p>
    <w:p w14:paraId="26F5717D" w14:textId="5BE97A90" w:rsidR="00FE4E56" w:rsidRPr="004A0212" w:rsidRDefault="00FE4E56" w:rsidP="007D73A6">
      <w:pPr>
        <w:pStyle w:val="AllNumbparas"/>
      </w:pPr>
      <w:r w:rsidRPr="004A0212">
        <w:t>By the early 1990s, IHC was providing residential and other forms of disability support to 10,500 adults with learning disabilities.</w:t>
      </w:r>
      <w:r w:rsidRPr="004A0212">
        <w:rPr>
          <w:rStyle w:val="StyleFootnoteReferenceFagoFunotenzeichenFagoFunotenzeichen"/>
        </w:rPr>
        <w:endnoteReference w:id="367"/>
      </w:r>
    </w:p>
    <w:p w14:paraId="0DAFF521" w14:textId="4084EC66" w:rsidR="00FE4E56" w:rsidRPr="004A0212" w:rsidRDefault="00FE4E56" w:rsidP="007D73A6">
      <w:pPr>
        <w:pStyle w:val="AllNumbparas"/>
      </w:pPr>
      <w:r w:rsidRPr="004A0212">
        <w:t>Mental health services were largely devolved to a range of outpatient services and community providers.</w:t>
      </w:r>
      <w:r w:rsidRPr="004A0212">
        <w:rPr>
          <w:rStyle w:val="StyleFootnoteReferenceFagoFunotenzeichenFagoFunotenzeichen"/>
        </w:rPr>
        <w:endnoteReference w:id="368"/>
      </w:r>
    </w:p>
    <w:p w14:paraId="0BDEB6A9" w14:textId="704388ED" w:rsidR="00FE4E56" w:rsidRPr="004A0212" w:rsidRDefault="00FE4E56" w:rsidP="00191704">
      <w:pPr>
        <w:pStyle w:val="AllNumbparas"/>
      </w:pPr>
      <w:r w:rsidRPr="004A0212">
        <w:t>Despite shifting towards smaller scale care, many of the same issues experienced in large institutions were the same in these new care settings, including a regimented routine, isolation, discrimination, disablism, ableism and a lack of self-determination.</w:t>
      </w:r>
    </w:p>
    <w:p w14:paraId="6973CCC6" w14:textId="6C4662D3" w:rsidR="00FE4E56" w:rsidRDefault="00FE4E56">
      <w:pPr>
        <w:keepLines w:val="0"/>
        <w:rPr>
          <w:rFonts w:ascii="Arial" w:eastAsia="Calibri" w:hAnsi="Arial" w:cs="Arial"/>
          <w:bCs/>
          <w:color w:val="222222"/>
          <w:sz w:val="22"/>
          <w:szCs w:val="22"/>
          <w:shd w:val="clear" w:color="auto" w:fill="FFFFFF"/>
        </w:rPr>
      </w:pPr>
      <w:r>
        <w:br w:type="page"/>
      </w:r>
    </w:p>
    <w:p w14:paraId="634A2A9E" w14:textId="77777777" w:rsidR="00FE4E56" w:rsidRDefault="00FE4E56" w:rsidP="00584310">
      <w:pPr>
        <w:pStyle w:val="Numbparas"/>
        <w:numPr>
          <w:ilvl w:val="0"/>
          <w:numId w:val="0"/>
        </w:numPr>
        <w:ind w:left="851"/>
      </w:pPr>
    </w:p>
    <w:p w14:paraId="236B6996" w14:textId="677E0ADE" w:rsidR="00FE4E56" w:rsidRPr="00571526" w:rsidRDefault="00FE4E56" w:rsidP="00584310">
      <w:pPr>
        <w:pStyle w:val="Numbparas"/>
        <w:numPr>
          <w:ilvl w:val="0"/>
          <w:numId w:val="0"/>
        </w:numPr>
        <w:ind w:left="851"/>
      </w:pPr>
      <w:r w:rsidRPr="00571526">
        <w:t>[survivor quote]</w:t>
      </w:r>
    </w:p>
    <w:p w14:paraId="7801A371" w14:textId="7B5E51A8" w:rsidR="00FE4E56" w:rsidRPr="00DD3824" w:rsidRDefault="00FE4E56" w:rsidP="000F1515">
      <w:pPr>
        <w:pStyle w:val="AllQuotes"/>
        <w:rPr>
          <w:b/>
        </w:rPr>
      </w:pPr>
      <w:r w:rsidRPr="00DD3824">
        <w:rPr>
          <w:b/>
        </w:rPr>
        <w:t>“Brother Michael put his</w:t>
      </w:r>
      <w:r>
        <w:rPr>
          <w:b/>
        </w:rPr>
        <w:t xml:space="preserve"> </w:t>
      </w:r>
      <w:r w:rsidRPr="00DD3824">
        <w:rPr>
          <w:b/>
        </w:rPr>
        <w:t>arm around my shoulder and</w:t>
      </w:r>
      <w:r>
        <w:rPr>
          <w:b/>
        </w:rPr>
        <w:t xml:space="preserve"> </w:t>
      </w:r>
      <w:r w:rsidRPr="00DD3824">
        <w:rPr>
          <w:b/>
        </w:rPr>
        <w:t>pulled me in close. When everyone</w:t>
      </w:r>
      <w:r>
        <w:rPr>
          <w:b/>
        </w:rPr>
        <w:t xml:space="preserve"> </w:t>
      </w:r>
      <w:r w:rsidRPr="00DD3824">
        <w:rPr>
          <w:b/>
        </w:rPr>
        <w:t>had closed their eyes and started</w:t>
      </w:r>
      <w:r>
        <w:rPr>
          <w:b/>
        </w:rPr>
        <w:t xml:space="preserve"> </w:t>
      </w:r>
      <w:r w:rsidRPr="00DD3824">
        <w:rPr>
          <w:b/>
        </w:rPr>
        <w:t>to pray the rosary, he slid his hand</w:t>
      </w:r>
      <w:r>
        <w:rPr>
          <w:b/>
        </w:rPr>
        <w:t xml:space="preserve"> </w:t>
      </w:r>
      <w:r w:rsidRPr="00DD3824">
        <w:rPr>
          <w:b/>
        </w:rPr>
        <w:t>through the back of my pyjamas…I took</w:t>
      </w:r>
      <w:r>
        <w:rPr>
          <w:b/>
        </w:rPr>
        <w:t xml:space="preserve"> </w:t>
      </w:r>
      <w:r w:rsidRPr="00DD3824">
        <w:rPr>
          <w:b/>
        </w:rPr>
        <w:t>on this abuse and internalised it as</w:t>
      </w:r>
      <w:r>
        <w:rPr>
          <w:b/>
        </w:rPr>
        <w:t xml:space="preserve"> </w:t>
      </w:r>
      <w:r w:rsidRPr="00DD3824">
        <w:rPr>
          <w:b/>
        </w:rPr>
        <w:t>something I had done wrong.”</w:t>
      </w:r>
    </w:p>
    <w:p w14:paraId="71E81936" w14:textId="495AA008" w:rsidR="00FE4E56" w:rsidRPr="00DD3824" w:rsidRDefault="00FE4E56" w:rsidP="00DD3824">
      <w:pPr>
        <w:pStyle w:val="AllQuotes"/>
        <w:rPr>
          <w:b/>
        </w:rPr>
      </w:pPr>
      <w:r w:rsidRPr="00DD3824">
        <w:rPr>
          <w:b/>
        </w:rPr>
        <w:t>L</w:t>
      </w:r>
      <w:r>
        <w:rPr>
          <w:b/>
        </w:rPr>
        <w:t xml:space="preserve">eonie </w:t>
      </w:r>
      <w:r w:rsidRPr="00DD3824">
        <w:rPr>
          <w:b/>
        </w:rPr>
        <w:t>J</w:t>
      </w:r>
      <w:r>
        <w:rPr>
          <w:b/>
        </w:rPr>
        <w:t>ackson</w:t>
      </w:r>
    </w:p>
    <w:p w14:paraId="7599BCA6" w14:textId="77777777" w:rsidR="00FE4E56" w:rsidRDefault="00FE4E56" w:rsidP="00DD3824">
      <w:pPr>
        <w:pStyle w:val="AllQuotes"/>
        <w:rPr>
          <w:b/>
        </w:rPr>
      </w:pPr>
      <w:r w:rsidRPr="00DD3824">
        <w:rPr>
          <w:b/>
        </w:rPr>
        <w:t>Survivor</w:t>
      </w:r>
    </w:p>
    <w:p w14:paraId="69E8CF73" w14:textId="77777777" w:rsidR="00FE4E56" w:rsidRPr="004A0212" w:rsidRDefault="00FE4E56" w:rsidP="00584310">
      <w:pPr>
        <w:pStyle w:val="AllNumbparas"/>
        <w:numPr>
          <w:ilvl w:val="0"/>
          <w:numId w:val="0"/>
        </w:numPr>
        <w:ind w:left="851" w:hanging="851"/>
      </w:pPr>
    </w:p>
    <w:p w14:paraId="56441B3B" w14:textId="713A2877" w:rsidR="00FE4E56" w:rsidRPr="004A0212" w:rsidRDefault="00FE4E56" w:rsidP="00282055">
      <w:pPr>
        <w:pStyle w:val="Heading2"/>
      </w:pPr>
      <w:bookmarkStart w:id="429" w:name="_Toc410094406"/>
      <w:bookmarkStart w:id="430" w:name="_Toc181084892"/>
      <w:r w:rsidRPr="004A0212">
        <w:t xml:space="preserve">Ka piki te aroā ki te whanaketanga </w:t>
      </w:r>
      <w:r w:rsidRPr="000C0692">
        <w:t>me</w:t>
      </w:r>
      <w:r w:rsidRPr="004A0212">
        <w:t xml:space="preserve"> te tūkinotanga tamarik</w:t>
      </w:r>
      <w:bookmarkStart w:id="431" w:name="_Toc150933150"/>
      <w:bookmarkStart w:id="432" w:name="_Toc150953468"/>
      <w:r w:rsidRPr="004A0212">
        <w:t>i</w:t>
      </w:r>
      <w:bookmarkEnd w:id="429"/>
      <w:bookmarkEnd w:id="430"/>
    </w:p>
    <w:p w14:paraId="7833392F" w14:textId="2C4460D8" w:rsidR="00FE4E56" w:rsidRPr="004A0212" w:rsidRDefault="00FE4E56" w:rsidP="00282055">
      <w:pPr>
        <w:pStyle w:val="Heading2"/>
      </w:pPr>
      <w:bookmarkStart w:id="433" w:name="_Toc854484898"/>
      <w:bookmarkStart w:id="434" w:name="_Toc181084893"/>
      <w:r w:rsidRPr="004A0212">
        <w:t>Increasing awareness of child development, abuse and trauma</w:t>
      </w:r>
      <w:bookmarkEnd w:id="431"/>
      <w:bookmarkEnd w:id="432"/>
      <w:bookmarkEnd w:id="433"/>
      <w:bookmarkEnd w:id="434"/>
    </w:p>
    <w:p w14:paraId="1C8C8A57" w14:textId="77777777" w:rsidR="00FE4E56" w:rsidRPr="004A0212" w:rsidRDefault="00FE4E56" w:rsidP="00896BF8">
      <w:pPr>
        <w:pStyle w:val="Heading3"/>
        <w:rPr>
          <w:rFonts w:cs="Arial"/>
        </w:rPr>
      </w:pPr>
      <w:bookmarkStart w:id="435" w:name="_Toc1041033079"/>
      <w:bookmarkStart w:id="436" w:name="_Toc181084894"/>
      <w:r w:rsidRPr="004A0212">
        <w:rPr>
          <w:rFonts w:cs="Arial"/>
        </w:rPr>
        <w:t>Te whakapiki mātauranga o te whanaketanga tamariki</w:t>
      </w:r>
      <w:bookmarkEnd w:id="435"/>
      <w:bookmarkEnd w:id="436"/>
      <w:r w:rsidRPr="004A0212">
        <w:rPr>
          <w:rFonts w:cs="Arial"/>
        </w:rPr>
        <w:t xml:space="preserve"> </w:t>
      </w:r>
    </w:p>
    <w:p w14:paraId="49EE9290" w14:textId="58003F62" w:rsidR="00FE4E56" w:rsidRPr="004A0212" w:rsidRDefault="00FE4E56" w:rsidP="00896BF8">
      <w:pPr>
        <w:pStyle w:val="Heading3"/>
        <w:rPr>
          <w:rFonts w:cs="Arial"/>
        </w:rPr>
      </w:pPr>
      <w:bookmarkStart w:id="437" w:name="_Toc1938508584"/>
      <w:bookmarkStart w:id="438" w:name="_Toc181084895"/>
      <w:r w:rsidRPr="004A0212">
        <w:rPr>
          <w:rFonts w:cs="Arial"/>
        </w:rPr>
        <w:t>Increasing knowledge of child development</w:t>
      </w:r>
      <w:bookmarkEnd w:id="437"/>
      <w:bookmarkEnd w:id="438"/>
    </w:p>
    <w:p w14:paraId="21660BDE" w14:textId="77604908" w:rsidR="00FE4E56" w:rsidRPr="004A0212" w:rsidRDefault="00FE4E56" w:rsidP="007D73A6">
      <w:pPr>
        <w:pStyle w:val="AllNumbparas"/>
      </w:pPr>
      <w:r w:rsidRPr="004A0212">
        <w:t>Ideas and understandings of child development continued to grow during this period. During the 1970s Albert Bandura’s social learning theory integrated behavioural and cognitive approaches by focusing on the impact of observing others’ behaviour and its consequences. In the late 1970s, Russian psychologist L. S. Vygotsky’s Mind in Society proposed that society shapes the mind’s internal processes, influencing perception, memory and interaction with the world. Russian-American psychologist Urie Bronfenbrenner published The Ecology of Human Development, critiquing traditional developmental research and introducing an ecological systems theory that focused on development and behaviour within the context of different social systems.</w:t>
      </w:r>
      <w:r w:rsidRPr="004A0212">
        <w:rPr>
          <w:rStyle w:val="EndnoteReference"/>
        </w:rPr>
        <w:t xml:space="preserve"> </w:t>
      </w:r>
      <w:r w:rsidRPr="004A0212">
        <w:rPr>
          <w:rStyle w:val="StyleFootnoteReferenceFagoFunotenzeichenFagoFunotenzeichen"/>
        </w:rPr>
        <w:endnoteReference w:id="369"/>
      </w:r>
      <w:r w:rsidRPr="004A0212">
        <w:t xml:space="preserve"> From the 1970s, James and Jane Richie, psychologists teaching at the University of Waikato, argued for physical discipline of children to be made illegal and that it was damaging both to children and society.</w:t>
      </w:r>
      <w:r w:rsidRPr="004A0212">
        <w:rPr>
          <w:rStyle w:val="EndnoteReference"/>
        </w:rPr>
        <w:endnoteReference w:id="370"/>
      </w:r>
    </w:p>
    <w:p w14:paraId="59C0F70A" w14:textId="2211D7A2" w:rsidR="00FE4E56" w:rsidRPr="004A0212" w:rsidRDefault="00FE4E56" w:rsidP="007D73A6">
      <w:pPr>
        <w:pStyle w:val="AllNumbparas"/>
      </w:pPr>
      <w:r w:rsidRPr="004A0212">
        <w:t>Te ao Māori concepts in child development and the kōhanga reo movement played an important part in understandings of child development in the 1980s and 1990s. Dr Arapera Royal Tangaere described Māori theory of child development and learning in 1993, likening the concepts behind the poutama steps design – commonly found in tukutuku panels – to Vygotsky’s zone of proximal development, and the tuakana-teina concept to the concept of scaffolding in Western learning and development theory.</w:t>
      </w:r>
      <w:r w:rsidRPr="004A0212">
        <w:rPr>
          <w:rStyle w:val="StyleFootnoteReferenceFagoFunotenzeichenFagoFunotenzeichen"/>
        </w:rPr>
        <w:endnoteReference w:id="371"/>
      </w:r>
      <w:r w:rsidRPr="004A0212">
        <w:t xml:space="preserve"> </w:t>
      </w:r>
    </w:p>
    <w:p w14:paraId="5D96D21C" w14:textId="77777777" w:rsidR="00A918EB" w:rsidRDefault="00A918EB">
      <w:pPr>
        <w:keepLines w:val="0"/>
        <w:rPr>
          <w:rFonts w:ascii="Arial" w:eastAsia="Calibri" w:hAnsi="Arial" w:cs="Arial"/>
          <w:bCs/>
          <w:color w:val="222222"/>
          <w:sz w:val="22"/>
          <w:szCs w:val="22"/>
          <w:shd w:val="clear" w:color="auto" w:fill="FFFFFF"/>
        </w:rPr>
      </w:pPr>
      <w:r>
        <w:br w:type="page"/>
      </w:r>
    </w:p>
    <w:p w14:paraId="43FEFA44" w14:textId="4C045752" w:rsidR="00FE4E56" w:rsidRPr="004A0212" w:rsidRDefault="00FE4E56" w:rsidP="005864F8">
      <w:pPr>
        <w:pStyle w:val="AllNumbparas"/>
        <w:rPr>
          <w:color w:val="3B5D1E" w:themeColor="accent4" w:themeShade="BF"/>
          <w:szCs w:val="26"/>
        </w:rPr>
      </w:pPr>
      <w:r w:rsidRPr="004A0212">
        <w:lastRenderedPageBreak/>
        <w:t>Dr Tangaere also related Bronfenbrenner’s ecological systems theory to Rangimarie Turuki (Rose) Pere’s conception of Mai i Rangiatea, emphasising the importance of learning mātauranga Māori to child development:</w:t>
      </w:r>
    </w:p>
    <w:p w14:paraId="5D06E99A" w14:textId="4BE4EC38" w:rsidR="00FE4E56" w:rsidRPr="004A0212" w:rsidRDefault="00FE4E56" w:rsidP="001142DD">
      <w:pPr>
        <w:pStyle w:val="AllQuotes"/>
        <w:rPr>
          <w:color w:val="3B5D1E" w:themeColor="accent4" w:themeShade="BF"/>
          <w:szCs w:val="26"/>
        </w:rPr>
      </w:pPr>
      <w:r w:rsidRPr="004A0212">
        <w:t>“In doing so, the internalisation process depicts the way the child will interact in relation to the spiritual world, to people, to the land, and to the environment. Te reo Māori is the key to this knowledge.”</w:t>
      </w:r>
      <w:r w:rsidRPr="004A0212">
        <w:rPr>
          <w:rStyle w:val="StyleFootnoteReferenceFagoFunotenzeichenFagoFunotenzeichen"/>
        </w:rPr>
        <w:endnoteReference w:id="372"/>
      </w:r>
      <w:r w:rsidRPr="004A0212">
        <w:rPr>
          <w:rStyle w:val="EndnoteReference"/>
          <w:rFonts w:eastAsiaTheme="minorEastAsia"/>
        </w:rPr>
        <w:t xml:space="preserve"> </w:t>
      </w:r>
      <w:bookmarkStart w:id="439" w:name="_Toc150933151"/>
      <w:bookmarkStart w:id="440" w:name="_Toc150953469"/>
    </w:p>
    <w:p w14:paraId="556B7AC4" w14:textId="576885FC" w:rsidR="00FE4E56" w:rsidRDefault="00FE4E56" w:rsidP="007243B9">
      <w:pPr>
        <w:pStyle w:val="Heading3"/>
        <w:rPr>
          <w:rFonts w:cs="Arial"/>
        </w:rPr>
      </w:pPr>
      <w:bookmarkStart w:id="441" w:name="_Toc1757669011"/>
      <w:bookmarkStart w:id="442" w:name="_Toc181084896"/>
      <w:r w:rsidRPr="004A0212">
        <w:rPr>
          <w:rFonts w:cs="Arial"/>
        </w:rPr>
        <w:t>Ka nui haere te aroā ki te tūkinotanga tamariki</w:t>
      </w:r>
      <w:bookmarkEnd w:id="442"/>
    </w:p>
    <w:p w14:paraId="6025AF7E" w14:textId="1BE5AEC6" w:rsidR="00FE4E56" w:rsidRPr="004A0212" w:rsidRDefault="00FE4E56" w:rsidP="007243B9">
      <w:pPr>
        <w:pStyle w:val="Heading3"/>
        <w:rPr>
          <w:rFonts w:cs="Arial"/>
        </w:rPr>
      </w:pPr>
      <w:bookmarkStart w:id="443" w:name="_Toc181084897"/>
      <w:r w:rsidRPr="004A0212">
        <w:rPr>
          <w:rFonts w:cs="Arial"/>
        </w:rPr>
        <w:t>Greater awareness of child abuse</w:t>
      </w:r>
      <w:bookmarkEnd w:id="439"/>
      <w:bookmarkEnd w:id="440"/>
      <w:bookmarkEnd w:id="441"/>
      <w:bookmarkEnd w:id="443"/>
      <w:r w:rsidRPr="004A0212">
        <w:rPr>
          <w:rFonts w:cs="Arial"/>
        </w:rPr>
        <w:t xml:space="preserve"> </w:t>
      </w:r>
    </w:p>
    <w:p w14:paraId="6A511876" w14:textId="02B6A518" w:rsidR="00FE4E56" w:rsidRPr="004A0212" w:rsidRDefault="00FE4E56" w:rsidP="007D73A6">
      <w:pPr>
        <w:pStyle w:val="AllNumbparas"/>
      </w:pPr>
      <w:r w:rsidRPr="004A0212">
        <w:t>Throughout the 1970s, a growing societal awareness of abuse led to more suspected cases of child abuse being reported. The number of notifications to the Department of Social Welfare rose to nearly 20,000 by the end of the 1990s.</w:t>
      </w:r>
      <w:r w:rsidRPr="004A0212">
        <w:rPr>
          <w:rStyle w:val="StyleFootnoteReferenceFagoFunotenzeichenFagoFunotenzeichen"/>
        </w:rPr>
        <w:endnoteReference w:id="373"/>
      </w:r>
    </w:p>
    <w:p w14:paraId="409C115A" w14:textId="145A7CF2" w:rsidR="00FE4E56" w:rsidRPr="004A0212" w:rsidRDefault="00FE4E56" w:rsidP="007D73A6">
      <w:pPr>
        <w:pStyle w:val="AllNumbparas"/>
      </w:pPr>
      <w:r w:rsidRPr="004A0212">
        <w:t>A birth cohort study looking at a century of sexual abuse victimisation found that the highest prevalence for child sexual abuse was for the cohort born from 1951 to 1960 at 28.7 percent. Prevalence remained high for the period from 1961 to 1980 and was about 20 percent from 1980 onwards.</w:t>
      </w:r>
      <w:r w:rsidRPr="004A0212">
        <w:rPr>
          <w:rStyle w:val="StyleFootnoteReferenceFagoFunotenzeichenFagoFunotenzeichen"/>
        </w:rPr>
        <w:endnoteReference w:id="374"/>
      </w:r>
      <w:r w:rsidRPr="004A0212">
        <w:t xml:space="preserve"> </w:t>
      </w:r>
    </w:p>
    <w:p w14:paraId="3E5290DF" w14:textId="2846F756" w:rsidR="00FE4E56" w:rsidRPr="004A0212" w:rsidRDefault="00FE4E56" w:rsidP="007D73A6">
      <w:pPr>
        <w:pStyle w:val="AllNumbparas"/>
      </w:pPr>
      <w:r w:rsidRPr="004A0212">
        <w:t xml:space="preserve">As understanding and awareness grew, State agencies involved in care delivery progressively incorporated </w:t>
      </w:r>
      <w:r w:rsidRPr="004A0212">
        <w:rPr>
          <w:color w:val="auto"/>
        </w:rPr>
        <w:t xml:space="preserve">responses to </w:t>
      </w:r>
      <w:r w:rsidRPr="004A0212">
        <w:t>risks and issues related to child sexual abuse into their policies.</w:t>
      </w:r>
    </w:p>
    <w:p w14:paraId="003D7E02" w14:textId="77777777" w:rsidR="00FE4E56" w:rsidRDefault="00FE4E56" w:rsidP="00D6367F">
      <w:pPr>
        <w:pStyle w:val="Heading3"/>
        <w:rPr>
          <w:rFonts w:cs="Arial"/>
        </w:rPr>
      </w:pPr>
      <w:bookmarkStart w:id="444" w:name="_Toc1875954902"/>
      <w:bookmarkStart w:id="445" w:name="_Toc181084898"/>
      <w:r w:rsidRPr="004A0212">
        <w:rPr>
          <w:rFonts w:cs="Arial"/>
        </w:rPr>
        <w:t>Ka tipu te māramatanga ki te whakahapatanga</w:t>
      </w:r>
      <w:bookmarkEnd w:id="445"/>
    </w:p>
    <w:p w14:paraId="1BF3138F" w14:textId="4D290379" w:rsidR="00FE4E56" w:rsidRPr="004A0212" w:rsidRDefault="00FE4E56" w:rsidP="00D6367F">
      <w:pPr>
        <w:pStyle w:val="Heading3"/>
        <w:rPr>
          <w:rFonts w:cs="Arial"/>
        </w:rPr>
      </w:pPr>
      <w:bookmarkStart w:id="446" w:name="_Toc150933152"/>
      <w:bookmarkStart w:id="447" w:name="_Toc150953470"/>
      <w:bookmarkStart w:id="448" w:name="_Toc147935409"/>
      <w:bookmarkStart w:id="449" w:name="_Toc148443591"/>
      <w:bookmarkStart w:id="450" w:name="_Toc147935401"/>
      <w:bookmarkStart w:id="451" w:name="_Toc148443582"/>
      <w:bookmarkStart w:id="452" w:name="_Toc118315233"/>
      <w:bookmarkStart w:id="453" w:name="_Toc120716291"/>
      <w:bookmarkStart w:id="454" w:name="_Toc181084899"/>
      <w:bookmarkEnd w:id="286"/>
      <w:bookmarkEnd w:id="287"/>
      <w:bookmarkEnd w:id="288"/>
      <w:bookmarkEnd w:id="289"/>
      <w:bookmarkEnd w:id="349"/>
      <w:bookmarkEnd w:id="350"/>
      <w:bookmarkEnd w:id="351"/>
      <w:bookmarkEnd w:id="352"/>
      <w:bookmarkEnd w:id="372"/>
      <w:bookmarkEnd w:id="373"/>
      <w:r w:rsidRPr="004A0212">
        <w:rPr>
          <w:rFonts w:cs="Arial"/>
          <w:shd w:val="clear" w:color="auto" w:fill="FFFFFF"/>
        </w:rPr>
        <w:t>Understanding of trauma</w:t>
      </w:r>
      <w:bookmarkEnd w:id="446"/>
      <w:bookmarkEnd w:id="447"/>
      <w:r w:rsidRPr="004A0212">
        <w:rPr>
          <w:rFonts w:cs="Arial"/>
          <w:shd w:val="clear" w:color="auto" w:fill="FFFFFF"/>
        </w:rPr>
        <w:t xml:space="preserve"> grows</w:t>
      </w:r>
      <w:bookmarkEnd w:id="444"/>
      <w:bookmarkEnd w:id="454"/>
    </w:p>
    <w:p w14:paraId="1ECAE6EC" w14:textId="6F6100D6" w:rsidR="00FE4E56" w:rsidRPr="004A0212" w:rsidRDefault="00FE4E56" w:rsidP="007D73A6">
      <w:pPr>
        <w:pStyle w:val="AllNumbparas"/>
        <w:rPr>
          <w:b/>
        </w:rPr>
      </w:pPr>
      <w:r w:rsidRPr="004A0212">
        <w:t>Understandings of trauma and its impacts began to grow from the 1970s. Post-traumatic stress</w:t>
      </w:r>
      <w:r w:rsidRPr="004A0212" w:rsidDel="00B37371">
        <w:t xml:space="preserve"> </w:t>
      </w:r>
      <w:r w:rsidRPr="004A0212">
        <w:t>disorder (PTSD) was added to the American Psychiatric Association’s Diagnostic and Statistical Manual of Mental Disorders (DSM) in 1980, although it was thought at the time to be limited to people with experience of war and human-made disasters such aeroplane crashes.</w:t>
      </w:r>
      <w:r w:rsidRPr="004A0212">
        <w:rPr>
          <w:rStyle w:val="StyleFootnoteReferenceFagoFunotenzeichenFagoFunotenzeichen"/>
        </w:rPr>
        <w:endnoteReference w:id="375"/>
      </w:r>
      <w:r w:rsidRPr="004A0212">
        <w:t xml:space="preserve"> The diagnostic criteria for PTSD were revised in 1987 and 1994, with the recognition that it was much more common than originally believed and including symptoms specific to children. A definition of trauma as a separate diagnosis from PTSD was not available until 2013.</w:t>
      </w:r>
      <w:r w:rsidRPr="004A0212">
        <w:rPr>
          <w:rStyle w:val="StyleFootnoteReferenceFagoFunotenzeichenFagoFunotenzeichen"/>
        </w:rPr>
        <w:endnoteReference w:id="376"/>
      </w:r>
    </w:p>
    <w:p w14:paraId="7A8FA1DA" w14:textId="77777777" w:rsidR="00A918EB" w:rsidRDefault="00A918EB">
      <w:pPr>
        <w:keepLines w:val="0"/>
        <w:rPr>
          <w:rFonts w:ascii="Arial" w:hAnsi="Arial" w:cs="Helvetica"/>
          <w:color w:val="3B5D1E" w:themeColor="accent4" w:themeShade="BF"/>
          <w:szCs w:val="26"/>
        </w:rPr>
      </w:pPr>
      <w:r>
        <w:br w:type="page"/>
      </w:r>
    </w:p>
    <w:p w14:paraId="2E00AEC3" w14:textId="7E075688" w:rsidR="00FE4E56" w:rsidRDefault="00FE4E56" w:rsidP="02397200">
      <w:pPr>
        <w:pStyle w:val="Heading3"/>
      </w:pPr>
      <w:bookmarkStart w:id="455" w:name="_Toc181084900"/>
      <w:r w:rsidRPr="004A0212">
        <w:lastRenderedPageBreak/>
        <w:t>He whakamārama mō te whakahapatanga</w:t>
      </w:r>
      <w:bookmarkEnd w:id="455"/>
    </w:p>
    <w:p w14:paraId="459159F5" w14:textId="2957FF6E" w:rsidR="00FE4E56" w:rsidRPr="004A0212" w:rsidRDefault="00FE4E56" w:rsidP="02397200">
      <w:pPr>
        <w:pStyle w:val="Heading3"/>
      </w:pPr>
      <w:bookmarkStart w:id="456" w:name="_Toc1360766711"/>
      <w:bookmarkStart w:id="457" w:name="_Toc181084901"/>
      <w:r w:rsidRPr="004A0212">
        <w:t>Some understanding of neglect</w:t>
      </w:r>
      <w:bookmarkEnd w:id="456"/>
      <w:bookmarkEnd w:id="457"/>
    </w:p>
    <w:p w14:paraId="7FCA5D64" w14:textId="19766931" w:rsidR="00FE4E56" w:rsidRPr="004A0212" w:rsidRDefault="00FE4E56" w:rsidP="007D73A6">
      <w:pPr>
        <w:pStyle w:val="AllNumbparas"/>
        <w:rPr>
          <w:bCs w:val="0"/>
        </w:rPr>
      </w:pPr>
      <w:r w:rsidRPr="004A0212">
        <w:t>Throughout the Inquiry period there was some understanding, domestically and internationally, of the factors that could lead to neglect.  Neglect often proved hard to define or detect, and different parenting practices across cultures added to the difficulties in reaching a common definition for childhood neglect.</w:t>
      </w:r>
      <w:r w:rsidRPr="004A0212">
        <w:rPr>
          <w:rStyle w:val="EndnoteReference"/>
          <w:bCs w:val="0"/>
        </w:rPr>
        <w:endnoteReference w:id="377"/>
      </w:r>
      <w:r w:rsidRPr="004A0212">
        <w:t xml:space="preserve">  Understanding of the consequences of neglect began to be better understood from the 1990s, with advances in understanding of brain development and studies such as the Bucharest Early Intervention Project which studied outcomes for children in Romanian orphanages.</w:t>
      </w:r>
      <w:r w:rsidRPr="004A0212">
        <w:rPr>
          <w:rStyle w:val="EndnoteReference"/>
          <w:bCs w:val="0"/>
        </w:rPr>
        <w:endnoteReference w:id="378"/>
      </w:r>
      <w:r w:rsidRPr="004A0212">
        <w:t xml:space="preserve">  A 2010 paper by the Ministry of Social Development noted that neglect still received less scientific and public attention compared to other forms of maltreatment.</w:t>
      </w:r>
      <w:r w:rsidRPr="004A0212">
        <w:rPr>
          <w:rStyle w:val="EndnoteReference"/>
          <w:bCs w:val="0"/>
        </w:rPr>
        <w:endnoteReference w:id="379"/>
      </w:r>
    </w:p>
    <w:p w14:paraId="45A07D99" w14:textId="77777777" w:rsidR="00FE4E56" w:rsidRDefault="00FE4E56" w:rsidP="00282055">
      <w:pPr>
        <w:pStyle w:val="Heading2"/>
      </w:pPr>
      <w:bookmarkStart w:id="458" w:name="_Toc150933156"/>
      <w:bookmarkStart w:id="459" w:name="_Toc150953474"/>
      <w:bookmarkStart w:id="460" w:name="_Toc463914024"/>
      <w:bookmarkStart w:id="461" w:name="_Toc147935422"/>
      <w:bookmarkStart w:id="462" w:name="_Toc148443607"/>
      <w:bookmarkStart w:id="463" w:name="_Toc181084902"/>
      <w:bookmarkEnd w:id="448"/>
      <w:bookmarkEnd w:id="449"/>
      <w:bookmarkEnd w:id="450"/>
      <w:bookmarkEnd w:id="451"/>
      <w:bookmarkEnd w:id="452"/>
      <w:bookmarkEnd w:id="453"/>
      <w:r w:rsidRPr="004A0212">
        <w:t>Te tipu o te aroā ki ngā mōtika tangata</w:t>
      </w:r>
      <w:bookmarkEnd w:id="463"/>
    </w:p>
    <w:p w14:paraId="0662D0FB" w14:textId="2FEED4E9" w:rsidR="00FE4E56" w:rsidRPr="004A0212" w:rsidRDefault="00FE4E56" w:rsidP="00282055">
      <w:pPr>
        <w:pStyle w:val="Heading2"/>
      </w:pPr>
      <w:bookmarkStart w:id="464" w:name="_Toc181084903"/>
      <w:r w:rsidRPr="004A0212">
        <w:t>Increased awareness of human rights</w:t>
      </w:r>
      <w:bookmarkEnd w:id="458"/>
      <w:bookmarkEnd w:id="459"/>
      <w:bookmarkEnd w:id="460"/>
      <w:bookmarkEnd w:id="464"/>
    </w:p>
    <w:p w14:paraId="27D86BA8" w14:textId="369F0EDF" w:rsidR="00FE4E56" w:rsidRPr="004A0212" w:rsidRDefault="00FE4E56" w:rsidP="000D6DAC">
      <w:pPr>
        <w:pStyle w:val="Numbparas"/>
      </w:pPr>
      <w:r w:rsidRPr="004A0212">
        <w:t>Since becoming a member of the United Nations in 1945, Aotearoa New Zealand has actively participated in international forums and organisations to promote human rights.</w:t>
      </w:r>
      <w:r w:rsidRPr="004A0212">
        <w:rPr>
          <w:rStyle w:val="StyleFootnoteReferenceFagoFunotenzeichenFagoFunotenzeichen"/>
        </w:rPr>
        <w:endnoteReference w:id="380"/>
      </w:r>
      <w:r w:rsidRPr="004A0212">
        <w:t xml:space="preserve"> Aotearoa New Zealand contributed to the drafting and adoption of key human rights instruments such as the Universal Declaration of Human Rights in 1948 and played a role in negotiating and ratifying international human rights treaties during the latter half of the 20</w:t>
      </w:r>
      <w:r w:rsidRPr="004A0212">
        <w:rPr>
          <w:vertAlign w:val="superscript"/>
        </w:rPr>
        <w:t>th</w:t>
      </w:r>
      <w:r w:rsidRPr="004A0212">
        <w:t xml:space="preserve"> century.</w:t>
      </w:r>
      <w:r w:rsidRPr="004A0212">
        <w:rPr>
          <w:rStyle w:val="StyleFootnoteReferenceFagoFunotenzeichenFagoFunotenzeichen"/>
        </w:rPr>
        <w:endnoteReference w:id="381"/>
      </w:r>
    </w:p>
    <w:p w14:paraId="282B7FA3" w14:textId="286EFA4E" w:rsidR="00FE4E56" w:rsidRPr="004A0212" w:rsidRDefault="00FE4E56" w:rsidP="00A83810">
      <w:pPr>
        <w:pStyle w:val="Numbparas"/>
      </w:pPr>
      <w:r w:rsidRPr="004A0212">
        <w:t>Despite its international reputation, Aotearoa New Zealand could be slow in promoting human rights treaties domestically.</w:t>
      </w:r>
      <w:r w:rsidRPr="004A0212">
        <w:rPr>
          <w:rStyle w:val="StyleFootnoteReferenceFagoFunotenzeichenFagoFunotenzeichen"/>
        </w:rPr>
        <w:endnoteReference w:id="382"/>
      </w:r>
      <w:r w:rsidRPr="004A0212">
        <w:t xml:space="preserve"> Human rights protections in Aotearoa New Zealand’s domestic laws are set out in a variety of statutes and the common (court-made) law.</w:t>
      </w:r>
      <w:r w:rsidRPr="004A0212">
        <w:rPr>
          <w:rStyle w:val="StyleFootnoteReferenceFagoFunotenzeichenFagoFunotenzeichen"/>
        </w:rPr>
        <w:endnoteReference w:id="383"/>
      </w:r>
      <w:r w:rsidRPr="004A0212">
        <w:t xml:space="preserve"> This means they are not all in one place and not all human rights have been incorporated into Aotearoa New Zealand’s</w:t>
      </w:r>
      <w:r w:rsidRPr="004A0212" w:rsidDel="00D7257B">
        <w:t xml:space="preserve"> </w:t>
      </w:r>
      <w:r w:rsidRPr="004A0212">
        <w:t>domestic law.</w:t>
      </w:r>
    </w:p>
    <w:p w14:paraId="3186C45F" w14:textId="7FA3DF82" w:rsidR="00FE4E56" w:rsidRPr="004A0212" w:rsidRDefault="00FE4E56" w:rsidP="00943665">
      <w:pPr>
        <w:pStyle w:val="AllNumbparas"/>
      </w:pPr>
      <w:r w:rsidRPr="004A0212">
        <w:t xml:space="preserve">If individuals in Aotearoa New Zealand believe their rights have been violated, they can complain to Te Kāhui Tika Tangata Human Rights Commission, which offers a free and confidential dispute resolution service for complaints about prohibited behaviours under the Human Rights Act 1993. If an individual is unable to resolve their complaint through the Te Kāhui Tika Tangata Human Rights Commission, they can file a claim with the Human Rights Review Tribunal. </w:t>
      </w:r>
    </w:p>
    <w:p w14:paraId="7E1038BF" w14:textId="28E7D6F4" w:rsidR="00FE4E56" w:rsidRPr="004A0212" w:rsidRDefault="00FE4E56" w:rsidP="00376266">
      <w:pPr>
        <w:pStyle w:val="AllNumbparas"/>
      </w:pPr>
      <w:r w:rsidRPr="004A0212">
        <w:t>Those unable to resolve their complaints through domestic pathways can seek resolution through United Nations human rights bodies, noting the decisions from these bodies are not legally binding. Aotearoa New Zealand reports on its human rights progress every four to five years through the Universal Periodic Review (UPR) process. The UPR provides the opportunity for each member State to update on the measures they have taken to enhance human rights domestically and to fulfil their human rights obligations.</w:t>
      </w:r>
      <w:r w:rsidRPr="004A0212">
        <w:rPr>
          <w:rStyle w:val="StyleFootnoteReferenceFagoFunotenzeichenFagoFunotenzeichen"/>
        </w:rPr>
        <w:endnoteReference w:id="384"/>
      </w:r>
    </w:p>
    <w:p w14:paraId="27165307" w14:textId="77777777" w:rsidR="00A918EB" w:rsidRDefault="00A918EB">
      <w:pPr>
        <w:keepLines w:val="0"/>
        <w:rPr>
          <w:rFonts w:ascii="Arial" w:eastAsia="Calibri" w:hAnsi="Arial" w:cs="Arial"/>
          <w:bCs/>
          <w:color w:val="222222"/>
          <w:sz w:val="22"/>
          <w:szCs w:val="22"/>
          <w:shd w:val="clear" w:color="auto" w:fill="FFFFFF"/>
        </w:rPr>
      </w:pPr>
      <w:r>
        <w:br w:type="page"/>
      </w:r>
    </w:p>
    <w:p w14:paraId="3492B17D" w14:textId="73413189" w:rsidR="00FE4E56" w:rsidRPr="004A0212" w:rsidRDefault="00FE4E56" w:rsidP="007D73A6">
      <w:pPr>
        <w:pStyle w:val="AllNumbparas"/>
      </w:pPr>
      <w:r w:rsidRPr="004A0212">
        <w:lastRenderedPageBreak/>
        <w:t>Aotearoa New Zealand took a number of steps during the Inquiry period to specifically incorporate rights from some human rights instruments into domestic law:</w:t>
      </w:r>
    </w:p>
    <w:p w14:paraId="5EC927C4" w14:textId="1E5ACBA6" w:rsidR="00FE4E56" w:rsidRPr="004A0212" w:rsidRDefault="00FE4E56" w:rsidP="00DF328C">
      <w:pPr>
        <w:pStyle w:val="Bulletpoints"/>
      </w:pPr>
      <w:r w:rsidRPr="004A0212">
        <w:t>in 1971 the Office of the Race Relations Conciliator was established to promote positive race relations in Aotearoa New Zealand, and to settle complaints of racial discrimination and racial harassment</w:t>
      </w:r>
    </w:p>
    <w:p w14:paraId="6607610B" w14:textId="7816E46A" w:rsidR="00FE4E56" w:rsidRPr="004A0212" w:rsidRDefault="00FE4E56" w:rsidP="00DF328C">
      <w:pPr>
        <w:pStyle w:val="Bulletpoints"/>
      </w:pPr>
      <w:r w:rsidRPr="004A0212">
        <w:t>in 1977, the New Zealand Human Rights Commission was formed to promote a wider range of human rights issues.</w:t>
      </w:r>
      <w:r w:rsidRPr="004A0212">
        <w:rPr>
          <w:rStyle w:val="StyleFootnoteReferenceFagoFunotenzeichenFagoFunotenzeichen"/>
        </w:rPr>
        <w:endnoteReference w:id="385"/>
      </w:r>
      <w:r w:rsidRPr="004A0212">
        <w:rPr>
          <w:vertAlign w:val="superscript"/>
        </w:rPr>
        <w:t xml:space="preserve"> </w:t>
      </w:r>
      <w:r w:rsidRPr="004A0212">
        <w:t>The Human Rights Commission exercises its functions through a mix of measures such as public advocacy, training and education campaigns, public statements on important human rights issues, submissions to Parliament and litigation</w:t>
      </w:r>
      <w:r w:rsidRPr="004A0212">
        <w:rPr>
          <w:rStyle w:val="StyleFootnoteReferenceFagoFunotenzeichenFagoFunotenzeichen"/>
        </w:rPr>
        <w:endnoteReference w:id="386"/>
      </w:r>
      <w:r w:rsidRPr="004A0212">
        <w:t xml:space="preserve"> </w:t>
      </w:r>
    </w:p>
    <w:p w14:paraId="4422D0D7" w14:textId="2145A6AD" w:rsidR="00FE4E56" w:rsidRPr="004A0212" w:rsidRDefault="00FE4E56" w:rsidP="00DF328C">
      <w:pPr>
        <w:pStyle w:val="Bulletpoints"/>
      </w:pPr>
      <w:r w:rsidRPr="004A0212">
        <w:t>the New Zealand Bill of Rights Act 1990 is the key source of legal obligation for human rights in Aotearoa New Zealand.</w:t>
      </w:r>
      <w:r w:rsidRPr="004A0212">
        <w:rPr>
          <w:rStyle w:val="StyleFootnoteReferenceFagoFunotenzeichenFagoFunotenzeichen"/>
        </w:rPr>
        <w:endnoteReference w:id="387"/>
      </w:r>
      <w:r w:rsidRPr="004A0212">
        <w:t xml:space="preserve"> It gives legal effect to core civil and political rights but rights from the international convention on economic, social and cultural rights are excluded </w:t>
      </w:r>
    </w:p>
    <w:p w14:paraId="06B2ACE3" w14:textId="6F7F6433" w:rsidR="00FE4E56" w:rsidRPr="004A0212" w:rsidRDefault="00FE4E56" w:rsidP="00DF328C">
      <w:pPr>
        <w:pStyle w:val="Bulletpoints"/>
      </w:pPr>
      <w:r w:rsidRPr="004A0212">
        <w:t>the Human Rights Act 1993 aimed to improve on the New Zealand Bill of Rights Act and better protect human rights: for example, by adding disability as grounds for discrimination. This was the result of many years of lobbying by disabled people.</w:t>
      </w:r>
      <w:r w:rsidRPr="004A0212">
        <w:rPr>
          <w:rStyle w:val="StyleFootnoteReferenceFagoFunotenzeichenFagoFunotenzeichen"/>
        </w:rPr>
        <w:endnoteReference w:id="388"/>
      </w:r>
      <w:r w:rsidRPr="004A0212">
        <w:t xml:space="preserve"> </w:t>
      </w:r>
    </w:p>
    <w:p w14:paraId="2DF121B8" w14:textId="5AB8A7E2" w:rsidR="00FE4E56" w:rsidRPr="004A0212" w:rsidRDefault="00FE4E56" w:rsidP="000D6DAC">
      <w:pPr>
        <w:pStyle w:val="AllNumbparas"/>
      </w:pPr>
      <w:r w:rsidRPr="004A0212">
        <w:t>Numerous issues were raised across the later part of the Inquiry period with human rights abuses in care settings, including the use of solitary confinement and allegations of torture.</w:t>
      </w:r>
      <w:r w:rsidRPr="004A0212">
        <w:rPr>
          <w:rStyle w:val="StyleFootnoteReferenceFagoFunotenzeichenFagoFunotenzeichen"/>
        </w:rPr>
        <w:endnoteReference w:id="389"/>
      </w:r>
    </w:p>
    <w:p w14:paraId="2603F09B" w14:textId="7A67D979" w:rsidR="00FE4E56" w:rsidRDefault="00FE4E56" w:rsidP="00D01DEA">
      <w:pPr>
        <w:pStyle w:val="Heading3"/>
        <w:rPr>
          <w:rFonts w:cs="Arial"/>
        </w:rPr>
      </w:pPr>
      <w:bookmarkStart w:id="465" w:name="_Toc150933157"/>
      <w:bookmarkStart w:id="466" w:name="_Toc150953475"/>
      <w:bookmarkStart w:id="467" w:name="_Toc1210491480"/>
      <w:bookmarkStart w:id="468" w:name="_Toc181084904"/>
      <w:r w:rsidRPr="004A0212">
        <w:rPr>
          <w:rFonts w:cs="Arial"/>
        </w:rPr>
        <w:t>Mōtika Māori</w:t>
      </w:r>
      <w:bookmarkEnd w:id="468"/>
    </w:p>
    <w:p w14:paraId="5FCB59E4" w14:textId="786AC017" w:rsidR="00FE4E56" w:rsidRPr="004A0212" w:rsidRDefault="00FE4E56" w:rsidP="00D01DEA">
      <w:pPr>
        <w:pStyle w:val="Heading3"/>
        <w:rPr>
          <w:rFonts w:cs="Arial"/>
        </w:rPr>
      </w:pPr>
      <w:bookmarkStart w:id="469" w:name="_Toc181084905"/>
      <w:r w:rsidRPr="004A0212">
        <w:rPr>
          <w:rFonts w:cs="Arial"/>
        </w:rPr>
        <w:t>Māori rights</w:t>
      </w:r>
      <w:bookmarkEnd w:id="465"/>
      <w:bookmarkEnd w:id="466"/>
      <w:bookmarkEnd w:id="467"/>
      <w:bookmarkEnd w:id="469"/>
    </w:p>
    <w:p w14:paraId="61033BE7" w14:textId="0D016B45" w:rsidR="00FE4E56" w:rsidRPr="004A0212" w:rsidRDefault="00FE4E56" w:rsidP="007D73A6">
      <w:pPr>
        <w:pStyle w:val="AllNumbparas"/>
      </w:pPr>
      <w:r w:rsidRPr="004A0212">
        <w:t>Ongoing calls by Māori for change raised awareness of the racism and discrimination Māori consistently faced, and some changes came about as a result.</w:t>
      </w:r>
      <w:r w:rsidRPr="004A0212">
        <w:rPr>
          <w:rStyle w:val="StyleFootnoteReferenceFagoFunotenzeichenFagoFunotenzeichen"/>
        </w:rPr>
        <w:endnoteReference w:id="390"/>
      </w:r>
      <w:r w:rsidRPr="004A0212">
        <w:rPr>
          <w:vertAlign w:val="superscript"/>
        </w:rPr>
        <w:t xml:space="preserve"> </w:t>
      </w:r>
      <w:r w:rsidRPr="004A0212">
        <w:t xml:space="preserve">Māori calls for change were the catalyst for the Treaty of Waitangi Act 1975 and establishment of the Waitangi Tribunal in 1975. These provided a legal process for historic </w:t>
      </w:r>
      <w:r>
        <w:t>t</w:t>
      </w:r>
      <w:r w:rsidRPr="004A0212">
        <w:t>e Tiriti o Waitangi claims and breaches to start to be investigated.</w:t>
      </w:r>
    </w:p>
    <w:p w14:paraId="2A4DEDF7" w14:textId="2A1F4725" w:rsidR="00FE4E56" w:rsidRPr="004A0212" w:rsidRDefault="00FE4E56" w:rsidP="007D73A6">
      <w:pPr>
        <w:pStyle w:val="AllNumbparas"/>
      </w:pPr>
      <w:r w:rsidRPr="004A0212">
        <w:t>Ngā Tamatoa (The Warriors) was a </w:t>
      </w:r>
      <w:hyperlink r:id="rId11" w:tooltip="Māori people" w:history="1">
        <w:r w:rsidRPr="004A0212">
          <w:t>Māori</w:t>
        </w:r>
      </w:hyperlink>
      <w:r w:rsidRPr="004A0212">
        <w:t xml:space="preserve"> activist group formed in the 1970s to promote Māori rights. It protested breaches of </w:t>
      </w:r>
      <w:r>
        <w:t>t</w:t>
      </w:r>
      <w:r w:rsidRPr="004A0212">
        <w:t>e Tiriti o Waitangi. Its tactics included nationwide petitions to have the Māori language taught in schools, and submissions on State policy.</w:t>
      </w:r>
      <w:r w:rsidRPr="004A0212">
        <w:rPr>
          <w:rStyle w:val="StyleFootnoteReferenceFagoFunotenzeichenFagoFunotenzeichen"/>
        </w:rPr>
        <w:endnoteReference w:id="391"/>
      </w:r>
    </w:p>
    <w:p w14:paraId="00EF1131" w14:textId="61962F58" w:rsidR="00FE4E56" w:rsidRPr="004A0212" w:rsidRDefault="00FE4E56" w:rsidP="007D73A6">
      <w:pPr>
        <w:pStyle w:val="AllNumbparas"/>
      </w:pPr>
      <w:r w:rsidRPr="004A0212">
        <w:t xml:space="preserve">Te Rōpū Matakite o Aotearoa campaigned against the loss of Māori land and organised the 1975 Māori land march. The Women’s Anti-Racism Action Group was formed in 1984 to report on institutional racism in the Department of Social Welfare. </w:t>
      </w:r>
    </w:p>
    <w:p w14:paraId="6E734084" w14:textId="343A3CC4" w:rsidR="00FE4E56" w:rsidRPr="004A0212" w:rsidRDefault="00FE4E56" w:rsidP="007D73A6">
      <w:pPr>
        <w:pStyle w:val="AllNumbparas"/>
      </w:pPr>
      <w:r w:rsidRPr="004A0212">
        <w:t>The Auckland Committee on Racism and Discrimination (ACORD) worked to bring attention to abuse in care, highlighting the appalling treatment of tamariki and rangatahi Māori within foster care and institutions.</w:t>
      </w:r>
      <w:r w:rsidRPr="004A0212">
        <w:rPr>
          <w:rStyle w:val="StyleFootnoteReferenceFagoFunotenzeichenFagoFunotenzeichen"/>
        </w:rPr>
        <w:endnoteReference w:id="392"/>
      </w:r>
      <w:r w:rsidRPr="004A0212">
        <w:t xml:space="preserve"> </w:t>
      </w:r>
    </w:p>
    <w:p w14:paraId="1D49B32C" w14:textId="77777777" w:rsidR="001A6ED5" w:rsidRDefault="001A6ED5">
      <w:pPr>
        <w:keepLines w:val="0"/>
        <w:rPr>
          <w:rFonts w:ascii="Arial" w:eastAsia="Calibri" w:hAnsi="Arial" w:cs="Arial"/>
          <w:bCs/>
          <w:color w:val="222222"/>
          <w:sz w:val="22"/>
          <w:szCs w:val="22"/>
          <w:shd w:val="clear" w:color="auto" w:fill="FFFFFF"/>
        </w:rPr>
      </w:pPr>
      <w:r>
        <w:br w:type="page"/>
      </w:r>
    </w:p>
    <w:p w14:paraId="256EEF60" w14:textId="3D1D04B0" w:rsidR="00FE4E56" w:rsidRPr="004A0212" w:rsidRDefault="00FE4E56" w:rsidP="007D73A6">
      <w:pPr>
        <w:pStyle w:val="AllNumbparas"/>
      </w:pPr>
      <w:r w:rsidRPr="004A0212">
        <w:lastRenderedPageBreak/>
        <w:t>In the 1980s, Māori continued to raise concerns about tamariki and rangatahi Māori in social welfare care settings.</w:t>
      </w:r>
      <w:r w:rsidRPr="004A0212">
        <w:rPr>
          <w:rStyle w:val="StyleFootnoteReferenceFagoFunotenzeichenFagoFunotenzeichen"/>
        </w:rPr>
        <w:endnoteReference w:id="393"/>
      </w:r>
      <w:r w:rsidRPr="004A0212">
        <w:t xml:space="preserve"> In 1983, the Department of Social Welfare started the </w:t>
      </w:r>
      <w:r w:rsidRPr="004A0212" w:rsidDel="000C008F">
        <w:t>Maatua</w:t>
      </w:r>
      <w:r w:rsidRPr="004A0212">
        <w:t xml:space="preserve"> Whāngai programme to place tamariki and rangatahi Māori in Māori homes rather than social welfare institutions.</w:t>
      </w:r>
      <w:r w:rsidRPr="004A0212">
        <w:rPr>
          <w:rStyle w:val="StyleFootnoteReferenceFagoFunotenzeichenFagoFunotenzeichen"/>
        </w:rPr>
        <w:endnoteReference w:id="394"/>
      </w:r>
      <w:r w:rsidRPr="004A0212">
        <w:t xml:space="preserve"> </w:t>
      </w:r>
    </w:p>
    <w:p w14:paraId="2BE20F6A" w14:textId="112F2E03" w:rsidR="00FE4E56" w:rsidRPr="004A0212" w:rsidRDefault="00FE4E56" w:rsidP="007D73A6">
      <w:pPr>
        <w:pStyle w:val="AllNumbparas"/>
      </w:pPr>
      <w:r w:rsidRPr="004A0212">
        <w:t>Amid calls from Māori for tino rangatiratanga, the State set up a ministerial advisory committee in 1985 to gain a Māori perspective on how the Department of Social Welfare was operating.</w:t>
      </w:r>
      <w:r w:rsidRPr="004A0212">
        <w:rPr>
          <w:rStyle w:val="StyleFootnoteReferenceFagoFunotenzeichenFagoFunotenzeichen"/>
        </w:rPr>
        <w:endnoteReference w:id="395"/>
      </w:r>
      <w:r w:rsidRPr="004A0212">
        <w:t xml:space="preserve"> This resulted in the </w:t>
      </w:r>
      <w:r w:rsidRPr="007D232D">
        <w:t>Puao-te-Ata-Tū</w:t>
      </w:r>
      <w:r w:rsidRPr="004A0212">
        <w:t xml:space="preserve"> Report. That report promoted a philosophy of self-help and gave a name to institutional racism. Chairman John Rangihau concluded:</w:t>
      </w:r>
    </w:p>
    <w:p w14:paraId="1A7631AC" w14:textId="0A0FD181" w:rsidR="00FE4E56" w:rsidRPr="004A0212" w:rsidRDefault="00FE4E56" w:rsidP="00D6367F">
      <w:pPr>
        <w:pStyle w:val="AllQuotes"/>
        <w:rPr>
          <w:rFonts w:cs="Arial"/>
        </w:rPr>
      </w:pPr>
      <w:r w:rsidRPr="004A0212">
        <w:rPr>
          <w:rFonts w:cs="Arial"/>
        </w:rPr>
        <w:t>“At the heart of the issue is a profound misunderstanding or ignorance of the place of the child in Māori society and its relationship with whānau, hapū, and iwi structures.”</w:t>
      </w:r>
      <w:r w:rsidRPr="004A0212">
        <w:rPr>
          <w:rStyle w:val="StyleFootnoteReferenceFagoFunotenzeichenFagoFunotenzeichen"/>
        </w:rPr>
        <w:endnoteReference w:id="396"/>
      </w:r>
    </w:p>
    <w:p w14:paraId="435C56FF" w14:textId="5C09CD8E" w:rsidR="00FE4E56" w:rsidRPr="004A0212" w:rsidRDefault="00FE4E56" w:rsidP="007D73A6">
      <w:pPr>
        <w:pStyle w:val="AllNumbparas"/>
      </w:pPr>
      <w:r w:rsidRPr="004A0212">
        <w:t xml:space="preserve">The </w:t>
      </w:r>
      <w:r w:rsidRPr="007D232D">
        <w:t>Puao-te-Ata-Tū</w:t>
      </w:r>
      <w:r w:rsidRPr="004A0212">
        <w:t xml:space="preserve"> Report recommended that Mātua Whāngai be adequately and appropriately funded through tribal authorities to focus on nurturing children within their family groups as the primary alternative to a child going into care.</w:t>
      </w:r>
      <w:r w:rsidRPr="004A0212">
        <w:rPr>
          <w:rStyle w:val="StyleFootnoteReferenceFagoFunotenzeichenFagoFunotenzeichen"/>
        </w:rPr>
        <w:endnoteReference w:id="397"/>
      </w:r>
      <w:r w:rsidRPr="004A0212">
        <w:t xml:space="preserve"> </w:t>
      </w:r>
    </w:p>
    <w:p w14:paraId="65A43658" w14:textId="7F1FB565" w:rsidR="00FE4E56" w:rsidRPr="004A0212" w:rsidRDefault="00FE4E56" w:rsidP="007D73A6">
      <w:pPr>
        <w:pStyle w:val="AllNumbparas"/>
        <w:rPr>
          <w:lang w:eastAsia="en-US"/>
        </w:rPr>
      </w:pPr>
      <w:r w:rsidRPr="004A0212">
        <w:t xml:space="preserve">The </w:t>
      </w:r>
      <w:r w:rsidRPr="007D232D">
        <w:t>Puao-te-Ata-Tū</w:t>
      </w:r>
      <w:r w:rsidRPr="004A0212">
        <w:t xml:space="preserve"> Report and the resulting legislation — the Children, Young Persons, and Their Families Act 1989 — were considered ahead of their time.</w:t>
      </w:r>
      <w:r w:rsidRPr="004A0212">
        <w:rPr>
          <w:rStyle w:val="StyleFootnoteReferenceFagoFunotenzeichenFagoFunotenzeichen"/>
        </w:rPr>
        <w:endnoteReference w:id="398"/>
      </w:r>
      <w:r w:rsidRPr="004A0212">
        <w:t xml:space="preserve"> The Department of Child, Youth and Family Services was established, and the report and the legislation were intended to make whānau, hapū and iwi central to addressing the issue of children and young people risk. </w:t>
      </w:r>
    </w:p>
    <w:p w14:paraId="4882415D" w14:textId="7E7EEAB5" w:rsidR="00FE4E56" w:rsidRPr="004A0212" w:rsidRDefault="00FE4E56" w:rsidP="007D73A6">
      <w:pPr>
        <w:pStyle w:val="AllNumbparas"/>
        <w:rPr>
          <w:lang w:eastAsia="en-US"/>
        </w:rPr>
      </w:pPr>
      <w:r w:rsidRPr="004A0212">
        <w:t xml:space="preserve">There were issues with the implementation of the Children, Young Persons, and Their Families Act 1989. Experts at this Inquiry’s hearings said that the transformative change envisioned by </w:t>
      </w:r>
      <w:bookmarkStart w:id="470" w:name="_Hlk178259374"/>
      <w:r w:rsidRPr="007D232D">
        <w:t>Puao-te-Ata-Tū</w:t>
      </w:r>
      <w:r w:rsidRPr="004A0212">
        <w:t xml:space="preserve"> </w:t>
      </w:r>
      <w:bookmarkEnd w:id="470"/>
      <w:r w:rsidRPr="004A0212">
        <w:t>and the Children, Young Persons, and Their Families Act 1989 never eventuated. They attributed this to a lack of momentum to sustain the changes needed, a lack of resourcing, a change in government</w:t>
      </w:r>
      <w:r>
        <w:t xml:space="preserve"> </w:t>
      </w:r>
      <w:r w:rsidRPr="004A0212">
        <w:t>and a political focus on family responsibility and business efficiency in State services in the 1990s. This analysis has been echoed by historians.</w:t>
      </w:r>
      <w:r w:rsidRPr="004A0212">
        <w:rPr>
          <w:rStyle w:val="StyleFootnoteReferenceFagoFunotenzeichenFagoFunotenzeichen"/>
        </w:rPr>
        <w:endnoteReference w:id="399"/>
      </w:r>
    </w:p>
    <w:p w14:paraId="16A0F659" w14:textId="77777777" w:rsidR="00FE4E56" w:rsidRDefault="00FE4E56" w:rsidP="00D01DEA">
      <w:pPr>
        <w:pStyle w:val="Heading3"/>
        <w:rPr>
          <w:rFonts w:cs="Arial"/>
        </w:rPr>
      </w:pPr>
      <w:bookmarkStart w:id="471" w:name="_Toc148443656"/>
      <w:bookmarkStart w:id="472" w:name="_Toc150933158"/>
      <w:bookmarkStart w:id="473" w:name="_Toc150953476"/>
      <w:bookmarkStart w:id="474" w:name="_Toc247158633"/>
      <w:bookmarkStart w:id="475" w:name="_Toc181084906"/>
      <w:r w:rsidRPr="004A0212">
        <w:rPr>
          <w:rFonts w:cs="Arial"/>
        </w:rPr>
        <w:t>Mōtika Turi</w:t>
      </w:r>
      <w:bookmarkEnd w:id="475"/>
    </w:p>
    <w:p w14:paraId="2BDA2612" w14:textId="32581D34" w:rsidR="00FE4E56" w:rsidRPr="004A0212" w:rsidRDefault="00FE4E56" w:rsidP="00D01DEA">
      <w:pPr>
        <w:pStyle w:val="Heading3"/>
        <w:rPr>
          <w:rFonts w:cs="Arial"/>
        </w:rPr>
      </w:pPr>
      <w:bookmarkStart w:id="476" w:name="_Toc181084907"/>
      <w:r w:rsidRPr="004A0212">
        <w:rPr>
          <w:rFonts w:cs="Arial"/>
        </w:rPr>
        <w:t>Deaf rights</w:t>
      </w:r>
      <w:bookmarkEnd w:id="471"/>
      <w:bookmarkEnd w:id="472"/>
      <w:bookmarkEnd w:id="473"/>
      <w:bookmarkEnd w:id="474"/>
      <w:bookmarkEnd w:id="476"/>
    </w:p>
    <w:p w14:paraId="6AF350A3" w14:textId="699E3C15" w:rsidR="00FE4E56" w:rsidRPr="004A0212" w:rsidRDefault="00FE4E56" w:rsidP="007D73A6">
      <w:pPr>
        <w:pStyle w:val="AllNumbparas"/>
      </w:pPr>
      <w:r w:rsidRPr="004A0212">
        <w:t>During the first half of the Inquiry period, Deaf children, young people and adults were actively discouraged or banned from speaking sign language in care settings, particularly schools. By the 1970s, Aotearoa New Zealand and the international community were aware that the policy of oralism (undertaken for the past 100 years) needed to change.</w:t>
      </w:r>
      <w:r w:rsidRPr="004A0212">
        <w:rPr>
          <w:rStyle w:val="StyleFootnoteReferenceFagoFunotenzeichenFagoFunotenzeichen"/>
        </w:rPr>
        <w:endnoteReference w:id="400"/>
      </w:r>
      <w:r w:rsidRPr="004A0212">
        <w:t xml:space="preserve"> </w:t>
      </w:r>
    </w:p>
    <w:p w14:paraId="13695DBA" w14:textId="075ABAAE" w:rsidR="00FE4E56" w:rsidRPr="004A0212" w:rsidRDefault="00FE4E56" w:rsidP="007D73A6">
      <w:pPr>
        <w:pStyle w:val="AllNumbparas"/>
      </w:pPr>
      <w:r w:rsidRPr="004A0212">
        <w:t xml:space="preserve">This led to the </w:t>
      </w:r>
      <w:r w:rsidRPr="004A0212">
        <w:rPr>
          <w:rFonts w:eastAsia="Arial"/>
        </w:rPr>
        <w:t xml:space="preserve">introduction in 1979 of the Total Communication approach into the education system. </w:t>
      </w:r>
      <w:r w:rsidRPr="004A0212">
        <w:t>Total Communication used some signing but mirrored English language and grammar. It continued to prohibit Deaf people from communicating in the way they wanted to.</w:t>
      </w:r>
      <w:r w:rsidRPr="004A0212">
        <w:rPr>
          <w:rStyle w:val="StyleFootnoteReferenceFagoFunotenzeichenFagoFunotenzeichen"/>
        </w:rPr>
        <w:endnoteReference w:id="401"/>
      </w:r>
      <w:r w:rsidRPr="004A0212">
        <w:t xml:space="preserve"> It was not until the late 1980s that the State and general public were increasingly aware and accepting that Deaf people had their own language and culture.</w:t>
      </w:r>
      <w:r w:rsidRPr="004A0212">
        <w:rPr>
          <w:rStyle w:val="StyleFootnoteReferenceFagoFunotenzeichenFagoFunotenzeichen"/>
        </w:rPr>
        <w:endnoteReference w:id="402"/>
      </w:r>
      <w:r w:rsidRPr="004A0212">
        <w:t xml:space="preserve"> </w:t>
      </w:r>
    </w:p>
    <w:p w14:paraId="70C31E0D" w14:textId="77777777" w:rsidR="00FE4E56" w:rsidRPr="004A0212" w:rsidRDefault="00FE4E56" w:rsidP="00206D28">
      <w:pPr>
        <w:pStyle w:val="AllNumbparas"/>
      </w:pPr>
      <w:r w:rsidRPr="004A0212">
        <w:t xml:space="preserve">Some other developments during this period included: </w:t>
      </w:r>
    </w:p>
    <w:p w14:paraId="20AEE4BD" w14:textId="77777777" w:rsidR="00FE4E56" w:rsidRPr="004A0212" w:rsidRDefault="00FE4E56" w:rsidP="00DF328C">
      <w:pPr>
        <w:pStyle w:val="Bulletpoints"/>
      </w:pPr>
      <w:r w:rsidRPr="004A0212">
        <w:t xml:space="preserve">1977 – Deaf Association of New Zealand formed </w:t>
      </w:r>
    </w:p>
    <w:p w14:paraId="77ACB267" w14:textId="77777777" w:rsidR="00FE4E56" w:rsidRPr="004A0212" w:rsidRDefault="00FE4E56" w:rsidP="00DF328C">
      <w:pPr>
        <w:pStyle w:val="Bulletpoints"/>
      </w:pPr>
      <w:r w:rsidRPr="004A0212">
        <w:lastRenderedPageBreak/>
        <w:t xml:space="preserve">1983 – first national Deaf awareness week held </w:t>
      </w:r>
    </w:p>
    <w:p w14:paraId="71BDF174" w14:textId="77777777" w:rsidR="00FE4E56" w:rsidRPr="004A0212" w:rsidRDefault="00FE4E56" w:rsidP="00DF328C">
      <w:pPr>
        <w:pStyle w:val="Bulletpoints"/>
      </w:pPr>
      <w:r w:rsidRPr="004A0212">
        <w:t xml:space="preserve">1985 – first training course for NZSL interpreters </w:t>
      </w:r>
    </w:p>
    <w:p w14:paraId="4DBC4BCA" w14:textId="587962F7" w:rsidR="00FE4E56" w:rsidRPr="004A0212" w:rsidRDefault="00FE4E56" w:rsidP="00DF328C">
      <w:pPr>
        <w:pStyle w:val="Bulletpoints"/>
      </w:pPr>
      <w:r w:rsidRPr="004A0212">
        <w:t xml:space="preserve">1993 – first national hui for tāngata Turi Māori held </w:t>
      </w:r>
    </w:p>
    <w:p w14:paraId="702C3539" w14:textId="65FF2E3E" w:rsidR="00FE4E56" w:rsidRPr="004A0212" w:rsidRDefault="00FE4E56" w:rsidP="00DF328C">
      <w:pPr>
        <w:pStyle w:val="Bulletpoints"/>
      </w:pPr>
      <w:r w:rsidRPr="004A0212">
        <w:t xml:space="preserve">1995 – the Ako report, commissioned by Te Pūni Kōkiri, finds that tāngata </w:t>
      </w:r>
      <w:r>
        <w:t>T</w:t>
      </w:r>
      <w:r w:rsidRPr="004A0212">
        <w:t>uri Māori suffer additional discrimination due to being both Deaf and Māori, and that this needed to be recognised for tāngata Turi Māori to fully exercise their tino rangatiratanga in order to fulfil their aspirations in both the Māori and Deaf communities.</w:t>
      </w:r>
      <w:r w:rsidRPr="004A0212">
        <w:rPr>
          <w:rStyle w:val="StyleFootnoteReferenceFagoFunotenzeichenFagoFunotenzeichen"/>
        </w:rPr>
        <w:endnoteReference w:id="403"/>
      </w:r>
    </w:p>
    <w:p w14:paraId="5620529E" w14:textId="3262A09D" w:rsidR="00FE4E56" w:rsidRPr="004A0212" w:rsidRDefault="00FE4E56" w:rsidP="00536E67">
      <w:pPr>
        <w:pStyle w:val="AllNumbparas"/>
      </w:pPr>
      <w:r w:rsidRPr="004A0212">
        <w:t>Tāngata Turi Māori identify as both Māori and Deaf, and face barriers including a lack of trained interpreters who know both New Zealand Sign Language and te reo Māori.  While they are overrepresented in Deaf statistics, tāngata Turi Māori perspectives are underrepresented in Deaf policies.</w:t>
      </w:r>
      <w:r w:rsidRPr="004A0212">
        <w:rPr>
          <w:rStyle w:val="EndnoteReference"/>
        </w:rPr>
        <w:endnoteReference w:id="404"/>
      </w:r>
    </w:p>
    <w:p w14:paraId="37DB44DB" w14:textId="77777777" w:rsidR="00FE4E56" w:rsidRDefault="00FE4E56" w:rsidP="00D01DEA">
      <w:pPr>
        <w:pStyle w:val="Heading3"/>
        <w:rPr>
          <w:rFonts w:cs="Arial"/>
        </w:rPr>
      </w:pPr>
      <w:bookmarkStart w:id="477" w:name="_Toc147935463"/>
      <w:bookmarkStart w:id="478" w:name="_Toc148443657"/>
      <w:bookmarkStart w:id="479" w:name="_Toc150933160"/>
      <w:bookmarkStart w:id="480" w:name="_Toc150953478"/>
      <w:bookmarkStart w:id="481" w:name="_Toc1652694162"/>
      <w:bookmarkStart w:id="482" w:name="_Toc150933159"/>
      <w:bookmarkStart w:id="483" w:name="_Toc150953477"/>
      <w:bookmarkStart w:id="484" w:name="_Toc181084908"/>
      <w:r w:rsidRPr="004A0212">
        <w:rPr>
          <w:rFonts w:cs="Arial"/>
        </w:rPr>
        <w:t>Mōtika whaikaha</w:t>
      </w:r>
      <w:bookmarkEnd w:id="484"/>
    </w:p>
    <w:p w14:paraId="7027296D" w14:textId="0CB86514" w:rsidR="00FE4E56" w:rsidRPr="004A0212" w:rsidRDefault="00FE4E56" w:rsidP="00D01DEA">
      <w:pPr>
        <w:pStyle w:val="Heading3"/>
        <w:rPr>
          <w:rFonts w:cs="Arial"/>
        </w:rPr>
      </w:pPr>
      <w:bookmarkStart w:id="485" w:name="_Toc181084909"/>
      <w:r w:rsidRPr="004A0212">
        <w:rPr>
          <w:rFonts w:cs="Arial"/>
        </w:rPr>
        <w:t xml:space="preserve">Disability </w:t>
      </w:r>
      <w:bookmarkEnd w:id="477"/>
      <w:bookmarkEnd w:id="478"/>
      <w:r w:rsidRPr="004A0212">
        <w:rPr>
          <w:rFonts w:cs="Arial"/>
        </w:rPr>
        <w:t>rights</w:t>
      </w:r>
      <w:bookmarkEnd w:id="479"/>
      <w:bookmarkEnd w:id="480"/>
      <w:bookmarkEnd w:id="481"/>
      <w:bookmarkEnd w:id="485"/>
    </w:p>
    <w:p w14:paraId="296D2346" w14:textId="2B2B125D" w:rsidR="00FE4E56" w:rsidRPr="004A0212" w:rsidRDefault="00FE4E56" w:rsidP="007D73A6">
      <w:pPr>
        <w:pStyle w:val="AllNumbparas"/>
      </w:pPr>
      <w:r w:rsidRPr="004A0212">
        <w:t>During the 1960s and 1970s, the disability rights movement challenged the</w:t>
      </w:r>
      <w:r w:rsidRPr="004A0212" w:rsidDel="001A3142">
        <w:t xml:space="preserve"> </w:t>
      </w:r>
      <w:r w:rsidRPr="004A0212">
        <w:t>State’s policies and approach to the care of disabled people. Internationally, disabled people developed the social model of disability in response to the traditional medical model and attitudes.</w:t>
      </w:r>
      <w:r w:rsidRPr="004A0212">
        <w:rPr>
          <w:rStyle w:val="StyleFootnoteReferenceFagoFunotenzeichenFagoFunotenzeichen"/>
        </w:rPr>
        <w:endnoteReference w:id="405"/>
      </w:r>
      <w:r w:rsidRPr="004A0212">
        <w:t xml:space="preserve"> The social model “asserts that a person is disabled by society rather than by their body or abilities”.</w:t>
      </w:r>
      <w:r w:rsidRPr="004A0212">
        <w:rPr>
          <w:rStyle w:val="StyleFootnoteReferenceFagoFunotenzeichenFagoFunotenzeichen"/>
        </w:rPr>
        <w:endnoteReference w:id="406"/>
      </w:r>
      <w:r w:rsidRPr="004A0212">
        <w:rPr>
          <w:vertAlign w:val="superscript"/>
        </w:rPr>
        <w:t xml:space="preserve"> </w:t>
      </w:r>
    </w:p>
    <w:p w14:paraId="1E990F09" w14:textId="4C391F1A" w:rsidR="00FE4E56" w:rsidRPr="004A0212" w:rsidRDefault="00FE4E56" w:rsidP="007D73A6">
      <w:pPr>
        <w:pStyle w:val="AllNumbparas"/>
      </w:pPr>
      <w:r w:rsidRPr="004A0212">
        <w:t>The social model of disability, with its emphasis on removing attitudinal and physical barriers to participation, led to policy shifts that enabled the closure of large institutions. The movement to deinstitutionalise Aotearoa New Zealand began through the advocacy of several groups and individuals. Deinstitutionalisation was first proposed in the third report of the Royal Commission into Hospital and Related Services in 1973. This report was highly critical of putting people into institutions and recommended community-based care.</w:t>
      </w:r>
      <w:r w:rsidRPr="004A0212">
        <w:rPr>
          <w:rStyle w:val="StyleFootnoteReferenceFagoFunotenzeichenFagoFunotenzeichen"/>
        </w:rPr>
        <w:endnoteReference w:id="407"/>
      </w:r>
    </w:p>
    <w:p w14:paraId="70E293D3" w14:textId="6BDCD88C" w:rsidR="00FE4E56" w:rsidRPr="004A0212" w:rsidRDefault="00FE4E56" w:rsidP="007D73A6">
      <w:pPr>
        <w:pStyle w:val="AllNumbparas"/>
      </w:pPr>
      <w:r w:rsidRPr="004A0212">
        <w:t>From 1974, the State stopped building new psychiatric and psychopaedic hospitals.</w:t>
      </w:r>
      <w:r w:rsidRPr="004A0212">
        <w:rPr>
          <w:rStyle w:val="StyleFootnoteReferenceFagoFunotenzeichenFagoFunotenzeichen"/>
        </w:rPr>
        <w:endnoteReference w:id="408"/>
      </w:r>
      <w:r w:rsidRPr="004A0212">
        <w:t xml:space="preserve"> Existing institutions remained open and continued to be used. Closing</w:t>
      </w:r>
      <w:r w:rsidRPr="004A0212" w:rsidDel="00B31C80">
        <w:t xml:space="preserve"> </w:t>
      </w:r>
      <w:r w:rsidRPr="004A0212">
        <w:t>psychiatric and psychopaedic institutions took more than 30 years, with Kimberley, the last of the big psychopaedic hospitals, closing in 2006.</w:t>
      </w:r>
    </w:p>
    <w:p w14:paraId="3F4DF166" w14:textId="77777777" w:rsidR="00FE4E56" w:rsidRPr="004A0212" w:rsidRDefault="00FE4E56" w:rsidP="007D73A6">
      <w:pPr>
        <w:pStyle w:val="AllNumbparas"/>
      </w:pPr>
      <w:r w:rsidRPr="004A0212">
        <w:t>The first pan-disability advocacy group, the Disabled Persons Assembly, was established in 1983. This was shortly after the United Nations International Year of Disabled Persons in 1981. Other</w:t>
      </w:r>
      <w:r w:rsidRPr="004A0212" w:rsidDel="00B31C80">
        <w:t xml:space="preserve"> </w:t>
      </w:r>
      <w:r w:rsidRPr="004A0212">
        <w:t>disabled person’s</w:t>
      </w:r>
      <w:r w:rsidRPr="004A0212" w:rsidDel="00B31C80">
        <w:t xml:space="preserve"> </w:t>
      </w:r>
      <w:r w:rsidRPr="004A0212">
        <w:t>organisations joined this growing movement, including what eventually became Deaf Aotearoa.</w:t>
      </w:r>
      <w:r w:rsidRPr="004A0212">
        <w:rPr>
          <w:rStyle w:val="StyleFootnoteReferenceFagoFunotenzeichenFagoFunotenzeichen"/>
        </w:rPr>
        <w:endnoteReference w:id="409"/>
      </w:r>
      <w:r w:rsidRPr="004A0212">
        <w:t xml:space="preserve"> </w:t>
      </w:r>
    </w:p>
    <w:p w14:paraId="2C32B7B0" w14:textId="77777777" w:rsidR="00FE4E56" w:rsidRPr="004A0212" w:rsidRDefault="00FE4E56" w:rsidP="007D73A6">
      <w:pPr>
        <w:pStyle w:val="AllNumbparas"/>
      </w:pPr>
      <w:r w:rsidRPr="004A0212">
        <w:t>The Aotearoa Network of Psychiatric Survivors was created in 1990 to support users of mental health services and improve the mental health system. It lobbied for deinstitutionalisation of care and community-based housing for former patients.</w:t>
      </w:r>
      <w:r w:rsidRPr="004A0212">
        <w:rPr>
          <w:rStyle w:val="StyleFootnoteReferenceFagoFunotenzeichenFagoFunotenzeichen"/>
        </w:rPr>
        <w:endnoteReference w:id="410"/>
      </w:r>
    </w:p>
    <w:p w14:paraId="5002D1BB" w14:textId="77777777" w:rsidR="001A6ED5" w:rsidRDefault="001A6ED5">
      <w:pPr>
        <w:keepLines w:val="0"/>
        <w:rPr>
          <w:rFonts w:ascii="Arial" w:eastAsia="Calibri" w:hAnsi="Arial" w:cs="Arial"/>
          <w:bCs/>
          <w:color w:val="222222"/>
          <w:sz w:val="22"/>
          <w:szCs w:val="22"/>
          <w:shd w:val="clear" w:color="auto" w:fill="FFFFFF"/>
        </w:rPr>
      </w:pPr>
      <w:r>
        <w:br w:type="page"/>
      </w:r>
    </w:p>
    <w:p w14:paraId="1900EC91" w14:textId="74DCA715" w:rsidR="00FE4E56" w:rsidRPr="004A0212" w:rsidRDefault="00FE4E56" w:rsidP="007D73A6">
      <w:pPr>
        <w:pStyle w:val="AllNumbparas"/>
      </w:pPr>
      <w:r w:rsidRPr="004A0212">
        <w:lastRenderedPageBreak/>
        <w:t>Māori disability rights activists note that despite having higher rates of disability than non-Māori, Māori are not always represented in advocacy and activist groups for disability.</w:t>
      </w:r>
      <w:r w:rsidRPr="004A0212">
        <w:rPr>
          <w:rStyle w:val="EndnoteReference"/>
        </w:rPr>
        <w:endnoteReference w:id="411"/>
      </w:r>
      <w:r w:rsidRPr="004A0212">
        <w:t xml:space="preserve"> In addition, disability frameworks such as the social model view disability as largely individual. This is at odds with indigenous perspectives, which are holistic and collective.</w:t>
      </w:r>
      <w:r w:rsidRPr="004A0212">
        <w:rPr>
          <w:rStyle w:val="EndnoteReference"/>
        </w:rPr>
        <w:endnoteReference w:id="412"/>
      </w:r>
    </w:p>
    <w:p w14:paraId="64F3EFDD" w14:textId="40BC2EC8" w:rsidR="00FE4E56" w:rsidRPr="004A0212" w:rsidRDefault="00FE4E56" w:rsidP="007F1413">
      <w:pPr>
        <w:pStyle w:val="AllNumbparas"/>
      </w:pPr>
      <w:r w:rsidRPr="004A0212">
        <w:t>The growing trend towards mainstreaming the education of learning-disabled children led the Department of Education’s special residential school rolls to shrink during the 1980s.</w:t>
      </w:r>
      <w:r w:rsidRPr="004A0212">
        <w:rPr>
          <w:rStyle w:val="StyleFootnoteReferenceFagoFunotenzeichenFagoFunotenzeichen"/>
        </w:rPr>
        <w:endnoteReference w:id="413"/>
      </w:r>
      <w:r w:rsidRPr="004A0212">
        <w:t> The Education Act 1989 formalised the move away from special residential schools to the State education system by increasing provisions for disabled children in mainstream education.</w:t>
      </w:r>
      <w:r w:rsidRPr="004A0212">
        <w:rPr>
          <w:rStyle w:val="StyleFootnoteReferenceFagoFunotenzeichenFagoFunotenzeichen"/>
        </w:rPr>
        <w:endnoteReference w:id="414"/>
      </w:r>
      <w:r w:rsidRPr="004A0212">
        <w:t xml:space="preserve"> However, the Secretary of Education could still direct a disabled child to attend a special school or class.</w:t>
      </w:r>
    </w:p>
    <w:p w14:paraId="416450BA" w14:textId="720A6BF5" w:rsidR="00FE4E56" w:rsidRPr="004A0212" w:rsidRDefault="00FE4E56" w:rsidP="00E64135">
      <w:pPr>
        <w:pStyle w:val="Numbparas"/>
      </w:pPr>
      <w:r w:rsidRPr="004A0212">
        <w:t>In 1994 the State passed the Health and Disability Commissioner Act. As part of moves to ensure that consumers of health and disability services would have the right to be treated fairly, a Code of Health and Disability Consumer’s Rights was produced. An independent commissioner was appointed, assisted by a free, independent national advocacy service to support people to make complaints under the code.</w:t>
      </w:r>
      <w:r w:rsidRPr="004A0212">
        <w:rPr>
          <w:rStyle w:val="StyleFootnoteReferenceFagoFunotenzeichenFagoFunotenzeichen"/>
        </w:rPr>
        <w:endnoteReference w:id="415"/>
      </w:r>
      <w:r w:rsidRPr="004A0212">
        <w:rPr>
          <w:rStyle w:val="EndnoteReference"/>
        </w:rPr>
        <w:t xml:space="preserve"> </w:t>
      </w:r>
    </w:p>
    <w:p w14:paraId="53A86908" w14:textId="6C8223CF" w:rsidR="00FE4E56" w:rsidRPr="004A0212" w:rsidRDefault="00FE4E56" w:rsidP="00E64135">
      <w:pPr>
        <w:pStyle w:val="Numbparas"/>
      </w:pPr>
      <w:r w:rsidRPr="004A0212">
        <w:t>The 1992 Mental Health Act established the Mental Health Review Tribunal, an independent body appointed by the Minister of Health to decide among other things, whether patients are fit to be released from compulsory status, investigate complaints about breaches of patient rights, and appoint second-opinion psychiatrists.</w:t>
      </w:r>
      <w:r w:rsidRPr="004A0212">
        <w:rPr>
          <w:rStyle w:val="StyleFootnoteReferenceFagoFunotenzeichenFagoFunotenzeichen"/>
        </w:rPr>
        <w:endnoteReference w:id="416"/>
      </w:r>
    </w:p>
    <w:p w14:paraId="76F2BD4D" w14:textId="28DAF1C6" w:rsidR="00FE4E56" w:rsidRPr="004A0212" w:rsidRDefault="00FE4E56" w:rsidP="007D73A6">
      <w:pPr>
        <w:pStyle w:val="AllNumbparas"/>
        <w:rPr>
          <w:b/>
        </w:rPr>
      </w:pPr>
      <w:bookmarkStart w:id="488" w:name="_Toc117598819"/>
      <w:bookmarkStart w:id="489" w:name="_Toc117607091"/>
      <w:bookmarkStart w:id="490" w:name="_Toc118315297"/>
      <w:r w:rsidRPr="004A0212">
        <w:t>The international disability rights movement was also at the forefront of disability policies, with “Nothing about us without us” becoming the international slogan.</w:t>
      </w:r>
      <w:r w:rsidRPr="004A0212">
        <w:rPr>
          <w:rStyle w:val="StyleFootnoteReferenceFagoFunotenzeichenFagoFunotenzeichen"/>
        </w:rPr>
        <w:endnoteReference w:id="417"/>
      </w:r>
      <w:r w:rsidRPr="004A0212">
        <w:t xml:space="preserve"> Aotearoa New Zealand established a Minister for Disability Issues in 1999. </w:t>
      </w:r>
    </w:p>
    <w:p w14:paraId="72AA32E5" w14:textId="099DF08B" w:rsidR="00FE4E56" w:rsidRDefault="00FE4E56" w:rsidP="00D01DEA">
      <w:pPr>
        <w:pStyle w:val="Heading3"/>
        <w:rPr>
          <w:rFonts w:cs="Arial"/>
        </w:rPr>
      </w:pPr>
      <w:bookmarkStart w:id="491" w:name="_Toc147935465"/>
      <w:bookmarkStart w:id="492" w:name="_Toc148443659"/>
      <w:bookmarkStart w:id="493" w:name="_Toc150933162"/>
      <w:bookmarkStart w:id="494" w:name="_Toc150953480"/>
      <w:bookmarkStart w:id="495" w:name="_Toc447122230"/>
      <w:bookmarkStart w:id="496" w:name="_Toc181084910"/>
      <w:bookmarkEnd w:id="488"/>
      <w:bookmarkEnd w:id="489"/>
      <w:bookmarkEnd w:id="490"/>
      <w:r w:rsidRPr="004A0212">
        <w:rPr>
          <w:rFonts w:cs="Arial"/>
        </w:rPr>
        <w:t xml:space="preserve">Mōtika </w:t>
      </w:r>
      <w:r>
        <w:rPr>
          <w:rFonts w:cs="Arial"/>
        </w:rPr>
        <w:t>Takatāpui</w:t>
      </w:r>
      <w:bookmarkEnd w:id="496"/>
    </w:p>
    <w:p w14:paraId="3C3E8632" w14:textId="190A7308" w:rsidR="00FE4E56" w:rsidRPr="004A0212" w:rsidRDefault="00FE4E56" w:rsidP="00D01DEA">
      <w:pPr>
        <w:pStyle w:val="Heading3"/>
        <w:rPr>
          <w:rFonts w:cs="Arial"/>
        </w:rPr>
      </w:pPr>
      <w:bookmarkStart w:id="497" w:name="_Toc181084911"/>
      <w:r w:rsidRPr="004A0212">
        <w:rPr>
          <w:rFonts w:cs="Arial"/>
        </w:rPr>
        <w:t>Gay rights</w:t>
      </w:r>
      <w:bookmarkEnd w:id="491"/>
      <w:bookmarkEnd w:id="492"/>
      <w:bookmarkEnd w:id="493"/>
      <w:bookmarkEnd w:id="494"/>
      <w:bookmarkEnd w:id="495"/>
      <w:bookmarkEnd w:id="497"/>
    </w:p>
    <w:p w14:paraId="45AEF66B" w14:textId="79DBD872" w:rsidR="00FE4E56" w:rsidRPr="004A0212" w:rsidRDefault="00FE4E56" w:rsidP="007D73A6">
      <w:pPr>
        <w:pStyle w:val="AllNumbparas"/>
      </w:pPr>
      <w:r w:rsidRPr="004A0212">
        <w:t>The psychiatric profession’s position on homosexuality as a mental illness began to shift by the 1970s. Psychiatric bodies in several countries removed homosexuality from their catalogues of mental disorders. In Aotearoa New Zealand, some of the key events in these decades included:</w:t>
      </w:r>
    </w:p>
    <w:p w14:paraId="643040EF" w14:textId="5944EF5E" w:rsidR="00FE4E56" w:rsidRPr="004A0212" w:rsidRDefault="00FE4E56" w:rsidP="005C4C07">
      <w:pPr>
        <w:pStyle w:val="Bulletpoints"/>
      </w:pPr>
      <w:r w:rsidRPr="004A0212">
        <w:t>1973 – the first national lesbian organisation, Sisters for Homophile Equality (SHE), was formed</w:t>
      </w:r>
    </w:p>
    <w:p w14:paraId="2A37F767" w14:textId="449FCA55" w:rsidR="00FE4E56" w:rsidRPr="004A0212" w:rsidRDefault="00FE4E56" w:rsidP="005C4C07">
      <w:pPr>
        <w:pStyle w:val="Bulletpoints"/>
      </w:pPr>
      <w:r w:rsidRPr="004A0212">
        <w:t>1970s – Aotearoa New Zealand Gay Pride Week and march begins</w:t>
      </w:r>
    </w:p>
    <w:p w14:paraId="65939FC3" w14:textId="0B5F2DC9" w:rsidR="00FE4E56" w:rsidRPr="004A0212" w:rsidRDefault="00FE4E56" w:rsidP="005C4C07">
      <w:pPr>
        <w:pStyle w:val="Bulletpoints"/>
      </w:pPr>
      <w:r w:rsidRPr="004A0212">
        <w:t>1985 – Fran Wilde, Labour Member of Parliament for Te Whanganui-</w:t>
      </w:r>
      <w:r w:rsidRPr="0050016F">
        <w:rPr>
          <w:rStyle w:val="normaltextrun"/>
        </w:rPr>
        <w:t>ā</w:t>
      </w:r>
      <w:r w:rsidRPr="004A0212">
        <w:t xml:space="preserve">-Tara Wellington, introduced the Homosexual Law Reform Bill. It passed in 1986, decriminalising sexual relations between adult men </w:t>
      </w:r>
    </w:p>
    <w:p w14:paraId="7E505B02" w14:textId="0D2135D5" w:rsidR="00FE4E56" w:rsidRPr="004A0212" w:rsidRDefault="00FE4E56" w:rsidP="005C4C07">
      <w:pPr>
        <w:pStyle w:val="Bulletpoints"/>
      </w:pPr>
      <w:r w:rsidRPr="004A0212">
        <w:t>1993 – the Human Rights Act was passed and included the prohibition of discrimination based on sexual orientation.</w:t>
      </w:r>
      <w:r w:rsidRPr="004A0212">
        <w:rPr>
          <w:rStyle w:val="StyleFootnoteReferenceFagoFunotenzeichenFagoFunotenzeichen"/>
        </w:rPr>
        <w:endnoteReference w:id="418"/>
      </w:r>
    </w:p>
    <w:p w14:paraId="5F729BAB" w14:textId="77777777" w:rsidR="001A6ED5" w:rsidRDefault="001A6ED5">
      <w:pPr>
        <w:keepLines w:val="0"/>
        <w:rPr>
          <w:rFonts w:ascii="Arial" w:hAnsi="Arial" w:cs="Arial"/>
          <w:color w:val="3B5D1E" w:themeColor="accent4" w:themeShade="BF"/>
          <w:szCs w:val="26"/>
          <w:shd w:val="clear" w:color="auto" w:fill="FFFFFF"/>
        </w:rPr>
      </w:pPr>
      <w:bookmarkStart w:id="498" w:name="_Toc1928644801"/>
      <w:r>
        <w:rPr>
          <w:rFonts w:cs="Arial"/>
          <w:shd w:val="clear" w:color="auto" w:fill="FFFFFF"/>
        </w:rPr>
        <w:br w:type="page"/>
      </w:r>
    </w:p>
    <w:p w14:paraId="0C263CCF" w14:textId="1734CB94" w:rsidR="00FE4E56" w:rsidRDefault="00FE4E56" w:rsidP="00867B0B">
      <w:pPr>
        <w:pStyle w:val="Heading3"/>
        <w:rPr>
          <w:rFonts w:cs="Arial"/>
          <w:shd w:val="clear" w:color="auto" w:fill="FFFFFF"/>
        </w:rPr>
      </w:pPr>
      <w:bookmarkStart w:id="499" w:name="_Toc181084912"/>
      <w:r w:rsidRPr="004A0212">
        <w:rPr>
          <w:rFonts w:cs="Arial"/>
          <w:shd w:val="clear" w:color="auto" w:fill="FFFFFF"/>
        </w:rPr>
        <w:lastRenderedPageBreak/>
        <w:t>Mōtika tamariki</w:t>
      </w:r>
      <w:bookmarkEnd w:id="499"/>
    </w:p>
    <w:p w14:paraId="69C2A5FB" w14:textId="40EBA750" w:rsidR="00FE4E56" w:rsidRPr="004A0212" w:rsidRDefault="00FE4E56" w:rsidP="00867B0B">
      <w:pPr>
        <w:pStyle w:val="Heading3"/>
        <w:rPr>
          <w:rFonts w:cs="Arial"/>
          <w:shd w:val="clear" w:color="auto" w:fill="FFFFFF"/>
        </w:rPr>
      </w:pPr>
      <w:bookmarkStart w:id="500" w:name="_Toc181084913"/>
      <w:r w:rsidRPr="004A0212">
        <w:rPr>
          <w:rFonts w:cs="Arial"/>
          <w:shd w:val="clear" w:color="auto" w:fill="FFFFFF"/>
        </w:rPr>
        <w:t>Rights of children</w:t>
      </w:r>
      <w:bookmarkEnd w:id="498"/>
      <w:bookmarkEnd w:id="500"/>
    </w:p>
    <w:p w14:paraId="6B667B47" w14:textId="3926A171" w:rsidR="00FE4E56" w:rsidRPr="004A0212" w:rsidRDefault="00FE4E56" w:rsidP="007D73A6">
      <w:pPr>
        <w:pStyle w:val="AllNumbparas"/>
      </w:pPr>
      <w:r w:rsidRPr="004A0212">
        <w:t xml:space="preserve">Specific rights for children and young people increased across the last three decades of the Inquiry period. The Children and Young Persons Act 1974 </w:t>
      </w:r>
      <w:r w:rsidRPr="004A0212">
        <w:rPr>
          <w:rStyle w:val="normaltextrun"/>
        </w:rPr>
        <w:t>allowed the Children’s Court to remand children and young people in penal institutions if there was no suitable alternative.</w:t>
      </w:r>
      <w:r w:rsidRPr="004A0212">
        <w:rPr>
          <w:rStyle w:val="StyleFootnoteReferenceFagoFunotenzeichenFagoFunotenzeichen"/>
        </w:rPr>
        <w:endnoteReference w:id="419"/>
      </w:r>
      <w:r w:rsidRPr="004A0212">
        <w:rPr>
          <w:rStyle w:val="normaltextrun"/>
        </w:rPr>
        <w:t xml:space="preserve"> This was changed in 1985 when only those aged 16 years and over who committed violent offences could be sent to a</w:t>
      </w:r>
      <w:r w:rsidRPr="004A0212">
        <w:t xml:space="preserve"> penal institution.</w:t>
      </w:r>
      <w:r w:rsidRPr="004A0212">
        <w:rPr>
          <w:rStyle w:val="StyleFootnoteReferenceFagoFunotenzeichenFagoFunotenzeichen"/>
        </w:rPr>
        <w:endnoteReference w:id="420"/>
      </w:r>
    </w:p>
    <w:p w14:paraId="6362D0FE" w14:textId="287648B1" w:rsidR="00FE4E56" w:rsidRPr="004A0212" w:rsidRDefault="00FE4E56" w:rsidP="00EC3169">
      <w:pPr>
        <w:pStyle w:val="Numbparas"/>
      </w:pPr>
      <w:r w:rsidRPr="004A0212">
        <w:t>The Children, Young Persons, and Their Families Act 1989 established the role of the Children’s Commissioner.</w:t>
      </w:r>
      <w:r w:rsidRPr="004A0212">
        <w:rPr>
          <w:rStyle w:val="StyleFootnoteReferenceFagoFunotenzeichenFagoFunotenzeichen"/>
        </w:rPr>
        <w:endnoteReference w:id="421"/>
      </w:r>
      <w:r w:rsidRPr="004A0212">
        <w:rPr>
          <w:rStyle w:val="EndnoteReference"/>
        </w:rPr>
        <w:t xml:space="preserve"> </w:t>
      </w:r>
      <w:r w:rsidRPr="004A0212">
        <w:t>The Commissioner’s role is to assess and monitor the policies and practices provided under the Children, Young Persons, and Their Families Act 1989 and the outcomes being achieved for children in care.</w:t>
      </w:r>
      <w:r w:rsidRPr="004A0212">
        <w:rPr>
          <w:rStyle w:val="StyleFootnoteReferenceFagoFunotenzeichenFagoFunotenzeichen"/>
        </w:rPr>
        <w:endnoteReference w:id="422"/>
      </w:r>
      <w:r w:rsidRPr="004A0212">
        <w:rPr>
          <w:rStyle w:val="EndnoteReference"/>
        </w:rPr>
        <w:t xml:space="preserve"> </w:t>
      </w:r>
    </w:p>
    <w:p w14:paraId="55943E9D" w14:textId="62106273" w:rsidR="00FE4E56" w:rsidRPr="004A0212" w:rsidRDefault="00FE4E56" w:rsidP="007D73A6">
      <w:pPr>
        <w:pStyle w:val="AllNumbparas"/>
      </w:pPr>
      <w:r w:rsidRPr="004A0212">
        <w:t>Aotearoa New Zealand ratified the United Nation Convention of the Rights of the Child (UNCROC) in 1993. UNCROC defines a child as every human below the age of 18 years. Article 19 specifies the child’s right to protection from all forms of physical or mental violence, injury or abuse, neglect or negligent treatment, maltreatment or exploitation, including sexual abuse.</w:t>
      </w:r>
      <w:r w:rsidRPr="004A0212">
        <w:rPr>
          <w:rStyle w:val="StyleFootnoteReferenceFagoFunotenzeichenFagoFunotenzeichen"/>
        </w:rPr>
        <w:endnoteReference w:id="423"/>
      </w:r>
    </w:p>
    <w:p w14:paraId="3332F590" w14:textId="77777777" w:rsidR="00FE4E56" w:rsidRPr="004A0212" w:rsidRDefault="00FE4E56" w:rsidP="007D73A6">
      <w:pPr>
        <w:pStyle w:val="AllNumbparas"/>
      </w:pPr>
      <w:r w:rsidRPr="004A0212">
        <w:t>The convention reflected decades of activism and growing awareness of children’s rights. It set out children’s rights and the responsibility of parents, adults and governments to ensure children receive these entitlements. The convention was instrumental in creating a new perspective toward children in the countries that signed up. Aotearoa New Zealand signed the convention in 1993.</w:t>
      </w:r>
      <w:r w:rsidRPr="004A0212">
        <w:rPr>
          <w:rStyle w:val="StyleFootnoteReferenceFagoFunotenzeichenFagoFunotenzeichen"/>
        </w:rPr>
        <w:endnoteReference w:id="424"/>
      </w:r>
    </w:p>
    <w:p w14:paraId="2AD375BA" w14:textId="1CAFAB82" w:rsidR="00FE4E56" w:rsidRPr="004A0212" w:rsidRDefault="00FE4E56" w:rsidP="007D73A6">
      <w:pPr>
        <w:pStyle w:val="AllNumbparas"/>
      </w:pPr>
      <w:r w:rsidRPr="004A0212">
        <w:t>The United Nations Committee on the Rights of the Child (UNCROC) expressed its concern in 1997 that Aotearoa New Zealand’s minimum age for charging a child with serious offences did not conform with the definition of the child in the UNCROC and recommended “that the [New Zealand] Government pursue the process of bringing existing legislation into line with the principles and provisions of the Convention”.</w:t>
      </w:r>
      <w:r w:rsidRPr="004A0212">
        <w:rPr>
          <w:rStyle w:val="StyleFootnoteReferenceFagoFunotenzeichenFagoFunotenzeichen"/>
        </w:rPr>
        <w:endnoteReference w:id="425"/>
      </w:r>
    </w:p>
    <w:p w14:paraId="4F29297F" w14:textId="77777777" w:rsidR="00FE4E56" w:rsidRDefault="00FE4E56" w:rsidP="00D01DEA">
      <w:pPr>
        <w:pStyle w:val="Heading3"/>
        <w:rPr>
          <w:rFonts w:cs="Arial"/>
        </w:rPr>
      </w:pPr>
      <w:bookmarkStart w:id="501" w:name="_Toc317793364"/>
      <w:bookmarkStart w:id="502" w:name="_Toc181084914"/>
      <w:r w:rsidRPr="004A0212">
        <w:rPr>
          <w:rFonts w:cs="Arial"/>
        </w:rPr>
        <w:t>Mōtika iwi Pasifika</w:t>
      </w:r>
      <w:bookmarkEnd w:id="502"/>
    </w:p>
    <w:p w14:paraId="033690AB" w14:textId="2B7E84C0" w:rsidR="00FE4E56" w:rsidRPr="004A0212" w:rsidRDefault="00FE4E56" w:rsidP="00D01DEA">
      <w:pPr>
        <w:pStyle w:val="Heading3"/>
        <w:rPr>
          <w:rFonts w:cs="Arial"/>
        </w:rPr>
      </w:pPr>
      <w:bookmarkStart w:id="503" w:name="_Toc181084915"/>
      <w:r w:rsidRPr="004A0212">
        <w:rPr>
          <w:rFonts w:cs="Arial"/>
        </w:rPr>
        <w:t>Pacific Peoples’ rights</w:t>
      </w:r>
      <w:bookmarkEnd w:id="482"/>
      <w:bookmarkEnd w:id="483"/>
      <w:bookmarkEnd w:id="501"/>
      <w:bookmarkEnd w:id="503"/>
    </w:p>
    <w:p w14:paraId="1D98CBB6" w14:textId="150EC230" w:rsidR="00FE4E56" w:rsidRPr="004A0212" w:rsidRDefault="00FE4E56" w:rsidP="007D73A6">
      <w:pPr>
        <w:pStyle w:val="AllNumbparas"/>
      </w:pPr>
      <w:r w:rsidRPr="004A0212">
        <w:t>Pacific Peoples born in Aotearoa New Zealand formed the Polynesian Panther Party in response to the growing racism and discrimination they faced.</w:t>
      </w:r>
      <w:r w:rsidRPr="004A0212">
        <w:rPr>
          <w:rStyle w:val="StyleFootnoteReferenceFagoFunotenzeichenFagoFunotenzeichen"/>
        </w:rPr>
        <w:endnoteReference w:id="426"/>
      </w:r>
      <w:r w:rsidRPr="004A0212">
        <w:rPr>
          <w:vertAlign w:val="superscript"/>
        </w:rPr>
        <w:t xml:space="preserve"> </w:t>
      </w:r>
      <w:r w:rsidRPr="004A0212">
        <w:t>The Polynesian Panther movement was the major opposer of the Dawn</w:t>
      </w:r>
      <w:r w:rsidRPr="004A0212" w:rsidDel="00F84445">
        <w:t xml:space="preserve"> </w:t>
      </w:r>
      <w:r w:rsidRPr="004A0212">
        <w:t xml:space="preserve">Raids and fought for a fairer immigration policy, and for better conditions for Pacific migrant workers. </w:t>
      </w:r>
    </w:p>
    <w:p w14:paraId="09CBCEC6" w14:textId="77777777" w:rsidR="00FE4E56" w:rsidRPr="004A0212" w:rsidRDefault="00FE4E56" w:rsidP="007D73A6">
      <w:pPr>
        <w:pStyle w:val="AllNumbparas"/>
      </w:pPr>
      <w:r w:rsidRPr="004A0212">
        <w:t>Through their efforts they drew national attention to the poor conditions of Pacific migrants and the discrimination they faced.</w:t>
      </w:r>
      <w:r w:rsidRPr="004A0212">
        <w:rPr>
          <w:rStyle w:val="StyleFootnoteReferenceFagoFunotenzeichenFagoFunotenzeichen"/>
        </w:rPr>
        <w:endnoteReference w:id="427"/>
      </w:r>
    </w:p>
    <w:p w14:paraId="2AF963F5" w14:textId="77777777" w:rsidR="00FE4E56" w:rsidRPr="004A0212" w:rsidRDefault="00FE4E56">
      <w:pPr>
        <w:keepLines w:val="0"/>
        <w:rPr>
          <w:rFonts w:ascii="Arial" w:hAnsi="Arial" w:cs="Arial"/>
          <w:b/>
          <w:bCs/>
          <w:color w:val="4F7D29" w:themeColor="accent4"/>
          <w:sz w:val="36"/>
          <w:szCs w:val="36"/>
        </w:rPr>
      </w:pPr>
      <w:bookmarkStart w:id="504" w:name="_Toc150933163"/>
      <w:bookmarkStart w:id="505" w:name="_Toc150953481"/>
      <w:r w:rsidRPr="004A0212">
        <w:br w:type="page"/>
      </w:r>
    </w:p>
    <w:p w14:paraId="4CD6F28E" w14:textId="58900950" w:rsidR="00FE4E56" w:rsidRPr="004A0212" w:rsidRDefault="00FE4E56" w:rsidP="00282055">
      <w:pPr>
        <w:pStyle w:val="Heading1"/>
        <w:rPr>
          <w:color w:val="3B5D1E" w:themeColor="accent4" w:themeShade="BF"/>
        </w:rPr>
      </w:pPr>
      <w:bookmarkStart w:id="506" w:name="_Toc1939062526"/>
      <w:bookmarkStart w:id="507" w:name="_Toc181084916"/>
      <w:r w:rsidRPr="004A0212">
        <w:rPr>
          <w:color w:val="3B5D1E" w:themeColor="accent4" w:themeShade="BF"/>
        </w:rPr>
        <w:lastRenderedPageBreak/>
        <w:t>Ūpoko 8: Ngā raraunga hangapori mō te wā Pakirehua</w:t>
      </w:r>
      <w:bookmarkEnd w:id="506"/>
      <w:bookmarkEnd w:id="507"/>
    </w:p>
    <w:p w14:paraId="2F5B873D" w14:textId="5E65CA75" w:rsidR="00FE4E56" w:rsidRPr="004A0212" w:rsidRDefault="00FE4E56" w:rsidP="00282055">
      <w:pPr>
        <w:pStyle w:val="Heading1"/>
        <w:rPr>
          <w:color w:val="3B5D1E" w:themeColor="accent4" w:themeShade="BF"/>
        </w:rPr>
      </w:pPr>
      <w:bookmarkStart w:id="508" w:name="_Toc1988214783"/>
      <w:bookmarkStart w:id="509" w:name="_Toc181084917"/>
      <w:r w:rsidRPr="004A0212">
        <w:rPr>
          <w:color w:val="3B5D1E" w:themeColor="accent4" w:themeShade="BF"/>
        </w:rPr>
        <w:t>Chapter 8: Demographic data for the Inquiry period</w:t>
      </w:r>
      <w:bookmarkEnd w:id="504"/>
      <w:bookmarkEnd w:id="505"/>
      <w:bookmarkEnd w:id="508"/>
      <w:bookmarkEnd w:id="509"/>
    </w:p>
    <w:p w14:paraId="578FC84C" w14:textId="51468EA3" w:rsidR="00FE4E56" w:rsidRPr="004A0212" w:rsidRDefault="00FE4E56" w:rsidP="007D73A6">
      <w:pPr>
        <w:pStyle w:val="AllNumbparas"/>
      </w:pPr>
      <w:r w:rsidRPr="004A0212">
        <w:t>This chapter sets out general demographic data about the Inquiry period and its three key cohorts. This data is separate from any data about the care settings and the Inquiry’s collected data.</w:t>
      </w:r>
    </w:p>
    <w:p w14:paraId="7A08BB52" w14:textId="77777777" w:rsidR="00FE4E56" w:rsidRDefault="00FE4E56" w:rsidP="00282055">
      <w:pPr>
        <w:pStyle w:val="Heading2"/>
      </w:pPr>
      <w:bookmarkStart w:id="510" w:name="_Toc1071902553"/>
      <w:bookmarkStart w:id="511" w:name="_Toc181084918"/>
      <w:r w:rsidRPr="004A0212">
        <w:t>Raraunga e hāngai ana ki te iwi Māori</w:t>
      </w:r>
      <w:bookmarkEnd w:id="511"/>
    </w:p>
    <w:p w14:paraId="210CCB33" w14:textId="2FB787AD" w:rsidR="00FE4E56" w:rsidRPr="004A0212" w:rsidRDefault="00FE4E56" w:rsidP="00282055">
      <w:pPr>
        <w:pStyle w:val="Heading2"/>
      </w:pPr>
      <w:bookmarkStart w:id="512" w:name="_Toc181084919"/>
      <w:r w:rsidRPr="004A0212">
        <w:t>Data relating to Māori</w:t>
      </w:r>
      <w:bookmarkEnd w:id="510"/>
      <w:bookmarkEnd w:id="512"/>
    </w:p>
    <w:p w14:paraId="5EB01322" w14:textId="6A75A8F6" w:rsidR="00FE4E56" w:rsidRPr="004A0212" w:rsidRDefault="00FE4E56" w:rsidP="009553A1">
      <w:pPr>
        <w:pStyle w:val="Numbparas"/>
      </w:pPr>
      <w:bookmarkStart w:id="513" w:name="_Toc148443593"/>
      <w:r w:rsidRPr="004A0212">
        <w:t>The Māori population increased from 1950 to 1999, both in numbers and as a proportion of Aotearoa New Zealand’s total population. The 1951 census recorded almost 6 percent of the population as Māori</w:t>
      </w:r>
      <w:r w:rsidRPr="004A0212">
        <w:rPr>
          <w:rStyle w:val="StyleFootnoteReferenceFagoFunotenzeichenFagoFunotenzeichen"/>
        </w:rPr>
        <w:endnoteReference w:id="428"/>
      </w:r>
      <w:r w:rsidRPr="004A0212">
        <w:t xml:space="preserve"> compared to almost 9 percent in 1976, and 14 percent in 1996.</w:t>
      </w:r>
      <w:r w:rsidRPr="004A0212">
        <w:rPr>
          <w:rStyle w:val="StyleFootnoteReferenceFagoFunotenzeichenFagoFunotenzeichen"/>
        </w:rPr>
        <w:endnoteReference w:id="429"/>
      </w:r>
      <w:r w:rsidRPr="004A0212">
        <w:t xml:space="preserve"> Questions relating to ethnicity asked in the census changed during the Inquiry period, impacting who was counted as Māori.</w:t>
      </w:r>
    </w:p>
    <w:p w14:paraId="099A3AB6" w14:textId="6EBC1191" w:rsidR="00FE4E56" w:rsidRPr="004A0212" w:rsidRDefault="00FE4E56" w:rsidP="007D73A6">
      <w:pPr>
        <w:pStyle w:val="AllNumbparas"/>
      </w:pPr>
      <w:r w:rsidRPr="004A0212">
        <w:t xml:space="preserve">For much of the Inquiry period, blood percentage, rather than Māori concepts of whakapapa, were used to define who was counted as Māori in the census. For example, figures prior to 1981 comprised people who “specified themselves as half or more New Zealand Māori”. </w:t>
      </w:r>
      <w:r w:rsidRPr="004A0212">
        <w:rPr>
          <w:rStyle w:val="StyleFootnoteReferenceFagoFunotenzeichenFagoFunotenzeichen"/>
        </w:rPr>
        <w:endnoteReference w:id="430"/>
      </w:r>
      <w:r w:rsidRPr="004A0212">
        <w:t xml:space="preserve"> </w:t>
      </w:r>
    </w:p>
    <w:p w14:paraId="7CCB0B37" w14:textId="5C9B0D3F" w:rsidR="00FE4E56" w:rsidRPr="004A0212" w:rsidRDefault="00FE4E56" w:rsidP="007D73A6">
      <w:pPr>
        <w:pStyle w:val="AllNumbparas"/>
      </w:pPr>
      <w:r w:rsidRPr="004A0212">
        <w:t>Māori had a disproportionately young population during this time. In 1966, over half (50.3 percent) of the Māori population were under 15 years old, compared with 32.6 percent of the total population being under 15 years old.</w:t>
      </w:r>
      <w:r w:rsidRPr="004A0212">
        <w:rPr>
          <w:rStyle w:val="StyleFootnoteReferenceFagoFunotenzeichenFagoFunotenzeichen"/>
        </w:rPr>
        <w:endnoteReference w:id="431"/>
      </w:r>
      <w:r w:rsidRPr="004A0212">
        <w:t xml:space="preserve"> </w:t>
      </w:r>
    </w:p>
    <w:p w14:paraId="147A388A" w14:textId="43580440" w:rsidR="00FE4E56" w:rsidRPr="004A0212" w:rsidRDefault="00FE4E56" w:rsidP="007D73A6">
      <w:pPr>
        <w:pStyle w:val="AllNumbparas"/>
      </w:pPr>
      <w:r w:rsidRPr="004A0212">
        <w:t>In his evidence to the Waitangi Tribunal, statistician Len Cook explained that this meant “for every Māori person aged 65 and over, there were 25 children aged under 15 years”.</w:t>
      </w:r>
      <w:r w:rsidRPr="004A0212">
        <w:rPr>
          <w:rStyle w:val="StyleFootnoteReferenceFagoFunotenzeichenFagoFunotenzeichen"/>
        </w:rPr>
        <w:endnoteReference w:id="432"/>
      </w:r>
      <w:r w:rsidRPr="004A0212">
        <w:t xml:space="preserve"> He also noted that “the fastest growth in the number of Māori children aged under 15 occurred when their number doubled from 1951 and 1966”.</w:t>
      </w:r>
      <w:r w:rsidRPr="004A0212">
        <w:rPr>
          <w:rStyle w:val="StyleFootnoteReferenceFagoFunotenzeichenFagoFunotenzeichen"/>
        </w:rPr>
        <w:endnoteReference w:id="433"/>
      </w:r>
      <w:r w:rsidRPr="004A0212">
        <w:t xml:space="preserve"> By 1996 this growth had slowed, with 37.5 percent of Māori aged under 15, compared with 19.3 percent of people with a European background.</w:t>
      </w:r>
      <w:r w:rsidRPr="004A0212">
        <w:rPr>
          <w:rStyle w:val="StyleFootnoteReferenceFagoFunotenzeichenFagoFunotenzeichen"/>
        </w:rPr>
        <w:endnoteReference w:id="434"/>
      </w:r>
      <w:r w:rsidRPr="004A0212">
        <w:t xml:space="preserve"> </w:t>
      </w:r>
    </w:p>
    <w:p w14:paraId="24E52513" w14:textId="37713B17" w:rsidR="00FE4E56" w:rsidRPr="000C0692" w:rsidRDefault="00FE4E56" w:rsidP="00282055">
      <w:pPr>
        <w:pStyle w:val="Heading2"/>
      </w:pPr>
      <w:bookmarkStart w:id="514" w:name="_Toc1541036890"/>
      <w:bookmarkStart w:id="515" w:name="_Toc150933165"/>
      <w:bookmarkStart w:id="516" w:name="_Toc150953483"/>
      <w:bookmarkStart w:id="517" w:name="_Toc181084920"/>
      <w:r w:rsidRPr="004A0212">
        <w:t>Ngā raraunga e hāngai ana ki te hunga Turi, whaikaha me te hunga e rongo ana i te wairangitanga</w:t>
      </w:r>
      <w:bookmarkEnd w:id="514"/>
      <w:bookmarkEnd w:id="517"/>
    </w:p>
    <w:p w14:paraId="42CB2DBA" w14:textId="03A03B9C" w:rsidR="00FE4E56" w:rsidRPr="004A0212" w:rsidRDefault="00FE4E56" w:rsidP="00282055">
      <w:pPr>
        <w:pStyle w:val="Heading2"/>
      </w:pPr>
      <w:bookmarkStart w:id="518" w:name="_Toc216421854"/>
      <w:bookmarkStart w:id="519" w:name="_Toc181084921"/>
      <w:r w:rsidRPr="004A0212">
        <w:t>Data relating to Deaf, disabled</w:t>
      </w:r>
      <w:r>
        <w:t xml:space="preserve"> people</w:t>
      </w:r>
      <w:r w:rsidRPr="004A0212">
        <w:t>, and people experiencing mental distress</w:t>
      </w:r>
      <w:bookmarkEnd w:id="518"/>
      <w:bookmarkEnd w:id="519"/>
      <w:r w:rsidRPr="004A0212">
        <w:t xml:space="preserve"> </w:t>
      </w:r>
      <w:bookmarkEnd w:id="513"/>
      <w:bookmarkEnd w:id="515"/>
      <w:bookmarkEnd w:id="516"/>
    </w:p>
    <w:p w14:paraId="74DF3D54" w14:textId="5454E179" w:rsidR="00FE4E56" w:rsidRPr="004A0212" w:rsidRDefault="00FE4E56" w:rsidP="007D73A6">
      <w:pPr>
        <w:pStyle w:val="AllNumbparas"/>
        <w:rPr>
          <w:b/>
          <w:color w:val="404040" w:themeColor="text1" w:themeTint="BF"/>
          <w:lang w:eastAsia="en-US"/>
        </w:rPr>
      </w:pPr>
      <w:r w:rsidRPr="004A0212">
        <w:t xml:space="preserve">This Inquiry received little evidence of reliable data about Deaf, disabled </w:t>
      </w:r>
      <w:r>
        <w:t xml:space="preserve">people </w:t>
      </w:r>
      <w:r w:rsidRPr="004A0212">
        <w:t>and people experiencing mental distress before or during the Inquiry period. The most recent data prior to the Inquiry period was the 1916 census.</w:t>
      </w:r>
      <w:r w:rsidRPr="004A0212">
        <w:rPr>
          <w:rStyle w:val="StyleFootnoteReferenceFagoFunotenzeichenFagoFunotenzeichen"/>
        </w:rPr>
        <w:endnoteReference w:id="435"/>
      </w:r>
      <w:r w:rsidRPr="004A0212">
        <w:t xml:space="preserve"> This census recorded information on:</w:t>
      </w:r>
    </w:p>
    <w:p w14:paraId="1A594BAF" w14:textId="3D830325" w:rsidR="00FE4E56" w:rsidRPr="004A0212" w:rsidRDefault="00FE4E56" w:rsidP="00502A3B">
      <w:pPr>
        <w:pStyle w:val="Bulletpoints"/>
        <w:numPr>
          <w:ilvl w:val="0"/>
          <w:numId w:val="36"/>
        </w:numPr>
      </w:pPr>
      <w:r w:rsidRPr="004A0212">
        <w:t>deaf-mutism</w:t>
      </w:r>
    </w:p>
    <w:p w14:paraId="5074450D" w14:textId="6E627683" w:rsidR="00FE4E56" w:rsidRPr="004A0212" w:rsidRDefault="00FE4E56" w:rsidP="00502A3B">
      <w:pPr>
        <w:pStyle w:val="Bulletpoints"/>
        <w:numPr>
          <w:ilvl w:val="0"/>
          <w:numId w:val="36"/>
        </w:numPr>
      </w:pPr>
      <w:r w:rsidRPr="004A0212">
        <w:lastRenderedPageBreak/>
        <w:t>blindness</w:t>
      </w:r>
    </w:p>
    <w:p w14:paraId="1E36B84C" w14:textId="58FE4143" w:rsidR="00FE4E56" w:rsidRPr="004A0212" w:rsidRDefault="00FE4E56" w:rsidP="00502A3B">
      <w:pPr>
        <w:pStyle w:val="Bulletpoints"/>
        <w:numPr>
          <w:ilvl w:val="0"/>
          <w:numId w:val="36"/>
        </w:numPr>
        <w:rPr>
          <w:rStyle w:val="AlldraftingnotesChar"/>
          <w:rFonts w:cs="Arial"/>
          <w:b w:val="0"/>
          <w:color w:val="auto"/>
          <w:lang w:eastAsia="en-NZ"/>
        </w:rPr>
      </w:pPr>
      <w:r w:rsidRPr="004A0212">
        <w:t>feeble-mindedness</w:t>
      </w:r>
    </w:p>
    <w:p w14:paraId="0A3C512A" w14:textId="3498FB7E" w:rsidR="00FE4E56" w:rsidRPr="004A0212" w:rsidRDefault="00FE4E56" w:rsidP="00502A3B">
      <w:pPr>
        <w:pStyle w:val="Bulletpoints"/>
        <w:numPr>
          <w:ilvl w:val="0"/>
          <w:numId w:val="36"/>
        </w:numPr>
        <w:rPr>
          <w:rStyle w:val="AlldraftingnotesChar"/>
          <w:rFonts w:cs="Arial"/>
          <w:b w:val="0"/>
          <w:color w:val="auto"/>
          <w:lang w:eastAsia="en-NZ"/>
        </w:rPr>
      </w:pPr>
      <w:r w:rsidRPr="004A0212">
        <w:rPr>
          <w:rStyle w:val="AlldraftingnotesChar"/>
          <w:rFonts w:cs="Arial"/>
          <w:b w:val="0"/>
          <w:bCs w:val="0"/>
          <w:color w:val="auto"/>
          <w:lang w:eastAsia="en-NZ"/>
        </w:rPr>
        <w:t>l</w:t>
      </w:r>
      <w:r w:rsidRPr="004A0212">
        <w:t>unacy</w:t>
      </w:r>
      <w:r w:rsidRPr="004A0212">
        <w:rPr>
          <w:rStyle w:val="AlldraftingnotesChar"/>
          <w:rFonts w:cs="Arial"/>
          <w:b w:val="0"/>
          <w:bCs w:val="0"/>
          <w:color w:val="auto"/>
          <w:lang w:eastAsia="en-NZ"/>
        </w:rPr>
        <w:t xml:space="preserve"> (information provided </w:t>
      </w:r>
      <w:r w:rsidRPr="004A0212">
        <w:t>by mental-hospital authorities</w:t>
      </w:r>
      <w:r w:rsidRPr="004A0212">
        <w:rPr>
          <w:rStyle w:val="AlldraftingnotesChar"/>
          <w:rFonts w:cs="Arial"/>
          <w:b w:val="0"/>
          <w:bCs w:val="0"/>
          <w:color w:val="auto"/>
          <w:lang w:eastAsia="en-NZ"/>
        </w:rPr>
        <w:t>).</w:t>
      </w:r>
      <w:r w:rsidRPr="004A0212">
        <w:rPr>
          <w:rStyle w:val="StyleFootnoteReferenceFagoFunotenzeichenFagoFunotenzeichen"/>
        </w:rPr>
        <w:endnoteReference w:id="436"/>
      </w:r>
    </w:p>
    <w:p w14:paraId="4B87D858" w14:textId="15CBD48C" w:rsidR="00FE4E56" w:rsidRPr="004A0212" w:rsidRDefault="00FE4E56"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Of the total population in 1916, 6,359 people (or 5.78 people in every 1,000) were recorded as having one or more of these impairments. Of this group 206 people were recorded as deaf-mutes, 566 people recorded as blind, 4,275 people recorded as lunatics and 1,312 people recorded as feeble-minded.</w:t>
      </w:r>
      <w:r w:rsidRPr="004A0212">
        <w:rPr>
          <w:rStyle w:val="StyleFootnoteReferenceFagoFunotenzeichenFagoFunotenzeichen"/>
        </w:rPr>
        <w:endnoteReference w:id="437"/>
      </w:r>
      <w:r w:rsidRPr="004A0212">
        <w:rPr>
          <w:rStyle w:val="AlldraftingnotesChar"/>
          <w:rFonts w:cs="Arial"/>
          <w:b w:val="0"/>
          <w:bCs w:val="0"/>
          <w:color w:val="auto"/>
          <w:lang w:eastAsia="en-NZ"/>
        </w:rPr>
        <w:t xml:space="preserve"> </w:t>
      </w:r>
    </w:p>
    <w:p w14:paraId="699178A9" w14:textId="5B22D621" w:rsidR="00FE4E56" w:rsidRPr="004A0212" w:rsidRDefault="00FE4E56"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It was noted there was a general increase in all numbers apart from deaf-mutes and that this was due largely to “the direct and indirect effects of the [First World] war”.</w:t>
      </w:r>
      <w:r w:rsidRPr="004A0212">
        <w:rPr>
          <w:rStyle w:val="StyleFootnoteReferenceFagoFunotenzeichenFagoFunotenzeichen"/>
        </w:rPr>
        <w:endnoteReference w:id="438"/>
      </w:r>
    </w:p>
    <w:p w14:paraId="20E9ACB8" w14:textId="7431ED61" w:rsidR="00FE4E56" w:rsidRPr="004A0212" w:rsidRDefault="00FE4E56" w:rsidP="007D73A6">
      <w:pPr>
        <w:pStyle w:val="AllNumbparas"/>
        <w:rPr>
          <w:rStyle w:val="AlldraftingnotesChar"/>
          <w:rFonts w:cs="Arial"/>
          <w:b w:val="0"/>
          <w:color w:val="auto"/>
          <w:lang w:eastAsia="en-NZ"/>
        </w:rPr>
      </w:pPr>
      <w:r w:rsidRPr="004A0212">
        <w:rPr>
          <w:rStyle w:val="ui-provider"/>
        </w:rPr>
        <w:t xml:space="preserve">During the Inquiry period, some care settings recorded some data on impairments, but after 1916 little national information was recorded in the Aotearoa New Zealand </w:t>
      </w:r>
      <w:r w:rsidRPr="004A0212">
        <w:rPr>
          <w:rStyle w:val="AlldraftingnotesChar"/>
          <w:rFonts w:cs="Arial"/>
          <w:b w:val="0"/>
          <w:bCs w:val="0"/>
          <w:color w:val="auto"/>
          <w:lang w:eastAsia="en-NZ"/>
        </w:rPr>
        <w:t>census until 1996. The 1996 census provided the ability for people to record themselves or dependents as disabled for the first time since 1916.</w:t>
      </w:r>
      <w:r w:rsidRPr="004A0212">
        <w:rPr>
          <w:rStyle w:val="StyleFootnoteReferenceFagoFunotenzeichenFagoFunotenzeichen"/>
        </w:rPr>
        <w:endnoteReference w:id="439"/>
      </w:r>
      <w:r w:rsidRPr="004A0212">
        <w:rPr>
          <w:rStyle w:val="AlldraftingnotesChar"/>
          <w:rFonts w:cs="Arial"/>
          <w:b w:val="0"/>
          <w:bCs w:val="0"/>
          <w:color w:val="auto"/>
          <w:lang w:eastAsia="en-NZ"/>
        </w:rPr>
        <w:t xml:space="preserve"> </w:t>
      </w:r>
    </w:p>
    <w:p w14:paraId="5FC55B94" w14:textId="535C809E" w:rsidR="00FE4E56" w:rsidRPr="004A0212" w:rsidRDefault="00FE4E56" w:rsidP="007D73A6">
      <w:pPr>
        <w:pStyle w:val="AllNumbparas"/>
        <w:rPr>
          <w:rStyle w:val="AlldraftingnotesChar"/>
          <w:rFonts w:cs="Arial"/>
          <w:b w:val="0"/>
          <w:color w:val="auto"/>
          <w:lang w:eastAsia="en-NZ"/>
        </w:rPr>
      </w:pPr>
      <w:r w:rsidRPr="004A0212">
        <w:rPr>
          <w:rStyle w:val="AlldraftingnotesChar"/>
          <w:rFonts w:cs="Arial"/>
          <w:b w:val="0"/>
          <w:bCs w:val="0"/>
          <w:color w:val="auto"/>
          <w:lang w:eastAsia="en-NZ"/>
        </w:rPr>
        <w:t>By 1996 out of a total of population of 3,618,303 people, 517,212 (14 percent of the population) indicated they or their dependents were disabled. Of this, 411,477 indicated they or their dependents had a long-term disability.</w:t>
      </w:r>
      <w:r w:rsidRPr="004A0212">
        <w:rPr>
          <w:rStyle w:val="StyleFootnoteReferenceFagoFunotenzeichenFagoFunotenzeichen"/>
        </w:rPr>
        <w:endnoteReference w:id="440"/>
      </w:r>
      <w:r w:rsidRPr="004A0212">
        <w:rPr>
          <w:rStyle w:val="AlldraftingnotesChar"/>
          <w:rFonts w:cs="Arial"/>
          <w:b w:val="0"/>
          <w:bCs w:val="0"/>
          <w:color w:val="auto"/>
          <w:lang w:eastAsia="en-NZ"/>
        </w:rPr>
        <w:t xml:space="preserve"> </w:t>
      </w:r>
    </w:p>
    <w:p w14:paraId="4653CB16" w14:textId="1C2EDD65" w:rsidR="00FE4E56" w:rsidRDefault="00FE4E56" w:rsidP="00282055">
      <w:pPr>
        <w:pStyle w:val="Heading2"/>
      </w:pPr>
      <w:bookmarkStart w:id="520" w:name="_Toc761442069"/>
      <w:bookmarkStart w:id="521" w:name="_Toc181084922"/>
      <w:r w:rsidRPr="004A0212">
        <w:t>Raraunga e hāngai ana ki ngā iwi Pasifika</w:t>
      </w:r>
      <w:bookmarkEnd w:id="521"/>
    </w:p>
    <w:p w14:paraId="0DFE9EF9" w14:textId="6B75A8E1" w:rsidR="00FE4E56" w:rsidRPr="004A0212" w:rsidRDefault="00FE4E56" w:rsidP="00282055">
      <w:pPr>
        <w:pStyle w:val="Heading2"/>
      </w:pPr>
      <w:bookmarkStart w:id="522" w:name="_Toc148443605"/>
      <w:bookmarkStart w:id="523" w:name="_Toc150933166"/>
      <w:bookmarkStart w:id="524" w:name="_Toc150953484"/>
      <w:bookmarkStart w:id="525" w:name="_Toc181084923"/>
      <w:r w:rsidRPr="004A0212">
        <w:t xml:space="preserve">Data relating to Pacific </w:t>
      </w:r>
      <w:bookmarkEnd w:id="522"/>
      <w:r w:rsidRPr="004A0212">
        <w:t>Peoples</w:t>
      </w:r>
      <w:bookmarkEnd w:id="520"/>
      <w:bookmarkEnd w:id="525"/>
      <w:r w:rsidRPr="004A0212">
        <w:t xml:space="preserve"> </w:t>
      </w:r>
      <w:bookmarkEnd w:id="523"/>
      <w:bookmarkEnd w:id="524"/>
    </w:p>
    <w:p w14:paraId="6A70320C" w14:textId="2704D021" w:rsidR="00FE4E56" w:rsidRPr="004A0212" w:rsidRDefault="00FE4E56" w:rsidP="005864F8">
      <w:pPr>
        <w:pStyle w:val="AllNumbparas"/>
      </w:pPr>
      <w:r w:rsidRPr="004A0212">
        <w:t>The Pacific population in Aotearoa New Zealand increased during the Inquiry period, influenced by migration from Pacific islands and establishment of Pacific communities in Aotearoa New Zealand. The Pacific population went from 0.2 percent of the total population in 1951, to almost 2 percent in 1976 and 4.8 percent in 1996.</w:t>
      </w:r>
      <w:r w:rsidRPr="004A0212">
        <w:rPr>
          <w:rStyle w:val="StyleFootnoteReferenceFagoFunotenzeichenFagoFunotenzeichen"/>
        </w:rPr>
        <w:endnoteReference w:id="441"/>
      </w:r>
      <w:r w:rsidRPr="004A0212">
        <w:t xml:space="preserve"> </w:t>
      </w:r>
    </w:p>
    <w:p w14:paraId="40BCFA40" w14:textId="74DA88A9" w:rsidR="00FE4E56" w:rsidRPr="004A0212" w:rsidRDefault="00FE4E56" w:rsidP="002E074C">
      <w:pPr>
        <w:pStyle w:val="AllNumbparas"/>
      </w:pPr>
      <w:r w:rsidRPr="004A0212">
        <w:t>Pacific Peoples also had a young population during the Inquiry period with 41.3 percent under 15 years old in 1981 and 35.1 percent under 15 years old in 1996.</w:t>
      </w:r>
      <w:r w:rsidRPr="004A0212">
        <w:rPr>
          <w:rStyle w:val="StyleFootnoteReferenceFagoFunotenzeichenFagoFunotenzeichen"/>
        </w:rPr>
        <w:endnoteReference w:id="442"/>
      </w:r>
      <w:r w:rsidRPr="004A0212">
        <w:t xml:space="preserve"> This, alongside racism and attitudes to poverty at the time, increased the visibility of Pacific children and young people to authorities and their likelihood being taken into care.</w:t>
      </w:r>
    </w:p>
    <w:p w14:paraId="3EE735D8" w14:textId="77777777" w:rsidR="00FE4E56" w:rsidRPr="004A0212" w:rsidRDefault="00FE4E56" w:rsidP="00282055">
      <w:pPr>
        <w:pStyle w:val="Heading2"/>
      </w:pPr>
      <w:bookmarkStart w:id="526" w:name="_Toc54945279"/>
      <w:bookmarkStart w:id="527" w:name="_Toc181084924"/>
      <w:r w:rsidRPr="004A0212">
        <w:t>Raraunga e hāngai ana ki ngā tūhono whakapono</w:t>
      </w:r>
      <w:bookmarkStart w:id="528" w:name="_Toc150933167"/>
      <w:bookmarkStart w:id="529" w:name="_Toc150953485"/>
      <w:bookmarkEnd w:id="526"/>
      <w:bookmarkEnd w:id="527"/>
      <w:r w:rsidRPr="004A0212">
        <w:t xml:space="preserve"> </w:t>
      </w:r>
    </w:p>
    <w:p w14:paraId="2A6F50FE" w14:textId="547245A9" w:rsidR="00FE4E56" w:rsidRPr="004A0212" w:rsidRDefault="00FE4E56" w:rsidP="00282055">
      <w:pPr>
        <w:pStyle w:val="Heading2"/>
      </w:pPr>
      <w:bookmarkStart w:id="530" w:name="_Toc322248448"/>
      <w:bookmarkStart w:id="531" w:name="_Toc181084925"/>
      <w:r w:rsidRPr="004A0212">
        <w:t>Data relating to religious affiliation</w:t>
      </w:r>
      <w:bookmarkEnd w:id="530"/>
      <w:bookmarkEnd w:id="531"/>
      <w:r w:rsidRPr="004A0212">
        <w:t xml:space="preserve"> </w:t>
      </w:r>
      <w:bookmarkEnd w:id="528"/>
      <w:bookmarkEnd w:id="529"/>
    </w:p>
    <w:p w14:paraId="0B82EF07" w14:textId="68C657C3" w:rsidR="00FE4E56" w:rsidRPr="004A0212" w:rsidRDefault="00FE4E56" w:rsidP="007D73A6">
      <w:pPr>
        <w:pStyle w:val="AllNumbparas"/>
      </w:pPr>
      <w:r w:rsidRPr="004A0212">
        <w:t>In general, there were significant changes in the religious landscape during the Inquiry period. In the 1950s, Christianity was the main religion in Aotearoa New Zealand, with about 90 percent of the population identifying as Christian.</w:t>
      </w:r>
      <w:r w:rsidRPr="004A0212">
        <w:rPr>
          <w:rStyle w:val="EndnoteReference"/>
        </w:rPr>
        <w:t xml:space="preserve"> </w:t>
      </w:r>
      <w:r w:rsidRPr="004A0212">
        <w:rPr>
          <w:rStyle w:val="StyleFootnoteReferenceFagoFunotenzeichenFagoFunotenzeichen"/>
        </w:rPr>
        <w:endnoteReference w:id="443"/>
      </w:r>
      <w:r w:rsidRPr="004A0212">
        <w:t xml:space="preserve"> </w:t>
      </w:r>
    </w:p>
    <w:p w14:paraId="2FDEEE5D" w14:textId="77777777" w:rsidR="00FE4E56" w:rsidRPr="004A0212" w:rsidRDefault="00FE4E56" w:rsidP="00D10CD4">
      <w:pPr>
        <w:pStyle w:val="AllNumbparas"/>
      </w:pPr>
      <w:r w:rsidRPr="004A0212">
        <w:t>This figure declined over the Inquiry period, with the 1996 census recording about 56 percent identifying as Christian.</w:t>
      </w:r>
      <w:r w:rsidRPr="004A0212">
        <w:rPr>
          <w:rStyle w:val="StyleFootnoteReferenceFagoFunotenzeichenFagoFunotenzeichen"/>
        </w:rPr>
        <w:endnoteReference w:id="444"/>
      </w:r>
      <w:r w:rsidRPr="004A0212">
        <w:t xml:space="preserve"> At the same time, the proportion of New Zealanders reporting they had no religion increased from 1 percent in 1951 to 25 percent in 1996.</w:t>
      </w:r>
      <w:r w:rsidRPr="004A0212">
        <w:rPr>
          <w:rStyle w:val="StyleFootnoteReferenceFagoFunotenzeichenFagoFunotenzeichen"/>
        </w:rPr>
        <w:endnoteReference w:id="445"/>
      </w:r>
    </w:p>
    <w:p w14:paraId="675A03F6" w14:textId="77777777" w:rsidR="00FE4E56" w:rsidRDefault="00FE4E56" w:rsidP="00894BFE">
      <w:pPr>
        <w:pStyle w:val="AllQuotes"/>
        <w:ind w:left="0"/>
      </w:pPr>
    </w:p>
    <w:p w14:paraId="023D27AB" w14:textId="3232F126" w:rsidR="00FE4E56" w:rsidRPr="00571526" w:rsidRDefault="00FE4E56" w:rsidP="00894BFE">
      <w:pPr>
        <w:pStyle w:val="AllQuotes"/>
        <w:ind w:left="0"/>
      </w:pPr>
      <w:r w:rsidRPr="00571526">
        <w:t>[survivor quote]</w:t>
      </w:r>
    </w:p>
    <w:p w14:paraId="7F278D5B" w14:textId="2625E71A" w:rsidR="00FE4E56" w:rsidRPr="00571526" w:rsidRDefault="00FE4E56" w:rsidP="00894BFE">
      <w:pPr>
        <w:pStyle w:val="AllQuotes"/>
        <w:rPr>
          <w:b/>
        </w:rPr>
      </w:pPr>
      <w:r w:rsidRPr="00571526">
        <w:rPr>
          <w:b/>
        </w:rPr>
        <w:t>“</w:t>
      </w:r>
      <w:r>
        <w:rPr>
          <w:b/>
        </w:rPr>
        <w:t>Rather than help me, it was easier to just send me away somewhere</w:t>
      </w:r>
      <w:r w:rsidRPr="00571526">
        <w:rPr>
          <w:b/>
        </w:rPr>
        <w:t>.”</w:t>
      </w:r>
    </w:p>
    <w:p w14:paraId="2B66CBC8" w14:textId="636384A0" w:rsidR="00FE4E56" w:rsidRPr="00571526" w:rsidRDefault="00FE4E56" w:rsidP="00894BFE">
      <w:pPr>
        <w:pStyle w:val="AllQuotes"/>
        <w:rPr>
          <w:b/>
        </w:rPr>
      </w:pPr>
      <w:r>
        <w:rPr>
          <w:b/>
        </w:rPr>
        <w:t>Mr NL</w:t>
      </w:r>
    </w:p>
    <w:p w14:paraId="3B8AD55E" w14:textId="1D4CE49C" w:rsidR="00FE4E56" w:rsidRPr="007410B5" w:rsidRDefault="00FE4E56" w:rsidP="007410B5">
      <w:pPr>
        <w:pStyle w:val="AllQuotes"/>
        <w:rPr>
          <w:b/>
        </w:rPr>
      </w:pPr>
      <w:r>
        <w:rPr>
          <w:b/>
        </w:rPr>
        <w:t>Pākehā</w:t>
      </w:r>
    </w:p>
    <w:p w14:paraId="22DE0AC4" w14:textId="77777777" w:rsidR="00FE4E56" w:rsidRDefault="00FE4E56">
      <w:pPr>
        <w:keepLines w:val="0"/>
        <w:rPr>
          <w:rFonts w:asciiTheme="minorBidi" w:eastAsia="Times New Roman" w:hAnsiTheme="minorBidi" w:cstheme="minorBidi"/>
          <w:b/>
          <w:bCs/>
          <w:i/>
          <w:iCs/>
          <w:lang w:eastAsia="zh-CN" w:bidi="th-TH"/>
        </w:rPr>
      </w:pPr>
      <w:r>
        <w:rPr>
          <w:rFonts w:asciiTheme="minorBidi" w:eastAsia="Times New Roman" w:hAnsiTheme="minorBidi" w:cstheme="minorBidi"/>
          <w:b/>
          <w:bCs/>
          <w:i/>
          <w:iCs/>
          <w:lang w:eastAsia="zh-CN" w:bidi="th-TH"/>
        </w:rPr>
        <w:br w:type="page"/>
      </w:r>
    </w:p>
    <w:p w14:paraId="3C827737" w14:textId="1EACE00E" w:rsidR="00FE4E56" w:rsidRPr="005C11C1" w:rsidRDefault="00FE4E56" w:rsidP="00AB346B">
      <w:pPr>
        <w:pStyle w:val="BodyText"/>
        <w:rPr>
          <w:rFonts w:ascii="Arial" w:hAnsi="Arial" w:cs="Arial"/>
          <w:lang w:bidi="th-TH"/>
        </w:rPr>
      </w:pPr>
      <w:r w:rsidRPr="005C11C1">
        <w:rPr>
          <w:rFonts w:ascii="Arial" w:hAnsi="Arial" w:cs="Arial"/>
          <w:lang w:bidi="th-TH"/>
        </w:rPr>
        <w:lastRenderedPageBreak/>
        <w:t>[Survivor quote preceding survivor profile]</w:t>
      </w:r>
    </w:p>
    <w:p w14:paraId="711F5081" w14:textId="653850D9" w:rsidR="00FE4E56" w:rsidRPr="00AB346B" w:rsidRDefault="00FE4E56" w:rsidP="00AB346B">
      <w:pPr>
        <w:pStyle w:val="AllQuotes"/>
        <w:rPr>
          <w:b/>
          <w:lang w:bidi="th-TH"/>
        </w:rPr>
      </w:pPr>
      <w:r w:rsidRPr="00AB346B">
        <w:rPr>
          <w:b/>
          <w:lang w:bidi="th-TH"/>
        </w:rPr>
        <w:t>“I peeked through the window and cried for my parents.”</w:t>
      </w:r>
    </w:p>
    <w:p w14:paraId="7CCE2EFE" w14:textId="48B55F8C" w:rsidR="00FE4E56" w:rsidRPr="00AB346B" w:rsidRDefault="00FE4E56" w:rsidP="00AB346B">
      <w:pPr>
        <w:pStyle w:val="AllQuotes"/>
        <w:rPr>
          <w:b/>
          <w:lang w:bidi="th-TH"/>
        </w:rPr>
      </w:pPr>
      <w:r w:rsidRPr="00AB346B">
        <w:rPr>
          <w:b/>
          <w:lang w:bidi="th-TH"/>
        </w:rPr>
        <w:t>Andrew Brown</w:t>
      </w:r>
    </w:p>
    <w:p w14:paraId="0CEDD0F8" w14:textId="77777777" w:rsidR="00FE4E56" w:rsidRPr="00AB346B" w:rsidRDefault="00FE4E56" w:rsidP="00AB346B">
      <w:pPr>
        <w:pStyle w:val="AllQuotes"/>
        <w:rPr>
          <w:b/>
          <w:lang w:bidi="th-TH"/>
        </w:rPr>
      </w:pPr>
      <w:r w:rsidRPr="00AB346B">
        <w:rPr>
          <w:b/>
          <w:lang w:bidi="th-TH"/>
        </w:rPr>
        <w:t>Māori, Moriori, English, Welsh</w:t>
      </w:r>
    </w:p>
    <w:p w14:paraId="3A3BB1D2" w14:textId="3B4FCBE8" w:rsidR="00FE4E56" w:rsidRPr="004A0212" w:rsidRDefault="00FE4E56" w:rsidP="00AB346B">
      <w:pPr>
        <w:pStyle w:val="AllNumbparas"/>
        <w:numPr>
          <w:ilvl w:val="0"/>
          <w:numId w:val="0"/>
        </w:numPr>
      </w:pPr>
    </w:p>
    <w:p w14:paraId="244A085B" w14:textId="77777777" w:rsidR="00FE4E56" w:rsidRPr="004A0212" w:rsidRDefault="00FE4E56" w:rsidP="00282055">
      <w:pPr>
        <w:pStyle w:val="Heading1"/>
        <w:rPr>
          <w:color w:val="3B5D1E" w:themeColor="accent4" w:themeShade="BF"/>
        </w:rPr>
      </w:pPr>
      <w:bookmarkStart w:id="532" w:name="_Toc2123238082"/>
      <w:bookmarkStart w:id="533" w:name="_Toc181084926"/>
      <w:r w:rsidRPr="004A0212">
        <w:rPr>
          <w:color w:val="3B5D1E" w:themeColor="accent4" w:themeShade="BF"/>
        </w:rPr>
        <w:t>Ngā wheako o te purapura ora</w:t>
      </w:r>
      <w:bookmarkEnd w:id="532"/>
      <w:bookmarkEnd w:id="533"/>
    </w:p>
    <w:p w14:paraId="440A8A61" w14:textId="472F5D08" w:rsidR="00FE4E56" w:rsidRPr="004A0212" w:rsidRDefault="00FE4E56" w:rsidP="00282055">
      <w:pPr>
        <w:pStyle w:val="Heading1"/>
        <w:rPr>
          <w:color w:val="3B5D1E" w:themeColor="accent4" w:themeShade="BF"/>
        </w:rPr>
      </w:pPr>
      <w:bookmarkStart w:id="534" w:name="_Toc822501635"/>
      <w:bookmarkStart w:id="535" w:name="_Toc181084927"/>
      <w:r w:rsidRPr="004A0212">
        <w:rPr>
          <w:color w:val="3B5D1E" w:themeColor="accent4" w:themeShade="BF"/>
        </w:rPr>
        <w:t>Survivor experience: Andrew Brown</w:t>
      </w:r>
      <w:bookmarkEnd w:id="534"/>
      <w:bookmarkEnd w:id="535"/>
    </w:p>
    <w:p w14:paraId="157EBE46" w14:textId="77777777"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Name</w:t>
      </w:r>
      <w:r w:rsidRPr="004A0212">
        <w:rPr>
          <w:rStyle w:val="normaltextrun"/>
          <w:rFonts w:ascii="Arial" w:hAnsi="Arial" w:cs="Arial"/>
          <w:sz w:val="22"/>
          <w:szCs w:val="22"/>
        </w:rPr>
        <w:t xml:space="preserve"> Andrew Brown</w:t>
      </w:r>
      <w:r w:rsidRPr="004A0212">
        <w:rPr>
          <w:rStyle w:val="eop"/>
          <w:rFonts w:ascii="Arial" w:hAnsi="Arial" w:cs="Arial"/>
          <w:sz w:val="22"/>
          <w:szCs w:val="22"/>
        </w:rPr>
        <w:t> </w:t>
      </w:r>
    </w:p>
    <w:p w14:paraId="3A5632B6" w14:textId="77777777"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Age when entered care</w:t>
      </w:r>
      <w:r w:rsidRPr="004A0212">
        <w:rPr>
          <w:rStyle w:val="normaltextrun"/>
          <w:rFonts w:ascii="Arial" w:hAnsi="Arial" w:cs="Arial"/>
          <w:sz w:val="22"/>
          <w:szCs w:val="22"/>
        </w:rPr>
        <w:t xml:space="preserve"> 9 years old</w:t>
      </w:r>
      <w:r w:rsidRPr="004A0212">
        <w:rPr>
          <w:rStyle w:val="eop"/>
          <w:rFonts w:ascii="Arial" w:hAnsi="Arial" w:cs="Arial"/>
          <w:sz w:val="22"/>
          <w:szCs w:val="22"/>
        </w:rPr>
        <w:t> </w:t>
      </w:r>
    </w:p>
    <w:p w14:paraId="29222A8B" w14:textId="160D9F6B"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Hometown</w:t>
      </w:r>
      <w:r w:rsidRPr="004A0212">
        <w:rPr>
          <w:rStyle w:val="normaltextrun"/>
          <w:rFonts w:ascii="Arial" w:hAnsi="Arial" w:cs="Arial"/>
          <w:sz w:val="22"/>
          <w:szCs w:val="22"/>
        </w:rPr>
        <w:t xml:space="preserve"> Te Whanganui-</w:t>
      </w:r>
      <w:r>
        <w:rPr>
          <w:rStyle w:val="normaltextrun"/>
          <w:rFonts w:ascii="Arial" w:hAnsi="Arial" w:cs="Arial"/>
          <w:sz w:val="22"/>
          <w:szCs w:val="22"/>
        </w:rPr>
        <w:t>ā</w:t>
      </w:r>
      <w:r w:rsidRPr="004A0212">
        <w:rPr>
          <w:rStyle w:val="normaltextrun"/>
          <w:rFonts w:ascii="Arial" w:hAnsi="Arial" w:cs="Arial"/>
          <w:sz w:val="22"/>
          <w:szCs w:val="22"/>
        </w:rPr>
        <w:t>-Tara Wellington</w:t>
      </w:r>
    </w:p>
    <w:p w14:paraId="17E43B33" w14:textId="029CD799"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Year of birth</w:t>
      </w:r>
      <w:r w:rsidRPr="004A0212">
        <w:rPr>
          <w:rStyle w:val="normaltextrun"/>
          <w:rFonts w:ascii="Arial" w:hAnsi="Arial" w:cs="Arial"/>
          <w:sz w:val="22"/>
          <w:szCs w:val="22"/>
        </w:rPr>
        <w:t xml:space="preserve"> 1960</w:t>
      </w:r>
      <w:r w:rsidRPr="004A0212">
        <w:rPr>
          <w:rStyle w:val="eop"/>
          <w:rFonts w:ascii="Arial" w:hAnsi="Arial" w:cs="Arial"/>
          <w:sz w:val="22"/>
          <w:szCs w:val="22"/>
        </w:rPr>
        <w:t> </w:t>
      </w:r>
    </w:p>
    <w:p w14:paraId="3D4802C7" w14:textId="77777777"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Time in care</w:t>
      </w:r>
      <w:r w:rsidRPr="004A0212">
        <w:rPr>
          <w:rStyle w:val="normaltextrun"/>
          <w:rFonts w:ascii="Arial" w:hAnsi="Arial" w:cs="Arial"/>
          <w:sz w:val="22"/>
          <w:szCs w:val="22"/>
        </w:rPr>
        <w:t xml:space="preserve"> On and off from 1970 to around 1988</w:t>
      </w:r>
      <w:r w:rsidRPr="004A0212">
        <w:rPr>
          <w:rStyle w:val="eop"/>
          <w:rFonts w:ascii="Arial" w:hAnsi="Arial" w:cs="Arial"/>
          <w:sz w:val="22"/>
          <w:szCs w:val="22"/>
        </w:rPr>
        <w:t> </w:t>
      </w:r>
    </w:p>
    <w:p w14:paraId="0E9F5D72" w14:textId="50965A09" w:rsidR="00FE4E56" w:rsidRPr="00E831D4" w:rsidRDefault="00FE4E56" w:rsidP="00B927A7">
      <w:pPr>
        <w:pStyle w:val="BodyText"/>
        <w:spacing w:before="0" w:line="276" w:lineRule="auto"/>
        <w:rPr>
          <w:rStyle w:val="normaltextrun"/>
        </w:rPr>
      </w:pPr>
      <w:r w:rsidRPr="004A0212">
        <w:rPr>
          <w:rStyle w:val="normaltextrun"/>
          <w:rFonts w:ascii="Arial" w:hAnsi="Arial" w:cs="Arial"/>
          <w:b/>
          <w:bCs/>
          <w:sz w:val="22"/>
          <w:szCs w:val="22"/>
        </w:rPr>
        <w:t>Type of care facility</w:t>
      </w:r>
      <w:r w:rsidRPr="004A0212">
        <w:rPr>
          <w:rStyle w:val="normaltextrun"/>
          <w:rFonts w:ascii="Arial" w:hAnsi="Arial" w:cs="Arial"/>
          <w:sz w:val="22"/>
          <w:szCs w:val="22"/>
        </w:rPr>
        <w:t xml:space="preserve"> </w:t>
      </w:r>
      <w:bookmarkStart w:id="536" w:name="_Hlk178258713"/>
      <w:r w:rsidRPr="004A0212">
        <w:rPr>
          <w:rStyle w:val="normaltextrun"/>
          <w:rFonts w:ascii="Arial" w:hAnsi="Arial" w:cs="Arial"/>
          <w:sz w:val="22"/>
          <w:szCs w:val="22"/>
        </w:rPr>
        <w:t>Berhampore Family Home; boys’ homes – Epuni Boys’ Home</w:t>
      </w:r>
      <w:r>
        <w:rPr>
          <w:rStyle w:val="normaltextrun"/>
          <w:rFonts w:ascii="Arial" w:hAnsi="Arial" w:cs="Arial"/>
          <w:sz w:val="22"/>
          <w:szCs w:val="22"/>
        </w:rPr>
        <w:t xml:space="preserve"> in </w:t>
      </w:r>
      <w:r w:rsidRPr="00E831D4">
        <w:rPr>
          <w:rStyle w:val="normaltextrun"/>
          <w:rFonts w:ascii="Arial" w:hAnsi="Arial" w:cs="Arial"/>
          <w:sz w:val="22"/>
          <w:szCs w:val="22"/>
        </w:rPr>
        <w:t>Te Awa Kairangi ki Tai Lower Hutt</w:t>
      </w:r>
      <w:r w:rsidRPr="004A0212">
        <w:rPr>
          <w:rStyle w:val="normaltextrun"/>
          <w:rFonts w:ascii="Arial" w:hAnsi="Arial" w:cs="Arial"/>
          <w:sz w:val="22"/>
          <w:szCs w:val="22"/>
        </w:rPr>
        <w:t>, Hokio Beach School</w:t>
      </w:r>
      <w:r>
        <w:rPr>
          <w:rStyle w:val="normaltextrun"/>
          <w:rFonts w:ascii="Arial" w:hAnsi="Arial" w:cs="Arial"/>
          <w:sz w:val="22"/>
          <w:szCs w:val="22"/>
        </w:rPr>
        <w:t xml:space="preserve"> </w:t>
      </w:r>
      <w:r w:rsidRPr="00E831D4">
        <w:rPr>
          <w:rStyle w:val="normaltextrun"/>
          <w:rFonts w:ascii="Arial" w:hAnsi="Arial" w:cs="Arial"/>
          <w:sz w:val="22"/>
          <w:szCs w:val="22"/>
        </w:rPr>
        <w:t>near Taitoko Levin</w:t>
      </w:r>
      <w:r w:rsidRPr="004A0212">
        <w:rPr>
          <w:rStyle w:val="normaltextrun"/>
          <w:rFonts w:ascii="Arial" w:hAnsi="Arial" w:cs="Arial"/>
          <w:sz w:val="22"/>
          <w:szCs w:val="22"/>
        </w:rPr>
        <w:t>, Holdsworth Boys’ Home</w:t>
      </w:r>
      <w:r>
        <w:rPr>
          <w:rStyle w:val="normaltextrun"/>
          <w:rFonts w:ascii="Arial" w:hAnsi="Arial" w:cs="Arial"/>
          <w:sz w:val="22"/>
          <w:szCs w:val="22"/>
        </w:rPr>
        <w:t xml:space="preserve"> </w:t>
      </w:r>
      <w:r w:rsidRPr="00E831D4">
        <w:rPr>
          <w:rStyle w:val="normaltextrun"/>
          <w:rFonts w:ascii="Arial" w:hAnsi="Arial" w:cs="Arial"/>
          <w:sz w:val="22"/>
          <w:szCs w:val="22"/>
        </w:rPr>
        <w:t>in Whanganui</w:t>
      </w:r>
      <w:r w:rsidRPr="004A0212">
        <w:rPr>
          <w:rStyle w:val="normaltextrun"/>
          <w:rFonts w:ascii="Arial" w:hAnsi="Arial" w:cs="Arial"/>
          <w:sz w:val="22"/>
          <w:szCs w:val="22"/>
        </w:rPr>
        <w:t>, Ōwairaka Boys’ Home</w:t>
      </w:r>
      <w:r>
        <w:rPr>
          <w:rStyle w:val="normaltextrun"/>
          <w:rFonts w:ascii="Arial" w:hAnsi="Arial" w:cs="Arial"/>
          <w:sz w:val="22"/>
          <w:szCs w:val="22"/>
        </w:rPr>
        <w:t xml:space="preserve"> </w:t>
      </w:r>
      <w:r w:rsidRPr="00E831D4">
        <w:rPr>
          <w:rStyle w:val="normaltextrun"/>
          <w:rFonts w:ascii="Arial" w:hAnsi="Arial" w:cs="Arial"/>
          <w:sz w:val="22"/>
          <w:szCs w:val="22"/>
        </w:rPr>
        <w:t>in Tāmaki Makaurau Auckland</w:t>
      </w:r>
      <w:r w:rsidRPr="004A0212">
        <w:rPr>
          <w:rStyle w:val="normaltextrun"/>
          <w:rFonts w:ascii="Arial" w:hAnsi="Arial" w:cs="Arial"/>
          <w:sz w:val="22"/>
          <w:szCs w:val="22"/>
        </w:rPr>
        <w:t xml:space="preserve">; </w:t>
      </w:r>
      <w:bookmarkEnd w:id="536"/>
      <w:r w:rsidRPr="004A0212">
        <w:rPr>
          <w:rStyle w:val="normaltextrun"/>
          <w:rFonts w:ascii="Arial" w:hAnsi="Arial" w:cs="Arial"/>
          <w:sz w:val="22"/>
          <w:szCs w:val="22"/>
        </w:rPr>
        <w:t>psychiatric hospital – Oakley Hospital</w:t>
      </w:r>
      <w:r w:rsidRPr="00E831D4">
        <w:rPr>
          <w:rStyle w:val="normaltextrun"/>
        </w:rPr>
        <w:t xml:space="preserve"> </w:t>
      </w:r>
      <w:r w:rsidRPr="00E831D4">
        <w:rPr>
          <w:rStyle w:val="normaltextrun"/>
          <w:rFonts w:ascii="Arial" w:hAnsi="Arial" w:cs="Arial"/>
          <w:sz w:val="22"/>
          <w:szCs w:val="22"/>
        </w:rPr>
        <w:t>in Tāmaki Makaurau Auckland.</w:t>
      </w:r>
    </w:p>
    <w:p w14:paraId="12D08707" w14:textId="470D2CA8"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Ethnicity</w:t>
      </w:r>
      <w:r w:rsidRPr="004A0212">
        <w:rPr>
          <w:rStyle w:val="normaltextrun"/>
          <w:rFonts w:ascii="Arial" w:hAnsi="Arial" w:cs="Arial"/>
          <w:sz w:val="22"/>
          <w:szCs w:val="22"/>
        </w:rPr>
        <w:t xml:space="preserve"> Māori, Moriori</w:t>
      </w:r>
      <w:r w:rsidRPr="004A0212">
        <w:rPr>
          <w:rStyle w:val="normaltextrun"/>
          <w:rFonts w:ascii="Arial" w:hAnsi="Arial" w:cs="Arial"/>
          <w:color w:val="4D5156"/>
          <w:sz w:val="22"/>
          <w:szCs w:val="22"/>
          <w:shd w:val="clear" w:color="auto" w:fill="FFFFFF"/>
        </w:rPr>
        <w:t>, English, Welsh</w:t>
      </w:r>
      <w:r w:rsidRPr="004A0212">
        <w:rPr>
          <w:rStyle w:val="eop"/>
          <w:rFonts w:ascii="Arial" w:hAnsi="Arial" w:cs="Arial"/>
          <w:color w:val="4D5156"/>
          <w:sz w:val="22"/>
          <w:szCs w:val="22"/>
        </w:rPr>
        <w:t> </w:t>
      </w:r>
    </w:p>
    <w:p w14:paraId="64D8DC40" w14:textId="77777777"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bCs/>
          <w:sz w:val="22"/>
          <w:szCs w:val="22"/>
        </w:rPr>
        <w:t>Whānau background</w:t>
      </w:r>
      <w:r w:rsidRPr="004A0212">
        <w:rPr>
          <w:rStyle w:val="normaltextrun"/>
          <w:rFonts w:ascii="Arial" w:hAnsi="Arial" w:cs="Arial"/>
          <w:sz w:val="22"/>
          <w:szCs w:val="22"/>
        </w:rPr>
        <w:t xml:space="preserve"> Andrew’s mother is Māori and Moriori, from the Chatham Islands, and his father is of English / Welsh descent. He has five older brothers and two younger sisters. </w:t>
      </w:r>
      <w:r w:rsidRPr="004A0212">
        <w:rPr>
          <w:rStyle w:val="eop"/>
          <w:rFonts w:ascii="Arial" w:hAnsi="Arial" w:cs="Arial"/>
          <w:sz w:val="22"/>
          <w:szCs w:val="22"/>
        </w:rPr>
        <w:t> </w:t>
      </w:r>
    </w:p>
    <w:p w14:paraId="6E8672BE" w14:textId="6DEAA8A0" w:rsidR="00FE4E56" w:rsidRPr="004A0212" w:rsidRDefault="00FE4E56" w:rsidP="00B927A7">
      <w:pPr>
        <w:pStyle w:val="BodyText"/>
        <w:spacing w:before="0" w:line="276" w:lineRule="auto"/>
        <w:rPr>
          <w:rFonts w:ascii="Arial" w:hAnsi="Arial" w:cs="Arial"/>
          <w:sz w:val="22"/>
          <w:szCs w:val="22"/>
        </w:rPr>
      </w:pPr>
      <w:r w:rsidRPr="004A0212">
        <w:rPr>
          <w:rStyle w:val="normaltextrun"/>
          <w:rFonts w:ascii="Arial" w:hAnsi="Arial" w:cs="Arial"/>
          <w:b/>
          <w:sz w:val="22"/>
          <w:szCs w:val="22"/>
        </w:rPr>
        <w:t>Currently</w:t>
      </w:r>
      <w:r w:rsidRPr="004A0212">
        <w:rPr>
          <w:rStyle w:val="normaltextrun"/>
          <w:rFonts w:ascii="Arial" w:hAnsi="Arial" w:cs="Arial"/>
          <w:b/>
          <w:bCs/>
          <w:sz w:val="22"/>
          <w:szCs w:val="22"/>
        </w:rPr>
        <w:t xml:space="preserve"> </w:t>
      </w:r>
      <w:r w:rsidRPr="004A0212">
        <w:rPr>
          <w:rStyle w:val="normaltextrun"/>
          <w:rFonts w:ascii="Arial" w:hAnsi="Arial" w:cs="Arial"/>
          <w:sz w:val="22"/>
          <w:szCs w:val="22"/>
        </w:rPr>
        <w:t>Andrew is a single parent and is also raising a family member, who has been with him since birth.</w:t>
      </w:r>
      <w:r w:rsidRPr="004A0212">
        <w:rPr>
          <w:rStyle w:val="eop"/>
          <w:rFonts w:ascii="Arial" w:hAnsi="Arial" w:cs="Arial"/>
          <w:sz w:val="22"/>
          <w:szCs w:val="22"/>
        </w:rPr>
        <w:t> </w:t>
      </w:r>
    </w:p>
    <w:p w14:paraId="34B42969" w14:textId="4550323B" w:rsidR="00FE4E56" w:rsidRPr="00FE6765" w:rsidRDefault="00FE4E56" w:rsidP="00B927A7">
      <w:pPr>
        <w:pStyle w:val="BodyText"/>
        <w:spacing w:before="0" w:line="276" w:lineRule="auto"/>
        <w:rPr>
          <w:rFonts w:ascii="Arial" w:hAnsi="Arial" w:cs="Arial"/>
          <w:sz w:val="22"/>
          <w:szCs w:val="22"/>
        </w:rPr>
      </w:pPr>
    </w:p>
    <w:p w14:paraId="0BF80076" w14:textId="3797B126"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I’ve been waiting for this chance to share my story and reclaim my voice. </w:t>
      </w:r>
    </w:p>
    <w:p w14:paraId="75C39780" w14:textId="490B6AB5"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was nine years old when I was taken from home by a social worker. My file notes that I was the subject of a Court Order for not being under proper control. Social Welfare didn’t even bother to explain why they took me away from my family. But I’d been wagging school a bit and fighting – I’d stayed for nearly two years with my grandparents on the Chatham Islands and didn’t seem to fit in at school back in Wellington. I also experienced racism at school. I didn't realise at the time that's what it was, I just knew that I had to fight back. That's why I was in the principal's office all the time.  </w:t>
      </w:r>
    </w:p>
    <w:p w14:paraId="4023EDE2" w14:textId="6979A9CC"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lastRenderedPageBreak/>
        <w:t xml:space="preserve">My first placement was a Presbyterian Family Home in Berhampore, with lots of other kids all under 14. I remember being the only brown kid at the home. There was a lot of praying and I was forever cleaning shoes – I must have cleaned 40 to 50 pairs a day. I was sexually abused by the older girls. I was sad, lonely and miserable, and I just wanted to go home to my family. I tried to run away with some other boys, but the police stopped us and took us back.  </w:t>
      </w:r>
    </w:p>
    <w:p w14:paraId="1ECF473E" w14:textId="261C901A"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After that I was taken to Epuni Boys</w:t>
      </w:r>
      <w:r>
        <w:rPr>
          <w:rFonts w:ascii="Arial" w:hAnsi="Arial" w:cs="Arial"/>
          <w:sz w:val="22"/>
          <w:szCs w:val="22"/>
        </w:rPr>
        <w:t>’</w:t>
      </w:r>
      <w:r w:rsidRPr="004A0212">
        <w:rPr>
          <w:rFonts w:ascii="Arial" w:hAnsi="Arial" w:cs="Arial"/>
          <w:sz w:val="22"/>
          <w:szCs w:val="22"/>
        </w:rPr>
        <w:t xml:space="preserve"> Home in Lower Hutt. I was 10 years old. They put me in the secure unit – a concrete room with holes in the wall, windows that you couldn’t close. The room was concrete with a plastic cover on the mattress and pillow. There were holes in the wall, windows that you couldn't close. I didn't know what was going on. I remember peeking through the window crying for my parents.  </w:t>
      </w:r>
    </w:p>
    <w:p w14:paraId="6AA22BBC" w14:textId="526572EE"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The room reminded me of a prison – it was horrible. I remember feeling cold and listening to the sound of the wind howling all the time. You were only allowed out of your cell for one hour. So, you basically went from standing in one concrete room to another.  </w:t>
      </w:r>
    </w:p>
    <w:p w14:paraId="19CD2BEC" w14:textId="573AEEFA"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think I was in secure for about 10 or 14 days. I felt totally isolated – I remember hearing kids screaming, yelling and crying outside, but I couldn’t actually see anybody. I don't recall any books and anything to read – all you could do all day was sit there and stare out into a field. I was abused by the staff, but I felt too afraid and unsafe to say anything to anyone about it. I thought I was going to die in there. </w:t>
      </w:r>
    </w:p>
    <w:p w14:paraId="6ECCCEF1" w14:textId="109BE540"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At Epuni, we were forced to clean volleyball courts with a toothbrush – they took two weeks to clean. We had to mix up a big drum full of caustic soda to clean them with. The staff would make us stand in it and the acid would eat the skin off your feet. We spent all week cleaning, folding clothes and working in the kitchen. On Saturdays we played sports whether you liked it or not. I was small for my age and often the youngest, so sports would be very brutal for me.</w:t>
      </w:r>
    </w:p>
    <w:p w14:paraId="27BDACB2" w14:textId="7ACDB1AC"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Some of the staff were sexually abusing boys. One of them came into my secure unit and tried to comfort me when I was crying. He sat me on his knee, tried to cuddle and feel me too. He and other staff used to go around and visit all the boys’ rooms. They would come into the shower block and say they were checking to see if our balls had dropped.  </w:t>
      </w:r>
    </w:p>
    <w:p w14:paraId="6200B1CE" w14:textId="20813718"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I didn’t go to school while I was at Epuni, school was only for when "you are good". I tried to run away a couple of times, so they stuck me in a cage, like I was cattle. After another attempt to run away, they stuck me in the pound and I was beaten to a pulp. The beatings I endured were severe and savage. After a while, I was sent home to my parents. By then I was feral, I felt like I was constantly fighting for survival. Epuni taught me how to fight and when I went home my behaviour was the same. It was no good putting me into school, I had missed so much education and would fight anyone who came at me. Eventually I ended up back in Epuni.</w:t>
      </w:r>
    </w:p>
    <w:p w14:paraId="00D4B2DF" w14:textId="190E1EFE"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When I was 10 or 11, I was transferred to Hokio – another State institution run by bullies and nasty people. The violence was severe, and a couple of times I nearly died. I was constantly fighting to keep myself safe from violence and sexual abuse by other boys.  </w:t>
      </w:r>
    </w:p>
    <w:p w14:paraId="4D7C6F14" w14:textId="1597D6B2"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lastRenderedPageBreak/>
        <w:t xml:space="preserve">After a few months I was transferred to Holdsworth. It was a ‘survival of the fittest’ mentality there – we all made knives to protect ourselves. I remember the staff and social workers at Holdsworth by the abuse they inflicted. It is unlikely that there was a single person employed there who could claim they didn’t know about the emotional, physical and sexual abuse. I saw a lot of boys mentally break at Holdsworth. For me, I turned to violence – there was no one to talk to about the abuse, so the only thing I could do was to pick up a knife.  </w:t>
      </w:r>
    </w:p>
    <w:p w14:paraId="4F02613D" w14:textId="5BC95786"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spent what I thought was about two years in total at Holdsworth. During that time, I was sent home. I had been there over a year before I got to go home. When you’re 11 years old, not being able to see your family is lonely and isolating. At home, I went to the local intermediate school, but I was struggling and couldn’t integrate, I couldn’t read and write very well – I had spent years cleaning, scrubbing and folding laundry instead of getting an education. I used to love learning and was considered intelligent by the teachers in my younger days, but I wasn't coping at school because the State deprived me of an education.  </w:t>
      </w:r>
    </w:p>
    <w:p w14:paraId="61B763F6" w14:textId="10F72427"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After my second stint in Holdsworth, my father was transferred from Wellington to Auckland because of his job and we moved up there. I’d got involved in stealing cars – I was pretty much stealing cars every weekend, and making good money too. It wasn’t long before I ended up in Ōwairaka Boys’ home. I was 14 years old. </w:t>
      </w:r>
    </w:p>
    <w:p w14:paraId="5830EF9D" w14:textId="5F4C59DB"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Ōwairaka was a nasty place, and like other State-run institutions I had been in, there was a kingpin system ‒ a pecking order based on size and how mean and nasty you could be. Housemasters not only encouraged this, they set it up and used violence and aggression to control you. At Ōwairaka, the staff organised a boxing ring with the biggest, meanest boy, built like a huge gorilla. They made us fight like adults – I knew I was going to get bashed and fought as hard as I could. If you complained the staff would bash you. There were no doctors or nurses around. It was the sort of place where you had to harden up. </w:t>
      </w:r>
    </w:p>
    <w:p w14:paraId="0EF9993D" w14:textId="0946EF7E"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I had no voice at Ōwairaka, but when I got out I told my parents about what had happened there. They went to the police, which is what you are supposed to do, but the police refused to believe them. We felt helpless, like we had no voice. I turned to drugs and alcohol to numb the pain I felt.</w:t>
      </w:r>
    </w:p>
    <w:p w14:paraId="5F0EF955" w14:textId="7A3A5A05"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ended up overdosing a couple of times and getting in trouble with the police for petty crime. I was 17 or 18 when the court ordered me to be sent to Oakley Hospital. I was there because I was using drugs and booze to numb my pain. It was another abusive place, with staff who hit, hurt and abused patients. They diagnosed me with schizophrenia, but I think the doctor was just saying whatever he needed to, to tick the box.  </w:t>
      </w:r>
    </w:p>
    <w:p w14:paraId="3B537538" w14:textId="479E8E90"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The staff would load you up with prescription drugs and say “just take them” when I asked what the drugs were for. They’d walk around with jars of pills and just give them out like lollies. I got addicted to the pills and would manufacture symptoms to get more. I became quite resourceful and could manipulate the doctors to prescribe whatever I needed.  </w:t>
      </w:r>
    </w:p>
    <w:p w14:paraId="13355ECA" w14:textId="213AC54C"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Sexual abuse there was horrific – there were guys getting raped every single day by other patients. Staff knew what was going on and didn’t do a thing about it. Staff threatened us with shock treatment or they would make threats to send us off to Lake Alice.  </w:t>
      </w:r>
    </w:p>
    <w:p w14:paraId="76937EDA" w14:textId="1FBDFBF2"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felt too unsafe to talk to the authorities about what I’d seen, I didn’t think they’d believe me, and there were no complaint processes.  </w:t>
      </w:r>
    </w:p>
    <w:p w14:paraId="3FFAC996" w14:textId="78B5BE04"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lastRenderedPageBreak/>
        <w:t xml:space="preserve">I spent the bulk of my youth locked up in in State institutions. I was incarcerated into Mt Eden when I was in my mid-twenties. All up, I did three stints inside, including at Pāremoremo because I had escaped from Mount Eden Prison. During my time in prison, I’d regularly meet up with the boys I had known in the boy's home.  </w:t>
      </w:r>
    </w:p>
    <w:p w14:paraId="0C835CC6" w14:textId="43A96E48"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continue to bear the scars of the physical and emotional torment inflicted on me by the State’s failure to keep me safe. I had no voice. No-one listened to me or believed the horrors I experienced as a child.  </w:t>
      </w:r>
    </w:p>
    <w:p w14:paraId="354B4AB9" w14:textId="23FBEA6E"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I was entitled by the State to an education. I didn’t receive one – I had to educate myself by reading lots of books. I have experienced an enormous amount of racism right throughout my life.  </w:t>
      </w:r>
    </w:p>
    <w:p w14:paraId="1FAE1DF1" w14:textId="2F7256D5"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My relationships with other people don’t last, so I prefer to work with plants. I worked at Auckland City Council, eventually becoming the head gardener at Western Springs managing six different gardening teams.</w:t>
      </w:r>
    </w:p>
    <w:p w14:paraId="4CBC045F" w14:textId="6C19F1F0"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The institutions I was in were brutal, and I feel fortunate that I survived. What happened to me in care has affected me throughout my life and made me determined that no child of mine would ever end up in State care. Despite the failure by the State to take care of me, I raised my son without any support, and he’s a good man. </w:t>
      </w:r>
    </w:p>
    <w:p w14:paraId="07158A59" w14:textId="75055E4F" w:rsidR="00FE4E56" w:rsidRPr="004A0212" w:rsidRDefault="00FE4E56" w:rsidP="00B927A7">
      <w:pPr>
        <w:pStyle w:val="BodyText"/>
        <w:spacing w:before="0" w:line="276" w:lineRule="auto"/>
        <w:rPr>
          <w:rFonts w:ascii="Arial" w:hAnsi="Arial" w:cs="Arial"/>
          <w:sz w:val="22"/>
          <w:szCs w:val="22"/>
        </w:rPr>
      </w:pPr>
      <w:r w:rsidRPr="004A0212">
        <w:rPr>
          <w:rFonts w:ascii="Arial" w:hAnsi="Arial" w:cs="Arial"/>
          <w:sz w:val="22"/>
          <w:szCs w:val="22"/>
        </w:rPr>
        <w:t xml:space="preserve">No child should be taken off their parents. Don’t put a child in a concrete box with rusted bars and expect some white guy to have empathy for the little brown boy. We were taken from our whānau by the State. No one should have to experience what I went through.  </w:t>
      </w:r>
    </w:p>
    <w:p w14:paraId="4714627A" w14:textId="3AE8484C" w:rsidR="00FE4E56" w:rsidRPr="004A0212" w:rsidRDefault="00FE4E56" w:rsidP="00B927A7">
      <w:pPr>
        <w:pStyle w:val="BodyText"/>
        <w:spacing w:before="0" w:line="276" w:lineRule="auto"/>
        <w:rPr>
          <w:rStyle w:val="eop"/>
          <w:rFonts w:ascii="Arial" w:hAnsi="Arial" w:cs="Arial"/>
          <w:sz w:val="22"/>
          <w:szCs w:val="22"/>
        </w:rPr>
      </w:pPr>
      <w:r w:rsidRPr="004A0212">
        <w:rPr>
          <w:rFonts w:ascii="Arial" w:hAnsi="Arial" w:cs="Arial"/>
          <w:sz w:val="22"/>
          <w:szCs w:val="22"/>
        </w:rPr>
        <w:t>Children have the right to be cared for, to be loved, to be protected, to be valued. If someone had made the effort to treat me as a person, rather than as a little brown boy, there could have been a totally different outcome. I often wonder how I might have turned out if I was given some better opportunities. I could have won a gold medal</w:t>
      </w:r>
      <w:r w:rsidRPr="00FE6765">
        <w:rPr>
          <w:rFonts w:ascii="Arial" w:hAnsi="Arial" w:cs="Arial"/>
          <w:sz w:val="22"/>
          <w:szCs w:val="22"/>
        </w:rPr>
        <w:t>.</w:t>
      </w:r>
      <w:r w:rsidRPr="00FE6765">
        <w:rPr>
          <w:rStyle w:val="StyleFootnoteReferenceFagoFunotenzeichenFagoFunotenzeichen"/>
          <w:szCs w:val="22"/>
        </w:rPr>
        <w:endnoteReference w:id="446"/>
      </w:r>
    </w:p>
    <w:p w14:paraId="2FEF4B32" w14:textId="77777777" w:rsidR="00FE4E56" w:rsidRPr="004A0212" w:rsidRDefault="00FE4E56" w:rsidP="00B927A7">
      <w:pPr>
        <w:pStyle w:val="paragraph"/>
        <w:spacing w:before="0" w:after="0" w:afterAutospacing="0" w:line="276" w:lineRule="auto"/>
        <w:textAlignment w:val="baseline"/>
        <w:rPr>
          <w:rStyle w:val="eop"/>
          <w:rFonts w:ascii="Arial" w:hAnsi="Arial" w:cs="Arial"/>
          <w:sz w:val="22"/>
          <w:szCs w:val="22"/>
        </w:rPr>
      </w:pPr>
    </w:p>
    <w:p w14:paraId="46B48372" w14:textId="125837E3" w:rsidR="00FE4E56" w:rsidRDefault="00FE4E56">
      <w:pPr>
        <w:keepLines w:val="0"/>
        <w:rPr>
          <w:rFonts w:asciiTheme="minorBidi" w:eastAsia="Times New Roman" w:hAnsiTheme="minorBidi" w:cstheme="minorBidi"/>
          <w:b/>
          <w:bCs/>
          <w:i/>
          <w:iCs/>
          <w:lang w:eastAsia="zh-CN" w:bidi="th-TH"/>
        </w:rPr>
      </w:pPr>
      <w:r>
        <w:rPr>
          <w:rFonts w:asciiTheme="minorBidi" w:eastAsia="Times New Roman" w:hAnsiTheme="minorBidi" w:cstheme="minorBidi"/>
          <w:b/>
          <w:bCs/>
          <w:i/>
          <w:iCs/>
          <w:lang w:eastAsia="zh-CN" w:bidi="th-TH"/>
        </w:rPr>
        <w:br w:type="page"/>
      </w:r>
    </w:p>
    <w:p w14:paraId="7FDB1F56" w14:textId="1F9966FF" w:rsidR="00FE4E56" w:rsidRPr="005C11C1" w:rsidRDefault="00FE4E56" w:rsidP="008C6E3E">
      <w:pPr>
        <w:pStyle w:val="BodyText"/>
        <w:rPr>
          <w:rFonts w:ascii="Arial" w:hAnsi="Arial" w:cs="Arial"/>
          <w:lang w:bidi="th-TH"/>
        </w:rPr>
      </w:pPr>
      <w:r w:rsidRPr="005C11C1">
        <w:rPr>
          <w:rFonts w:ascii="Arial" w:hAnsi="Arial" w:cs="Arial"/>
          <w:lang w:bidi="th-TH"/>
        </w:rPr>
        <w:lastRenderedPageBreak/>
        <w:t>[Survivor quote preceding survivor profile]</w:t>
      </w:r>
    </w:p>
    <w:p w14:paraId="4F99DC6E" w14:textId="10008AD7" w:rsidR="00FE4E56" w:rsidRPr="008C6E3E" w:rsidRDefault="00FE4E56" w:rsidP="008C6E3E">
      <w:pPr>
        <w:pStyle w:val="AllQuotes"/>
        <w:rPr>
          <w:rFonts w:cs="Arial"/>
          <w:b/>
          <w:szCs w:val="22"/>
          <w:lang w:bidi="th-TH"/>
        </w:rPr>
      </w:pPr>
      <w:r w:rsidRPr="008C6E3E">
        <w:rPr>
          <w:rFonts w:cs="Arial"/>
          <w:b/>
          <w:szCs w:val="22"/>
          <w:lang w:bidi="th-TH"/>
        </w:rPr>
        <w:t>“I hid under a bed while the priest sexually assaulted a prefect.”</w:t>
      </w:r>
    </w:p>
    <w:p w14:paraId="5CAA380F" w14:textId="77777777" w:rsidR="00FE4E56" w:rsidRPr="008C6E3E" w:rsidRDefault="00FE4E56" w:rsidP="008C6E3E">
      <w:pPr>
        <w:pStyle w:val="AllQuotes"/>
        <w:rPr>
          <w:rFonts w:cs="Arial"/>
          <w:b/>
          <w:szCs w:val="22"/>
          <w:lang w:bidi="th-TH"/>
        </w:rPr>
      </w:pPr>
      <w:r w:rsidRPr="008C6E3E">
        <w:rPr>
          <w:rFonts w:cs="Arial"/>
          <w:b/>
          <w:szCs w:val="22"/>
          <w:lang w:bidi="th-TH"/>
        </w:rPr>
        <w:t>Kamahl Tupetagi</w:t>
      </w:r>
    </w:p>
    <w:p w14:paraId="093577F6" w14:textId="77777777" w:rsidR="00FE4E56" w:rsidRPr="008C6E3E" w:rsidRDefault="00FE4E56" w:rsidP="008C6E3E">
      <w:pPr>
        <w:pStyle w:val="AllQuotes"/>
        <w:rPr>
          <w:rFonts w:cs="Arial"/>
          <w:b/>
          <w:szCs w:val="22"/>
          <w:lang w:bidi="th-TH"/>
        </w:rPr>
      </w:pPr>
      <w:r w:rsidRPr="008C6E3E">
        <w:rPr>
          <w:rFonts w:cs="Arial"/>
          <w:b/>
          <w:szCs w:val="22"/>
          <w:lang w:bidi="th-TH"/>
        </w:rPr>
        <w:t>Niuean, Māori (Ngāpuhi)</w:t>
      </w:r>
    </w:p>
    <w:p w14:paraId="2F16BC36" w14:textId="77777777" w:rsidR="00FE4E56" w:rsidRPr="004A0212" w:rsidRDefault="00FE4E56" w:rsidP="001E16C9">
      <w:pPr>
        <w:pStyle w:val="paragraph"/>
        <w:spacing w:before="0" w:after="0" w:afterAutospacing="0"/>
        <w:textAlignment w:val="baseline"/>
        <w:rPr>
          <w:rStyle w:val="eop"/>
          <w:rFonts w:ascii="Arial" w:hAnsi="Arial" w:cs="Arial"/>
          <w:sz w:val="22"/>
          <w:szCs w:val="22"/>
        </w:rPr>
      </w:pPr>
    </w:p>
    <w:p w14:paraId="5969F27D" w14:textId="77777777" w:rsidR="00FE4E56" w:rsidRPr="004A0212" w:rsidRDefault="00FE4E56" w:rsidP="00282055">
      <w:pPr>
        <w:pStyle w:val="Heading1"/>
        <w:rPr>
          <w:color w:val="3B5D1E" w:themeColor="accent4" w:themeShade="BF"/>
        </w:rPr>
      </w:pPr>
      <w:bookmarkStart w:id="537" w:name="_Toc1489206200"/>
      <w:bookmarkStart w:id="538" w:name="_Toc181084928"/>
      <w:r w:rsidRPr="004A0212">
        <w:rPr>
          <w:color w:val="3B5D1E" w:themeColor="accent4" w:themeShade="BF"/>
        </w:rPr>
        <w:t>Ngā wheako o te purapura ora</w:t>
      </w:r>
      <w:bookmarkEnd w:id="537"/>
      <w:bookmarkEnd w:id="538"/>
    </w:p>
    <w:p w14:paraId="2E8078F3" w14:textId="55778EE4" w:rsidR="00FE4E56" w:rsidRPr="004A0212" w:rsidRDefault="00FE4E56" w:rsidP="00282055">
      <w:pPr>
        <w:pStyle w:val="Heading1"/>
        <w:rPr>
          <w:color w:val="3B5D1E" w:themeColor="accent4" w:themeShade="BF"/>
        </w:rPr>
      </w:pPr>
      <w:bookmarkStart w:id="539" w:name="_Toc595882062"/>
      <w:bookmarkStart w:id="540" w:name="_Toc181084929"/>
      <w:r w:rsidRPr="004A0212">
        <w:rPr>
          <w:color w:val="3B5D1E" w:themeColor="accent4" w:themeShade="BF"/>
        </w:rPr>
        <w:t>Survivor experience: Kamahl Tupetagi</w:t>
      </w:r>
      <w:bookmarkEnd w:id="540"/>
      <w:r w:rsidRPr="004A0212">
        <w:rPr>
          <w:color w:val="3B5D1E" w:themeColor="accent4" w:themeShade="BF"/>
        </w:rPr>
        <w:t xml:space="preserve"> </w:t>
      </w:r>
      <w:bookmarkEnd w:id="539"/>
    </w:p>
    <w:p w14:paraId="15EB8D1B" w14:textId="3B02AF97" w:rsidR="00FE4E56" w:rsidRPr="004A0212" w:rsidRDefault="00FE4E56" w:rsidP="007F0754">
      <w:pPr>
        <w:pStyle w:val="BodyText"/>
        <w:spacing w:before="0"/>
        <w:rPr>
          <w:rFonts w:ascii="Arial" w:hAnsi="Arial" w:cs="Arial"/>
          <w:sz w:val="22"/>
          <w:szCs w:val="22"/>
        </w:rPr>
      </w:pPr>
      <w:r w:rsidRPr="004A0212">
        <w:rPr>
          <w:rFonts w:ascii="Arial" w:hAnsi="Arial" w:cs="Arial"/>
          <w:b/>
          <w:bCs/>
          <w:sz w:val="22"/>
          <w:szCs w:val="22"/>
        </w:rPr>
        <w:t>Name</w:t>
      </w:r>
      <w:r w:rsidRPr="004A0212">
        <w:rPr>
          <w:rFonts w:ascii="Arial" w:hAnsi="Arial" w:cs="Arial"/>
          <w:sz w:val="22"/>
          <w:szCs w:val="22"/>
        </w:rPr>
        <w:t xml:space="preserve"> Kamahl Tupetagi</w:t>
      </w:r>
    </w:p>
    <w:p w14:paraId="21AA9F4C" w14:textId="31D9791A" w:rsidR="00FE4E56" w:rsidRPr="004A0212" w:rsidRDefault="00FE4E56" w:rsidP="007F0754">
      <w:pPr>
        <w:pStyle w:val="BodyText"/>
        <w:spacing w:before="0"/>
        <w:rPr>
          <w:rFonts w:ascii="Arial" w:hAnsi="Arial" w:cs="Arial"/>
          <w:sz w:val="22"/>
          <w:szCs w:val="22"/>
        </w:rPr>
      </w:pPr>
      <w:r w:rsidRPr="004A0212">
        <w:rPr>
          <w:rFonts w:ascii="Arial" w:hAnsi="Arial" w:cs="Arial"/>
          <w:b/>
          <w:sz w:val="22"/>
          <w:szCs w:val="22"/>
        </w:rPr>
        <w:t>Currently lives in:</w:t>
      </w:r>
      <w:r w:rsidRPr="004A0212">
        <w:rPr>
          <w:rFonts w:ascii="Arial" w:hAnsi="Arial" w:cs="Arial"/>
          <w:sz w:val="22"/>
          <w:szCs w:val="22"/>
        </w:rPr>
        <w:t xml:space="preserve"> Australia</w:t>
      </w:r>
    </w:p>
    <w:p w14:paraId="089104E0" w14:textId="77777777" w:rsidR="00FE4E56" w:rsidRPr="004A0212" w:rsidRDefault="00FE4E56" w:rsidP="007F0754">
      <w:pPr>
        <w:pStyle w:val="BodyText"/>
        <w:spacing w:before="0"/>
        <w:rPr>
          <w:rFonts w:ascii="Arial" w:hAnsi="Arial" w:cs="Arial"/>
          <w:sz w:val="22"/>
          <w:szCs w:val="22"/>
        </w:rPr>
      </w:pPr>
      <w:r w:rsidRPr="004A0212">
        <w:rPr>
          <w:rFonts w:ascii="Arial" w:hAnsi="Arial" w:cs="Arial"/>
          <w:b/>
          <w:sz w:val="22"/>
          <w:szCs w:val="22"/>
        </w:rPr>
        <w:t>Age when entered care</w:t>
      </w:r>
      <w:r w:rsidRPr="004A0212">
        <w:rPr>
          <w:rFonts w:ascii="Arial" w:hAnsi="Arial" w:cs="Arial"/>
          <w:sz w:val="22"/>
          <w:szCs w:val="22"/>
        </w:rPr>
        <w:t xml:space="preserve"> 3 years old</w:t>
      </w:r>
    </w:p>
    <w:p w14:paraId="3E74C477" w14:textId="0DEFEBD2" w:rsidR="00FE4E56" w:rsidRPr="004A0212" w:rsidRDefault="00FE4E56" w:rsidP="007F0754">
      <w:pPr>
        <w:pStyle w:val="BodyText"/>
        <w:spacing w:before="0"/>
        <w:rPr>
          <w:rFonts w:ascii="Arial" w:hAnsi="Arial" w:cs="Arial"/>
          <w:sz w:val="22"/>
          <w:szCs w:val="22"/>
        </w:rPr>
      </w:pPr>
      <w:r w:rsidRPr="004A0212">
        <w:rPr>
          <w:rFonts w:ascii="Arial" w:hAnsi="Arial" w:cs="Arial"/>
          <w:b/>
          <w:sz w:val="22"/>
          <w:szCs w:val="22"/>
        </w:rPr>
        <w:t>Year of birth</w:t>
      </w:r>
      <w:r w:rsidRPr="004A0212">
        <w:rPr>
          <w:rFonts w:ascii="Arial" w:hAnsi="Arial" w:cs="Arial"/>
          <w:sz w:val="22"/>
          <w:szCs w:val="22"/>
        </w:rPr>
        <w:t xml:space="preserve"> 1973</w:t>
      </w:r>
    </w:p>
    <w:p w14:paraId="7D3ABF16" w14:textId="77777777" w:rsidR="00FE4E56" w:rsidRPr="004A0212" w:rsidRDefault="00FE4E56" w:rsidP="007F0754">
      <w:pPr>
        <w:pStyle w:val="BodyText"/>
        <w:spacing w:before="0"/>
        <w:rPr>
          <w:rFonts w:ascii="Arial" w:hAnsi="Arial" w:cs="Arial"/>
          <w:sz w:val="22"/>
          <w:szCs w:val="22"/>
        </w:rPr>
      </w:pPr>
      <w:r w:rsidRPr="004A0212">
        <w:rPr>
          <w:rFonts w:ascii="Arial" w:hAnsi="Arial" w:cs="Arial"/>
          <w:b/>
          <w:sz w:val="22"/>
          <w:szCs w:val="22"/>
        </w:rPr>
        <w:t>Time in care</w:t>
      </w:r>
      <w:r w:rsidRPr="004A0212">
        <w:rPr>
          <w:rFonts w:ascii="Arial" w:hAnsi="Arial" w:cs="Arial"/>
          <w:sz w:val="22"/>
          <w:szCs w:val="22"/>
        </w:rPr>
        <w:t xml:space="preserve"> 1977–1994</w:t>
      </w:r>
    </w:p>
    <w:p w14:paraId="51C1B749" w14:textId="05042E73" w:rsidR="00FE4E56" w:rsidRPr="004A0212" w:rsidRDefault="00FE4E56" w:rsidP="0055757A">
      <w:pPr>
        <w:keepLines w:val="0"/>
        <w:autoSpaceDE w:val="0"/>
        <w:autoSpaceDN w:val="0"/>
        <w:adjustRightInd w:val="0"/>
        <w:spacing w:before="0" w:after="0"/>
        <w:rPr>
          <w:rFonts w:ascii="Arial" w:hAnsi="Arial" w:cs="Arial"/>
          <w:sz w:val="22"/>
          <w:szCs w:val="22"/>
        </w:rPr>
      </w:pPr>
      <w:r w:rsidRPr="004A0212">
        <w:rPr>
          <w:rFonts w:ascii="Arial" w:hAnsi="Arial" w:cs="Arial"/>
          <w:b/>
          <w:sz w:val="22"/>
          <w:szCs w:val="22"/>
        </w:rPr>
        <w:t>Type of care facility</w:t>
      </w:r>
      <w:r w:rsidRPr="004A0212">
        <w:rPr>
          <w:rFonts w:ascii="Arial" w:hAnsi="Arial" w:cs="Arial"/>
          <w:sz w:val="22"/>
          <w:szCs w:val="22"/>
        </w:rPr>
        <w:t xml:space="preserve"> Family home – Nayland Family Home, St Andrews Family Home, Tahunanui Family Home; foster care; boys’ home –</w:t>
      </w:r>
      <w:r w:rsidRPr="0055757A">
        <w:rPr>
          <w:rFonts w:ascii="Arial" w:hAnsi="Arial" w:cs="Arial"/>
          <w:sz w:val="22"/>
          <w:szCs w:val="22"/>
        </w:rPr>
        <w:t xml:space="preserve"> Dunedin Boys’ Home (</w:t>
      </w:r>
      <w:r w:rsidRPr="004A0212">
        <w:rPr>
          <w:rFonts w:ascii="Arial" w:hAnsi="Arial" w:cs="Arial"/>
          <w:sz w:val="22"/>
          <w:szCs w:val="22"/>
        </w:rPr>
        <w:t>Lookout Point Boys’ Home</w:t>
      </w:r>
      <w:r>
        <w:rPr>
          <w:rFonts w:ascii="Arial" w:hAnsi="Arial" w:cs="Arial"/>
          <w:sz w:val="22"/>
          <w:szCs w:val="22"/>
        </w:rPr>
        <w:t xml:space="preserve">) in </w:t>
      </w:r>
      <w:r w:rsidRPr="00E82EC0">
        <w:rPr>
          <w:rFonts w:ascii="Arial" w:hAnsi="Arial" w:cs="Arial"/>
          <w:sz w:val="22"/>
          <w:szCs w:val="22"/>
        </w:rPr>
        <w:t>Ōtepoti Dunedin</w:t>
      </w:r>
      <w:r w:rsidRPr="004A0212">
        <w:rPr>
          <w:rFonts w:ascii="Arial" w:hAnsi="Arial" w:cs="Arial"/>
          <w:sz w:val="22"/>
          <w:szCs w:val="22"/>
        </w:rPr>
        <w:t>; M</w:t>
      </w:r>
      <w:r w:rsidRPr="004A0212">
        <w:rPr>
          <w:rFonts w:ascii="Arial" w:hAnsi="Arial" w:cs="Arial" w:hint="eastAsia"/>
          <w:sz w:val="22"/>
          <w:szCs w:val="22"/>
        </w:rPr>
        <w:t>ā</w:t>
      </w:r>
      <w:r w:rsidRPr="004A0212">
        <w:rPr>
          <w:rFonts w:ascii="Arial" w:hAnsi="Arial" w:cs="Arial"/>
          <w:sz w:val="22"/>
          <w:szCs w:val="22"/>
        </w:rPr>
        <w:t>ori boarding school – Hato P</w:t>
      </w:r>
      <w:r w:rsidRPr="004A0212">
        <w:rPr>
          <w:rFonts w:ascii="Arial" w:hAnsi="Arial" w:cs="Arial" w:hint="eastAsia"/>
          <w:sz w:val="22"/>
          <w:szCs w:val="22"/>
        </w:rPr>
        <w:t>ā</w:t>
      </w:r>
      <w:r w:rsidRPr="004A0212">
        <w:rPr>
          <w:rFonts w:ascii="Arial" w:hAnsi="Arial" w:cs="Arial"/>
          <w:sz w:val="22"/>
          <w:szCs w:val="22"/>
        </w:rPr>
        <w:t>ora College (Catholic)</w:t>
      </w:r>
      <w:r>
        <w:rPr>
          <w:rFonts w:ascii="Arial" w:hAnsi="Arial" w:cs="Arial"/>
          <w:sz w:val="22"/>
          <w:szCs w:val="22"/>
        </w:rPr>
        <w:t xml:space="preserve"> </w:t>
      </w:r>
      <w:r w:rsidRPr="0055757A">
        <w:rPr>
          <w:rFonts w:ascii="Arial" w:hAnsi="Arial" w:cs="Arial"/>
          <w:sz w:val="22"/>
          <w:szCs w:val="22"/>
        </w:rPr>
        <w:t>in Manawatū-Whanganui</w:t>
      </w:r>
      <w:r w:rsidRPr="004A0212">
        <w:rPr>
          <w:rFonts w:ascii="Arial" w:hAnsi="Arial" w:cs="Arial"/>
          <w:sz w:val="22"/>
          <w:szCs w:val="22"/>
        </w:rPr>
        <w:t>.</w:t>
      </w:r>
    </w:p>
    <w:p w14:paraId="6B1FDA44" w14:textId="77777777" w:rsidR="00FE4E56" w:rsidRDefault="00FE4E56" w:rsidP="007F0754">
      <w:pPr>
        <w:pStyle w:val="BodyText"/>
        <w:spacing w:before="0"/>
        <w:rPr>
          <w:rFonts w:ascii="Arial" w:hAnsi="Arial" w:cs="Arial"/>
          <w:b/>
          <w:sz w:val="22"/>
          <w:szCs w:val="22"/>
        </w:rPr>
      </w:pPr>
    </w:p>
    <w:p w14:paraId="0FA154F2" w14:textId="0ED060D7" w:rsidR="00FE4E56" w:rsidRPr="004A0212" w:rsidRDefault="00FE4E56" w:rsidP="007F0754">
      <w:pPr>
        <w:pStyle w:val="BodyText"/>
        <w:spacing w:before="0"/>
        <w:rPr>
          <w:rFonts w:ascii="Arial" w:hAnsi="Arial" w:cs="Arial"/>
          <w:sz w:val="22"/>
          <w:szCs w:val="22"/>
        </w:rPr>
      </w:pPr>
      <w:r w:rsidRPr="004A0212">
        <w:rPr>
          <w:rFonts w:ascii="Arial" w:hAnsi="Arial" w:cs="Arial"/>
          <w:b/>
          <w:sz w:val="22"/>
          <w:szCs w:val="22"/>
        </w:rPr>
        <w:t>Ethnicity</w:t>
      </w:r>
      <w:r w:rsidRPr="004A0212">
        <w:rPr>
          <w:rFonts w:ascii="Arial" w:hAnsi="Arial" w:cs="Arial"/>
          <w:sz w:val="22"/>
          <w:szCs w:val="22"/>
        </w:rPr>
        <w:t xml:space="preserve"> Niuean and M</w:t>
      </w:r>
      <w:r w:rsidRPr="004A0212">
        <w:rPr>
          <w:rFonts w:ascii="Arial" w:hAnsi="Arial" w:cs="Arial" w:hint="eastAsia"/>
          <w:sz w:val="22"/>
          <w:szCs w:val="22"/>
        </w:rPr>
        <w:t>ā</w:t>
      </w:r>
      <w:r w:rsidRPr="004A0212">
        <w:rPr>
          <w:rFonts w:ascii="Arial" w:hAnsi="Arial" w:cs="Arial"/>
          <w:sz w:val="22"/>
          <w:szCs w:val="22"/>
        </w:rPr>
        <w:t>ori (Ng</w:t>
      </w:r>
      <w:r w:rsidRPr="004A0212">
        <w:rPr>
          <w:rFonts w:ascii="Arial" w:hAnsi="Arial" w:cs="Arial" w:hint="eastAsia"/>
          <w:sz w:val="22"/>
          <w:szCs w:val="22"/>
        </w:rPr>
        <w:t>ā</w:t>
      </w:r>
      <w:r w:rsidRPr="004A0212">
        <w:rPr>
          <w:rFonts w:ascii="Arial" w:hAnsi="Arial" w:cs="Arial"/>
          <w:sz w:val="22"/>
          <w:szCs w:val="22"/>
        </w:rPr>
        <w:t>puhi)</w:t>
      </w:r>
      <w:r w:rsidRPr="004A0212">
        <w:rPr>
          <w:rFonts w:ascii="Arial" w:hAnsi="Arial" w:cs="Arial"/>
          <w:color w:val="4D5156"/>
          <w:sz w:val="22"/>
          <w:szCs w:val="22"/>
          <w:shd w:val="clear" w:color="auto" w:fill="FFFFFF"/>
        </w:rPr>
        <w:t> </w:t>
      </w:r>
    </w:p>
    <w:p w14:paraId="4B58A092" w14:textId="316DF491" w:rsidR="00FE4E56" w:rsidRPr="005C11C1" w:rsidRDefault="00FE4E56" w:rsidP="007F0754">
      <w:pPr>
        <w:pStyle w:val="BodyText"/>
        <w:spacing w:before="0"/>
        <w:rPr>
          <w:rFonts w:ascii="Arial" w:hAnsi="Arial" w:cs="Arial"/>
          <w:b/>
          <w:sz w:val="22"/>
          <w:szCs w:val="22"/>
        </w:rPr>
      </w:pPr>
      <w:r w:rsidRPr="005C11C1">
        <w:rPr>
          <w:rFonts w:ascii="Arial" w:hAnsi="Arial" w:cs="Arial"/>
          <w:b/>
        </w:rPr>
        <w:t>Whānau background</w:t>
      </w:r>
      <w:r w:rsidRPr="005C11C1">
        <w:rPr>
          <w:rStyle w:val="normaltextrun"/>
          <w:rFonts w:ascii="Arial" w:hAnsi="Arial" w:cs="Arial"/>
          <w:color w:val="000000"/>
          <w:sz w:val="22"/>
          <w:szCs w:val="22"/>
          <w:shd w:val="clear" w:color="auto" w:fill="FFFFFF"/>
        </w:rPr>
        <w:t xml:space="preserve"> </w:t>
      </w:r>
      <w:r w:rsidRPr="005C11C1">
        <w:rPr>
          <w:rFonts w:ascii="Arial" w:hAnsi="Arial" w:cs="Arial"/>
        </w:rPr>
        <w:t>Kamahl has seven siblings. One was adopted to maternal grandparents. Kamahl has a twin sister.</w:t>
      </w:r>
    </w:p>
    <w:p w14:paraId="66025680" w14:textId="77777777" w:rsidR="00FE4E56" w:rsidRDefault="00FE4E56" w:rsidP="007F0754">
      <w:pPr>
        <w:pStyle w:val="BodyText"/>
        <w:spacing w:before="0"/>
        <w:rPr>
          <w:rFonts w:ascii="Arial" w:hAnsi="Arial" w:cs="Arial"/>
          <w:bCs/>
          <w:sz w:val="22"/>
          <w:szCs w:val="22"/>
        </w:rPr>
      </w:pPr>
    </w:p>
    <w:p w14:paraId="6FB3FD99" w14:textId="38B3D515"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Life with my mum and dad was quite abusive and difficult. I ended up going to hospital more than once, and I’m surprised I didn’t come to the attention of the authorities. I was also sexually abused by people who came to our house for parties, and later sexually abused at a family home. </w:t>
      </w:r>
    </w:p>
    <w:p w14:paraId="25B74C63" w14:textId="59E30AC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My father left our family when I was young and went back to Niue. I last saw him when I was about 18 years old. I didn’t have a lot of connection with the Niuean side of my family growing up, and I don’t now. My mother is Māori. She had a disagreement with her family before I was born, and moved down south. We had some contact with her family but I didn’t spend a lot of time on the marae, and I didn’t have a lot of cultural knowledge or understanding as I was growing up. </w:t>
      </w:r>
    </w:p>
    <w:p w14:paraId="345B812D"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Social Welfare got involved with my family after our school noted that my older siblings were truanting regularly. My family was placed under the preventive supervision of Social Welfare in 1977 when I was 3 years old, and I was made a State ward aged 9 years old. My mother voluntarily placed us kids into Social Welfare care for six months, with the intention that we’d be home again by Christmas. Mum’s emotional health was a problem, as well as our poor financial situation and unsettled accommodation.  </w:t>
      </w:r>
    </w:p>
    <w:p w14:paraId="0BD90F0D" w14:textId="1A15F1FC"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lastRenderedPageBreak/>
        <w:t xml:space="preserve">We were placed in the St Andrew’s Family Home. I was treated well there and wasn’t abused, but I had a lot of anxiety during that time. I didn’t really know that I was in State care. Mum visited but we never went back to living with her again. When she did visit, it was quite emotional because of the long periods of separation.  </w:t>
      </w:r>
    </w:p>
    <w:p w14:paraId="35776933"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Later I went to the Nayland Family Home. I shared a room with an older boy there who repeatedly sexually assaulted me. He later stole my bike and took off, and I never saw him again. I reported it to my social worker, and I think I told him about the boy sexually abusing me, but I don’t think anything came of it. If you talked about these things, people didn’t believe you. I was physically abused by another boy there too.  </w:t>
      </w:r>
    </w:p>
    <w:p w14:paraId="4F3F8573" w14:textId="489D9936"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Foster placements didn’t go well, so I was enrolled at Hato Pāora College in 1987 and was there until 1989. I didn’t want to go. The social worker attributed the problems I’d had in foster care to a “difference in cultural values and perception”, and he thought that sending me to Hato Pāora would give me an opportunity to explore my Māori culture and make Māori friends. But I had been brought up in a Pākehā environment. I’d never learned te reo and had no understanding of Māori culture or my Niuean culture before I arrived at the school. I asked to go to my relatives in the north, to one aunty in particular. She’d agreed I could stay there, but this was never explored by my social workers.  </w:t>
      </w:r>
    </w:p>
    <w:p w14:paraId="449CB471" w14:textId="6D639AFB"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The decision to send me to Hato Pāora was the worst decision Social Welfare could have made for me. I was horrifically abused while I lived there, by both the students and the staff members.  </w:t>
      </w:r>
    </w:p>
    <w:p w14:paraId="3D41D121" w14:textId="76ED48E2"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Violence and bullying were endemic to Hato Pāora. Staff knew it was happening, and treated victims of bullying as blameworthy, telling us to grow up or man up. They wouldn’t intervene unless there was some serious blood spilt, and it was best not to speak up in fear of repercussion. You never knew when the punishment was going to be delivered or who gave the instruction. At times it was like being assaulted by a gang knowing there were tactics being used and nothing you could do about it.  </w:t>
      </w:r>
    </w:p>
    <w:p w14:paraId="32F9179D" w14:textId="22156DE5"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Punishments were severe, from senior students and staff. Seniors would clear their mouths and nostrils with the ugliest snot and saliva they could muster, to have you wipe it up with your hand and eat it. My teeth were damaged after being forced at times to brush them with toilet cleaner.  </w:t>
      </w:r>
    </w:p>
    <w:p w14:paraId="410B98CD"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We were punished if we made mistakes during culture practice or sang the wrong words or didn’t know the words, or did the wrong actions. A metal ruler was used as a knuckle punishment. We had to hold our arms out with hands palms down, and the metal ruler was turned on its side and cracked onto our knuckles hard enough to cause hand injuries and create tears, which would only create more reasons to be punished.  </w:t>
      </w:r>
    </w:p>
    <w:p w14:paraId="634AB8E0" w14:textId="21AF609A"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Culture was so important at Hato Pāora. It was so much a part of everything we did, and because I knew nothing about it when I got to Hato Pāora, I became a target. If I did not speak Māori properly or do the haka properly, senior students would pick up the nearest desk or chair and hit me with it, or find a stick to punish me with. I’d be forced to stand for hours and have my legs slapped or my hands hit.  </w:t>
      </w:r>
    </w:p>
    <w:p w14:paraId="475EDAC1" w14:textId="1511C9A6"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I’ve been disconnected from my Pacific and Māori culture for most of my life. I think being involved with my own culture would have given me a sense of myself and a sense of belonging. I didn’t know any Niuean or Māori language growing up, which I think would have helped me as well. My cultural learning was done at Hato Pāora, at a time when I experienced an enormous amount of abuse.  </w:t>
      </w:r>
    </w:p>
    <w:p w14:paraId="63A25654" w14:textId="44EC2338"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lastRenderedPageBreak/>
        <w:t xml:space="preserve">I was regularly sexually abused by a priest at Hato Pāora – several times a week, sometimes several times a day. He realised I had no contact person or anyone I could tell, because I was never visited by a social worker. It was worse during the school holidays because I was often left behind. He did whatever he wanted to me because he knew no one cared about me.  </w:t>
      </w:r>
    </w:p>
    <w:p w14:paraId="78FF9E50" w14:textId="20AF79E0"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There was an open bathroom with a bath on one end. Boys would often be in the bath while the priest fondled them, even with people walking around. I think he was sexually assaulting boys so often that it was considered normal.  </w:t>
      </w:r>
    </w:p>
    <w:p w14:paraId="4134CEEB" w14:textId="6FC3941B"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A lot of older boys also sexually abused younger boys. I was sexually assaulted multiple times by a senior boy. He was older and bigger, and I was too scared to refuse him.  </w:t>
      </w:r>
    </w:p>
    <w:p w14:paraId="7E9FBF9F" w14:textId="37E75C90"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became a target for sexual abuse when other boys noticed how much attention the priest paid me. Once, I was summoned to the prefect’s dorm and told to strip down to my underwear. We heard the priest coming and the boy told me to hide under the bed. I had to stay there while the priest sexually assaulted the prefect.  </w:t>
      </w:r>
    </w:p>
    <w:p w14:paraId="74F1D10D"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ran away with two other boys several times. Both of them had talked about abuse from the priest and from other boys. They were State wards as well, and we all felt quite helpless. There was no one we could turn to.  </w:t>
      </w:r>
    </w:p>
    <w:p w14:paraId="36890E40" w14:textId="0DD7FFD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became so mentally exhausted by the abuse that I faked having appendicitis. The priest drove me home from surgery. I was in the infirmary for two weeks and he abused me there too.  </w:t>
      </w:r>
    </w:p>
    <w:p w14:paraId="3A4E2AC3" w14:textId="4DB99E2E"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know that some survivors of abuse have unclear memories of the things that happened to them. Unfortunately, I have very clear memories of everything that happened. I also have physical responses to things, such as smells I associate with the priest.  </w:t>
      </w:r>
    </w:p>
    <w:p w14:paraId="07492DBF" w14:textId="5DEC329C"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So many of my Social Welfare records from my time at Hato Pāora indicate I was being abused. A social worker wrote a note saying I was “unlikely to develop the strength to be able to survive at a boarding school” as I might be “the subject of all types of physical abuse,” and “observing him, his beautiful piano playing, lack of sporting interests, and delicate gestures – it is easy to accept that he would have difficulties with bullies at boarding school”.  </w:t>
      </w:r>
    </w:p>
    <w:p w14:paraId="6AC28935" w14:textId="52DFB11F"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was finally allowed to leave Hato Pāora after telling my social worker I was going to kill myself. I was sent down south because my mum was based down there, and Social Welfare had changed its policy and kids had to go back to their parents or extended family. That was awful because we’d been estranged from Mum for a very long time.  </w:t>
      </w:r>
    </w:p>
    <w:p w14:paraId="3534A5C2" w14:textId="40ECD0DE"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was enrolled at a high school where I experienced a lot of racism because we were the only dark-coloured students in the entire school. We were called ‘black bitch’, ‘black bastard’, ‘black c**t’ every single day.  </w:t>
      </w:r>
    </w:p>
    <w:p w14:paraId="6D4C4E98" w14:textId="2926055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started to go to counselling in 1989. I also spoke to my social worker at the time about the abuse at Hato Paora and I was interviewed by the police, but it does not look like the priest was charged in relation to my complaints at that time. It looked like my social worker believed I’d been sexually abused at Hato Pāora, so I don’t know why police didn’t pursue it.  </w:t>
      </w:r>
    </w:p>
    <w:p w14:paraId="1AF55A4C" w14:textId="6371983C"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I was sent to live with an aunty. By that time I was so unhappy that I set the house on fire because I wanted to kill myself. I was in a very bad state, and very distressed. They took me to hospital and then I was sent to Lookout Point Boys’ Home. I was depressed and seeing a psychiatrist every week.</w:t>
      </w:r>
    </w:p>
    <w:p w14:paraId="7CBA26DB" w14:textId="6754F3BB"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lastRenderedPageBreak/>
        <w:t xml:space="preserve">I spoke to a staff member there about the sexual abuse I experienced at Hato Pāora, and I signed a report about it. It’s not clear whether anything was done with it. My records from this time mostly talk about me being depressed. A progress report said that while I was clearly very depressed, I had none of the anti-social behavioural problems that the home usually dealt with, and I was inappropriately placed there.  </w:t>
      </w:r>
    </w:p>
    <w:p w14:paraId="0C719BA5"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I had just bounced around the whole country, and I didn’t have any power to make decisions for myself.  </w:t>
      </w:r>
    </w:p>
    <w:p w14:paraId="75897767" w14:textId="4D74AA43"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Eventually a ‘family preservation agreement’ was signed, which gave me some money for flatting and expenses, and I was to apply for the Independent Youth Benefit. I had someone who was a real advocate for me, and she helped me lodge an ACC claim. But I was pretty much on my own.  </w:t>
      </w:r>
    </w:p>
    <w:p w14:paraId="7BEDE517" w14:textId="77777777" w:rsidR="00FE4E56" w:rsidRPr="004A0212" w:rsidRDefault="00FE4E56" w:rsidP="007F0754">
      <w:pPr>
        <w:pStyle w:val="BodyText"/>
        <w:spacing w:before="0"/>
        <w:rPr>
          <w:rFonts w:ascii="Arial" w:hAnsi="Arial" w:cs="Arial"/>
          <w:bCs/>
          <w:sz w:val="22"/>
          <w:szCs w:val="22"/>
        </w:rPr>
      </w:pPr>
      <w:r w:rsidRPr="004A0212">
        <w:rPr>
          <w:rFonts w:ascii="Arial" w:hAnsi="Arial" w:cs="Arial"/>
          <w:bCs/>
          <w:sz w:val="22"/>
          <w:szCs w:val="22"/>
        </w:rPr>
        <w:t xml:space="preserve">There was a real lack of care in the way Social Welfare looked after me. I had to fight for a lot of things from them, like counselling, and there was a lack of interest in us – sometimes social workers wouldn’t even turn up for appointments. We weren’t consulted about placements. We were in Social Welfare care all our lives and no one actually did anything to save us.  </w:t>
      </w:r>
    </w:p>
    <w:p w14:paraId="1EE0D004" w14:textId="0C8B8DAE" w:rsidR="00FE4E56" w:rsidRPr="000C0692" w:rsidRDefault="00FE4E56" w:rsidP="007F0754">
      <w:pPr>
        <w:pStyle w:val="BodyText"/>
        <w:spacing w:before="0"/>
        <w:rPr>
          <w:rFonts w:ascii="Arial" w:hAnsi="Arial" w:cs="Arial"/>
          <w:b/>
          <w:sz w:val="22"/>
          <w:szCs w:val="22"/>
        </w:rPr>
      </w:pPr>
      <w:r w:rsidRPr="004A0212">
        <w:rPr>
          <w:rFonts w:ascii="Arial" w:hAnsi="Arial" w:cs="Arial"/>
          <w:bCs/>
          <w:sz w:val="22"/>
          <w:szCs w:val="22"/>
        </w:rPr>
        <w:t>I left New Zealand and went to Australia when I was about 17 years old. I had to get away from everything that had happened because I felt suicidal. I’ve had many attempts at self-harm, and it wasn’t until I left New Zealand that I had an opportunity to change my life.</w:t>
      </w:r>
      <w:r w:rsidRPr="004A0212">
        <w:rPr>
          <w:rStyle w:val="EndnoteReference"/>
          <w:rFonts w:ascii="Arial" w:hAnsi="Arial"/>
          <w:bCs/>
          <w:sz w:val="22"/>
          <w:szCs w:val="22"/>
        </w:rPr>
        <w:endnoteReference w:id="447"/>
      </w:r>
    </w:p>
    <w:p w14:paraId="017EB30F" w14:textId="77777777" w:rsidR="00FE4E56" w:rsidRDefault="00FE4E56" w:rsidP="00BD25D0">
      <w:pPr>
        <w:pStyle w:val="BodyText"/>
        <w:rPr>
          <w:rFonts w:ascii="Arial" w:hAnsi="Arial" w:cs="Arial"/>
          <w:sz w:val="22"/>
          <w:szCs w:val="22"/>
        </w:rPr>
      </w:pPr>
    </w:p>
    <w:p w14:paraId="18ADFD14" w14:textId="270EE548" w:rsidR="00FE4E56" w:rsidRPr="00BD25D0" w:rsidRDefault="00FE4E56" w:rsidP="00BD25D0">
      <w:pPr>
        <w:pStyle w:val="BodyText"/>
        <w:rPr>
          <w:rFonts w:ascii="Arial" w:hAnsi="Arial" w:cs="Arial"/>
          <w:sz w:val="22"/>
          <w:szCs w:val="22"/>
        </w:rPr>
      </w:pPr>
      <w:r w:rsidRPr="00BD25D0">
        <w:rPr>
          <w:rFonts w:ascii="Arial" w:hAnsi="Arial" w:cs="Arial"/>
          <w:sz w:val="22"/>
          <w:szCs w:val="22"/>
        </w:rPr>
        <w:t>[survivor quote]</w:t>
      </w:r>
    </w:p>
    <w:p w14:paraId="2107C724" w14:textId="3242F78D" w:rsidR="00FE4E56" w:rsidRPr="00BD25D0" w:rsidRDefault="00FE4E56" w:rsidP="00BD25D0">
      <w:pPr>
        <w:pStyle w:val="AllQuotes"/>
        <w:rPr>
          <w:b/>
          <w:i/>
        </w:rPr>
      </w:pPr>
      <w:r w:rsidRPr="00BD25D0">
        <w:rPr>
          <w:b/>
        </w:rPr>
        <w:t>“There was a real lack of care in the way Social Welfare looked after me. I had to fight for a lot of things from them, like counselling, and there was a lack of interest in us – sometimes social workers wouldn’t even turn up for appointments. We weren’t consulted about placements. We were in Social Welfare care all our lives and no one actually did anything to save us.”</w:t>
      </w:r>
    </w:p>
    <w:p w14:paraId="426F64FA" w14:textId="62BB51D4" w:rsidR="00FE4E56" w:rsidRPr="00BD25D0" w:rsidRDefault="00FE4E56" w:rsidP="00BD25D0">
      <w:pPr>
        <w:pStyle w:val="AllQuotes"/>
        <w:rPr>
          <w:b/>
          <w:i/>
        </w:rPr>
      </w:pPr>
      <w:r w:rsidRPr="00BD25D0">
        <w:rPr>
          <w:b/>
          <w:iCs/>
        </w:rPr>
        <w:t>Kamahl Tupetagi</w:t>
      </w:r>
    </w:p>
    <w:p w14:paraId="24277256" w14:textId="37812742" w:rsidR="00FE4E56" w:rsidRPr="00BD25D0" w:rsidRDefault="00FE4E56" w:rsidP="00BD25D0">
      <w:pPr>
        <w:pStyle w:val="AllQuotes"/>
        <w:rPr>
          <w:b/>
          <w:i/>
        </w:rPr>
      </w:pPr>
      <w:r w:rsidRPr="00BD25D0">
        <w:rPr>
          <w:b/>
          <w:iCs/>
        </w:rPr>
        <w:t xml:space="preserve">Niuean, </w:t>
      </w:r>
      <w:r w:rsidRPr="00352128">
        <w:rPr>
          <w:b/>
          <w:iCs/>
        </w:rPr>
        <w:t>M</w:t>
      </w:r>
      <w:r w:rsidRPr="00352128">
        <w:rPr>
          <w:rFonts w:hint="eastAsia"/>
          <w:b/>
        </w:rPr>
        <w:t>ā</w:t>
      </w:r>
      <w:r w:rsidRPr="00352128">
        <w:rPr>
          <w:b/>
        </w:rPr>
        <w:t>ori (Ng</w:t>
      </w:r>
      <w:r w:rsidRPr="00352128">
        <w:rPr>
          <w:rFonts w:hint="eastAsia"/>
          <w:b/>
        </w:rPr>
        <w:t>ā</w:t>
      </w:r>
      <w:r w:rsidRPr="00352128">
        <w:rPr>
          <w:b/>
        </w:rPr>
        <w:t>pu</w:t>
      </w:r>
      <w:r>
        <w:rPr>
          <w:b/>
        </w:rPr>
        <w:t>h</w:t>
      </w:r>
      <w:r w:rsidRPr="00352128">
        <w:rPr>
          <w:b/>
        </w:rPr>
        <w:t>i)</w:t>
      </w:r>
    </w:p>
    <w:p w14:paraId="73D5736B" w14:textId="77777777" w:rsidR="00FE4E56" w:rsidRPr="004A0212" w:rsidRDefault="00FE4E56" w:rsidP="0071486B"/>
    <w:p w14:paraId="6851AB9E" w14:textId="77777777" w:rsidR="00FE4E56" w:rsidRDefault="00FE4E56">
      <w:pPr>
        <w:keepLines w:val="0"/>
        <w:rPr>
          <w:rFonts w:ascii="Arial" w:hAnsi="Arial" w:cs="Arial"/>
          <w:b/>
          <w:bCs/>
          <w:color w:val="4F7D29" w:themeColor="accent4"/>
          <w:sz w:val="36"/>
          <w:szCs w:val="36"/>
        </w:rPr>
      </w:pPr>
      <w:bookmarkStart w:id="541" w:name="_Toc1904397150"/>
      <w:r>
        <w:br w:type="page"/>
      </w:r>
    </w:p>
    <w:p w14:paraId="06B9F7C4" w14:textId="74A7E6E4" w:rsidR="00FE4E56" w:rsidRPr="004A0212" w:rsidRDefault="00FE4E56" w:rsidP="00282055">
      <w:pPr>
        <w:pStyle w:val="Heading1"/>
        <w:rPr>
          <w:color w:val="3B5D1E" w:themeColor="accent4" w:themeShade="BF"/>
        </w:rPr>
      </w:pPr>
      <w:bookmarkStart w:id="542" w:name="_Toc181084930"/>
      <w:r w:rsidRPr="004A0212">
        <w:rPr>
          <w:color w:val="3B5D1E" w:themeColor="accent4" w:themeShade="BF"/>
        </w:rPr>
        <w:lastRenderedPageBreak/>
        <w:t>Ūpoko 9: Te pūnaha kāwana o Aotearoa</w:t>
      </w:r>
      <w:bookmarkEnd w:id="541"/>
      <w:bookmarkEnd w:id="542"/>
      <w:r w:rsidRPr="004A0212">
        <w:rPr>
          <w:color w:val="3B5D1E" w:themeColor="accent4" w:themeShade="BF"/>
        </w:rPr>
        <w:t xml:space="preserve"> </w:t>
      </w:r>
      <w:bookmarkStart w:id="543" w:name="_Toc150933221"/>
      <w:bookmarkStart w:id="544" w:name="_Toc150953539"/>
    </w:p>
    <w:p w14:paraId="7F74F05C" w14:textId="7E484641" w:rsidR="00FE4E56" w:rsidRPr="004A0212" w:rsidRDefault="00FE4E56" w:rsidP="00282055">
      <w:pPr>
        <w:pStyle w:val="Heading1"/>
        <w:rPr>
          <w:color w:val="3B5D1E" w:themeColor="accent4" w:themeShade="BF"/>
        </w:rPr>
      </w:pPr>
      <w:bookmarkStart w:id="545" w:name="_Toc825939948"/>
      <w:bookmarkStart w:id="546" w:name="_Toc181084931"/>
      <w:r w:rsidRPr="004A0212">
        <w:rPr>
          <w:color w:val="3B5D1E" w:themeColor="accent4" w:themeShade="BF"/>
        </w:rPr>
        <w:t xml:space="preserve">Chapter 9: </w:t>
      </w:r>
      <w:bookmarkEnd w:id="543"/>
      <w:bookmarkEnd w:id="544"/>
      <w:r w:rsidRPr="004A0212">
        <w:rPr>
          <w:color w:val="3B5D1E" w:themeColor="accent4" w:themeShade="BF"/>
        </w:rPr>
        <w:t>Aotearoa New Zealand’s system of government</w:t>
      </w:r>
      <w:bookmarkEnd w:id="545"/>
      <w:bookmarkEnd w:id="546"/>
      <w:r w:rsidRPr="004A0212">
        <w:rPr>
          <w:color w:val="3B5D1E" w:themeColor="accent4" w:themeShade="BF"/>
        </w:rPr>
        <w:t xml:space="preserve"> </w:t>
      </w:r>
    </w:p>
    <w:p w14:paraId="10A7353E" w14:textId="77777777" w:rsidR="00FE4E56" w:rsidRPr="004A0212" w:rsidRDefault="00FE4E56" w:rsidP="002B6B78">
      <w:pPr>
        <w:pStyle w:val="Numbparas"/>
      </w:pPr>
      <w:r w:rsidRPr="004A0212">
        <w:t>This Part gives a short overview of Aotearoa New Zealand’s system of government, and how the public service was administered during the Inquiry period. This overview explains how government decision-making works and provides a sense of who was responsible for the government departments involved in providing care during the Inquiry period.</w:t>
      </w:r>
    </w:p>
    <w:p w14:paraId="79B247FD" w14:textId="77777777" w:rsidR="00FE4E56" w:rsidRPr="004A0212" w:rsidRDefault="00FE4E56" w:rsidP="002B6B78">
      <w:pPr>
        <w:pStyle w:val="Numbparas"/>
      </w:pPr>
      <w:r w:rsidRPr="004A0212">
        <w:t>Aotearoa New Zealand’s system of government is known as a Westminster model, because it is modelled on the United Kingdom’s parliamentary system. Under the Westminster model, government is organised into three distinct branches – legislative, executive and judicial:</w:t>
      </w:r>
    </w:p>
    <w:p w14:paraId="4780A527" w14:textId="77777777" w:rsidR="00FE4E56" w:rsidRPr="004A0212" w:rsidRDefault="00FE4E56" w:rsidP="008C2B1A">
      <w:pPr>
        <w:pStyle w:val="Bulletpoints"/>
      </w:pPr>
      <w:r w:rsidRPr="004A0212">
        <w:t xml:space="preserve">legislature branch – ‘Parliament’ (formerly known as the House of Representatives). It consists of all Members of Parliament that have been elected. The Legislature is responsible for making laws.  </w:t>
      </w:r>
    </w:p>
    <w:p w14:paraId="2D4CA6E8" w14:textId="77777777" w:rsidR="00FE4E56" w:rsidRPr="004A0212" w:rsidRDefault="00FE4E56" w:rsidP="008C2B1A">
      <w:pPr>
        <w:pStyle w:val="Bulletpoints"/>
      </w:pPr>
      <w:r w:rsidRPr="004A0212">
        <w:t>judiciary branch – ‘Courts and Tribunals’. It consists of all judges and judicial officers hearing cases and deciding cases. The Judiciary is responsible for interpreting and applying laws.</w:t>
      </w:r>
    </w:p>
    <w:p w14:paraId="70ABCEAC" w14:textId="77777777" w:rsidR="00FE4E56" w:rsidRPr="004A0212" w:rsidRDefault="00FE4E56" w:rsidP="008C2B1A">
      <w:pPr>
        <w:pStyle w:val="Bulletpoints"/>
      </w:pPr>
      <w:r w:rsidRPr="004A0212">
        <w:t xml:space="preserve">executive branch – ‘Government’. It consists of Ministers of the Crown (both inside and outside of Cabinet) and is chaired by the Prime Minister. The Executive is responsible for developing policy, proposing draft laws to Parliament and administering laws. </w:t>
      </w:r>
    </w:p>
    <w:p w14:paraId="0A2485C3" w14:textId="77777777" w:rsidR="00FE4E56" w:rsidRPr="004A0212" w:rsidRDefault="00FE4E56" w:rsidP="002B6B78">
      <w:pPr>
        <w:pStyle w:val="Numbparas"/>
      </w:pPr>
      <w:r w:rsidRPr="004A0212">
        <w:t>Each branch of government performs the functions allocated to it and generally does not assume or intrude on the functions of another branch.</w:t>
      </w:r>
    </w:p>
    <w:p w14:paraId="362C4542" w14:textId="77777777" w:rsidR="00FE4E56" w:rsidRPr="004A0212" w:rsidRDefault="00FE4E56" w:rsidP="002B6B78">
      <w:pPr>
        <w:pStyle w:val="Numbparas"/>
      </w:pPr>
      <w:r w:rsidRPr="004A0212">
        <w:t>Aotearoa New Zealand has a Governor-General. The Sovereign King or Queen of Britain is the head of State, and the Governor-General is the Sovereign’s representative in Aotearoa New Zealand. The Governor-General is responsible for:</w:t>
      </w:r>
    </w:p>
    <w:p w14:paraId="5B69D063" w14:textId="77777777" w:rsidR="00FE4E56" w:rsidRPr="004A0212" w:rsidRDefault="00FE4E56" w:rsidP="008C2B1A">
      <w:pPr>
        <w:pStyle w:val="Bulletpoints"/>
      </w:pPr>
      <w:r w:rsidRPr="004A0212">
        <w:t>granting Royal assent to the bills passed by the House of Representatives, thus passing them into law (Legislative branch)</w:t>
      </w:r>
    </w:p>
    <w:p w14:paraId="056C56E3" w14:textId="77777777" w:rsidR="00FE4E56" w:rsidRPr="004A0212" w:rsidRDefault="00FE4E56" w:rsidP="008C2B1A">
      <w:pPr>
        <w:pStyle w:val="Bulletpoints"/>
      </w:pPr>
      <w:r w:rsidRPr="004A0212">
        <w:t>appointing judges (Judicial branch)</w:t>
      </w:r>
    </w:p>
    <w:p w14:paraId="284DEBAD" w14:textId="77777777" w:rsidR="00FE4E56" w:rsidRPr="004A0212" w:rsidRDefault="00FE4E56" w:rsidP="008C2B1A">
      <w:pPr>
        <w:pStyle w:val="Bulletpoints"/>
      </w:pPr>
      <w:r w:rsidRPr="004A0212">
        <w:t>appointing the prime minister after each election and appointing all other ministers, making regulations proposed by the Executive Branch, and confirming the appointments of public service chief executives (Executive branch).</w:t>
      </w:r>
    </w:p>
    <w:p w14:paraId="505721F1" w14:textId="77777777" w:rsidR="00FE4E56" w:rsidRPr="004A0212" w:rsidRDefault="00FE4E56" w:rsidP="002B6B78">
      <w:pPr>
        <w:pStyle w:val="Numbparas"/>
      </w:pPr>
      <w:r w:rsidRPr="004A0212">
        <w:t xml:space="preserve">The Aotearoa New Zealand system of government is based on the separation of powers between the three branches of government. This separation provides checks and balances on the exercise of power. </w:t>
      </w:r>
    </w:p>
    <w:p w14:paraId="3D799B13" w14:textId="77777777" w:rsidR="00FE4E56" w:rsidRDefault="00FE4E56">
      <w:pPr>
        <w:keepLines w:val="0"/>
        <w:rPr>
          <w:rFonts w:ascii="Arial" w:hAnsi="Arial" w:cs="Helvetica"/>
          <w:b/>
          <w:bCs/>
          <w:color w:val="3B5D1E" w:themeColor="accent4" w:themeShade="BF"/>
          <w:szCs w:val="28"/>
        </w:rPr>
      </w:pPr>
      <w:bookmarkStart w:id="547" w:name="_Toc257230530"/>
      <w:bookmarkStart w:id="548" w:name="_Toc165441861"/>
      <w:r>
        <w:br w:type="page"/>
      </w:r>
    </w:p>
    <w:p w14:paraId="4C569141" w14:textId="45DCAA2F" w:rsidR="00FE4E56" w:rsidRPr="004A0212" w:rsidRDefault="00FE4E56" w:rsidP="00282055">
      <w:pPr>
        <w:pStyle w:val="Heading2"/>
      </w:pPr>
      <w:bookmarkStart w:id="549" w:name="_Toc181084932"/>
      <w:r w:rsidRPr="004A0212">
        <w:lastRenderedPageBreak/>
        <w:t>He turepapa kāwana ā-kupu tā Aotearoa</w:t>
      </w:r>
      <w:bookmarkEnd w:id="547"/>
      <w:bookmarkEnd w:id="549"/>
      <w:r w:rsidRPr="004A0212">
        <w:t xml:space="preserve"> </w:t>
      </w:r>
    </w:p>
    <w:p w14:paraId="300F53D1" w14:textId="77777777" w:rsidR="00FE4E56" w:rsidRPr="004A0212" w:rsidRDefault="00FE4E56" w:rsidP="00282055">
      <w:pPr>
        <w:pStyle w:val="Heading2"/>
      </w:pPr>
      <w:bookmarkStart w:id="550" w:name="_Toc165441862"/>
      <w:bookmarkStart w:id="551" w:name="_Toc68451138"/>
      <w:bookmarkStart w:id="552" w:name="_Toc181084933"/>
      <w:bookmarkEnd w:id="548"/>
      <w:r w:rsidRPr="004A0212">
        <w:t>Aotearoa New Zealand has an unwritten Constitution</w:t>
      </w:r>
      <w:bookmarkEnd w:id="550"/>
      <w:bookmarkEnd w:id="551"/>
      <w:bookmarkEnd w:id="552"/>
    </w:p>
    <w:p w14:paraId="570F444D" w14:textId="4DB597BA" w:rsidR="00FE4E56" w:rsidRPr="004A0212" w:rsidRDefault="00FE4E56" w:rsidP="004368C0">
      <w:pPr>
        <w:pStyle w:val="Numbparas"/>
      </w:pPr>
      <w:r w:rsidRPr="004A0212">
        <w:t xml:space="preserve">Aotearoa New Zealand does not have a written constitution like the United States, Canada and Australia. Aotearoa New Zealand’s constitution is made up of a number of documents, constitutional conventions (ways of doing things), principles that have evolved through judicial decisions and Acts of Parliament such as the Constitution Act 1986 and the New Zealand Bill of Rights Act 1990. Aotearoa New Zealand’s constitutional arrangements recognise </w:t>
      </w:r>
      <w:r>
        <w:t>t</w:t>
      </w:r>
      <w:r w:rsidRPr="004A0212">
        <w:t>e Tiriti o Waitangi / Treaty of Waitangi as a founding document.</w:t>
      </w:r>
      <w:r w:rsidRPr="004A0212">
        <w:rPr>
          <w:rStyle w:val="EndnoteReference"/>
        </w:rPr>
        <w:t xml:space="preserve"> </w:t>
      </w:r>
      <w:r w:rsidRPr="004A0212">
        <w:rPr>
          <w:rStyle w:val="StyleFootnoteReferenceFagoFunotenzeichenFagoFunotenzeichen"/>
        </w:rPr>
        <w:endnoteReference w:id="448"/>
      </w:r>
      <w:r w:rsidRPr="004A0212">
        <w:t xml:space="preserve"> </w:t>
      </w:r>
    </w:p>
    <w:p w14:paraId="7FBC33D5" w14:textId="324464F9" w:rsidR="00FE4E56" w:rsidRPr="004A0212" w:rsidRDefault="00FE4E56" w:rsidP="004368C0">
      <w:pPr>
        <w:pStyle w:val="Numbparas"/>
      </w:pPr>
      <w:r w:rsidRPr="004A0212">
        <w:t>In Aotearoa New Zealand only a small number of provisions within a few laws (for example, relating to the term of Parliament, the division of Aotearoa New Zealand into general electorates, the minimum voting age of 18 all set out in the Electoral Act 1993) require a super majority (75 percent) of all members of parliament to change those provisions. Otherwise, laws in Aotearoa New Zealand can be changed in a single sitting of Parliament.</w:t>
      </w:r>
      <w:r w:rsidRPr="004A0212">
        <w:rPr>
          <w:rStyle w:val="StyleFootnoteReferenceFagoFunotenzeichenFagoFunotenzeichen"/>
        </w:rPr>
        <w:endnoteReference w:id="449"/>
      </w:r>
      <w:r w:rsidRPr="004A0212">
        <w:t xml:space="preserve"> The change to MMP has not fully addressed concerns about the lack of checks and balances on the power of the Executive.</w:t>
      </w:r>
      <w:r w:rsidRPr="004A0212">
        <w:rPr>
          <w:rStyle w:val="EndnoteReference"/>
        </w:rPr>
        <w:endnoteReference w:id="450"/>
      </w:r>
      <w:r w:rsidRPr="004A0212">
        <w:t xml:space="preserve"> </w:t>
      </w:r>
    </w:p>
    <w:p w14:paraId="2B392065" w14:textId="77777777" w:rsidR="00FE4E56" w:rsidRDefault="00FE4E56" w:rsidP="00282055">
      <w:pPr>
        <w:pStyle w:val="Heading2"/>
      </w:pPr>
      <w:bookmarkStart w:id="553" w:name="_Toc2143161079"/>
      <w:bookmarkStart w:id="554" w:name="_Toc165441863"/>
      <w:bookmarkStart w:id="555" w:name="_Toc181084934"/>
      <w:r w:rsidRPr="004A0212">
        <w:t>Pāremata (Te whakature)</w:t>
      </w:r>
      <w:bookmarkEnd w:id="553"/>
      <w:bookmarkEnd w:id="555"/>
    </w:p>
    <w:p w14:paraId="6D26824B" w14:textId="670DD063" w:rsidR="00FE4E56" w:rsidRPr="004A0212" w:rsidRDefault="00FE4E56" w:rsidP="00282055">
      <w:pPr>
        <w:pStyle w:val="Heading2"/>
      </w:pPr>
      <w:bookmarkStart w:id="556" w:name="_Toc189570012"/>
      <w:bookmarkStart w:id="557" w:name="_Toc181084935"/>
      <w:r w:rsidRPr="004A0212">
        <w:t>Parliament (The Legislature)</w:t>
      </w:r>
      <w:bookmarkEnd w:id="554"/>
      <w:bookmarkEnd w:id="556"/>
      <w:bookmarkEnd w:id="557"/>
    </w:p>
    <w:p w14:paraId="79615E92" w14:textId="77777777" w:rsidR="00FE4E56" w:rsidRPr="004A0212" w:rsidRDefault="00FE4E56" w:rsidP="004368C0">
      <w:pPr>
        <w:pStyle w:val="Numbparas"/>
      </w:pPr>
      <w:r w:rsidRPr="004A0212">
        <w:t>The Parliament of Aotearoa New Zealand consists of the Sovereign in right of Aotearoa New Zealand and the House of Representatives. The House of Representatives is the popularly elected part of Parliament. During the Inquiry period up until 1996, members of parliament were chosen in the general election to represent electoral districts using the first-past-the-post electoral system. In 1996, Aotearoa New Zealand changed its electoral system to mixed member proportional (MMP). This means that members of parliament are chosen in a general election to represent electoral districts and party list members.</w:t>
      </w:r>
    </w:p>
    <w:p w14:paraId="2775F376" w14:textId="5B5B3C31" w:rsidR="00FE4E56" w:rsidRPr="004A0212" w:rsidRDefault="00FE4E56" w:rsidP="004368C0">
      <w:pPr>
        <w:pStyle w:val="Numbparas"/>
      </w:pPr>
      <w:r w:rsidRPr="004A0212">
        <w:rPr>
          <w:rStyle w:val="AllNumbparasChar"/>
        </w:rPr>
        <w:t>The role of members of parliament in the House of Representatives is to represent the people of Aotearoa New Zealand, provide the Government from among its members, make new laws and update old laws, examine</w:t>
      </w:r>
      <w:r w:rsidRPr="004A0212">
        <w:t xml:space="preserve"> and approve Government taxes and spending, and hold the Government to account for its policies and actions through parliamentary questions, debates and select committee inquiries, considering petitions and examining international treaties.</w:t>
      </w:r>
      <w:r w:rsidRPr="004A0212">
        <w:rPr>
          <w:rStyle w:val="StyleFootnoteReferenceFagoFunotenzeichenFagoFunotenzeichen"/>
        </w:rPr>
        <w:endnoteReference w:id="451"/>
      </w:r>
      <w:r w:rsidRPr="004A0212">
        <w:rPr>
          <w:vertAlign w:val="superscript"/>
        </w:rPr>
        <w:t> </w:t>
      </w:r>
    </w:p>
    <w:p w14:paraId="03FF9FC8" w14:textId="77777777" w:rsidR="00FE4E56" w:rsidRDefault="00FE4E56">
      <w:pPr>
        <w:keepLines w:val="0"/>
        <w:rPr>
          <w:rFonts w:ascii="Arial" w:hAnsi="Arial" w:cs="Helvetica"/>
          <w:b/>
          <w:bCs/>
          <w:color w:val="3B5D1E" w:themeColor="accent4" w:themeShade="BF"/>
          <w:szCs w:val="28"/>
        </w:rPr>
      </w:pPr>
      <w:bookmarkStart w:id="558" w:name="_Toc73037760"/>
      <w:bookmarkStart w:id="559" w:name="_Toc165441864"/>
      <w:r>
        <w:br w:type="page"/>
      </w:r>
    </w:p>
    <w:p w14:paraId="66F20CA1" w14:textId="74628E72" w:rsidR="00FE4E56" w:rsidRDefault="00FE4E56" w:rsidP="00282055">
      <w:pPr>
        <w:pStyle w:val="Heading2"/>
      </w:pPr>
      <w:bookmarkStart w:id="560" w:name="_Toc181084936"/>
      <w:r w:rsidRPr="004A0212">
        <w:lastRenderedPageBreak/>
        <w:t>Pūnaha whakawā</w:t>
      </w:r>
      <w:bookmarkEnd w:id="560"/>
    </w:p>
    <w:p w14:paraId="5980AF4A" w14:textId="18004666" w:rsidR="00FE4E56" w:rsidRPr="004A0212" w:rsidRDefault="00FE4E56" w:rsidP="00282055">
      <w:pPr>
        <w:pStyle w:val="Heading2"/>
        <w:rPr>
          <w:color w:val="000000"/>
          <w14:textFill>
            <w14:solidFill>
              <w14:srgbClr w14:val="000000">
                <w14:lumMod w14:val="75000"/>
              </w14:srgbClr>
            </w14:solidFill>
          </w14:textFill>
        </w:rPr>
      </w:pPr>
      <w:bookmarkStart w:id="561" w:name="_Toc181084937"/>
      <w:r w:rsidRPr="004A0212">
        <w:rPr>
          <w:shd w:val="clear" w:color="auto" w:fill="FFFFFF"/>
        </w:rPr>
        <w:t>Judiciary</w:t>
      </w:r>
      <w:bookmarkEnd w:id="558"/>
      <w:bookmarkEnd w:id="561"/>
    </w:p>
    <w:p w14:paraId="38D18452" w14:textId="77777777" w:rsidR="00FE4E56" w:rsidRPr="004A0212" w:rsidRDefault="00FE4E56" w:rsidP="004368C0">
      <w:pPr>
        <w:pStyle w:val="Numbparas"/>
      </w:pPr>
      <w:r w:rsidRPr="004A0212">
        <w:t xml:space="preserve">The Judiciary operates independently of the Executive and the Legislature. The Governor-General appoints members of the judiciary. The role of the Judiciary is to interpret and apply the law. There are two main sources of law: statutes (the laws passed by Parliament) and the ‘common law’. The common law has been developed over time by judges and may be altered by judges from time to time to meet the circumstances of the day. </w:t>
      </w:r>
    </w:p>
    <w:p w14:paraId="4CB57713" w14:textId="77777777" w:rsidR="00FE4E56" w:rsidRDefault="00FE4E56" w:rsidP="00282055">
      <w:pPr>
        <w:pStyle w:val="Heading2"/>
      </w:pPr>
      <w:bookmarkStart w:id="562" w:name="_Toc958038815"/>
      <w:bookmarkStart w:id="563" w:name="_Toc181084938"/>
      <w:r w:rsidRPr="004A0212">
        <w:t>Kāwanatanga (Te peka whakahaere)</w:t>
      </w:r>
      <w:bookmarkEnd w:id="562"/>
      <w:bookmarkEnd w:id="563"/>
    </w:p>
    <w:p w14:paraId="76CEDD40" w14:textId="539D4E7B" w:rsidR="00FE4E56" w:rsidRPr="004A0212" w:rsidRDefault="00FE4E56" w:rsidP="00282055">
      <w:pPr>
        <w:pStyle w:val="Heading2"/>
      </w:pPr>
      <w:bookmarkStart w:id="564" w:name="_Toc16816942"/>
      <w:bookmarkStart w:id="565" w:name="_Toc181084939"/>
      <w:r w:rsidRPr="004A0212">
        <w:t>Government (The Executive Branch)</w:t>
      </w:r>
      <w:bookmarkEnd w:id="559"/>
      <w:bookmarkEnd w:id="564"/>
      <w:bookmarkEnd w:id="565"/>
    </w:p>
    <w:p w14:paraId="790AD7D5" w14:textId="4C514DCB" w:rsidR="00FE4E56" w:rsidRPr="004A0212" w:rsidRDefault="00FE4E56" w:rsidP="004368C0">
      <w:pPr>
        <w:pStyle w:val="Numbparas"/>
      </w:pPr>
      <w:r w:rsidRPr="004A0212">
        <w:t>The Executive branch of government, or often referred to as the Government, is responsible for governing Aotearoa New Zealand. The Government has decision-making authority and control over the State’s resources.</w:t>
      </w:r>
      <w:r w:rsidRPr="004A0212">
        <w:rPr>
          <w:color w:val="000000"/>
        </w:rPr>
        <w:t xml:space="preserve"> The Government decides policy</w:t>
      </w:r>
      <w:r w:rsidRPr="004A0212">
        <w:rPr>
          <w:color w:val="000000" w:themeColor="text1"/>
        </w:rPr>
        <w:t xml:space="preserve"> and</w:t>
      </w:r>
      <w:r w:rsidRPr="004A0212">
        <w:rPr>
          <w:color w:val="000000"/>
        </w:rPr>
        <w:t xml:space="preserve"> proposes laws (which must be approved by the Legislature). The Government is responsible to the House of Representatives for its policies and performance. It can only function with the confidence of the House.</w:t>
      </w:r>
      <w:r w:rsidRPr="004A0212">
        <w:rPr>
          <w:rStyle w:val="StyleFootnoteReferenceFagoFunotenzeichenFagoFunotenzeichen"/>
        </w:rPr>
        <w:endnoteReference w:id="452"/>
      </w:r>
      <w:r w:rsidRPr="004A0212">
        <w:rPr>
          <w:color w:val="000000"/>
        </w:rPr>
        <w:t> </w:t>
      </w:r>
    </w:p>
    <w:p w14:paraId="300702B0" w14:textId="4DBBD027" w:rsidR="00FE4E56" w:rsidRPr="004A0212" w:rsidRDefault="00FE4E56" w:rsidP="004368C0">
      <w:pPr>
        <w:pStyle w:val="Numbparas"/>
      </w:pPr>
      <w:r w:rsidRPr="004A0212">
        <w:t>The prime minister heads the Executive branch and chooses members to hold office as Ministers of the Crown. Ministers are appointed by the Governor-General to specific portfolios. Ministers carry out the day-to-day work of governing the country. They act individually and collectively, either in Cabinet or as part of the Executive Council.</w:t>
      </w:r>
    </w:p>
    <w:p w14:paraId="17FEDA9A" w14:textId="11FEB4CE" w:rsidR="00FE4E56" w:rsidRPr="004A0212" w:rsidRDefault="00FE4E56" w:rsidP="004368C0">
      <w:pPr>
        <w:pStyle w:val="Numbparas"/>
      </w:pPr>
      <w:r w:rsidRPr="004A0212">
        <w:t>Cabinet is the central decision-making body of executive government. It is made up of senior ministers and is chaired by the prime minister and provides a collective forum for ministers to decide significant government issues.</w:t>
      </w:r>
      <w:r w:rsidRPr="004A0212">
        <w:rPr>
          <w:rStyle w:val="StyleFootnoteReferenceFagoFunotenzeichenFagoFunotenzeichen"/>
        </w:rPr>
        <w:endnoteReference w:id="453"/>
      </w:r>
      <w:r w:rsidRPr="004A0212">
        <w:t xml:space="preserve"> </w:t>
      </w:r>
    </w:p>
    <w:p w14:paraId="2715166C" w14:textId="77777777" w:rsidR="00FE4E56" w:rsidRPr="004A0212" w:rsidRDefault="00FE4E56" w:rsidP="004368C0">
      <w:pPr>
        <w:pStyle w:val="Numbparas"/>
      </w:pPr>
      <w:r w:rsidRPr="004A0212">
        <w:t>Ministers are also members of Cabinet Committees. Cabinet Committees exist for specific subjects to allow discussion of particular issues before referring decisions to Cabinet for approval.</w:t>
      </w:r>
      <w:r w:rsidRPr="004A0212">
        <w:rPr>
          <w:rStyle w:val="StyleFootnoteReferenceFagoFunotenzeichenFagoFunotenzeichen"/>
        </w:rPr>
        <w:endnoteReference w:id="454"/>
      </w:r>
      <w:r w:rsidRPr="004A0212">
        <w:t xml:space="preserve"> Ministers are accountable to Parliament for the performance of the agencies in their portfolios. Ministers set policy for the government of the day, including policy relating to the care of children, young people and adults in care.</w:t>
      </w:r>
      <w:r w:rsidRPr="004A0212">
        <w:rPr>
          <w:rStyle w:val="StyleFootnoteReferenceFagoFunotenzeichenFagoFunotenzeichen"/>
        </w:rPr>
        <w:endnoteReference w:id="455"/>
      </w:r>
    </w:p>
    <w:p w14:paraId="7FB6449B" w14:textId="77777777" w:rsidR="00FE4E56" w:rsidRDefault="00FE4E56">
      <w:pPr>
        <w:keepLines w:val="0"/>
        <w:rPr>
          <w:rFonts w:ascii="Arial" w:hAnsi="Arial" w:cs="Helvetica"/>
          <w:b/>
          <w:bCs/>
          <w:color w:val="3B5D1E" w:themeColor="accent4" w:themeShade="BF"/>
          <w:szCs w:val="28"/>
        </w:rPr>
      </w:pPr>
      <w:bookmarkStart w:id="566" w:name="_Toc165441866"/>
      <w:bookmarkStart w:id="567" w:name="_Toc2023554969"/>
      <w:r>
        <w:br w:type="page"/>
      </w:r>
    </w:p>
    <w:p w14:paraId="0D15ADFC" w14:textId="3424B811" w:rsidR="00FE4E56" w:rsidRDefault="00FE4E56" w:rsidP="00282055">
      <w:pPr>
        <w:pStyle w:val="Heading2"/>
      </w:pPr>
      <w:bookmarkStart w:id="568" w:name="_Toc181084940"/>
      <w:r w:rsidRPr="004A0212">
        <w:lastRenderedPageBreak/>
        <w:t>Te rāngai tūmatawhānui</w:t>
      </w:r>
      <w:bookmarkEnd w:id="568"/>
    </w:p>
    <w:p w14:paraId="40CB13FC" w14:textId="18096C8A" w:rsidR="00FE4E56" w:rsidRPr="004A0212" w:rsidRDefault="00FE4E56" w:rsidP="00282055">
      <w:pPr>
        <w:pStyle w:val="Heading2"/>
      </w:pPr>
      <w:bookmarkStart w:id="569" w:name="_Toc181084941"/>
      <w:r w:rsidRPr="004A0212">
        <w:t>The public service</w:t>
      </w:r>
      <w:bookmarkEnd w:id="566"/>
      <w:bookmarkEnd w:id="567"/>
      <w:bookmarkEnd w:id="569"/>
      <w:r w:rsidRPr="004A0212">
        <w:t> </w:t>
      </w:r>
    </w:p>
    <w:p w14:paraId="49CA8942" w14:textId="77777777" w:rsidR="00FE4E56" w:rsidRPr="004A0212" w:rsidRDefault="00FE4E56" w:rsidP="00F304A1">
      <w:pPr>
        <w:pStyle w:val="Numbparas"/>
      </w:pPr>
      <w:r w:rsidRPr="004A0212">
        <w:t>The public service is part of the Executive branch. In 1912, the Aotearoa New Zealand public service was established under the Public Service Act 1912. In 1962, after the Royal Commission of Inquiry into State Services in New Zealand chaired by Justice Thaddeus McCarthy, a new Public Service Act 1962 came into force. It established a Minister for State Services and introduced the State Service Commission as a department of state.</w:t>
      </w:r>
      <w:r w:rsidRPr="004A0212">
        <w:rPr>
          <w:rStyle w:val="EndnoteReference"/>
        </w:rPr>
        <w:endnoteReference w:id="456"/>
      </w:r>
      <w:r w:rsidRPr="004A0212">
        <w:t xml:space="preserve"> </w:t>
      </w:r>
    </w:p>
    <w:p w14:paraId="7A00733A" w14:textId="77777777" w:rsidR="00FE4E56" w:rsidRPr="004A0212" w:rsidRDefault="00FE4E56" w:rsidP="00F304A1">
      <w:pPr>
        <w:pStyle w:val="Numbparas"/>
      </w:pPr>
      <w:r w:rsidRPr="004A0212">
        <w:t>The role of the public service is to:</w:t>
      </w:r>
    </w:p>
    <w:p w14:paraId="7E51787E" w14:textId="77777777" w:rsidR="00FE4E56" w:rsidRPr="004A0212" w:rsidRDefault="00FE4E56" w:rsidP="00AF5BD4">
      <w:pPr>
        <w:pStyle w:val="Bulletpoints"/>
      </w:pPr>
      <w:r w:rsidRPr="004A0212">
        <w:t>support constitutional and democratic government</w:t>
      </w:r>
    </w:p>
    <w:p w14:paraId="168886DE" w14:textId="77777777" w:rsidR="00FE4E56" w:rsidRPr="004A0212" w:rsidRDefault="00FE4E56" w:rsidP="00AF5BD4">
      <w:pPr>
        <w:pStyle w:val="Bulletpoints"/>
      </w:pPr>
      <w:r w:rsidRPr="004A0212">
        <w:t>enable current and successive governments to develop and implement their policies</w:t>
      </w:r>
    </w:p>
    <w:p w14:paraId="0EAAA754" w14:textId="77777777" w:rsidR="00FE4E56" w:rsidRPr="004A0212" w:rsidRDefault="00FE4E56" w:rsidP="00AF5BD4">
      <w:pPr>
        <w:pStyle w:val="Bulletpoints"/>
      </w:pPr>
      <w:r w:rsidRPr="004A0212">
        <w:t>deliver high-quality and efficient public services</w:t>
      </w:r>
    </w:p>
    <w:p w14:paraId="43E1E93A" w14:textId="77777777" w:rsidR="00FE4E56" w:rsidRPr="004A0212" w:rsidRDefault="00FE4E56" w:rsidP="00AF5BD4">
      <w:pPr>
        <w:pStyle w:val="Bulletpoints"/>
      </w:pPr>
      <w:r w:rsidRPr="004A0212">
        <w:t>support the Government to pursue long-term public interest</w:t>
      </w:r>
    </w:p>
    <w:p w14:paraId="4CBD3A40" w14:textId="77777777" w:rsidR="00FE4E56" w:rsidRPr="004A0212" w:rsidRDefault="00FE4E56" w:rsidP="00AF5BD4">
      <w:pPr>
        <w:pStyle w:val="Bulletpoints"/>
      </w:pPr>
      <w:r w:rsidRPr="004A0212">
        <w:t>facilitate active citizenship</w:t>
      </w:r>
    </w:p>
    <w:p w14:paraId="12707D79" w14:textId="77777777" w:rsidR="00FE4E56" w:rsidRPr="004A0212" w:rsidRDefault="00FE4E56" w:rsidP="00AF5BD4">
      <w:pPr>
        <w:pStyle w:val="Bulletpoints"/>
      </w:pPr>
      <w:r w:rsidRPr="004A0212">
        <w:t>act in accordance with the law.</w:t>
      </w:r>
      <w:r w:rsidRPr="004A0212">
        <w:rPr>
          <w:rStyle w:val="StyleFootnoteReferenceFagoFunotenzeichenFagoFunotenzeichen"/>
        </w:rPr>
        <w:endnoteReference w:id="457"/>
      </w:r>
    </w:p>
    <w:p w14:paraId="008A44BB" w14:textId="18C0808D" w:rsidR="00FE4E56" w:rsidRPr="004A0212" w:rsidRDefault="00FE4E56" w:rsidP="00F304A1">
      <w:pPr>
        <w:pStyle w:val="Numbparas"/>
      </w:pPr>
      <w:r w:rsidRPr="004A0212">
        <w:t xml:space="preserve">The State Services Commission, for most of the Inquiry period (1950–1988), was the employer of all State servants such as drivers, nurses, teachers and heads of department. </w:t>
      </w:r>
    </w:p>
    <w:p w14:paraId="537B6F22" w14:textId="1CE32203" w:rsidR="00FE4E56" w:rsidRPr="004A0212" w:rsidRDefault="00FE4E56" w:rsidP="00F304A1">
      <w:pPr>
        <w:pStyle w:val="Numbparas"/>
      </w:pPr>
      <w:r w:rsidRPr="004A0212">
        <w:t>Aotearoa New Zealand had a highly centralised traditional public administration and rules-based approach and was not well placed to respond to the demands of modern society. The public service went through major changes in the 1980s and 1990s. A new legislative framework was introduced through the State Sector Act 1988 and Public Finance Act 1989, with the aim to reorient the public service towards delivering results for people and to increase its efficiency and transparency.</w:t>
      </w:r>
    </w:p>
    <w:p w14:paraId="416343D8" w14:textId="207B5B26" w:rsidR="00FE4E56" w:rsidRPr="004A0212" w:rsidRDefault="00FE4E56" w:rsidP="00F304A1">
      <w:pPr>
        <w:pStyle w:val="Numbparas"/>
      </w:pPr>
      <w:r w:rsidRPr="004A0212">
        <w:t>The public service transformed from a single organisation with one employer into separate departments, each with their own chief executive responsible for their department’s performance.</w:t>
      </w:r>
    </w:p>
    <w:p w14:paraId="182E8844" w14:textId="4C038027" w:rsidR="00FE4E56" w:rsidRPr="004A0212" w:rsidRDefault="00FE4E56" w:rsidP="00F304A1">
      <w:pPr>
        <w:pStyle w:val="Numbparas"/>
      </w:pPr>
      <w:r w:rsidRPr="004A0212">
        <w:t>In the 1990s, the new public management approach focused on results, people as customers, stronger business disciplines, and opening government to competition. This resulted in an important shift from inputs to outputs.</w:t>
      </w:r>
    </w:p>
    <w:p w14:paraId="4C2E6787" w14:textId="7CAE3AF2" w:rsidR="00FE4E56" w:rsidRPr="004A0212" w:rsidRDefault="00FE4E56" w:rsidP="00F304A1">
      <w:pPr>
        <w:pStyle w:val="Numbparas"/>
      </w:pPr>
      <w:r w:rsidRPr="004A0212">
        <w:t xml:space="preserve">The Government created agencies that were incentivised to work independently as singular agencies rather than collectively across the public service. </w:t>
      </w:r>
    </w:p>
    <w:p w14:paraId="68E4988A" w14:textId="77777777" w:rsidR="00FE4E56" w:rsidRDefault="00FE4E56">
      <w:pPr>
        <w:keepLines w:val="0"/>
        <w:rPr>
          <w:rFonts w:ascii="Arial" w:eastAsia="Calibri" w:hAnsi="Arial" w:cs="Arial"/>
          <w:bCs/>
          <w:color w:val="222222"/>
          <w:sz w:val="22"/>
          <w:szCs w:val="22"/>
          <w:shd w:val="clear" w:color="auto" w:fill="FFFFFF"/>
        </w:rPr>
      </w:pPr>
      <w:r>
        <w:br w:type="page"/>
      </w:r>
    </w:p>
    <w:p w14:paraId="2B46832E" w14:textId="0E72E5BF" w:rsidR="00FE4E56" w:rsidRPr="004A0212" w:rsidRDefault="00FE4E56" w:rsidP="00F304A1">
      <w:pPr>
        <w:pStyle w:val="Numbparas"/>
      </w:pPr>
      <w:r w:rsidRPr="004A0212">
        <w:lastRenderedPageBreak/>
        <w:t xml:space="preserve">Along with the State Services Commission, The Treasury and the Department of Prime Minister made up the three central agencies. The Treasury led on overall economic and financial advice and the Department of the Prime Minister led on policy agenda. The State Services Commissioner’s role was to set the ethics and values of the State services, employ heads of departments and ministries, provide advice on industrial relations and the machinery of government.  </w:t>
      </w:r>
    </w:p>
    <w:p w14:paraId="4B234D15" w14:textId="68D5EAB4" w:rsidR="00FE4E56" w:rsidRPr="004A0212" w:rsidRDefault="00FE4E56" w:rsidP="00F304A1">
      <w:pPr>
        <w:pStyle w:val="Numbparas"/>
      </w:pPr>
      <w:r w:rsidRPr="004A0212">
        <w:t>Notably the employment of State servants was transferred to heads of departments and ministries with direct accountability to ministers for the delivery of advice and / or services for the public. This was outlined in a purchase agreement with the minister. All departments and ministries issued a statement of intent and annual report. All departments and ministries had an annual audit. Heads of departments and ministers were required to attend Select Committee (the Parliament) for an annual review.</w:t>
      </w:r>
    </w:p>
    <w:p w14:paraId="24510283" w14:textId="3B898590" w:rsidR="00FE4E56" w:rsidRPr="004A0212" w:rsidRDefault="00FE4E56" w:rsidP="00F304A1">
      <w:pPr>
        <w:pStyle w:val="Numbparas"/>
      </w:pPr>
      <w:r w:rsidRPr="004A0212">
        <w:t>In 1995 and again in 2000, the public service invited Dr Alan Schick to review the changes to the public services. While the level of transparency had grown and there was a clear line of accountability for outputs, the State services were criticised for the lack of focus on achieving outcomes for the country and for individuals.</w:t>
      </w:r>
    </w:p>
    <w:p w14:paraId="52DA13EF" w14:textId="14638939" w:rsidR="00FE4E56" w:rsidRPr="004A0212" w:rsidRDefault="00FE4E56" w:rsidP="00F304A1">
      <w:pPr>
        <w:pStyle w:val="Numbparas"/>
      </w:pPr>
      <w:r w:rsidRPr="004A0212">
        <w:t>This led to a re-aligning of agencies over time and central agencies asking departments and ministries to work together for the achievement of outcomes (called managing for outcomes) through their statements of intent.</w:t>
      </w:r>
    </w:p>
    <w:p w14:paraId="00E0E84B" w14:textId="77777777" w:rsidR="00FE4E56" w:rsidRDefault="00FE4E56" w:rsidP="00F304A1">
      <w:pPr>
        <w:pStyle w:val="Heading3"/>
      </w:pPr>
      <w:bookmarkStart w:id="570" w:name="_Toc165441867"/>
      <w:bookmarkStart w:id="571" w:name="_Toc1901557899"/>
      <w:bookmarkStart w:id="572" w:name="_Toc181084942"/>
      <w:r w:rsidRPr="004A0212">
        <w:t>Te Kawa Mataaho</w:t>
      </w:r>
      <w:bookmarkEnd w:id="572"/>
    </w:p>
    <w:p w14:paraId="133BA872" w14:textId="3C95B330" w:rsidR="00FE4E56" w:rsidRPr="004A0212" w:rsidRDefault="00FE4E56" w:rsidP="00F304A1">
      <w:pPr>
        <w:pStyle w:val="Heading3"/>
      </w:pPr>
      <w:bookmarkStart w:id="573" w:name="_Toc181084943"/>
      <w:r w:rsidRPr="004A0212">
        <w:t>The Public Service Commission</w:t>
      </w:r>
      <w:bookmarkEnd w:id="570"/>
      <w:bookmarkEnd w:id="571"/>
      <w:bookmarkEnd w:id="573"/>
    </w:p>
    <w:p w14:paraId="72B9D11D" w14:textId="624E9C4A" w:rsidR="00FE4E56" w:rsidRPr="004A0212" w:rsidRDefault="00FE4E56" w:rsidP="00F304A1">
      <w:pPr>
        <w:pStyle w:val="Numbparas"/>
      </w:pPr>
      <w:r w:rsidRPr="004A0212">
        <w:t>The public service was led by the Public Service Commissioner (previously the State Services Commissioner) as the head of Te Kawa Mataaho Public Service Commission (before 2020, the State Services Commission). The Public Service Act 2020 replaced the State Sector Act 1988.</w:t>
      </w:r>
      <w:r w:rsidRPr="004A0212">
        <w:rPr>
          <w:rStyle w:val="EndnoteReference"/>
        </w:rPr>
        <w:endnoteReference w:id="458"/>
      </w:r>
      <w:r w:rsidRPr="004A0212">
        <w:t xml:space="preserve"> Te Kawa Mataaho Public Service Commission is responsible for</w:t>
      </w:r>
      <w:r w:rsidRPr="004A0212">
        <w:rPr>
          <w:color w:val="202122"/>
        </w:rPr>
        <w:t xml:space="preserve"> overseeing, managing, and improving the performance of the Aotearoa New Zealand public service.</w:t>
      </w:r>
      <w:r w:rsidRPr="004A0212">
        <w:rPr>
          <w:rStyle w:val="EndnoteReference"/>
          <w:color w:val="202122"/>
        </w:rPr>
        <w:endnoteReference w:id="459"/>
      </w:r>
      <w:r w:rsidRPr="004A0212">
        <w:rPr>
          <w:rStyle w:val="StyleFootnoteReferenceFagoFunotenzeichenFagoFunotenzeichen"/>
        </w:rPr>
        <w:t xml:space="preserve"> </w:t>
      </w:r>
      <w:r w:rsidRPr="004A0212">
        <w:t>It plays a leadership role in reviewing and supporting performance in the public service.</w:t>
      </w:r>
      <w:r w:rsidRPr="004A0212">
        <w:rPr>
          <w:rStyle w:val="StyleFootnoteReferenceFagoFunotenzeichenFagoFunotenzeichen"/>
        </w:rPr>
        <w:t xml:space="preserve"> </w:t>
      </w:r>
      <w:r w:rsidRPr="004A0212">
        <w:rPr>
          <w:rStyle w:val="EndnoteReference"/>
          <w:color w:val="000000" w:themeColor="text1"/>
        </w:rPr>
        <w:endnoteReference w:id="460"/>
      </w:r>
    </w:p>
    <w:p w14:paraId="5D982C1C" w14:textId="7FB06C8A" w:rsidR="00FE4E56" w:rsidRPr="004A0212" w:rsidRDefault="00FE4E56" w:rsidP="00F304A1">
      <w:pPr>
        <w:pStyle w:val="Numbparas"/>
      </w:pPr>
      <w:r w:rsidRPr="004A0212">
        <w:t xml:space="preserve">The following paragraphs cover four further Departments and an office of Parliament whose work sits across the public sector. Departments responsible for parts of the care system during the </w:t>
      </w:r>
      <w:r>
        <w:t>I</w:t>
      </w:r>
      <w:r w:rsidRPr="004A0212">
        <w:t>nquiry period are covered in Chapter 10.</w:t>
      </w:r>
    </w:p>
    <w:p w14:paraId="7D676837" w14:textId="77777777" w:rsidR="00FE4E56" w:rsidRDefault="00FE4E56">
      <w:pPr>
        <w:keepLines w:val="0"/>
        <w:rPr>
          <w:rFonts w:ascii="Arial" w:hAnsi="Arial" w:cs="Helvetica"/>
          <w:color w:val="3B5D1E" w:themeColor="accent4" w:themeShade="BF"/>
          <w:szCs w:val="26"/>
        </w:rPr>
      </w:pPr>
      <w:bookmarkStart w:id="574" w:name="_Toc165441868"/>
      <w:bookmarkStart w:id="575" w:name="_Toc521685518"/>
      <w:r>
        <w:br w:type="page"/>
      </w:r>
    </w:p>
    <w:p w14:paraId="04C44DE0" w14:textId="24BCE344" w:rsidR="00FE4E56" w:rsidRDefault="00FE4E56" w:rsidP="00F304A1">
      <w:pPr>
        <w:pStyle w:val="Heading3"/>
      </w:pPr>
      <w:bookmarkStart w:id="576" w:name="_Toc181084944"/>
      <w:r w:rsidRPr="004A0212">
        <w:lastRenderedPageBreak/>
        <w:t>Te Tai Ōhanga</w:t>
      </w:r>
      <w:bookmarkEnd w:id="576"/>
    </w:p>
    <w:p w14:paraId="31E121A3" w14:textId="56081619" w:rsidR="00FE4E56" w:rsidRPr="004A0212" w:rsidRDefault="00FE4E56" w:rsidP="00F304A1">
      <w:pPr>
        <w:pStyle w:val="Heading3"/>
      </w:pPr>
      <w:bookmarkStart w:id="577" w:name="_Toc181084945"/>
      <w:r w:rsidRPr="004A0212">
        <w:t>The Treasury</w:t>
      </w:r>
      <w:bookmarkEnd w:id="574"/>
      <w:bookmarkEnd w:id="575"/>
      <w:bookmarkEnd w:id="577"/>
    </w:p>
    <w:p w14:paraId="24D44089" w14:textId="03C9C4FF" w:rsidR="00FE4E56" w:rsidRPr="004A0212" w:rsidRDefault="00FE4E56" w:rsidP="00F304A1">
      <w:pPr>
        <w:pStyle w:val="Numbparas"/>
      </w:pPr>
      <w:r w:rsidRPr="004A0212">
        <w:t>The Treasury administers the Public Finance Act 1989, which sets out the legal structure governing government borrowing and expenditure.</w:t>
      </w:r>
      <w:r w:rsidRPr="004A0212">
        <w:rPr>
          <w:rStyle w:val="EndnoteReference"/>
        </w:rPr>
        <w:endnoteReference w:id="461"/>
      </w:r>
      <w:r w:rsidRPr="004A0212">
        <w:t xml:space="preserve"> </w:t>
      </w:r>
    </w:p>
    <w:p w14:paraId="7DBC84D5" w14:textId="77777777" w:rsidR="00FE4E56" w:rsidRPr="004A0212" w:rsidRDefault="00FE4E56" w:rsidP="00F304A1">
      <w:pPr>
        <w:pStyle w:val="Numbparas"/>
      </w:pPr>
      <w:r w:rsidRPr="004A0212">
        <w:t xml:space="preserve">The Treasury’s core statutory and operational responsibilities include: </w:t>
      </w:r>
    </w:p>
    <w:p w14:paraId="4440E101" w14:textId="77777777" w:rsidR="00FE4E56" w:rsidRPr="004A0212" w:rsidRDefault="00FE4E56" w:rsidP="00343583">
      <w:pPr>
        <w:pStyle w:val="Bulletpoints"/>
      </w:pPr>
      <w:r w:rsidRPr="004A0212">
        <w:t xml:space="preserve">being the lead economic and financial advisor to the Government and steward of the public service’s financial management system </w:t>
      </w:r>
    </w:p>
    <w:p w14:paraId="0804C67F" w14:textId="77777777" w:rsidR="00FE4E56" w:rsidRPr="004A0212" w:rsidRDefault="00FE4E56" w:rsidP="00343583">
      <w:pPr>
        <w:pStyle w:val="Bulletpoints"/>
      </w:pPr>
      <w:r w:rsidRPr="004A0212">
        <w:t xml:space="preserve">supporting the management of State services and public finances </w:t>
      </w:r>
    </w:p>
    <w:p w14:paraId="3A3FB587" w14:textId="39815A6C" w:rsidR="00FE4E56" w:rsidRPr="004A0212" w:rsidRDefault="00FE4E56" w:rsidP="00343583">
      <w:pPr>
        <w:pStyle w:val="Bulletpoints"/>
      </w:pPr>
      <w:r w:rsidRPr="004A0212">
        <w:t>providing leadership for the public service alongside the Department of the Prime Minister and Cabinet and Te Kawa Mataaho Public Service Commission.</w:t>
      </w:r>
      <w:r w:rsidRPr="004A0212">
        <w:rPr>
          <w:rStyle w:val="EndnoteReference"/>
        </w:rPr>
        <w:endnoteReference w:id="462"/>
      </w:r>
    </w:p>
    <w:p w14:paraId="096248BE" w14:textId="77777777" w:rsidR="00FE4E56" w:rsidRDefault="00FE4E56" w:rsidP="00F304A1">
      <w:pPr>
        <w:pStyle w:val="Heading3"/>
      </w:pPr>
      <w:bookmarkStart w:id="578" w:name="_Toc165441869"/>
      <w:bookmarkStart w:id="579" w:name="_Toc569454908"/>
      <w:bookmarkStart w:id="580" w:name="_Toc181084946"/>
      <w:r w:rsidRPr="004A0212">
        <w:t>Te tari o te Pirimia me te Komiti Matua</w:t>
      </w:r>
      <w:bookmarkEnd w:id="580"/>
      <w:r w:rsidRPr="004A0212">
        <w:t xml:space="preserve"> </w:t>
      </w:r>
      <w:bookmarkStart w:id="581" w:name="_Toc165441870"/>
      <w:bookmarkEnd w:id="578"/>
    </w:p>
    <w:p w14:paraId="3923C925" w14:textId="3DDAAE6C" w:rsidR="00FE4E56" w:rsidRPr="004A0212" w:rsidRDefault="00FE4E56" w:rsidP="00F304A1">
      <w:pPr>
        <w:pStyle w:val="Heading3"/>
      </w:pPr>
      <w:bookmarkStart w:id="582" w:name="_Toc181084947"/>
      <w:r w:rsidRPr="004A0212">
        <w:t>Department of the Prime Minister and Cabinet</w:t>
      </w:r>
      <w:bookmarkEnd w:id="579"/>
      <w:bookmarkEnd w:id="581"/>
      <w:bookmarkEnd w:id="582"/>
    </w:p>
    <w:p w14:paraId="13F99D00" w14:textId="7CCEAEDA" w:rsidR="00FE4E56" w:rsidRPr="004A0212" w:rsidRDefault="00FE4E56" w:rsidP="00853907">
      <w:pPr>
        <w:pStyle w:val="Numbparas"/>
      </w:pPr>
      <w:r w:rsidRPr="004A0212">
        <w:t xml:space="preserve">The Department of the Prime Minister and Cabinet (DPMC) was set up on 1 January 1990 by merging several separate offices including the Cabinet Office. </w:t>
      </w:r>
    </w:p>
    <w:p w14:paraId="6A08D74C" w14:textId="02652E6B" w:rsidR="00FE4E56" w:rsidRPr="004A0212" w:rsidRDefault="00FE4E56" w:rsidP="00853907">
      <w:pPr>
        <w:pStyle w:val="Numbparas"/>
      </w:pPr>
      <w:r w:rsidRPr="004A0212">
        <w:t>DPMC provides advice and support to the government of the day, supporting the effective functioning of executive government and co-ordinating the national security and risk systems. DPMC is focused on meeting the prime minister’s priorities and from time to time will be responsible for shaping and progressing emerging high-priority issues.</w:t>
      </w:r>
      <w:r w:rsidRPr="004A0212">
        <w:rPr>
          <w:rStyle w:val="EndnoteReference"/>
        </w:rPr>
        <w:endnoteReference w:id="463"/>
      </w:r>
      <w:r w:rsidRPr="004A0212">
        <w:t xml:space="preserve"> </w:t>
      </w:r>
    </w:p>
    <w:p w14:paraId="703877B1" w14:textId="1887E9EC" w:rsidR="00FE4E56" w:rsidRPr="004A0212" w:rsidRDefault="00FE4E56" w:rsidP="00853907">
      <w:pPr>
        <w:pStyle w:val="Numbparas"/>
      </w:pPr>
      <w:r w:rsidRPr="004A0212">
        <w:t>The Cabinet Office as part of the DPMC plays a central role in government decision-making by offering impartial secretariat services to bodies like Cabinet. It advises the Governor-General, the prime minister and ministers on constitutional, policy, and procedural matters.</w:t>
      </w:r>
      <w:r w:rsidRPr="004A0212">
        <w:rPr>
          <w:rStyle w:val="EndnoteReference"/>
        </w:rPr>
        <w:endnoteReference w:id="464"/>
      </w:r>
    </w:p>
    <w:p w14:paraId="75226C40" w14:textId="0315EEE2" w:rsidR="00FE4E56" w:rsidRDefault="00FE4E56" w:rsidP="00F304A1">
      <w:pPr>
        <w:pStyle w:val="Heading3"/>
      </w:pPr>
      <w:bookmarkStart w:id="583" w:name="_Toc165441871"/>
      <w:bookmarkStart w:id="584" w:name="_Toc420964011"/>
      <w:bookmarkStart w:id="585" w:name="_Toc181084948"/>
      <w:r w:rsidRPr="004A0212">
        <w:t>Te Tari o te Tumuaki o te Mana Arotake</w:t>
      </w:r>
      <w:bookmarkEnd w:id="585"/>
    </w:p>
    <w:p w14:paraId="2814D57A" w14:textId="0F4498DF" w:rsidR="00FE4E56" w:rsidRPr="004A0212" w:rsidRDefault="00FE4E56" w:rsidP="00F304A1">
      <w:pPr>
        <w:pStyle w:val="Heading3"/>
      </w:pPr>
      <w:bookmarkStart w:id="586" w:name="_Toc165441872"/>
      <w:bookmarkStart w:id="587" w:name="_Toc181084949"/>
      <w:bookmarkEnd w:id="583"/>
      <w:r w:rsidRPr="004A0212">
        <w:t>The Office of the Auditor General</w:t>
      </w:r>
      <w:bookmarkEnd w:id="584"/>
      <w:bookmarkEnd w:id="586"/>
      <w:bookmarkEnd w:id="587"/>
    </w:p>
    <w:p w14:paraId="03692974" w14:textId="7036DBFC" w:rsidR="00FE4E56" w:rsidRPr="004A0212" w:rsidRDefault="00FE4E56" w:rsidP="00F7372F">
      <w:pPr>
        <w:pStyle w:val="Numbparas"/>
      </w:pPr>
      <w:bookmarkStart w:id="588" w:name="_Hlk166502363"/>
      <w:r w:rsidRPr="004A0212">
        <w:t>Under the Public Audit Act 2001, the Controller and Auditor-General undertakes annual audits, performance audits, assurance services, and inquiries. The Auditor-General is an independent Officer of Parliament and operates through two units: the Office of the Auditor-General and Audit New Zealand. Their role is to provide Parliament and the public with an impartial perspective on how public organisations are functioning.</w:t>
      </w:r>
      <w:r w:rsidRPr="004A0212">
        <w:rPr>
          <w:rStyle w:val="EndnoteReference"/>
        </w:rPr>
        <w:endnoteReference w:id="465"/>
      </w:r>
    </w:p>
    <w:p w14:paraId="746806E7" w14:textId="398F4D30" w:rsidR="00FE4E56" w:rsidRPr="004A0212" w:rsidRDefault="00FE4E56" w:rsidP="00F7372F">
      <w:pPr>
        <w:pStyle w:val="Numbparas"/>
      </w:pPr>
      <w:r w:rsidRPr="004A0212">
        <w:t>The Auditor-General reports to Parliament annually. They have extensive information-gathering powers, including the authority to enter premises and obtain information under oath. Protections are in place for individuals providing information to the Auditor-General.</w:t>
      </w:r>
      <w:r w:rsidRPr="004A0212">
        <w:rPr>
          <w:rStyle w:val="EndnoteReference"/>
        </w:rPr>
        <w:endnoteReference w:id="466"/>
      </w:r>
    </w:p>
    <w:p w14:paraId="5B7D5CA2" w14:textId="77777777" w:rsidR="00FE4E56" w:rsidRDefault="00FE4E56" w:rsidP="00282055">
      <w:pPr>
        <w:pStyle w:val="Heading2"/>
      </w:pPr>
      <w:bookmarkStart w:id="589" w:name="_Toc165441873"/>
      <w:bookmarkStart w:id="590" w:name="_Toc186724458"/>
      <w:bookmarkStart w:id="591" w:name="_Toc181084950"/>
      <w:bookmarkEnd w:id="588"/>
      <w:r w:rsidRPr="004A0212">
        <w:lastRenderedPageBreak/>
        <w:t>Te whakahaerenga Kāwanatanga 1950–1999</w:t>
      </w:r>
      <w:bookmarkEnd w:id="591"/>
    </w:p>
    <w:p w14:paraId="0FC0CEA9" w14:textId="55A96A0B" w:rsidR="00FE4E56" w:rsidRPr="004A0212" w:rsidRDefault="00FE4E56" w:rsidP="00282055">
      <w:pPr>
        <w:pStyle w:val="Heading2"/>
      </w:pPr>
      <w:bookmarkStart w:id="592" w:name="_Toc181084951"/>
      <w:r w:rsidRPr="004A0212">
        <w:t>State administration 1950–1999</w:t>
      </w:r>
      <w:bookmarkEnd w:id="589"/>
      <w:bookmarkEnd w:id="590"/>
      <w:bookmarkEnd w:id="592"/>
    </w:p>
    <w:p w14:paraId="72C4D261" w14:textId="77777777" w:rsidR="00FE4E56" w:rsidRPr="004A0212" w:rsidRDefault="00FE4E56" w:rsidP="002C3153">
      <w:pPr>
        <w:pStyle w:val="Numbparas"/>
      </w:pPr>
      <w:r w:rsidRPr="004A0212">
        <w:t>State administration changed during the Inquiry period. Reforms through the 1980s into the 1990s meant the way departments were organised and run changed in the last decade of the Inquiry period.</w:t>
      </w:r>
    </w:p>
    <w:p w14:paraId="03C7BACB" w14:textId="5F560954" w:rsidR="00FE4E56" w:rsidRPr="004A0212" w:rsidRDefault="00FE4E56" w:rsidP="002C3153">
      <w:pPr>
        <w:pStyle w:val="Heading3"/>
      </w:pPr>
      <w:bookmarkStart w:id="593" w:name="_Toc165441874"/>
      <w:bookmarkStart w:id="594" w:name="_Toc371495892"/>
      <w:bookmarkStart w:id="595" w:name="_Toc181084952"/>
      <w:r w:rsidRPr="004A0212">
        <w:t>Ngā tau 1950–1980: Mai i te waeture ki te whakahou</w:t>
      </w:r>
      <w:bookmarkEnd w:id="593"/>
      <w:bookmarkEnd w:id="594"/>
      <w:bookmarkEnd w:id="595"/>
      <w:r w:rsidRPr="004A0212">
        <w:t xml:space="preserve"> </w:t>
      </w:r>
      <w:bookmarkStart w:id="596" w:name="_Toc165441875"/>
    </w:p>
    <w:p w14:paraId="2055B26C" w14:textId="77777777" w:rsidR="00FE4E56" w:rsidRPr="004A0212" w:rsidRDefault="00FE4E56" w:rsidP="002C3153">
      <w:pPr>
        <w:pStyle w:val="Heading3"/>
        <w:rPr>
          <w:color w:val="auto"/>
        </w:rPr>
      </w:pPr>
      <w:bookmarkStart w:id="597" w:name="_Toc499372213"/>
      <w:bookmarkStart w:id="598" w:name="_Toc181084953"/>
      <w:r w:rsidRPr="004A0212">
        <w:t>1950–1980s: From regulation to reform</w:t>
      </w:r>
      <w:bookmarkEnd w:id="596"/>
      <w:bookmarkEnd w:id="597"/>
      <w:bookmarkEnd w:id="598"/>
    </w:p>
    <w:p w14:paraId="12AAA750" w14:textId="77777777" w:rsidR="00FE4E56" w:rsidRPr="004A0212" w:rsidRDefault="00FE4E56" w:rsidP="002C3153">
      <w:pPr>
        <w:pStyle w:val="Numbparas"/>
      </w:pPr>
      <w:r w:rsidRPr="004A0212">
        <w:t>From 1950 to the late 1980s, Aotearoa New Zealand had a highly centralised, rules-based approach to how government and the public service were run. The economy was heavily regulated by the State. The public sector, overseen by the State Services Commission, had an integrated career structure, strong preference for internal appointees over outsiders, and a promise of lifelong employment.</w:t>
      </w:r>
      <w:r w:rsidRPr="004A0212">
        <w:rPr>
          <w:rStyle w:val="StyleFootnoteReferenceFagoFunotenzeichenFagoFunotenzeichen"/>
        </w:rPr>
        <w:endnoteReference w:id="467"/>
      </w:r>
    </w:p>
    <w:p w14:paraId="37E165E1" w14:textId="77777777" w:rsidR="00FE4E56" w:rsidRPr="004A0212" w:rsidRDefault="00FE4E56" w:rsidP="002C3153">
      <w:pPr>
        <w:pStyle w:val="Numbparas"/>
      </w:pPr>
      <w:r w:rsidRPr="004A0212">
        <w:t>Ministers were the link between the Government and agencies. Ministers were collectively accountable for the performance of the Government as a whole, and individually accountable for the performance of their particular agencies.</w:t>
      </w:r>
    </w:p>
    <w:p w14:paraId="5D0E3CF5" w14:textId="77777777" w:rsidR="00FE4E56" w:rsidRPr="004A0212" w:rsidRDefault="00FE4E56" w:rsidP="002C3153">
      <w:pPr>
        <w:pStyle w:val="Numbparas"/>
      </w:pPr>
      <w:r w:rsidRPr="004A0212">
        <w:t xml:space="preserve">The public service had two major responsibilities to the Government: </w:t>
      </w:r>
    </w:p>
    <w:p w14:paraId="06456324" w14:textId="77777777" w:rsidR="00FE4E56" w:rsidRPr="004A0212" w:rsidRDefault="00FE4E56" w:rsidP="0080468F">
      <w:pPr>
        <w:pStyle w:val="Bulletpoints"/>
      </w:pPr>
      <w:r w:rsidRPr="004A0212">
        <w:t xml:space="preserve">to advise it objectively and rigorously on the policy issues of the day, and </w:t>
      </w:r>
    </w:p>
    <w:p w14:paraId="2EF91147" w14:textId="77777777" w:rsidR="00FE4E56" w:rsidRPr="004A0212" w:rsidRDefault="00FE4E56" w:rsidP="0080468F">
      <w:pPr>
        <w:pStyle w:val="Bulletpoints"/>
      </w:pPr>
      <w:r w:rsidRPr="004A0212">
        <w:t>to implement decisions in the most effective way possible.</w:t>
      </w:r>
      <w:r w:rsidRPr="004A0212">
        <w:rPr>
          <w:rStyle w:val="StyleFootnoteReferenceFagoFunotenzeichenFagoFunotenzeichen"/>
        </w:rPr>
        <w:endnoteReference w:id="468"/>
      </w:r>
    </w:p>
    <w:p w14:paraId="2418A949" w14:textId="153676C9" w:rsidR="00FE4E56" w:rsidRPr="004A0212" w:rsidRDefault="00FE4E56" w:rsidP="002C3153">
      <w:pPr>
        <w:pStyle w:val="Numbparas"/>
      </w:pPr>
      <w:r w:rsidRPr="004A0212">
        <w:t>The State Services Commission employed almost all public servants and set service wide terms and conditions of employment, training and development.</w:t>
      </w:r>
      <w:r w:rsidRPr="004A0212">
        <w:rPr>
          <w:rStyle w:val="StyleFootnoteReferenceFagoFunotenzeichenFagoFunotenzeichen"/>
        </w:rPr>
        <w:endnoteReference w:id="469"/>
      </w:r>
    </w:p>
    <w:p w14:paraId="61231CD9" w14:textId="114717B1" w:rsidR="00FE4E56" w:rsidRPr="004A0212" w:rsidRDefault="00FE4E56" w:rsidP="002C3153">
      <w:pPr>
        <w:pStyle w:val="Numbparas"/>
      </w:pPr>
      <w:r w:rsidRPr="004A0212">
        <w:t>The Treasury was the State’s financial advisor, including advising the Minister of Finance on departmental spending proposals,</w:t>
      </w:r>
      <w:r w:rsidRPr="004A0212">
        <w:rPr>
          <w:rStyle w:val="StyleFootnoteReferenceFagoFunotenzeichenFagoFunotenzeichen"/>
        </w:rPr>
        <w:endnoteReference w:id="470"/>
      </w:r>
      <w:r w:rsidRPr="004A0212">
        <w:t xml:space="preserve"> and was responsible for the control of expenditure appropriated by Parliament in the annual budget cycle.</w:t>
      </w:r>
      <w:r w:rsidRPr="004A0212">
        <w:rPr>
          <w:rStyle w:val="StyleFootnoteReferenceFagoFunotenzeichenFagoFunotenzeichen"/>
        </w:rPr>
        <w:endnoteReference w:id="471"/>
      </w:r>
      <w:r w:rsidRPr="004A0212">
        <w:t xml:space="preserve"> Before the Public Finance Act 1989, the financial aspects of each department’s work was controlled by The Treasury through its administration of the Public Revenues Act 1953, the Treasury Regulations 1953 and the Treasury Instructions 1953, which covered the use of public money down to details such as morning tea for visitors and parking fees.</w:t>
      </w:r>
      <w:r w:rsidRPr="004A0212">
        <w:rPr>
          <w:rStyle w:val="StyleFootnoteReferenceFagoFunotenzeichenFagoFunotenzeichen"/>
        </w:rPr>
        <w:endnoteReference w:id="472"/>
      </w:r>
    </w:p>
    <w:p w14:paraId="1B16AE0A" w14:textId="77777777" w:rsidR="00FE4E56" w:rsidRPr="004A0212" w:rsidRDefault="00FE4E56" w:rsidP="002C3153">
      <w:pPr>
        <w:pStyle w:val="Numbparas"/>
      </w:pPr>
      <w:r w:rsidRPr="004A0212">
        <w:t>The Audit Department monitored departmental expenditure and ensured it aligned with the spending authority given by Parliament. The focus was mainly on regulating inputs, particularly the amount of labour used, while outputs and performance in achieving objectives received less attention.</w:t>
      </w:r>
      <w:r w:rsidRPr="004A0212">
        <w:rPr>
          <w:rStyle w:val="StyleFootnoteReferenceFagoFunotenzeichenFagoFunotenzeichen"/>
        </w:rPr>
        <w:endnoteReference w:id="473"/>
      </w:r>
    </w:p>
    <w:p w14:paraId="501F7D1D" w14:textId="12150E84" w:rsidR="00FE4E56" w:rsidRPr="004A0212" w:rsidRDefault="00FE4E56" w:rsidP="002C3153">
      <w:pPr>
        <w:pStyle w:val="Numbparas"/>
      </w:pPr>
      <w:r w:rsidRPr="004A0212">
        <w:t>Departments were overseen by permanent heads (now called chief executives), accountable to the State Services Commission and ministers for the efficient management of their departments. Permanent heads had limited influence over salary or terms of employment for their staff, and restricted ability to manage staff performance. They also had little scope to recruit skilled and experienced staff from outside the public service above basic grade positions.</w:t>
      </w:r>
      <w:r w:rsidRPr="004A0212">
        <w:rPr>
          <w:rStyle w:val="StyleFootnoteReferenceFagoFunotenzeichenFagoFunotenzeichen"/>
        </w:rPr>
        <w:endnoteReference w:id="474"/>
      </w:r>
      <w:r w:rsidRPr="004A0212">
        <w:t xml:space="preserve"> Instead, these functions sat with the State Services Commission. </w:t>
      </w:r>
    </w:p>
    <w:p w14:paraId="630FA650" w14:textId="77777777" w:rsidR="00FE4E56" w:rsidRPr="004A0212" w:rsidRDefault="00FE4E56" w:rsidP="002C3153">
      <w:pPr>
        <w:pStyle w:val="Numbparas"/>
        <w:rPr>
          <w:rStyle w:val="normaltextrun"/>
          <w:color w:val="000000" w:themeColor="text1"/>
        </w:rPr>
      </w:pPr>
      <w:r w:rsidRPr="004A0212">
        <w:rPr>
          <w:rStyle w:val="normaltextrun"/>
          <w:color w:val="000000" w:themeColor="text1"/>
          <w:bdr w:val="none" w:sz="0" w:space="0" w:color="auto" w:frame="1"/>
        </w:rPr>
        <w:lastRenderedPageBreak/>
        <w:t>In 1962, Aotearoa New Zealand was the fourth country in the world to appoint an ombudsman under the Parliamentary Commissioner (Ombudsman) Act. At that time, the ombudsman was restricted to investigating complaints about central government departments and organisations.</w:t>
      </w:r>
      <w:r w:rsidRPr="004A0212">
        <w:rPr>
          <w:rStyle w:val="StyleFootnoteReferenceFagoFunotenzeichenFagoFunotenzeichen"/>
        </w:rPr>
        <w:endnoteReference w:id="475"/>
      </w:r>
    </w:p>
    <w:p w14:paraId="6A6C30AA" w14:textId="77777777" w:rsidR="00FE4E56" w:rsidRPr="004A0212" w:rsidRDefault="00FE4E56" w:rsidP="002C3153">
      <w:pPr>
        <w:pStyle w:val="Numbparas"/>
        <w:rPr>
          <w:rStyle w:val="eop"/>
        </w:rPr>
      </w:pPr>
      <w:r w:rsidRPr="004A0212">
        <w:t>In 1984 the new Labour Government began restructuring the economy and transforming how the State sector was run. This restructure was influenced by neoliberal ideas and was an attempt to address long-standing issues with the structure and performance of Aotearoa New Zealand’s economy</w:t>
      </w:r>
      <w:r w:rsidRPr="004A0212">
        <w:rPr>
          <w:rStyle w:val="eop"/>
        </w:rPr>
        <w:t>.</w:t>
      </w:r>
      <w:r w:rsidRPr="004A0212">
        <w:rPr>
          <w:rStyle w:val="StyleFootnoteReferenceFagoFunotenzeichenFagoFunotenzeichen"/>
        </w:rPr>
        <w:endnoteReference w:id="476"/>
      </w:r>
      <w:r w:rsidRPr="004A0212">
        <w:rPr>
          <w:rStyle w:val="eop"/>
        </w:rPr>
        <w:t xml:space="preserve"> </w:t>
      </w:r>
    </w:p>
    <w:p w14:paraId="5393CF49" w14:textId="3D54F609" w:rsidR="00FE4E56" w:rsidRPr="004A0212" w:rsidRDefault="00FE4E56" w:rsidP="002C3153">
      <w:pPr>
        <w:pStyle w:val="Numbparas"/>
        <w:rPr>
          <w:rStyle w:val="eop"/>
        </w:rPr>
      </w:pPr>
      <w:r w:rsidRPr="004A0212">
        <w:rPr>
          <w:rStyle w:val="eop"/>
        </w:rPr>
        <w:t>The 1980s’ State sector reforms were shaped by two sets of concepts, one stemming from management principles and the other from economic theories. Managerial reform was based on the idea that managers could only be held accountable for outcomes if they were given the freedom to make decisions, allocate resources and manage their organisations within established budgets.</w:t>
      </w:r>
      <w:r w:rsidRPr="004A0212">
        <w:rPr>
          <w:rStyle w:val="StyleFootnoteReferenceFagoFunotenzeichenFagoFunotenzeichen"/>
        </w:rPr>
        <w:endnoteReference w:id="477"/>
      </w:r>
      <w:r w:rsidRPr="004A0212">
        <w:rPr>
          <w:rStyle w:val="EndnoteReference"/>
        </w:rPr>
        <w:t xml:space="preserve"> </w:t>
      </w:r>
      <w:r w:rsidRPr="004A0212">
        <w:t xml:space="preserve">The </w:t>
      </w:r>
      <w:r w:rsidRPr="004A0212">
        <w:rPr>
          <w:rStyle w:val="eop"/>
        </w:rPr>
        <w:t>Treasury’s brief to the incoming minister in 1984 stated that the way departments had been organised and run meant that departmental management had little freedom to change the way their departments operated to meet their goals, to use their judgement to produce the best outcome or to address poor performance in senior management.</w:t>
      </w:r>
      <w:r w:rsidRPr="004A0212">
        <w:rPr>
          <w:rStyle w:val="StyleFootnoteReferenceFagoFunotenzeichenFagoFunotenzeichen"/>
        </w:rPr>
        <w:endnoteReference w:id="478"/>
      </w:r>
    </w:p>
    <w:p w14:paraId="68840214" w14:textId="02B0B37C" w:rsidR="00FE4E56" w:rsidRPr="004A0212" w:rsidRDefault="00FE4E56" w:rsidP="002C3153">
      <w:pPr>
        <w:pStyle w:val="Heading3"/>
        <w:rPr>
          <w:rStyle w:val="ui-provider"/>
        </w:rPr>
      </w:pPr>
      <w:bookmarkStart w:id="599" w:name="_Toc165441876"/>
      <w:bookmarkStart w:id="600" w:name="_Toc1551372969"/>
      <w:bookmarkStart w:id="601" w:name="_Toc181084954"/>
      <w:r w:rsidRPr="004A0212">
        <w:rPr>
          <w:rStyle w:val="ui-provider"/>
        </w:rPr>
        <w:t>Mai i te tau 1989: Te whakaurunga o te whāomo me te kirimana</w:t>
      </w:r>
      <w:bookmarkEnd w:id="599"/>
      <w:bookmarkEnd w:id="600"/>
      <w:bookmarkEnd w:id="601"/>
    </w:p>
    <w:p w14:paraId="2B509BF3" w14:textId="4FE258F7" w:rsidR="00FE4E56" w:rsidRPr="004A0212" w:rsidRDefault="00FE4E56" w:rsidP="002C3153">
      <w:pPr>
        <w:pStyle w:val="Heading3"/>
        <w:rPr>
          <w:rStyle w:val="ui-provider"/>
        </w:rPr>
      </w:pPr>
      <w:bookmarkStart w:id="602" w:name="_Toc165441877"/>
      <w:bookmarkStart w:id="603" w:name="_Toc1047383457"/>
      <w:bookmarkStart w:id="604" w:name="_Toc181084955"/>
      <w:r w:rsidRPr="004A0212">
        <w:rPr>
          <w:rStyle w:val="ui-provider"/>
        </w:rPr>
        <w:t>From1989: the introduction of efficiency and contracting</w:t>
      </w:r>
      <w:bookmarkEnd w:id="602"/>
      <w:bookmarkEnd w:id="603"/>
      <w:bookmarkEnd w:id="604"/>
    </w:p>
    <w:p w14:paraId="4E7B7538" w14:textId="7962EB1C" w:rsidR="00FE4E56" w:rsidRPr="004A0212" w:rsidRDefault="00FE4E56" w:rsidP="002C3153">
      <w:pPr>
        <w:pStyle w:val="Numbparas"/>
        <w:rPr>
          <w:rStyle w:val="ui-provider"/>
        </w:rPr>
      </w:pPr>
      <w:r w:rsidRPr="004A0212">
        <w:rPr>
          <w:rStyle w:val="ui-provider"/>
        </w:rPr>
        <w:t>Under the State Sector Act 1988 and the Public Finance Act 1989, heads of government departments (now called chief executives) were no longer lifelong career public servants. Instead, the State Services Commission contracted them for specific outputs as part of their performance agreements.</w:t>
      </w:r>
      <w:r w:rsidRPr="004A0212">
        <w:rPr>
          <w:rStyle w:val="StyleFootnoteReferenceFagoFunotenzeichenFagoFunotenzeichen"/>
        </w:rPr>
        <w:endnoteReference w:id="479"/>
      </w:r>
      <w:r w:rsidRPr="004A0212">
        <w:rPr>
          <w:rStyle w:val="ui-provider"/>
        </w:rPr>
        <w:t xml:space="preserve"> </w:t>
      </w:r>
    </w:p>
    <w:p w14:paraId="714CCB2B" w14:textId="77777777" w:rsidR="00FE4E56" w:rsidRPr="004A0212" w:rsidRDefault="00FE4E56" w:rsidP="002C3153">
      <w:pPr>
        <w:pStyle w:val="Numbparas"/>
      </w:pPr>
      <w:r w:rsidRPr="004A0212">
        <w:t>Accountability for resources and results was now maintained through contract-like arrangements within government. Performance agreements between ministers and chief executives set out standards and expectations for department heads; purchase agreements between ministers and departments specified the outputs to be produced during the year.</w:t>
      </w:r>
      <w:r w:rsidRPr="004A0212">
        <w:rPr>
          <w:rStyle w:val="StyleFootnoteReferenceFagoFunotenzeichenFagoFunotenzeichen"/>
        </w:rPr>
        <w:endnoteReference w:id="480"/>
      </w:r>
    </w:p>
    <w:p w14:paraId="52F02BC6" w14:textId="4DD65DCA" w:rsidR="00FE4E56" w:rsidRDefault="00FE4E56" w:rsidP="002C3153">
      <w:pPr>
        <w:pStyle w:val="Heading3"/>
      </w:pPr>
      <w:bookmarkStart w:id="605" w:name="_Toc165441878"/>
      <w:bookmarkStart w:id="606" w:name="_Toc494579669"/>
      <w:bookmarkStart w:id="607" w:name="_Toc181084956"/>
      <w:r w:rsidRPr="004A0212">
        <w:t>Te tiaki kōrero me te tuari mōhiotanga</w:t>
      </w:r>
      <w:bookmarkEnd w:id="607"/>
    </w:p>
    <w:p w14:paraId="2A1B2B0E" w14:textId="397BC90F" w:rsidR="00FE4E56" w:rsidRPr="004A0212" w:rsidRDefault="00FE4E56" w:rsidP="002C3153">
      <w:pPr>
        <w:pStyle w:val="Heading3"/>
      </w:pPr>
      <w:bookmarkStart w:id="608" w:name="_Toc181084957"/>
      <w:r w:rsidRPr="004A0212">
        <w:t>Record keeping and information sharing</w:t>
      </w:r>
      <w:bookmarkEnd w:id="605"/>
      <w:bookmarkEnd w:id="606"/>
      <w:bookmarkEnd w:id="608"/>
    </w:p>
    <w:p w14:paraId="6F4F8A6E" w14:textId="62E2951E" w:rsidR="00FE4E56" w:rsidRPr="004A0212" w:rsidRDefault="00FE4E56" w:rsidP="002C3153">
      <w:pPr>
        <w:pStyle w:val="Numbparas"/>
      </w:pPr>
      <w:r w:rsidRPr="004A0212">
        <w:t>Information and record keeping requirements evolved through the Inquiry period. The sections below cover some of the legislation and agencies with a role in record keeping and information requirements. These are Archives New Zealand, the Official Information Act and the Privacy Act.</w:t>
      </w:r>
    </w:p>
    <w:p w14:paraId="1C1BC467" w14:textId="77777777" w:rsidR="0080149A" w:rsidRDefault="0080149A">
      <w:pPr>
        <w:keepLines w:val="0"/>
        <w:rPr>
          <w:rFonts w:ascii="Arial" w:hAnsi="Arial" w:cs="Arial"/>
          <w:i/>
          <w:iCs/>
          <w:color w:val="3B5D1E" w:themeColor="accent4" w:themeShade="BF"/>
          <w:sz w:val="22"/>
          <w:szCs w:val="22"/>
          <w:lang w:val="en"/>
        </w:rPr>
      </w:pPr>
      <w:bookmarkStart w:id="609" w:name="_Toc165441879"/>
      <w:bookmarkStart w:id="610" w:name="_Toc184191785"/>
      <w:r>
        <w:br w:type="page"/>
      </w:r>
    </w:p>
    <w:p w14:paraId="104114E9" w14:textId="5B8518F8" w:rsidR="00FE4E56" w:rsidRDefault="00FE4E56" w:rsidP="001A5ECD">
      <w:pPr>
        <w:pStyle w:val="Heading4"/>
      </w:pPr>
      <w:r w:rsidRPr="001A1B9D">
        <w:lastRenderedPageBreak/>
        <w:t>Te Rua Mahara o te Kāwanatanga</w:t>
      </w:r>
    </w:p>
    <w:p w14:paraId="597E8FB3" w14:textId="5CDD204F" w:rsidR="00FE4E56" w:rsidRPr="001A1B9D" w:rsidRDefault="00FE4E56" w:rsidP="001A5ECD">
      <w:pPr>
        <w:pStyle w:val="Heading4"/>
      </w:pPr>
      <w:r w:rsidRPr="001A1B9D">
        <w:t>Archives New Zealand</w:t>
      </w:r>
      <w:bookmarkEnd w:id="609"/>
      <w:bookmarkEnd w:id="610"/>
    </w:p>
    <w:p w14:paraId="675BBC0A" w14:textId="2AC91888" w:rsidR="00FE4E56" w:rsidRPr="004A0212" w:rsidRDefault="00FE4E56" w:rsidP="002C3153">
      <w:pPr>
        <w:pStyle w:val="Numbparas"/>
      </w:pPr>
      <w:r w:rsidRPr="004A0212">
        <w:t>As discussed in the Inquiry’s redress report, He Purapura Ora, he Māra Tipu</w:t>
      </w:r>
      <w:r>
        <w:t>: From Redress to Puretumu Torowhānui</w:t>
      </w:r>
      <w:r w:rsidRPr="004A0212">
        <w:t xml:space="preserve"> and in Part 4 of this report, the Inquiry heard evidence from many parties about </w:t>
      </w:r>
      <w:r w:rsidRPr="004A0212">
        <w:rPr>
          <w:rStyle w:val="normaltextrun"/>
          <w:color w:val="000000" w:themeColor="text1"/>
        </w:rPr>
        <w:t xml:space="preserve">how historical </w:t>
      </w:r>
      <w:r w:rsidRPr="004A0212">
        <w:rPr>
          <w:rStyle w:val="findhit"/>
          <w:color w:val="000000" w:themeColor="text1"/>
        </w:rPr>
        <w:t>data</w:t>
      </w:r>
      <w:r w:rsidRPr="004A0212">
        <w:rPr>
          <w:rStyle w:val="normaltextrun"/>
          <w:color w:val="000000" w:themeColor="text1"/>
        </w:rPr>
        <w:t xml:space="preserve"> and record keeping by the State was inadequate. </w:t>
      </w:r>
    </w:p>
    <w:p w14:paraId="4549A8B2" w14:textId="297F9B28" w:rsidR="00FE4E56" w:rsidRPr="004A0212" w:rsidRDefault="00FE4E56" w:rsidP="002C3153">
      <w:pPr>
        <w:pStyle w:val="Numbparas"/>
      </w:pPr>
      <w:r w:rsidRPr="004A0212">
        <w:t>Formal requirements around public record keeping evolved from 1950 to 1999. The Archives Act 1957 established the National Archives within the Department of Internal Affairs.</w:t>
      </w:r>
      <w:r w:rsidRPr="004A0212">
        <w:rPr>
          <w:rStyle w:val="StyleFootnoteReferenceFagoFunotenzeichenFagoFunotenzeichen"/>
        </w:rPr>
        <w:endnoteReference w:id="481"/>
      </w:r>
      <w:r w:rsidRPr="004A0212">
        <w:t xml:space="preserve"> There had been an increasing focus on government records management since the beginning of the century, and the final trigger for creating a nationwide service occurred with the fire at the Hope Gibbons building in 1952 that destroyed many State records.</w:t>
      </w:r>
      <w:r w:rsidRPr="004A0212">
        <w:rPr>
          <w:rStyle w:val="StyleFootnoteReferenceFagoFunotenzeichenFagoFunotenzeichen"/>
        </w:rPr>
        <w:endnoteReference w:id="482"/>
      </w:r>
    </w:p>
    <w:p w14:paraId="35D97F12" w14:textId="2E80FEBA" w:rsidR="00FE4E56" w:rsidRPr="004A0212" w:rsidRDefault="00FE4E56" w:rsidP="002C3153">
      <w:pPr>
        <w:pStyle w:val="Numbparas"/>
      </w:pPr>
      <w:r w:rsidRPr="004A0212">
        <w:rPr>
          <w:color w:val="0D0D0D"/>
        </w:rPr>
        <w:t xml:space="preserve">The Act established a framework for public records management, including the requirement that all public </w:t>
      </w:r>
      <w:r w:rsidRPr="004A0212">
        <w:t>records ‘of sufficient value’ had to be deposited within the archives 25 years after their creation. This included records relevant to the ‘organisation, functions, and transactions’ of the government office where they were created or received. The Act allowed the chief archivist to give instructions to government offices about the efficient and economic management, and safe preservation of public records and public archives.</w:t>
      </w:r>
      <w:r w:rsidRPr="004A0212">
        <w:rPr>
          <w:rStyle w:val="StyleFootnoteReferenceFagoFunotenzeichenFagoFunotenzeichen"/>
        </w:rPr>
        <w:endnoteReference w:id="483"/>
      </w:r>
    </w:p>
    <w:p w14:paraId="73EC972C" w14:textId="43650540" w:rsidR="00FE4E56" w:rsidRPr="004A0212" w:rsidRDefault="00FE4E56" w:rsidP="002C3153">
      <w:pPr>
        <w:pStyle w:val="Numbparas"/>
      </w:pPr>
      <w:r w:rsidRPr="004A0212">
        <w:t>The Act also gave the chief archivist sole power to approve the disposal of official records (including their destruction).</w:t>
      </w:r>
      <w:r w:rsidRPr="004A0212">
        <w:rPr>
          <w:rStyle w:val="StyleFootnoteReferenceFagoFunotenzeichenFagoFunotenzeichen"/>
        </w:rPr>
        <w:endnoteReference w:id="484"/>
      </w:r>
      <w:r w:rsidRPr="004A0212">
        <w:t xml:space="preserve"> Two Records Advisory Officers were appointed in 1961 to assist government departments with records management practice.</w:t>
      </w:r>
      <w:r w:rsidRPr="004A0212">
        <w:rPr>
          <w:rStyle w:val="StyleFootnoteReferenceFagoFunotenzeichenFagoFunotenzeichen"/>
        </w:rPr>
        <w:endnoteReference w:id="485"/>
      </w:r>
      <w:r w:rsidRPr="004A0212">
        <w:t xml:space="preserve"> However, the Archives Act of 1957 did not include a statutory obligation on public offices to create and maintain full, accurate and accessible records, which was not established until the Public Records Act 2005. The State Services Commission also used its mandate to establish records management expectations within government.</w:t>
      </w:r>
      <w:r w:rsidRPr="004A0212">
        <w:rPr>
          <w:rStyle w:val="StyleFootnoteReferenceFagoFunotenzeichenFagoFunotenzeichen"/>
        </w:rPr>
        <w:endnoteReference w:id="486"/>
      </w:r>
      <w:r w:rsidRPr="004A0212">
        <w:t xml:space="preserve"> </w:t>
      </w:r>
    </w:p>
    <w:p w14:paraId="567077AE" w14:textId="77777777" w:rsidR="00FE4E56" w:rsidRPr="004A0212" w:rsidRDefault="00FE4E56" w:rsidP="002C3153">
      <w:pPr>
        <w:pStyle w:val="Numbparas"/>
      </w:pPr>
      <w:r w:rsidRPr="004A0212">
        <w:t xml:space="preserve">In 1984, National Archives criticised the state of records management in the public service, leading to the first comprehensive review of Aotearoa New Zealand recordkeeping since 1913. The resulting 1987 report revealed outdated classification systems, lack of emphasis on records management, and a shortage of qualified staff. </w:t>
      </w:r>
    </w:p>
    <w:p w14:paraId="33AC426D" w14:textId="00C5C09E" w:rsidR="00FE4E56" w:rsidRPr="004A0212" w:rsidRDefault="00FE4E56" w:rsidP="002C3153">
      <w:pPr>
        <w:pStyle w:val="Numbparas"/>
        <w:rPr>
          <w:color w:val="000000" w:themeColor="text1"/>
        </w:rPr>
      </w:pPr>
      <w:r w:rsidRPr="004A0212">
        <w:t xml:space="preserve">The capacity of the </w:t>
      </w:r>
      <w:r w:rsidRPr="004A0212">
        <w:rPr>
          <w:color w:val="000000" w:themeColor="text1"/>
        </w:rPr>
        <w:t xml:space="preserve">Records Management Branch to run training and advisory initiatives was increased. </w:t>
      </w:r>
      <w:r w:rsidRPr="004A0212">
        <w:rPr>
          <w:rStyle w:val="normaltextrun"/>
          <w:color w:val="000000" w:themeColor="text1"/>
          <w:bdr w:val="none" w:sz="0" w:space="0" w:color="auto" w:frame="1"/>
        </w:rPr>
        <w:t xml:space="preserve">However, there was a loss of institutional knowledge about records in </w:t>
      </w:r>
      <w:r w:rsidRPr="004A0212">
        <w:rPr>
          <w:rStyle w:val="normaltextrun"/>
          <w:color w:val="000000" w:themeColor="text1"/>
        </w:rPr>
        <w:t xml:space="preserve">departments </w:t>
      </w:r>
      <w:r w:rsidRPr="004A0212">
        <w:rPr>
          <w:rStyle w:val="normaltextrun"/>
          <w:color w:val="000000" w:themeColor="text1"/>
          <w:bdr w:val="none" w:sz="0" w:space="0" w:color="auto" w:frame="1"/>
        </w:rPr>
        <w:t xml:space="preserve">after sector-wide restructuring, including the Department of Social Welfare in 1992, and a shortage of staff within </w:t>
      </w:r>
      <w:r w:rsidRPr="004A0212">
        <w:rPr>
          <w:rStyle w:val="normaltextrun"/>
          <w:color w:val="000000" w:themeColor="text1"/>
        </w:rPr>
        <w:t xml:space="preserve">departments </w:t>
      </w:r>
      <w:r w:rsidRPr="004A0212">
        <w:rPr>
          <w:rStyle w:val="normaltextrun"/>
          <w:color w:val="000000" w:themeColor="text1"/>
          <w:bdr w:val="none" w:sz="0" w:space="0" w:color="auto" w:frame="1"/>
        </w:rPr>
        <w:t>meant these functions stopped in 1993.</w:t>
      </w:r>
      <w:r w:rsidRPr="004A0212">
        <w:rPr>
          <w:rStyle w:val="StyleFootnoteReferenceFagoFunotenzeichenFagoFunotenzeichen"/>
        </w:rPr>
        <w:endnoteReference w:id="487"/>
      </w:r>
    </w:p>
    <w:p w14:paraId="727D1EDE" w14:textId="77777777" w:rsidR="00FE4E56" w:rsidRPr="004A0212" w:rsidRDefault="00FE4E56" w:rsidP="002C3153">
      <w:pPr>
        <w:pStyle w:val="Numbparas"/>
      </w:pPr>
      <w:r w:rsidRPr="004A0212">
        <w:t>The earlier reforms of the State Sector Act 1988 had placed responsibility for recordkeeping with chief executives. The Privacy Act 1993 added protections for personal information but agencies’ recordkeeping duties and an explicit regulatory role for the Chief Archivist were not in place until 2005.</w:t>
      </w:r>
    </w:p>
    <w:p w14:paraId="70C04C2B" w14:textId="77777777" w:rsidR="0080149A" w:rsidRDefault="0080149A">
      <w:pPr>
        <w:keepLines w:val="0"/>
        <w:rPr>
          <w:rFonts w:ascii="Arial" w:hAnsi="Arial" w:cs="Arial"/>
          <w:i/>
          <w:iCs/>
          <w:color w:val="3B5D1E" w:themeColor="accent4" w:themeShade="BF"/>
          <w:sz w:val="22"/>
          <w:szCs w:val="22"/>
          <w:lang w:val="en"/>
        </w:rPr>
      </w:pPr>
      <w:bookmarkStart w:id="611" w:name="_Toc165441880"/>
      <w:bookmarkStart w:id="612" w:name="_Toc1396054792"/>
      <w:r>
        <w:br w:type="page"/>
      </w:r>
    </w:p>
    <w:p w14:paraId="45163198" w14:textId="704A62E1" w:rsidR="00FE4E56" w:rsidRPr="004A0212" w:rsidRDefault="00FE4E56" w:rsidP="001A5ECD">
      <w:pPr>
        <w:pStyle w:val="Heading4"/>
      </w:pPr>
      <w:r w:rsidRPr="44ADDF6E">
        <w:lastRenderedPageBreak/>
        <w:t>Te Ture Kōrero Muna Ōkawa 1957 me Te Ture Mōhiotanga Ōkawa 1982</w:t>
      </w:r>
      <w:bookmarkEnd w:id="611"/>
      <w:bookmarkEnd w:id="612"/>
      <w:r w:rsidRPr="44ADDF6E">
        <w:t xml:space="preserve"> </w:t>
      </w:r>
    </w:p>
    <w:p w14:paraId="7F79734D" w14:textId="77777777" w:rsidR="00FE4E56" w:rsidRPr="004A0212" w:rsidRDefault="00FE4E56" w:rsidP="001A5ECD">
      <w:pPr>
        <w:pStyle w:val="Heading4"/>
      </w:pPr>
      <w:bookmarkStart w:id="613" w:name="_Toc165441881"/>
      <w:bookmarkStart w:id="614" w:name="_Toc1701946779"/>
      <w:r w:rsidRPr="004A0212">
        <w:t>The Official Secrets Act 1957 and the Official Information Act 1982</w:t>
      </w:r>
      <w:bookmarkEnd w:id="613"/>
      <w:bookmarkEnd w:id="614"/>
    </w:p>
    <w:p w14:paraId="71493E11" w14:textId="74A4D289" w:rsidR="00FE4E56" w:rsidRPr="004A0212" w:rsidRDefault="00FE4E56" w:rsidP="002C3153">
      <w:pPr>
        <w:pStyle w:val="Numbparas"/>
      </w:pPr>
      <w:r w:rsidRPr="004A0212">
        <w:t>Until 1982 the provision of State information was governed by the Official Secrets Act 1951. Under the Act, official information was the property of the State and could not be shared without good reason.</w:t>
      </w:r>
      <w:r w:rsidRPr="004A0212">
        <w:rPr>
          <w:rStyle w:val="StyleFootnoteReferenceFagoFunotenzeichenFagoFunotenzeichen"/>
        </w:rPr>
        <w:endnoteReference w:id="488"/>
      </w:r>
      <w:r w:rsidRPr="004A0212">
        <w:rPr>
          <w:rStyle w:val="EndnoteReference"/>
        </w:rPr>
        <w:t xml:space="preserve"> </w:t>
      </w:r>
      <w:r w:rsidRPr="004A0212">
        <w:t>Unauthorised disclosure of State information carried fines and prison terms under the Act.</w:t>
      </w:r>
      <w:r w:rsidRPr="004A0212">
        <w:rPr>
          <w:rStyle w:val="StyleFootnoteReferenceFagoFunotenzeichenFagoFunotenzeichen"/>
        </w:rPr>
        <w:endnoteReference w:id="489"/>
      </w:r>
      <w:r w:rsidRPr="004A0212">
        <w:rPr>
          <w:rStyle w:val="EndnoteReference"/>
        </w:rPr>
        <w:t xml:space="preserve"> </w:t>
      </w:r>
      <w:r w:rsidRPr="004A0212">
        <w:t>Public servants had to sign a declaration when they started employment confirming they were aware of the Act’s requirements.</w:t>
      </w:r>
      <w:r w:rsidRPr="004A0212">
        <w:rPr>
          <w:rStyle w:val="StyleFootnoteReferenceFagoFunotenzeichenFagoFunotenzeichen"/>
        </w:rPr>
        <w:endnoteReference w:id="490"/>
      </w:r>
      <w:r w:rsidRPr="004A0212">
        <w:t xml:space="preserve"> </w:t>
      </w:r>
    </w:p>
    <w:p w14:paraId="21DEFE00" w14:textId="77777777" w:rsidR="00FE4E56" w:rsidRPr="004A0212" w:rsidRDefault="00FE4E56" w:rsidP="002C3153">
      <w:pPr>
        <w:pStyle w:val="Numbparas"/>
      </w:pPr>
      <w:r w:rsidRPr="004A0212">
        <w:t>By 1978 attitudes had changed in favour of more openness with official information.</w:t>
      </w:r>
      <w:r w:rsidRPr="004A0212">
        <w:rPr>
          <w:rStyle w:val="StyleFootnoteReferenceFagoFunotenzeichenFagoFunotenzeichen"/>
        </w:rPr>
        <w:endnoteReference w:id="491"/>
      </w:r>
      <w:r w:rsidRPr="004A0212">
        <w:rPr>
          <w:rStyle w:val="EndnoteReference"/>
        </w:rPr>
        <w:t xml:space="preserve"> </w:t>
      </w:r>
      <w:r w:rsidRPr="004A0212">
        <w:t xml:space="preserve">In 1978, the Government established a Committee on Official Information to review the availability of official information to the public. The committee reported back in 1980 recommending the Official Secrets Act be replaced with a more open Official Information Act. </w:t>
      </w:r>
      <w:r w:rsidRPr="004A0212">
        <w:rPr>
          <w:rStyle w:val="StyleFootnoteReferenceFagoFunotenzeichenFagoFunotenzeichen"/>
        </w:rPr>
        <w:endnoteReference w:id="492"/>
      </w:r>
    </w:p>
    <w:p w14:paraId="02C3082A" w14:textId="387239FF" w:rsidR="00FE4E56" w:rsidRPr="004A0212" w:rsidRDefault="00FE4E56" w:rsidP="002C3153">
      <w:pPr>
        <w:pStyle w:val="Numbparas"/>
      </w:pPr>
      <w:r w:rsidRPr="004A0212">
        <w:t>The Official Information Act was passed in 1982. It is built around the principle that official information should be made available unless there are good reasons to withhold it. These reasons include the interests of the country as a whole, the interests of individuals and organisations, and the interests of effective government and administration.</w:t>
      </w:r>
      <w:r w:rsidRPr="004A0212">
        <w:rPr>
          <w:rStyle w:val="StyleFootnoteReferenceFagoFunotenzeichenFagoFunotenzeichen"/>
        </w:rPr>
        <w:endnoteReference w:id="493"/>
      </w:r>
      <w:r w:rsidRPr="004A0212">
        <w:rPr>
          <w:rStyle w:val="EndnoteReference"/>
        </w:rPr>
        <w:t xml:space="preserve"> </w:t>
      </w:r>
    </w:p>
    <w:p w14:paraId="0F1CF5A6" w14:textId="1127BC90" w:rsidR="00FE4E56" w:rsidRPr="004A0212" w:rsidRDefault="00FE4E56" w:rsidP="002C3153">
      <w:pPr>
        <w:pStyle w:val="Numbparas"/>
      </w:pPr>
      <w:r w:rsidRPr="004A0212">
        <w:t>The types of agencies covered by the Act include:</w:t>
      </w:r>
    </w:p>
    <w:p w14:paraId="6508923C" w14:textId="3C799A62" w:rsidR="00FE4E56" w:rsidRPr="004A0212" w:rsidRDefault="00FE4E56" w:rsidP="000179C6">
      <w:pPr>
        <w:pStyle w:val="Bulletpoints"/>
      </w:pPr>
      <w:r w:rsidRPr="004A0212">
        <w:t xml:space="preserve">ministers of the Crown </w:t>
      </w:r>
    </w:p>
    <w:p w14:paraId="14DEE9BB" w14:textId="77777777" w:rsidR="00FE4E56" w:rsidRPr="004A0212" w:rsidRDefault="00FE4E56" w:rsidP="000179C6">
      <w:pPr>
        <w:pStyle w:val="Bulletpoints"/>
      </w:pPr>
      <w:r w:rsidRPr="004A0212">
        <w:t>government departments and organisations, including the Police</w:t>
      </w:r>
    </w:p>
    <w:p w14:paraId="46B96DEB" w14:textId="77777777" w:rsidR="00FE4E56" w:rsidRPr="004A0212" w:rsidRDefault="00FE4E56" w:rsidP="000179C6">
      <w:pPr>
        <w:pStyle w:val="Bulletpoints"/>
      </w:pPr>
      <w:r w:rsidRPr="004A0212">
        <w:t>crown entities and some state-owned enterprises</w:t>
      </w:r>
    </w:p>
    <w:p w14:paraId="52BAB90C" w14:textId="77777777" w:rsidR="00FE4E56" w:rsidRPr="004A0212" w:rsidRDefault="00FE4E56" w:rsidP="000179C6">
      <w:pPr>
        <w:pStyle w:val="Bulletpoints"/>
      </w:pPr>
      <w:r w:rsidRPr="004A0212">
        <w:t>district health boards</w:t>
      </w:r>
    </w:p>
    <w:p w14:paraId="6059D1AE" w14:textId="77777777" w:rsidR="00FE4E56" w:rsidRPr="004A0212" w:rsidRDefault="00FE4E56" w:rsidP="000179C6">
      <w:pPr>
        <w:pStyle w:val="Bulletpoints"/>
      </w:pPr>
      <w:r w:rsidRPr="004A0212">
        <w:t>boards of trustees of State schools</w:t>
      </w:r>
    </w:p>
    <w:p w14:paraId="70CDF59F" w14:textId="77777777" w:rsidR="00FE4E56" w:rsidRPr="004A0212" w:rsidRDefault="00FE4E56" w:rsidP="000179C6">
      <w:pPr>
        <w:pStyle w:val="Bulletpoints"/>
      </w:pPr>
      <w:r w:rsidRPr="004A0212">
        <w:t>information produced by third parties as a result of being contracted by agencies to do work on their behalf.</w:t>
      </w:r>
      <w:r w:rsidRPr="004A0212">
        <w:rPr>
          <w:rStyle w:val="StyleFootnoteReferenceFagoFunotenzeichenFagoFunotenzeichen"/>
        </w:rPr>
        <w:endnoteReference w:id="494"/>
      </w:r>
    </w:p>
    <w:p w14:paraId="38235250" w14:textId="5C47C8B4" w:rsidR="00FE4E56" w:rsidRDefault="00FE4E56" w:rsidP="001A5ECD">
      <w:pPr>
        <w:pStyle w:val="Heading4"/>
      </w:pPr>
      <w:bookmarkStart w:id="615" w:name="_Toc165441882"/>
      <w:bookmarkStart w:id="616" w:name="_Toc1299921196"/>
      <w:r w:rsidRPr="700D4309">
        <w:t>Te Ture Tūmataiti 1993</w:t>
      </w:r>
    </w:p>
    <w:p w14:paraId="2854C6CE" w14:textId="2A2D6B11" w:rsidR="00FE4E56" w:rsidRPr="004A0212" w:rsidRDefault="00FE4E56" w:rsidP="001A5ECD">
      <w:pPr>
        <w:pStyle w:val="Heading4"/>
      </w:pPr>
      <w:r w:rsidRPr="700D4309">
        <w:t>The Privacy Act 1993</w:t>
      </w:r>
      <w:bookmarkEnd w:id="615"/>
      <w:bookmarkEnd w:id="616"/>
    </w:p>
    <w:p w14:paraId="575B91FE" w14:textId="31501EDB" w:rsidR="00FE4E56" w:rsidRPr="004A0212" w:rsidRDefault="00FE4E56" w:rsidP="002C3153">
      <w:pPr>
        <w:pStyle w:val="Numbparas"/>
      </w:pPr>
      <w:r w:rsidRPr="004A0212">
        <w:t>Concerns around privacy grew during the Inquiry period, linked to the growth of computer technology and implications for individual’s privacy.</w:t>
      </w:r>
      <w:r w:rsidRPr="004A0212">
        <w:rPr>
          <w:rStyle w:val="StyleFootnoteReferenceFagoFunotenzeichenFagoFunotenzeichen"/>
        </w:rPr>
        <w:endnoteReference w:id="495"/>
      </w:r>
      <w:r w:rsidRPr="004A0212">
        <w:t xml:space="preserve"> Aotearoa New Zealand passed the Privacy Act in 1993, creating the role of the privacy commissioner and establishing information privacy principles.</w:t>
      </w:r>
      <w:r w:rsidRPr="004A0212">
        <w:rPr>
          <w:rStyle w:val="StyleFootnoteReferenceFagoFunotenzeichenFagoFunotenzeichen"/>
        </w:rPr>
        <w:endnoteReference w:id="496"/>
      </w:r>
      <w:r w:rsidRPr="004A0212">
        <w:t xml:space="preserve"> These principles, applicable to public and private agencies, governed the collection, use, and disclosure of personal information.</w:t>
      </w:r>
      <w:r w:rsidRPr="004A0212">
        <w:rPr>
          <w:rStyle w:val="StyleFootnoteReferenceFagoFunotenzeichenFagoFunotenzeichen"/>
        </w:rPr>
        <w:endnoteReference w:id="497"/>
      </w:r>
    </w:p>
    <w:p w14:paraId="6EFCB036" w14:textId="77777777" w:rsidR="00FE4E56" w:rsidRPr="004A0212" w:rsidRDefault="00FE4E56" w:rsidP="002C3153">
      <w:pPr>
        <w:pStyle w:val="Numbparas"/>
      </w:pPr>
      <w:r w:rsidRPr="004A0212">
        <w:t>The Privacy Act gave individuals rights, including access to and correction of personal information (although this release could not include information that would reveal information about other individuals)</w:t>
      </w:r>
      <w:r w:rsidRPr="004A0212">
        <w:rPr>
          <w:rStyle w:val="StyleFootnoteReferenceFagoFunotenzeichenFagoFunotenzeichen"/>
        </w:rPr>
        <w:endnoteReference w:id="498"/>
      </w:r>
      <w:r w:rsidRPr="004A0212">
        <w:t>, with redress options for privacy violations.</w:t>
      </w:r>
      <w:r w:rsidRPr="004A0212">
        <w:rPr>
          <w:rStyle w:val="StyleFootnoteReferenceFagoFunotenzeichenFagoFunotenzeichen"/>
        </w:rPr>
        <w:endnoteReference w:id="499"/>
      </w:r>
      <w:r w:rsidRPr="004A0212">
        <w:t xml:space="preserve"> The Act aligned with Aotearoa New Zealand's human rights obligations.</w:t>
      </w:r>
      <w:r w:rsidRPr="004A0212">
        <w:rPr>
          <w:rStyle w:val="StyleFootnoteReferenceFagoFunotenzeichenFagoFunotenzeichen"/>
        </w:rPr>
        <w:endnoteReference w:id="500"/>
      </w:r>
      <w:r w:rsidRPr="004A0212">
        <w:t xml:space="preserve"> </w:t>
      </w:r>
    </w:p>
    <w:p w14:paraId="536D6E56" w14:textId="77777777" w:rsidR="0080149A" w:rsidRDefault="0080149A">
      <w:pPr>
        <w:keepLines w:val="0"/>
        <w:rPr>
          <w:rFonts w:ascii="Arial" w:eastAsia="Calibri" w:hAnsi="Arial" w:cs="Arial"/>
          <w:bCs/>
          <w:color w:val="222222"/>
          <w:sz w:val="22"/>
          <w:szCs w:val="22"/>
          <w:shd w:val="clear" w:color="auto" w:fill="FFFFFF"/>
        </w:rPr>
      </w:pPr>
      <w:r>
        <w:br w:type="page"/>
      </w:r>
    </w:p>
    <w:p w14:paraId="6F00F9E1" w14:textId="7E31B158" w:rsidR="00FE4E56" w:rsidRPr="004A0212" w:rsidRDefault="00FE4E56" w:rsidP="002C3153">
      <w:pPr>
        <w:pStyle w:val="Numbparas"/>
      </w:pPr>
      <w:r w:rsidRPr="004A0212">
        <w:lastRenderedPageBreak/>
        <w:t>The Act introduced a simple complaints mechanism with ombudsman-like investigations. Among other things the Act included the ability for New Zealanders to access their own medical records, the requirement for businesses and agencies to be transparent about personal data use,</w:t>
      </w:r>
      <w:r w:rsidRPr="004A0212">
        <w:rPr>
          <w:rStyle w:val="StyleFootnoteReferenceFagoFunotenzeichenFagoFunotenzeichen"/>
        </w:rPr>
        <w:endnoteReference w:id="501"/>
      </w:r>
      <w:r w:rsidRPr="004A0212">
        <w:t xml:space="preserve"> and provided that outsourcing and privatisation did not diminish people’s privacy rights around data previously held by government agencies.</w:t>
      </w:r>
      <w:r w:rsidRPr="004A0212">
        <w:rPr>
          <w:rStyle w:val="StyleFootnoteReferenceFagoFunotenzeichenFagoFunotenzeichen"/>
        </w:rPr>
        <w:endnoteReference w:id="502"/>
      </w:r>
    </w:p>
    <w:p w14:paraId="7A23EFC2" w14:textId="77777777" w:rsidR="00FE4E56" w:rsidRPr="004A0212" w:rsidRDefault="00FE4E56" w:rsidP="00005BEC">
      <w:pPr>
        <w:pStyle w:val="Numbparas"/>
        <w:numPr>
          <w:ilvl w:val="0"/>
          <w:numId w:val="0"/>
        </w:numPr>
        <w:ind w:left="851"/>
        <w:rPr>
          <w:b/>
          <w:bCs w:val="0"/>
          <w:i/>
          <w:iCs/>
          <w:lang w:bidi="th-TH"/>
        </w:rPr>
      </w:pPr>
    </w:p>
    <w:p w14:paraId="7577A4F5" w14:textId="4AA1EE3D" w:rsidR="00FE4E56" w:rsidRPr="005C11C1" w:rsidRDefault="00FE4E56" w:rsidP="00791A7E">
      <w:pPr>
        <w:pStyle w:val="BodyText"/>
        <w:rPr>
          <w:rFonts w:ascii="Arial" w:hAnsi="Arial" w:cs="Arial"/>
          <w:lang w:bidi="th-TH"/>
        </w:rPr>
      </w:pPr>
      <w:r w:rsidRPr="005C11C1">
        <w:rPr>
          <w:rFonts w:ascii="Arial" w:hAnsi="Arial" w:cs="Arial"/>
          <w:lang w:bidi="th-TH"/>
        </w:rPr>
        <w:t>[Survivor quote]</w:t>
      </w:r>
    </w:p>
    <w:p w14:paraId="4D601F58" w14:textId="232A4CE5" w:rsidR="00FE4E56" w:rsidRPr="00791A7E" w:rsidRDefault="00FE4E56" w:rsidP="00791A7E">
      <w:pPr>
        <w:pStyle w:val="AllQuotes"/>
        <w:rPr>
          <w:b/>
          <w:bCs/>
          <w:lang w:bidi="th-TH"/>
        </w:rPr>
      </w:pPr>
      <w:r w:rsidRPr="00791A7E">
        <w:rPr>
          <w:b/>
          <w:lang w:bidi="th-TH"/>
        </w:rPr>
        <w:t>“I’ve been disconnected from my Pacific and Māori culture for most of my life. I think being involved with my own culture would have given me a sense of myself and a sense of belonging.”</w:t>
      </w:r>
    </w:p>
    <w:p w14:paraId="5B61D04C" w14:textId="473F16F2" w:rsidR="00FE4E56" w:rsidRPr="00791A7E" w:rsidRDefault="00FE4E56" w:rsidP="00791A7E">
      <w:pPr>
        <w:pStyle w:val="AllQuotes"/>
        <w:rPr>
          <w:b/>
          <w:bCs/>
          <w:lang w:bidi="th-TH"/>
        </w:rPr>
      </w:pPr>
      <w:r w:rsidRPr="00791A7E">
        <w:rPr>
          <w:b/>
          <w:lang w:bidi="th-TH"/>
        </w:rPr>
        <w:t xml:space="preserve">Kamahl Tupetagi </w:t>
      </w:r>
    </w:p>
    <w:p w14:paraId="2CB0CC13" w14:textId="70CBDD0D" w:rsidR="00FE4E56" w:rsidRPr="00791A7E" w:rsidRDefault="00FE4E56" w:rsidP="00791A7E">
      <w:pPr>
        <w:pStyle w:val="AllQuotes"/>
        <w:rPr>
          <w:b/>
          <w:bCs/>
          <w:lang w:bidi="th-TH"/>
        </w:rPr>
      </w:pPr>
      <w:r w:rsidRPr="00791A7E">
        <w:rPr>
          <w:b/>
          <w:lang w:bidi="th-TH"/>
        </w:rPr>
        <w:t>Niuean, Māori (Ngāpu</w:t>
      </w:r>
      <w:r>
        <w:rPr>
          <w:b/>
          <w:lang w:bidi="th-TH"/>
        </w:rPr>
        <w:t>h</w:t>
      </w:r>
      <w:r w:rsidRPr="00791A7E">
        <w:rPr>
          <w:b/>
          <w:lang w:bidi="th-TH"/>
        </w:rPr>
        <w:t>i)</w:t>
      </w:r>
    </w:p>
    <w:p w14:paraId="16E951D2" w14:textId="6F4EC57B" w:rsidR="00FE4E56" w:rsidRPr="005C11C1" w:rsidRDefault="00FE4E56">
      <w:pPr>
        <w:keepLines w:val="0"/>
        <w:rPr>
          <w:rFonts w:ascii="Arial" w:hAnsi="Arial" w:cs="Arial"/>
        </w:rPr>
      </w:pPr>
      <w:r w:rsidRPr="004A0212">
        <w:br w:type="page"/>
      </w:r>
      <w:r w:rsidRPr="005C11C1">
        <w:rPr>
          <w:rFonts w:ascii="Arial" w:hAnsi="Arial" w:cs="Arial"/>
        </w:rPr>
        <w:lastRenderedPageBreak/>
        <w:t xml:space="preserve">[Graphic: </w:t>
      </w:r>
      <w:r>
        <w:rPr>
          <w:rFonts w:ascii="Arial" w:hAnsi="Arial" w:cs="Arial"/>
        </w:rPr>
        <w:t>Overview of Governments: 1949</w:t>
      </w:r>
      <w:r w:rsidRPr="005C11C1">
        <w:rPr>
          <w:rFonts w:ascii="Arial" w:hAnsi="Arial" w:cs="Arial"/>
          <w:sz w:val="22"/>
          <w:szCs w:val="22"/>
        </w:rPr>
        <w:t>-2023</w:t>
      </w:r>
      <w:r w:rsidRPr="005C11C1">
        <w:rPr>
          <w:rFonts w:ascii="Arial" w:hAnsi="Arial" w:cs="Arial"/>
        </w:rPr>
        <w:t xml:space="preserve">] </w:t>
      </w:r>
    </w:p>
    <w:p w14:paraId="7A592538" w14:textId="4FEA43F5" w:rsidR="00FE4E56" w:rsidRPr="009F52EB" w:rsidRDefault="00FE4E56" w:rsidP="00790F8A">
      <w:pPr>
        <w:pStyle w:val="BodyText"/>
        <w:rPr>
          <w:rFonts w:ascii="Arial" w:hAnsi="Arial" w:cs="Arial"/>
          <w:sz w:val="22"/>
          <w:szCs w:val="22"/>
        </w:rPr>
      </w:pPr>
      <w:r>
        <w:rPr>
          <w:rFonts w:ascii="Arial" w:hAnsi="Arial" w:cs="Arial"/>
          <w:sz w:val="22"/>
          <w:szCs w:val="22"/>
        </w:rPr>
        <w:t>Overview of Governments:</w:t>
      </w:r>
      <w:r w:rsidRPr="009F52EB">
        <w:rPr>
          <w:rFonts w:ascii="Arial" w:hAnsi="Arial" w:cs="Arial"/>
          <w:sz w:val="22"/>
          <w:szCs w:val="22"/>
        </w:rPr>
        <w:t xml:space="preserve"> 19</w:t>
      </w:r>
      <w:r>
        <w:rPr>
          <w:rFonts w:ascii="Arial" w:hAnsi="Arial" w:cs="Arial"/>
          <w:sz w:val="22"/>
          <w:szCs w:val="22"/>
        </w:rPr>
        <w:t>49</w:t>
      </w:r>
      <w:r w:rsidRPr="009F52EB">
        <w:rPr>
          <w:rFonts w:ascii="Arial" w:hAnsi="Arial" w:cs="Arial"/>
          <w:sz w:val="22"/>
          <w:szCs w:val="22"/>
        </w:rPr>
        <w:t>-2023</w:t>
      </w:r>
    </w:p>
    <w:p w14:paraId="45BB40CC" w14:textId="75FA8A4A"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1949 to 1957: National, 3 Terms, PM Sidney Holland</w:t>
      </w:r>
      <w:r>
        <w:rPr>
          <w:rFonts w:ascii="Arial" w:hAnsi="Arial" w:cs="Arial"/>
          <w:sz w:val="22"/>
          <w:szCs w:val="22"/>
        </w:rPr>
        <w:t xml:space="preserve"> </w:t>
      </w:r>
      <w:r w:rsidRPr="009F52EB">
        <w:rPr>
          <w:rFonts w:ascii="Arial" w:hAnsi="Arial" w:cs="Arial"/>
          <w:sz w:val="22"/>
          <w:szCs w:val="22"/>
        </w:rPr>
        <w:t>(1</w:t>
      </w:r>
      <w:r>
        <w:rPr>
          <w:rFonts w:ascii="Arial" w:hAnsi="Arial" w:cs="Arial"/>
          <w:sz w:val="22"/>
          <w:szCs w:val="22"/>
        </w:rPr>
        <w:t>949</w:t>
      </w:r>
      <w:r w:rsidRPr="009F52EB">
        <w:rPr>
          <w:rFonts w:ascii="Arial" w:hAnsi="Arial" w:cs="Arial"/>
          <w:sz w:val="22"/>
          <w:szCs w:val="22"/>
        </w:rPr>
        <w:t xml:space="preserve"> to </w:t>
      </w:r>
      <w:r>
        <w:rPr>
          <w:rFonts w:ascii="Arial" w:hAnsi="Arial" w:cs="Arial"/>
          <w:sz w:val="22"/>
          <w:szCs w:val="22"/>
        </w:rPr>
        <w:t>1957</w:t>
      </w:r>
      <w:r w:rsidRPr="009F52EB">
        <w:rPr>
          <w:rFonts w:ascii="Arial" w:hAnsi="Arial" w:cs="Arial"/>
          <w:sz w:val="22"/>
          <w:szCs w:val="22"/>
        </w:rPr>
        <w:t>)</w:t>
      </w:r>
    </w:p>
    <w:p w14:paraId="74F86789" w14:textId="28E3059E"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1957 to 1960: Labour, 1 Term, PM: Walter Nash</w:t>
      </w:r>
      <w:r>
        <w:rPr>
          <w:rFonts w:ascii="Arial" w:hAnsi="Arial" w:cs="Arial"/>
          <w:sz w:val="22"/>
          <w:szCs w:val="22"/>
        </w:rPr>
        <w:t xml:space="preserve"> (1957-1960)</w:t>
      </w:r>
    </w:p>
    <w:p w14:paraId="3B9B60AB" w14:textId="11853C9F"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1960 to 1972: National, 4 Terms, PM: Keith Holyoake</w:t>
      </w:r>
      <w:r>
        <w:rPr>
          <w:rFonts w:ascii="Arial" w:hAnsi="Arial" w:cs="Arial"/>
          <w:sz w:val="22"/>
          <w:szCs w:val="22"/>
        </w:rPr>
        <w:t xml:space="preserve"> (1960-1972)</w:t>
      </w:r>
    </w:p>
    <w:p w14:paraId="31DA9378" w14:textId="041D3952"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1972 to 1975: Labour, 1 Term, PM: Norman Kirk (1972 to 1974); PM: Bill Rowling (1974 to 1975)</w:t>
      </w:r>
    </w:p>
    <w:p w14:paraId="0C86F057" w14:textId="7E3AF38C"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1975 to 1984: National, 3 Terms, PM: Robert Muldoon</w:t>
      </w:r>
      <w:r>
        <w:rPr>
          <w:rFonts w:ascii="Arial" w:hAnsi="Arial" w:cs="Arial"/>
          <w:sz w:val="22"/>
          <w:szCs w:val="22"/>
        </w:rPr>
        <w:t xml:space="preserve"> (1975-1984)</w:t>
      </w:r>
    </w:p>
    <w:p w14:paraId="55AD9880" w14:textId="29933E83"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1984 to 1989: Labour, 2 Terms, PM: David Lange (1984 to 1989); PM: Geoffrey Palmer (1989 to 1990); PM: Mike Moore (1990)</w:t>
      </w:r>
    </w:p>
    <w:p w14:paraId="775A9ED7" w14:textId="4D31164C"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1990 to 1999: National, 3 Terms, PM: Jim Bolger (1990 to 1997); PM: Jenny Shipley (1997 to 1999)</w:t>
      </w:r>
    </w:p>
    <w:p w14:paraId="1EE294E3" w14:textId="6BAC5476"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1999 to 2008: Labour, 3 Terms, PM: Helen Clark (1999 to 2008)</w:t>
      </w:r>
    </w:p>
    <w:p w14:paraId="360EAA69" w14:textId="1FB75E3C" w:rsidR="00FE4E56" w:rsidRPr="009B7215"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2008 to 2017: National, 3 Terms, PM: John Key</w:t>
      </w:r>
      <w:r>
        <w:rPr>
          <w:rFonts w:ascii="Arial" w:hAnsi="Arial" w:cs="Arial"/>
          <w:sz w:val="22"/>
          <w:szCs w:val="22"/>
        </w:rPr>
        <w:t xml:space="preserve"> (2008 to 2016)</w:t>
      </w:r>
      <w:r w:rsidRPr="009F52EB">
        <w:rPr>
          <w:rFonts w:ascii="Arial" w:hAnsi="Arial" w:cs="Arial"/>
          <w:sz w:val="22"/>
          <w:szCs w:val="22"/>
        </w:rPr>
        <w:t>; PM: Bill English</w:t>
      </w:r>
      <w:r>
        <w:rPr>
          <w:rFonts w:ascii="Arial" w:hAnsi="Arial" w:cs="Arial"/>
          <w:sz w:val="22"/>
          <w:szCs w:val="22"/>
        </w:rPr>
        <w:t xml:space="preserve"> (2016 to 2017)</w:t>
      </w:r>
    </w:p>
    <w:p w14:paraId="1271486E" w14:textId="25007694" w:rsidR="00FE4E56" w:rsidRPr="009B7215"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2017 to 2023: Labour, 2 Terms, PM: Jacinda Ardern</w:t>
      </w:r>
      <w:r>
        <w:rPr>
          <w:rFonts w:ascii="Arial" w:hAnsi="Arial" w:cs="Arial"/>
          <w:sz w:val="22"/>
          <w:szCs w:val="22"/>
        </w:rPr>
        <w:t xml:space="preserve"> (2017 to 2023)</w:t>
      </w:r>
      <w:r w:rsidRPr="009F52EB">
        <w:rPr>
          <w:rFonts w:ascii="Arial" w:hAnsi="Arial" w:cs="Arial"/>
          <w:sz w:val="22"/>
          <w:szCs w:val="22"/>
        </w:rPr>
        <w:t>; Chris Hipkins</w:t>
      </w:r>
      <w:r>
        <w:rPr>
          <w:rFonts w:ascii="Arial" w:hAnsi="Arial" w:cs="Arial"/>
          <w:sz w:val="22"/>
          <w:szCs w:val="22"/>
        </w:rPr>
        <w:t xml:space="preserve"> (2023)</w:t>
      </w:r>
    </w:p>
    <w:p w14:paraId="23AD467C" w14:textId="518CDA0D" w:rsidR="00FE4E56" w:rsidRPr="009F52EB" w:rsidRDefault="00FE4E56" w:rsidP="009B7215">
      <w:pPr>
        <w:pStyle w:val="BodyText"/>
        <w:numPr>
          <w:ilvl w:val="0"/>
          <w:numId w:val="155"/>
        </w:numPr>
        <w:rPr>
          <w:rFonts w:ascii="Arial" w:hAnsi="Arial" w:cs="Arial"/>
          <w:sz w:val="22"/>
          <w:szCs w:val="22"/>
        </w:rPr>
      </w:pPr>
      <w:r w:rsidRPr="009F52EB">
        <w:rPr>
          <w:rFonts w:ascii="Arial" w:hAnsi="Arial" w:cs="Arial"/>
          <w:sz w:val="22"/>
          <w:szCs w:val="22"/>
        </w:rPr>
        <w:t>2023 to current: National, PM: Christopher Luxon</w:t>
      </w:r>
      <w:r>
        <w:rPr>
          <w:rFonts w:ascii="Arial" w:hAnsi="Arial" w:cs="Arial"/>
          <w:sz w:val="22"/>
          <w:szCs w:val="22"/>
        </w:rPr>
        <w:t xml:space="preserve"> (2023 - )</w:t>
      </w:r>
    </w:p>
    <w:p w14:paraId="008188A9" w14:textId="77777777" w:rsidR="00FE4E56" w:rsidRDefault="00FE4E56" w:rsidP="00D21133">
      <w:pPr>
        <w:pStyle w:val="Numbparas"/>
        <w:numPr>
          <w:ilvl w:val="0"/>
          <w:numId w:val="0"/>
        </w:numPr>
      </w:pPr>
      <w:r>
        <w:br w:type="page"/>
      </w:r>
      <w:r>
        <w:lastRenderedPageBreak/>
        <w:t>[Survivor quote]</w:t>
      </w:r>
    </w:p>
    <w:p w14:paraId="04645C4B" w14:textId="77777777" w:rsidR="00FE4E56" w:rsidRPr="00A85DDA" w:rsidRDefault="00FE4E56" w:rsidP="00D21133">
      <w:pPr>
        <w:pStyle w:val="AllQuotes"/>
        <w:rPr>
          <w:b/>
        </w:rPr>
      </w:pPr>
      <w:r w:rsidRPr="00A85DDA">
        <w:rPr>
          <w:b/>
        </w:rPr>
        <w:t>“No child should be taken off their parents. Don’t put a child in a concrete box with rusted bars and expect some white guy to have empathy for the little brown boy. We were taken from our whanau by the State. No one should have to experience what I went through.”</w:t>
      </w:r>
    </w:p>
    <w:p w14:paraId="193552C3" w14:textId="77777777" w:rsidR="00FE4E56" w:rsidRPr="00A85DDA" w:rsidRDefault="00FE4E56" w:rsidP="00D21133">
      <w:pPr>
        <w:pStyle w:val="AllQuotes"/>
        <w:rPr>
          <w:b/>
        </w:rPr>
      </w:pPr>
      <w:r w:rsidRPr="00A85DDA">
        <w:rPr>
          <w:b/>
        </w:rPr>
        <w:t>Andrew Brown</w:t>
      </w:r>
    </w:p>
    <w:p w14:paraId="2DB4B394" w14:textId="77777777" w:rsidR="00FE4E56" w:rsidRPr="00A85DDA" w:rsidRDefault="00FE4E56" w:rsidP="00D21133">
      <w:pPr>
        <w:pStyle w:val="AllQuotes"/>
        <w:rPr>
          <w:b/>
        </w:rPr>
      </w:pPr>
      <w:r w:rsidRPr="00A85DDA">
        <w:rPr>
          <w:b/>
        </w:rPr>
        <w:t>Māori, Moriori, English, Welsh</w:t>
      </w:r>
    </w:p>
    <w:p w14:paraId="3005254D" w14:textId="780BDE39" w:rsidR="00FE4E56" w:rsidRDefault="00FE4E56">
      <w:pPr>
        <w:keepLines w:val="0"/>
        <w:rPr>
          <w:rFonts w:ascii="Times New Roman" w:hAnsi="Times New Roman"/>
        </w:rPr>
      </w:pPr>
    </w:p>
    <w:p w14:paraId="55BA2902" w14:textId="4A1A3885" w:rsidR="00FE4E56" w:rsidRPr="004A0212" w:rsidRDefault="00FE4E56" w:rsidP="0A27D6D4">
      <w:pPr>
        <w:pStyle w:val="AllNumbparas"/>
        <w:numPr>
          <w:ilvl w:val="0"/>
          <w:numId w:val="0"/>
        </w:numPr>
      </w:pPr>
    </w:p>
    <w:p w14:paraId="0F6BADC2" w14:textId="77777777" w:rsidR="00FE4E56" w:rsidRDefault="00FE4E56">
      <w:pPr>
        <w:keepLines w:val="0"/>
        <w:rPr>
          <w:rFonts w:ascii="Arial" w:hAnsi="Arial" w:cs="Arial"/>
          <w:b/>
          <w:bCs/>
          <w:color w:val="4F7D29" w:themeColor="accent4"/>
          <w:sz w:val="36"/>
          <w:szCs w:val="36"/>
        </w:rPr>
      </w:pPr>
      <w:bookmarkStart w:id="617" w:name="_Toc1132233643"/>
      <w:r>
        <w:br w:type="page"/>
      </w:r>
    </w:p>
    <w:p w14:paraId="398EFD7C" w14:textId="4FF793E2" w:rsidR="00FE4E56" w:rsidRPr="005E0F2F" w:rsidRDefault="00FE4E56" w:rsidP="005E0F2F">
      <w:pPr>
        <w:pStyle w:val="AllQuotes"/>
        <w:ind w:left="0" w:right="95"/>
        <w:rPr>
          <w:rFonts w:eastAsia="Arial" w:cs="Arial"/>
          <w:b/>
          <w:bCs/>
          <w:color w:val="3B5D1E" w:themeColor="accent4" w:themeShade="BF"/>
          <w:sz w:val="24"/>
        </w:rPr>
      </w:pPr>
      <w:r w:rsidRPr="005E0F2F">
        <w:rPr>
          <w:rFonts w:cs="Arial"/>
          <w:b/>
          <w:bCs/>
          <w:color w:val="3B5D1E" w:themeColor="accent4" w:themeShade="BF"/>
          <w:sz w:val="24"/>
        </w:rPr>
        <w:lastRenderedPageBreak/>
        <w:t>Overview of Ministerial portfolios and Chief Executives during the Inquiry period</w:t>
      </w:r>
    </w:p>
    <w:p w14:paraId="1118771D" w14:textId="77777777" w:rsidR="00FE4E56" w:rsidRPr="00FA1709" w:rsidRDefault="00FE4E56" w:rsidP="00155FB1">
      <w:pPr>
        <w:pStyle w:val="AllQuotes"/>
        <w:jc w:val="center"/>
      </w:pPr>
      <w:r w:rsidRPr="00FA1709">
        <w:rPr>
          <w:w w:val="90"/>
        </w:rPr>
        <w:t>National</w:t>
      </w:r>
      <w:r w:rsidRPr="00FA1709">
        <w:rPr>
          <w:spacing w:val="10"/>
        </w:rPr>
        <w:t xml:space="preserve"> </w:t>
      </w:r>
      <w:r w:rsidRPr="00FA1709">
        <w:rPr>
          <w:w w:val="90"/>
        </w:rPr>
        <w:t>Government</w:t>
      </w:r>
      <w:r w:rsidRPr="00FA1709">
        <w:rPr>
          <w:spacing w:val="10"/>
        </w:rPr>
        <w:t xml:space="preserve"> </w:t>
      </w:r>
      <w:r w:rsidRPr="00FA1709">
        <w:rPr>
          <w:w w:val="90"/>
        </w:rPr>
        <w:t>1949</w:t>
      </w:r>
      <w:r w:rsidRPr="00FA1709">
        <w:rPr>
          <w:spacing w:val="11"/>
        </w:rPr>
        <w:t xml:space="preserve"> </w:t>
      </w:r>
      <w:r w:rsidRPr="00FA1709">
        <w:rPr>
          <w:w w:val="90"/>
        </w:rPr>
        <w:t>–</w:t>
      </w:r>
      <w:r w:rsidRPr="00FA1709">
        <w:rPr>
          <w:spacing w:val="10"/>
        </w:rPr>
        <w:t xml:space="preserve"> </w:t>
      </w:r>
      <w:r w:rsidRPr="00FA1709">
        <w:rPr>
          <w:spacing w:val="-4"/>
          <w:w w:val="90"/>
        </w:rPr>
        <w:t>1957</w:t>
      </w:r>
    </w:p>
    <w:p w14:paraId="729E5060" w14:textId="77777777" w:rsidR="00FE4E56" w:rsidRPr="00FA1709" w:rsidRDefault="00FE4E56" w:rsidP="00155FB1">
      <w:pPr>
        <w:pStyle w:val="AllQuotes"/>
        <w:jc w:val="center"/>
        <w:rPr>
          <w:b/>
          <w:bCs/>
        </w:rPr>
      </w:pPr>
      <w:r w:rsidRPr="00FA1709">
        <w:rPr>
          <w:w w:val="85"/>
        </w:rPr>
        <w:t>PM:</w:t>
      </w:r>
      <w:r w:rsidRPr="00FA1709">
        <w:rPr>
          <w:spacing w:val="2"/>
        </w:rPr>
        <w:t xml:space="preserve"> </w:t>
      </w:r>
      <w:r w:rsidRPr="00FA1709">
        <w:rPr>
          <w:w w:val="85"/>
        </w:rPr>
        <w:t>Sidney</w:t>
      </w:r>
      <w:r w:rsidRPr="00FA1709">
        <w:rPr>
          <w:spacing w:val="2"/>
        </w:rPr>
        <w:t xml:space="preserve"> </w:t>
      </w:r>
      <w:r w:rsidRPr="00FA1709">
        <w:rPr>
          <w:spacing w:val="-2"/>
          <w:w w:val="85"/>
        </w:rPr>
        <w:t>Holland (1949 – 1957) / PM:  Keith Holyoake (1957)</w:t>
      </w:r>
    </w:p>
    <w:tbl>
      <w:tblPr>
        <w:tblStyle w:val="TableGrid"/>
        <w:tblW w:w="9209" w:type="dxa"/>
        <w:tblLook w:val="04A0" w:firstRow="1" w:lastRow="0" w:firstColumn="1" w:lastColumn="0" w:noHBand="0" w:noVBand="1"/>
      </w:tblPr>
      <w:tblGrid>
        <w:gridCol w:w="1838"/>
        <w:gridCol w:w="2268"/>
        <w:gridCol w:w="2410"/>
        <w:gridCol w:w="2693"/>
      </w:tblGrid>
      <w:tr w:rsidR="00FE4E56" w:rsidRPr="00FA1709" w14:paraId="5F4C2937" w14:textId="77777777" w:rsidTr="0022747C">
        <w:trPr>
          <w:tblHeader/>
        </w:trPr>
        <w:tc>
          <w:tcPr>
            <w:tcW w:w="1838" w:type="dxa"/>
            <w:shd w:val="clear" w:color="auto" w:fill="000000" w:themeFill="text1"/>
          </w:tcPr>
          <w:p w14:paraId="3E7E5F99" w14:textId="77777777" w:rsidR="00FE4E56" w:rsidRPr="00FA1709" w:rsidRDefault="00FE4E56" w:rsidP="005E0F2F">
            <w:pPr>
              <w:spacing w:before="0" w:after="0" w:line="240" w:lineRule="auto"/>
              <w:rPr>
                <w:rFonts w:ascii="Arial" w:hAnsi="Arial" w:cs="Arial"/>
                <w:b/>
                <w:bCs/>
                <w:sz w:val="20"/>
                <w:szCs w:val="20"/>
              </w:rPr>
            </w:pPr>
            <w:r w:rsidRPr="00FA1709">
              <w:rPr>
                <w:rFonts w:ascii="Arial" w:hAnsi="Arial" w:cs="Arial"/>
                <w:b/>
                <w:bCs/>
                <w:sz w:val="20"/>
                <w:szCs w:val="20"/>
              </w:rPr>
              <w:t>Ministerial portfolio</w:t>
            </w:r>
          </w:p>
        </w:tc>
        <w:tc>
          <w:tcPr>
            <w:tcW w:w="2268" w:type="dxa"/>
            <w:shd w:val="clear" w:color="auto" w:fill="000000" w:themeFill="text1"/>
          </w:tcPr>
          <w:p w14:paraId="112639A4" w14:textId="77777777" w:rsidR="00FE4E56" w:rsidRPr="00FA1709" w:rsidRDefault="00FE4E56" w:rsidP="005E0F2F">
            <w:pPr>
              <w:spacing w:before="0" w:after="0" w:line="240" w:lineRule="auto"/>
              <w:rPr>
                <w:rFonts w:ascii="Arial" w:hAnsi="Arial" w:cs="Arial"/>
                <w:b/>
                <w:bCs/>
                <w:sz w:val="20"/>
                <w:szCs w:val="20"/>
              </w:rPr>
            </w:pPr>
            <w:r w:rsidRPr="00FA1709">
              <w:rPr>
                <w:rFonts w:ascii="Arial" w:hAnsi="Arial" w:cs="Arial"/>
                <w:b/>
                <w:bCs/>
                <w:sz w:val="20"/>
                <w:szCs w:val="20"/>
              </w:rPr>
              <w:t>Minister and tenure</w:t>
            </w:r>
          </w:p>
        </w:tc>
        <w:tc>
          <w:tcPr>
            <w:tcW w:w="2410" w:type="dxa"/>
            <w:shd w:val="clear" w:color="auto" w:fill="000000" w:themeFill="text1"/>
          </w:tcPr>
          <w:p w14:paraId="027DFFE1" w14:textId="77777777" w:rsidR="00FE4E56" w:rsidRPr="00FA1709" w:rsidRDefault="00FE4E56" w:rsidP="005E0F2F">
            <w:pPr>
              <w:spacing w:before="0" w:after="0" w:line="240" w:lineRule="auto"/>
              <w:rPr>
                <w:rFonts w:ascii="Arial" w:hAnsi="Arial" w:cs="Arial"/>
                <w:b/>
                <w:bCs/>
                <w:sz w:val="20"/>
                <w:szCs w:val="20"/>
              </w:rPr>
            </w:pPr>
            <w:r w:rsidRPr="00FA1709">
              <w:rPr>
                <w:rFonts w:ascii="Arial" w:hAnsi="Arial" w:cs="Arial"/>
                <w:b/>
                <w:bCs/>
                <w:sz w:val="20"/>
                <w:szCs w:val="20"/>
              </w:rPr>
              <w:t>Head of Department/</w:t>
            </w:r>
          </w:p>
          <w:p w14:paraId="36CE102A" w14:textId="77777777" w:rsidR="00FE4E56" w:rsidRPr="00FA1709" w:rsidRDefault="00FE4E56" w:rsidP="005E0F2F">
            <w:pPr>
              <w:spacing w:before="0" w:after="0" w:line="240" w:lineRule="auto"/>
              <w:rPr>
                <w:rFonts w:ascii="Arial" w:hAnsi="Arial" w:cs="Arial"/>
                <w:b/>
                <w:bCs/>
                <w:sz w:val="20"/>
                <w:szCs w:val="20"/>
              </w:rPr>
            </w:pPr>
            <w:r w:rsidRPr="00FA1709">
              <w:rPr>
                <w:rFonts w:ascii="Arial" w:hAnsi="Arial" w:cs="Arial"/>
                <w:b/>
                <w:bCs/>
                <w:sz w:val="20"/>
                <w:szCs w:val="20"/>
              </w:rPr>
              <w:t>Chief Executive</w:t>
            </w:r>
          </w:p>
        </w:tc>
        <w:tc>
          <w:tcPr>
            <w:tcW w:w="2693" w:type="dxa"/>
            <w:shd w:val="clear" w:color="auto" w:fill="000000" w:themeFill="text1"/>
          </w:tcPr>
          <w:p w14:paraId="1A4EE24B" w14:textId="77777777" w:rsidR="00FE4E56" w:rsidRPr="00FA1709" w:rsidRDefault="00FE4E56" w:rsidP="005E0F2F">
            <w:pPr>
              <w:spacing w:before="0" w:after="0" w:line="240" w:lineRule="auto"/>
              <w:rPr>
                <w:rFonts w:ascii="Arial" w:hAnsi="Arial" w:cs="Arial"/>
                <w:b/>
                <w:bCs/>
                <w:sz w:val="20"/>
                <w:szCs w:val="20"/>
              </w:rPr>
            </w:pPr>
            <w:r w:rsidRPr="00FA1709">
              <w:rPr>
                <w:rFonts w:ascii="Arial" w:hAnsi="Arial" w:cs="Arial"/>
                <w:b/>
                <w:bCs/>
                <w:sz w:val="20"/>
                <w:szCs w:val="20"/>
              </w:rPr>
              <w:t>Relevant legislation</w:t>
            </w:r>
          </w:p>
        </w:tc>
      </w:tr>
      <w:tr w:rsidR="00FE4E56" w:rsidRPr="00FA1709" w14:paraId="4BF41D32" w14:textId="77777777" w:rsidTr="0022747C">
        <w:tc>
          <w:tcPr>
            <w:tcW w:w="1838" w:type="dxa"/>
          </w:tcPr>
          <w:p w14:paraId="07D6183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Social Welfare </w:t>
            </w:r>
          </w:p>
        </w:tc>
        <w:tc>
          <w:tcPr>
            <w:tcW w:w="2268" w:type="dxa"/>
          </w:tcPr>
          <w:p w14:paraId="3B6CE6A1"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N/A</w:t>
            </w:r>
          </w:p>
        </w:tc>
        <w:tc>
          <w:tcPr>
            <w:tcW w:w="2410" w:type="dxa"/>
          </w:tcPr>
          <w:p w14:paraId="5BD87BBD"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N/A</w:t>
            </w:r>
          </w:p>
        </w:tc>
        <w:tc>
          <w:tcPr>
            <w:tcW w:w="2693" w:type="dxa"/>
          </w:tcPr>
          <w:p w14:paraId="1B0FE5EB"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N/A</w:t>
            </w:r>
          </w:p>
        </w:tc>
      </w:tr>
      <w:tr w:rsidR="00FE4E56" w:rsidRPr="00FA1709" w14:paraId="5E98C329" w14:textId="77777777" w:rsidTr="0022747C">
        <w:tc>
          <w:tcPr>
            <w:tcW w:w="1838" w:type="dxa"/>
          </w:tcPr>
          <w:p w14:paraId="6F10E32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Education</w:t>
            </w:r>
          </w:p>
          <w:p w14:paraId="75E81148"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(Education + Child Welfare Division)</w:t>
            </w:r>
          </w:p>
        </w:tc>
        <w:tc>
          <w:tcPr>
            <w:tcW w:w="2268" w:type="dxa"/>
          </w:tcPr>
          <w:p w14:paraId="62EBF290"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Ronald Algie</w:t>
            </w:r>
          </w:p>
        </w:tc>
        <w:tc>
          <w:tcPr>
            <w:tcW w:w="2410" w:type="dxa"/>
          </w:tcPr>
          <w:p w14:paraId="10C55E7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Director of Education:</w:t>
            </w:r>
          </w:p>
          <w:p w14:paraId="7EC516F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Clarence E Beeby </w:t>
            </w:r>
          </w:p>
          <w:p w14:paraId="6A0F4D4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(1940–1960)</w:t>
            </w:r>
          </w:p>
          <w:p w14:paraId="6815BD78"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Superintendent of Child Welfare:</w:t>
            </w:r>
          </w:p>
          <w:p w14:paraId="25128268"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Charles E Peek </w:t>
            </w:r>
          </w:p>
          <w:p w14:paraId="5221932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(1950–1963)</w:t>
            </w:r>
          </w:p>
        </w:tc>
        <w:tc>
          <w:tcPr>
            <w:tcW w:w="2693" w:type="dxa"/>
          </w:tcPr>
          <w:p w14:paraId="6D16B13B"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Education Act 1914</w:t>
            </w:r>
          </w:p>
          <w:p w14:paraId="1A9A068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Child Welfare Act 1925</w:t>
            </w:r>
          </w:p>
          <w:p w14:paraId="21F8C6F4" w14:textId="77777777" w:rsidR="00FE4E56" w:rsidRPr="00FA1709" w:rsidRDefault="00FE4E56" w:rsidP="005E0F2F">
            <w:pPr>
              <w:spacing w:before="0" w:after="0" w:line="240" w:lineRule="auto"/>
              <w:rPr>
                <w:rFonts w:ascii="Arial" w:hAnsi="Arial" w:cs="Arial"/>
                <w:sz w:val="20"/>
                <w:szCs w:val="20"/>
              </w:rPr>
            </w:pPr>
            <w:hyperlink r:id="rId12" w:tooltip="Adoption Act 1955 (page does not exist)" w:history="1">
              <w:r w:rsidRPr="00FA1709">
                <w:rPr>
                  <w:rFonts w:ascii="Arial" w:hAnsi="Arial" w:cs="Arial"/>
                  <w:sz w:val="20"/>
                  <w:szCs w:val="20"/>
                </w:rPr>
                <w:t>Adoption Act 1955</w:t>
              </w:r>
            </w:hyperlink>
          </w:p>
          <w:p w14:paraId="5FF53FAD" w14:textId="77777777" w:rsidR="00FE4E56" w:rsidRPr="00FA1709" w:rsidRDefault="00FE4E56" w:rsidP="005E0F2F">
            <w:pPr>
              <w:shd w:val="clear" w:color="auto" w:fill="FFFFFF"/>
              <w:spacing w:before="0" w:after="0" w:line="240" w:lineRule="auto"/>
              <w:ind w:left="1104"/>
              <w:rPr>
                <w:rFonts w:ascii="Arial" w:hAnsi="Arial" w:cs="Arial"/>
                <w:sz w:val="20"/>
                <w:szCs w:val="20"/>
              </w:rPr>
            </w:pPr>
          </w:p>
        </w:tc>
      </w:tr>
      <w:tr w:rsidR="00FE4E56" w:rsidRPr="00FA1709" w14:paraId="631A6B8D" w14:textId="77777777" w:rsidTr="0022747C">
        <w:tc>
          <w:tcPr>
            <w:tcW w:w="1838" w:type="dxa"/>
          </w:tcPr>
          <w:p w14:paraId="2583EAA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Health</w:t>
            </w:r>
          </w:p>
        </w:tc>
        <w:tc>
          <w:tcPr>
            <w:tcW w:w="2268" w:type="dxa"/>
          </w:tcPr>
          <w:p w14:paraId="50CD5AE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Jack Watts </w:t>
            </w:r>
          </w:p>
          <w:p w14:paraId="712490FA"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 –1951)</w:t>
            </w:r>
          </w:p>
          <w:p w14:paraId="22DAB0D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Jack Marshall </w:t>
            </w:r>
          </w:p>
          <w:p w14:paraId="3ABF2935"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(1951 –1954)</w:t>
            </w:r>
          </w:p>
          <w:p w14:paraId="529CAED1"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Ralph Hanan </w:t>
            </w:r>
          </w:p>
          <w:p w14:paraId="5FEB7C96"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(1954 –1957)</w:t>
            </w:r>
          </w:p>
        </w:tc>
        <w:tc>
          <w:tcPr>
            <w:tcW w:w="2410" w:type="dxa"/>
          </w:tcPr>
          <w:p w14:paraId="68177F9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Director-General of Health:</w:t>
            </w:r>
          </w:p>
          <w:p w14:paraId="6886189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Dr John Cairney </w:t>
            </w:r>
          </w:p>
          <w:p w14:paraId="7B6B6D0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(1950-1959)</w:t>
            </w:r>
          </w:p>
        </w:tc>
        <w:tc>
          <w:tcPr>
            <w:tcW w:w="2693" w:type="dxa"/>
          </w:tcPr>
          <w:p w14:paraId="634229D0"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Mental Defectives Act 1911</w:t>
            </w:r>
          </w:p>
          <w:p w14:paraId="7C4AF809" w14:textId="77777777" w:rsidR="00FE4E56" w:rsidRPr="00FA1709" w:rsidRDefault="00FE4E56" w:rsidP="005E0F2F">
            <w:pPr>
              <w:spacing w:before="0" w:after="0" w:line="240" w:lineRule="auto"/>
              <w:rPr>
                <w:rFonts w:ascii="Arial" w:hAnsi="Arial" w:cs="Arial"/>
                <w:sz w:val="20"/>
                <w:szCs w:val="20"/>
              </w:rPr>
            </w:pPr>
          </w:p>
        </w:tc>
      </w:tr>
      <w:tr w:rsidR="00FE4E56" w:rsidRPr="00FA1709" w14:paraId="30B3AEBC" w14:textId="77777777" w:rsidTr="0022747C">
        <w:tc>
          <w:tcPr>
            <w:tcW w:w="1838" w:type="dxa"/>
          </w:tcPr>
          <w:p w14:paraId="079CEAD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Justice</w:t>
            </w:r>
          </w:p>
        </w:tc>
        <w:tc>
          <w:tcPr>
            <w:tcW w:w="2268" w:type="dxa"/>
          </w:tcPr>
          <w:p w14:paraId="29EA4C8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Clifton Webb </w:t>
            </w:r>
          </w:p>
          <w:p w14:paraId="1C863AF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 –1954)</w:t>
            </w:r>
          </w:p>
          <w:p w14:paraId="64902B55"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Jack Marshall </w:t>
            </w:r>
          </w:p>
          <w:p w14:paraId="09DB386B"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(1954 –1957)</w:t>
            </w:r>
          </w:p>
        </w:tc>
        <w:tc>
          <w:tcPr>
            <w:tcW w:w="2410" w:type="dxa"/>
          </w:tcPr>
          <w:p w14:paraId="3A1020D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Secretary for Justice:</w:t>
            </w:r>
          </w:p>
          <w:p w14:paraId="17C9766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Samuel Thompson Barnett </w:t>
            </w:r>
          </w:p>
          <w:p w14:paraId="26D04F7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(1949–1960)</w:t>
            </w:r>
          </w:p>
        </w:tc>
        <w:tc>
          <w:tcPr>
            <w:tcW w:w="2693" w:type="dxa"/>
          </w:tcPr>
          <w:p w14:paraId="20867B3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Prevention of Crime (Borstal Institutions Establishment) Act 1924</w:t>
            </w:r>
          </w:p>
          <w:p w14:paraId="623138FA"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Penal Institutions Act 1954</w:t>
            </w:r>
          </w:p>
          <w:p w14:paraId="1563CCC7"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Criminal Justice Act 1954</w:t>
            </w:r>
          </w:p>
        </w:tc>
      </w:tr>
      <w:tr w:rsidR="00FE4E56" w:rsidRPr="00FA1709" w14:paraId="11BE55C0" w14:textId="77777777" w:rsidTr="0022747C">
        <w:tc>
          <w:tcPr>
            <w:tcW w:w="1838" w:type="dxa"/>
          </w:tcPr>
          <w:p w14:paraId="78431DDD"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Police</w:t>
            </w:r>
          </w:p>
        </w:tc>
        <w:tc>
          <w:tcPr>
            <w:tcW w:w="2268" w:type="dxa"/>
          </w:tcPr>
          <w:p w14:paraId="41DD90A2"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Sidney Holland </w:t>
            </w:r>
          </w:p>
          <w:p w14:paraId="6C027FAD"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 –1950)</w:t>
            </w:r>
          </w:p>
          <w:p w14:paraId="36E8EE1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Wilfred Fortune </w:t>
            </w:r>
          </w:p>
          <w:p w14:paraId="21036F22"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(1950 –1954)</w:t>
            </w:r>
          </w:p>
          <w:p w14:paraId="1BCB1F5B"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Sidney Holland </w:t>
            </w:r>
          </w:p>
          <w:p w14:paraId="5A7E9BC8"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(1954 –1956)</w:t>
            </w:r>
          </w:p>
          <w:p w14:paraId="462B2A90"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Dean Eyre </w:t>
            </w:r>
          </w:p>
          <w:p w14:paraId="010CA72A"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(1956-1957)</w:t>
            </w:r>
          </w:p>
          <w:p w14:paraId="5D75A95C" w14:textId="77777777" w:rsidR="00FE4E56" w:rsidRPr="00FA1709" w:rsidRDefault="00FE4E56" w:rsidP="005E0F2F">
            <w:pPr>
              <w:spacing w:before="0" w:after="0" w:line="240" w:lineRule="auto"/>
              <w:rPr>
                <w:rFonts w:ascii="Arial" w:hAnsi="Arial" w:cs="Arial"/>
                <w:sz w:val="20"/>
                <w:szCs w:val="20"/>
              </w:rPr>
            </w:pPr>
          </w:p>
          <w:p w14:paraId="05EF039F" w14:textId="77777777" w:rsidR="00FE4E56" w:rsidRPr="00FA1709" w:rsidRDefault="00FE4E56" w:rsidP="005E0F2F">
            <w:pPr>
              <w:spacing w:before="0" w:after="0" w:line="240" w:lineRule="auto"/>
              <w:rPr>
                <w:rFonts w:ascii="Arial" w:hAnsi="Arial" w:cs="Arial"/>
                <w:sz w:val="20"/>
                <w:szCs w:val="20"/>
              </w:rPr>
            </w:pPr>
          </w:p>
        </w:tc>
        <w:tc>
          <w:tcPr>
            <w:tcW w:w="2410" w:type="dxa"/>
          </w:tcPr>
          <w:p w14:paraId="3D6A977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Commissioner of Police:</w:t>
            </w:r>
          </w:p>
          <w:p w14:paraId="3D42A77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James Cummings </w:t>
            </w:r>
          </w:p>
          <w:p w14:paraId="411F999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(1944–1950)</w:t>
            </w:r>
          </w:p>
          <w:p w14:paraId="7454C88A"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John Bruce Young </w:t>
            </w:r>
          </w:p>
          <w:p w14:paraId="739E524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(1950–1952)</w:t>
            </w:r>
          </w:p>
          <w:p w14:paraId="1BC7B9FA"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Eric Henry Compton </w:t>
            </w:r>
          </w:p>
          <w:p w14:paraId="58365E3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(1953–1955)</w:t>
            </w:r>
          </w:p>
          <w:p w14:paraId="38CA7A18" w14:textId="77777777" w:rsidR="00FE4E56" w:rsidRPr="00FA1709" w:rsidRDefault="00FE4E56" w:rsidP="005E0F2F">
            <w:pPr>
              <w:spacing w:before="0" w:after="0" w:line="240" w:lineRule="auto"/>
              <w:rPr>
                <w:rFonts w:ascii="Arial" w:hAnsi="Arial" w:cs="Arial"/>
                <w:sz w:val="20"/>
                <w:szCs w:val="20"/>
              </w:rPr>
            </w:pPr>
          </w:p>
          <w:p w14:paraId="4ABAB11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Controller-General:</w:t>
            </w:r>
          </w:p>
          <w:p w14:paraId="7728153E"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Samuel Thompson Barnett (1955–1958)</w:t>
            </w:r>
          </w:p>
        </w:tc>
        <w:tc>
          <w:tcPr>
            <w:tcW w:w="2693" w:type="dxa"/>
          </w:tcPr>
          <w:p w14:paraId="57C3E894"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Police Act 1958</w:t>
            </w:r>
          </w:p>
        </w:tc>
      </w:tr>
      <w:tr w:rsidR="00FE4E56" w:rsidRPr="00FA1709" w14:paraId="341D00D5" w14:textId="77777777" w:rsidTr="0022747C">
        <w:trPr>
          <w:trHeight w:val="300"/>
        </w:trPr>
        <w:tc>
          <w:tcPr>
            <w:tcW w:w="1838" w:type="dxa"/>
          </w:tcPr>
          <w:p w14:paraId="4DEC7460"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Corrections</w:t>
            </w:r>
          </w:p>
        </w:tc>
        <w:tc>
          <w:tcPr>
            <w:tcW w:w="2268" w:type="dxa"/>
          </w:tcPr>
          <w:p w14:paraId="0339679D"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N/A</w:t>
            </w:r>
          </w:p>
        </w:tc>
        <w:tc>
          <w:tcPr>
            <w:tcW w:w="2410" w:type="dxa"/>
          </w:tcPr>
          <w:p w14:paraId="4C489241"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N/A</w:t>
            </w:r>
          </w:p>
        </w:tc>
        <w:tc>
          <w:tcPr>
            <w:tcW w:w="2693" w:type="dxa"/>
          </w:tcPr>
          <w:p w14:paraId="171FA581" w14:textId="77777777" w:rsidR="00FE4E56" w:rsidRPr="00FA1709" w:rsidRDefault="00FE4E56" w:rsidP="005E0F2F">
            <w:pPr>
              <w:spacing w:before="0" w:after="0" w:line="240" w:lineRule="auto"/>
              <w:rPr>
                <w:rFonts w:ascii="Arial" w:eastAsia="Calibri" w:hAnsi="Arial" w:cs="Arial"/>
                <w:sz w:val="20"/>
                <w:szCs w:val="20"/>
              </w:rPr>
            </w:pPr>
            <w:r w:rsidRPr="00FA1709">
              <w:rPr>
                <w:rFonts w:ascii="Arial" w:hAnsi="Arial" w:cs="Arial"/>
                <w:sz w:val="20"/>
                <w:szCs w:val="20"/>
              </w:rPr>
              <w:t>N/A</w:t>
            </w:r>
          </w:p>
        </w:tc>
      </w:tr>
      <w:tr w:rsidR="00FE4E56" w:rsidRPr="00FA1709" w14:paraId="30AEDB75" w14:textId="77777777" w:rsidTr="0022747C">
        <w:trPr>
          <w:trHeight w:val="300"/>
        </w:trPr>
        <w:tc>
          <w:tcPr>
            <w:tcW w:w="1838" w:type="dxa"/>
          </w:tcPr>
          <w:p w14:paraId="57B5C358"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Finance</w:t>
            </w:r>
          </w:p>
        </w:tc>
        <w:tc>
          <w:tcPr>
            <w:tcW w:w="2268" w:type="dxa"/>
          </w:tcPr>
          <w:p w14:paraId="7313EA3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Sidney Holland </w:t>
            </w:r>
          </w:p>
          <w:p w14:paraId="5E0E669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 –1954)</w:t>
            </w:r>
          </w:p>
          <w:p w14:paraId="6982009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Jack Watts </w:t>
            </w:r>
          </w:p>
          <w:p w14:paraId="3B5ED131"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(1954 –1957)</w:t>
            </w:r>
          </w:p>
        </w:tc>
        <w:tc>
          <w:tcPr>
            <w:tcW w:w="2410" w:type="dxa"/>
          </w:tcPr>
          <w:p w14:paraId="3F8C2130"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Secretary to the Treasury:</w:t>
            </w:r>
          </w:p>
          <w:p w14:paraId="7DE206D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Sir Bernard C Ashwin (1939 – 1955)</w:t>
            </w:r>
          </w:p>
          <w:p w14:paraId="632DBFE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Ted Greensmith </w:t>
            </w:r>
          </w:p>
          <w:p w14:paraId="6D289BC5"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(1955 – 1964)</w:t>
            </w:r>
          </w:p>
        </w:tc>
        <w:tc>
          <w:tcPr>
            <w:tcW w:w="2693" w:type="dxa"/>
          </w:tcPr>
          <w:p w14:paraId="49ECC901" w14:textId="77777777" w:rsidR="00FE4E56" w:rsidRPr="00FA1709" w:rsidRDefault="00FE4E56" w:rsidP="005E0F2F">
            <w:pPr>
              <w:spacing w:before="0" w:after="0" w:line="240" w:lineRule="auto"/>
              <w:rPr>
                <w:rFonts w:ascii="Arial" w:eastAsia="Calibri" w:hAnsi="Arial" w:cs="Arial"/>
                <w:sz w:val="20"/>
                <w:szCs w:val="20"/>
              </w:rPr>
            </w:pPr>
            <w:r w:rsidRPr="00FA1709">
              <w:rPr>
                <w:rFonts w:ascii="Arial" w:eastAsia="Calibri" w:hAnsi="Arial" w:cs="Arial"/>
                <w:sz w:val="20"/>
                <w:szCs w:val="20"/>
              </w:rPr>
              <w:t>Public Revenues Act 1953</w:t>
            </w:r>
          </w:p>
          <w:p w14:paraId="1BE80FB2" w14:textId="77777777" w:rsidR="00FE4E56" w:rsidRPr="00FA1709" w:rsidRDefault="00FE4E56" w:rsidP="005E0F2F">
            <w:pPr>
              <w:spacing w:before="0" w:after="0" w:line="240" w:lineRule="auto"/>
              <w:rPr>
                <w:rFonts w:ascii="Arial" w:hAnsi="Arial" w:cs="Arial"/>
                <w:sz w:val="20"/>
                <w:szCs w:val="20"/>
              </w:rPr>
            </w:pPr>
          </w:p>
        </w:tc>
      </w:tr>
      <w:tr w:rsidR="00FE4E56" w:rsidRPr="00FA1709" w14:paraId="1C5C6A3E" w14:textId="77777777" w:rsidTr="0022747C">
        <w:tc>
          <w:tcPr>
            <w:tcW w:w="1838" w:type="dxa"/>
          </w:tcPr>
          <w:p w14:paraId="3F25EF65"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Prime Minister </w:t>
            </w:r>
          </w:p>
          <w:p w14:paraId="2D5DD201" w14:textId="77777777" w:rsidR="00FE4E56" w:rsidRPr="00FA1709" w:rsidRDefault="00FE4E56" w:rsidP="005E0F2F">
            <w:pPr>
              <w:spacing w:before="0" w:after="0" w:line="240" w:lineRule="auto"/>
              <w:rPr>
                <w:rFonts w:ascii="Arial" w:hAnsi="Arial" w:cs="Arial"/>
                <w:strike/>
                <w:sz w:val="20"/>
                <w:szCs w:val="20"/>
              </w:rPr>
            </w:pPr>
            <w:r w:rsidRPr="00FA1709">
              <w:rPr>
                <w:rFonts w:ascii="Arial" w:hAnsi="Arial" w:cs="Arial"/>
                <w:sz w:val="20"/>
                <w:szCs w:val="20"/>
              </w:rPr>
              <w:t>(incl State Services)</w:t>
            </w:r>
          </w:p>
          <w:p w14:paraId="034E41D0" w14:textId="77777777" w:rsidR="00FE4E56" w:rsidRPr="00FA1709" w:rsidRDefault="00FE4E56" w:rsidP="005E0F2F">
            <w:pPr>
              <w:spacing w:before="0" w:after="0" w:line="240" w:lineRule="auto"/>
              <w:rPr>
                <w:rFonts w:ascii="Arial" w:hAnsi="Arial" w:cs="Arial"/>
                <w:sz w:val="20"/>
                <w:szCs w:val="20"/>
              </w:rPr>
            </w:pPr>
          </w:p>
        </w:tc>
        <w:tc>
          <w:tcPr>
            <w:tcW w:w="2268" w:type="dxa"/>
          </w:tcPr>
          <w:p w14:paraId="6C3F8D0B"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Sidney Holland </w:t>
            </w:r>
          </w:p>
          <w:p w14:paraId="5D12DFF3"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(1949-1957)</w:t>
            </w:r>
          </w:p>
        </w:tc>
        <w:tc>
          <w:tcPr>
            <w:tcW w:w="2410" w:type="dxa"/>
          </w:tcPr>
          <w:p w14:paraId="38264EE9"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Chairman of the Public Service Commission:</w:t>
            </w:r>
          </w:p>
          <w:p w14:paraId="30AE0E1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Richard Campbell </w:t>
            </w:r>
          </w:p>
          <w:p w14:paraId="20608E0F"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(1946 – 1953)</w:t>
            </w:r>
          </w:p>
          <w:p w14:paraId="3336A446"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 xml:space="preserve">George Bolt </w:t>
            </w:r>
          </w:p>
          <w:p w14:paraId="5248EE91"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(1953 – 1958)</w:t>
            </w:r>
          </w:p>
        </w:tc>
        <w:tc>
          <w:tcPr>
            <w:tcW w:w="2693" w:type="dxa"/>
          </w:tcPr>
          <w:p w14:paraId="52F5020C" w14:textId="77777777" w:rsidR="00FE4E56" w:rsidRPr="00FA1709" w:rsidRDefault="00FE4E56" w:rsidP="005E0F2F">
            <w:pPr>
              <w:spacing w:before="0" w:after="0" w:line="240" w:lineRule="auto"/>
              <w:rPr>
                <w:rFonts w:ascii="Arial" w:hAnsi="Arial" w:cs="Arial"/>
                <w:sz w:val="20"/>
                <w:szCs w:val="20"/>
              </w:rPr>
            </w:pPr>
            <w:r w:rsidRPr="00FA1709">
              <w:rPr>
                <w:rFonts w:ascii="Arial" w:hAnsi="Arial" w:cs="Arial"/>
                <w:sz w:val="20"/>
                <w:szCs w:val="20"/>
              </w:rPr>
              <w:t>Public Service Act 1912</w:t>
            </w:r>
          </w:p>
        </w:tc>
      </w:tr>
    </w:tbl>
    <w:p w14:paraId="206484DF" w14:textId="77777777" w:rsidR="00FE4E56" w:rsidRPr="00AF31E0" w:rsidRDefault="00FE4E56" w:rsidP="00654280">
      <w:pPr>
        <w:rPr>
          <w:rFonts w:ascii="Arial" w:hAnsi="Arial" w:cs="Arial"/>
          <w:b/>
          <w:bCs/>
          <w:sz w:val="18"/>
          <w:szCs w:val="18"/>
        </w:rPr>
      </w:pPr>
    </w:p>
    <w:p w14:paraId="4B4A2944" w14:textId="77777777" w:rsidR="00FE4E56" w:rsidRDefault="00FE4E56" w:rsidP="00654280">
      <w:pPr>
        <w:rPr>
          <w:rFonts w:ascii="Arial" w:hAnsi="Arial" w:cs="Arial"/>
          <w:sz w:val="18"/>
          <w:szCs w:val="18"/>
        </w:rPr>
      </w:pPr>
      <w:r w:rsidRPr="00AF31E0">
        <w:rPr>
          <w:rFonts w:ascii="Arial" w:hAnsi="Arial" w:cs="Arial"/>
          <w:sz w:val="18"/>
          <w:szCs w:val="18"/>
        </w:rPr>
        <w:br w:type="page"/>
      </w:r>
    </w:p>
    <w:p w14:paraId="771DEFC4" w14:textId="77777777" w:rsidR="00FE4E56" w:rsidRPr="00C92276" w:rsidRDefault="00FE4E56" w:rsidP="00155FB1">
      <w:pPr>
        <w:pStyle w:val="AllQuotes"/>
        <w:jc w:val="center"/>
      </w:pPr>
      <w:r w:rsidRPr="00C92276">
        <w:rPr>
          <w:w w:val="90"/>
        </w:rPr>
        <w:lastRenderedPageBreak/>
        <w:t>Labour</w:t>
      </w:r>
      <w:r w:rsidRPr="00C92276">
        <w:rPr>
          <w:spacing w:val="10"/>
        </w:rPr>
        <w:t xml:space="preserve"> </w:t>
      </w:r>
      <w:r w:rsidRPr="00C92276">
        <w:rPr>
          <w:w w:val="90"/>
        </w:rPr>
        <w:t>Government</w:t>
      </w:r>
      <w:r w:rsidRPr="00C92276">
        <w:rPr>
          <w:spacing w:val="10"/>
        </w:rPr>
        <w:t xml:space="preserve"> </w:t>
      </w:r>
      <w:r w:rsidRPr="00C92276">
        <w:rPr>
          <w:w w:val="90"/>
        </w:rPr>
        <w:t>1957–</w:t>
      </w:r>
      <w:r w:rsidRPr="00C92276">
        <w:rPr>
          <w:spacing w:val="10"/>
        </w:rPr>
        <w:t xml:space="preserve"> </w:t>
      </w:r>
      <w:r w:rsidRPr="00C92276">
        <w:rPr>
          <w:spacing w:val="-4"/>
          <w:w w:val="90"/>
        </w:rPr>
        <w:t>1960</w:t>
      </w:r>
    </w:p>
    <w:p w14:paraId="528418C7" w14:textId="77777777" w:rsidR="00FE4E56" w:rsidRPr="00C92276" w:rsidRDefault="00FE4E56" w:rsidP="00155FB1">
      <w:pPr>
        <w:pStyle w:val="AllQuotes"/>
        <w:jc w:val="center"/>
      </w:pPr>
      <w:r w:rsidRPr="00C92276">
        <w:rPr>
          <w:w w:val="85"/>
        </w:rPr>
        <w:t>PM:</w:t>
      </w:r>
      <w:r w:rsidRPr="00C92276">
        <w:rPr>
          <w:spacing w:val="2"/>
        </w:rPr>
        <w:t xml:space="preserve"> </w:t>
      </w:r>
      <w:r w:rsidRPr="00C92276">
        <w:rPr>
          <w:w w:val="85"/>
        </w:rPr>
        <w:t>Walter Nash</w:t>
      </w:r>
    </w:p>
    <w:tbl>
      <w:tblPr>
        <w:tblStyle w:val="TableGrid"/>
        <w:tblW w:w="9067" w:type="dxa"/>
        <w:tblLook w:val="04A0" w:firstRow="1" w:lastRow="0" w:firstColumn="1" w:lastColumn="0" w:noHBand="0" w:noVBand="1"/>
      </w:tblPr>
      <w:tblGrid>
        <w:gridCol w:w="1838"/>
        <w:gridCol w:w="2126"/>
        <w:gridCol w:w="2835"/>
        <w:gridCol w:w="2268"/>
      </w:tblGrid>
      <w:tr w:rsidR="00FE4E56" w:rsidRPr="00C92276" w14:paraId="0E66027D" w14:textId="77777777" w:rsidTr="0022747C">
        <w:trPr>
          <w:tblHeader/>
        </w:trPr>
        <w:tc>
          <w:tcPr>
            <w:tcW w:w="1838" w:type="dxa"/>
            <w:shd w:val="clear" w:color="auto" w:fill="000000" w:themeFill="text1"/>
          </w:tcPr>
          <w:p w14:paraId="30B77DC2" w14:textId="77777777" w:rsidR="00FE4E56" w:rsidRPr="00C92276" w:rsidRDefault="00FE4E56" w:rsidP="005E0F2F">
            <w:pPr>
              <w:spacing w:before="0" w:after="0" w:line="240" w:lineRule="auto"/>
              <w:rPr>
                <w:rFonts w:ascii="Arial" w:hAnsi="Arial" w:cs="Arial"/>
                <w:b/>
                <w:bCs/>
                <w:sz w:val="20"/>
                <w:szCs w:val="20"/>
              </w:rPr>
            </w:pPr>
            <w:r w:rsidRPr="00C92276">
              <w:rPr>
                <w:rFonts w:ascii="Arial" w:hAnsi="Arial" w:cs="Arial"/>
                <w:b/>
                <w:bCs/>
                <w:sz w:val="20"/>
                <w:szCs w:val="20"/>
              </w:rPr>
              <w:t>Ministerial portfolio</w:t>
            </w:r>
          </w:p>
        </w:tc>
        <w:tc>
          <w:tcPr>
            <w:tcW w:w="2126" w:type="dxa"/>
            <w:shd w:val="clear" w:color="auto" w:fill="000000" w:themeFill="text1"/>
          </w:tcPr>
          <w:p w14:paraId="0A6051CC" w14:textId="77777777" w:rsidR="00FE4E56" w:rsidRPr="00C92276" w:rsidRDefault="00FE4E56" w:rsidP="005E0F2F">
            <w:pPr>
              <w:spacing w:before="0" w:after="0" w:line="240" w:lineRule="auto"/>
              <w:rPr>
                <w:rFonts w:ascii="Arial" w:hAnsi="Arial" w:cs="Arial"/>
                <w:b/>
                <w:bCs/>
                <w:sz w:val="20"/>
                <w:szCs w:val="20"/>
              </w:rPr>
            </w:pPr>
            <w:r w:rsidRPr="00C92276">
              <w:rPr>
                <w:rFonts w:ascii="Arial" w:hAnsi="Arial" w:cs="Arial"/>
                <w:b/>
                <w:bCs/>
                <w:sz w:val="20"/>
                <w:szCs w:val="20"/>
              </w:rPr>
              <w:t>Minister and tenure</w:t>
            </w:r>
          </w:p>
        </w:tc>
        <w:tc>
          <w:tcPr>
            <w:tcW w:w="2835" w:type="dxa"/>
            <w:shd w:val="clear" w:color="auto" w:fill="000000" w:themeFill="text1"/>
          </w:tcPr>
          <w:p w14:paraId="2C2EBC2D" w14:textId="77777777" w:rsidR="00FE4E56" w:rsidRPr="00C92276" w:rsidRDefault="00FE4E56" w:rsidP="005E0F2F">
            <w:pPr>
              <w:spacing w:before="0" w:after="0" w:line="240" w:lineRule="auto"/>
              <w:rPr>
                <w:rFonts w:ascii="Arial" w:hAnsi="Arial" w:cs="Arial"/>
                <w:b/>
                <w:bCs/>
                <w:sz w:val="20"/>
                <w:szCs w:val="20"/>
              </w:rPr>
            </w:pPr>
            <w:r w:rsidRPr="00C92276">
              <w:rPr>
                <w:rFonts w:ascii="Arial" w:hAnsi="Arial" w:cs="Arial"/>
                <w:b/>
                <w:bCs/>
                <w:sz w:val="20"/>
                <w:szCs w:val="20"/>
              </w:rPr>
              <w:t>Head of Department/</w:t>
            </w:r>
          </w:p>
          <w:p w14:paraId="17F5E59D" w14:textId="77777777" w:rsidR="00FE4E56" w:rsidRPr="00C92276" w:rsidRDefault="00FE4E56" w:rsidP="005E0F2F">
            <w:pPr>
              <w:spacing w:before="0" w:after="0" w:line="240" w:lineRule="auto"/>
              <w:rPr>
                <w:rFonts w:ascii="Arial" w:hAnsi="Arial" w:cs="Arial"/>
                <w:b/>
                <w:bCs/>
                <w:sz w:val="20"/>
                <w:szCs w:val="20"/>
              </w:rPr>
            </w:pPr>
            <w:r w:rsidRPr="00C92276">
              <w:rPr>
                <w:rFonts w:ascii="Arial" w:hAnsi="Arial" w:cs="Arial"/>
                <w:b/>
                <w:bCs/>
                <w:sz w:val="20"/>
                <w:szCs w:val="20"/>
              </w:rPr>
              <w:t>Chief Executive</w:t>
            </w:r>
          </w:p>
        </w:tc>
        <w:tc>
          <w:tcPr>
            <w:tcW w:w="2268" w:type="dxa"/>
            <w:shd w:val="clear" w:color="auto" w:fill="000000" w:themeFill="text1"/>
          </w:tcPr>
          <w:p w14:paraId="4F7674A7" w14:textId="77777777" w:rsidR="00FE4E56" w:rsidRPr="00C92276" w:rsidRDefault="00FE4E56" w:rsidP="005E0F2F">
            <w:pPr>
              <w:spacing w:before="0" w:after="0" w:line="240" w:lineRule="auto"/>
              <w:rPr>
                <w:rFonts w:ascii="Arial" w:hAnsi="Arial" w:cs="Arial"/>
                <w:b/>
                <w:bCs/>
                <w:sz w:val="20"/>
                <w:szCs w:val="20"/>
              </w:rPr>
            </w:pPr>
            <w:r w:rsidRPr="00C92276">
              <w:rPr>
                <w:rFonts w:ascii="Arial" w:hAnsi="Arial" w:cs="Arial"/>
                <w:b/>
                <w:bCs/>
                <w:sz w:val="20"/>
                <w:szCs w:val="20"/>
              </w:rPr>
              <w:t>Relevant legislation</w:t>
            </w:r>
          </w:p>
        </w:tc>
      </w:tr>
      <w:tr w:rsidR="00FE4E56" w:rsidRPr="00C92276" w14:paraId="693D5EA9" w14:textId="77777777" w:rsidTr="0022747C">
        <w:tc>
          <w:tcPr>
            <w:tcW w:w="1838" w:type="dxa"/>
          </w:tcPr>
          <w:p w14:paraId="7A7A2463"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Social Welfare </w:t>
            </w:r>
          </w:p>
        </w:tc>
        <w:tc>
          <w:tcPr>
            <w:tcW w:w="2126" w:type="dxa"/>
          </w:tcPr>
          <w:p w14:paraId="3AD2E5E6"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N/A</w:t>
            </w:r>
          </w:p>
        </w:tc>
        <w:tc>
          <w:tcPr>
            <w:tcW w:w="2835" w:type="dxa"/>
          </w:tcPr>
          <w:p w14:paraId="47CA6CD0"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N/A</w:t>
            </w:r>
          </w:p>
        </w:tc>
        <w:tc>
          <w:tcPr>
            <w:tcW w:w="2268" w:type="dxa"/>
          </w:tcPr>
          <w:p w14:paraId="3BBD539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N/A</w:t>
            </w:r>
          </w:p>
        </w:tc>
      </w:tr>
      <w:tr w:rsidR="00FE4E56" w:rsidRPr="00C92276" w14:paraId="53B67CA3" w14:textId="77777777" w:rsidTr="0022747C">
        <w:tc>
          <w:tcPr>
            <w:tcW w:w="1838" w:type="dxa"/>
          </w:tcPr>
          <w:p w14:paraId="7265752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Education (Education + Child Welfare Division)</w:t>
            </w:r>
          </w:p>
        </w:tc>
        <w:tc>
          <w:tcPr>
            <w:tcW w:w="2126" w:type="dxa"/>
          </w:tcPr>
          <w:p w14:paraId="394D1BE3"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Philip Skoglund</w:t>
            </w:r>
          </w:p>
          <w:p w14:paraId="5E339387"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(1957-1960)</w:t>
            </w:r>
          </w:p>
        </w:tc>
        <w:tc>
          <w:tcPr>
            <w:tcW w:w="2835" w:type="dxa"/>
          </w:tcPr>
          <w:p w14:paraId="7BAF877E"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Director of Education</w:t>
            </w:r>
          </w:p>
          <w:p w14:paraId="17EDEABB"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Clarence E Beeby (1940–1960)</w:t>
            </w:r>
          </w:p>
          <w:p w14:paraId="1D52C873"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Superintendent of Child Welfare</w:t>
            </w:r>
          </w:p>
          <w:p w14:paraId="0BE0A651"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Charles E Peek </w:t>
            </w:r>
          </w:p>
          <w:p w14:paraId="4459304A"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(1950–1963)</w:t>
            </w:r>
          </w:p>
        </w:tc>
        <w:tc>
          <w:tcPr>
            <w:tcW w:w="2268" w:type="dxa"/>
          </w:tcPr>
          <w:p w14:paraId="2C9E6FEF"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Education Act 1914</w:t>
            </w:r>
          </w:p>
          <w:p w14:paraId="5538F0A0"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Child Welfare Act 1925</w:t>
            </w:r>
          </w:p>
          <w:p w14:paraId="04740AF0" w14:textId="77777777" w:rsidR="00FE4E56" w:rsidRPr="00C92276" w:rsidRDefault="00FE4E56" w:rsidP="005E0F2F">
            <w:pPr>
              <w:spacing w:before="0" w:after="0" w:line="240" w:lineRule="auto"/>
              <w:rPr>
                <w:rFonts w:ascii="Arial" w:hAnsi="Arial" w:cs="Arial"/>
                <w:sz w:val="20"/>
                <w:szCs w:val="20"/>
              </w:rPr>
            </w:pPr>
            <w:hyperlink r:id="rId13" w:tooltip="Adoption Act 1955 (page does not exist)" w:history="1">
              <w:r w:rsidRPr="00C92276">
                <w:rPr>
                  <w:rFonts w:ascii="Arial" w:hAnsi="Arial" w:cs="Arial"/>
                  <w:sz w:val="20"/>
                  <w:szCs w:val="20"/>
                </w:rPr>
                <w:t>Adoption Act 1955</w:t>
              </w:r>
            </w:hyperlink>
          </w:p>
          <w:p w14:paraId="72D4405F" w14:textId="77777777" w:rsidR="00FE4E56" w:rsidRPr="00C92276" w:rsidRDefault="00FE4E56" w:rsidP="005E0F2F">
            <w:pPr>
              <w:spacing w:before="0" w:after="0" w:line="240" w:lineRule="auto"/>
              <w:rPr>
                <w:rFonts w:ascii="Arial" w:hAnsi="Arial" w:cs="Arial"/>
                <w:sz w:val="20"/>
                <w:szCs w:val="20"/>
              </w:rPr>
            </w:pPr>
          </w:p>
        </w:tc>
      </w:tr>
      <w:tr w:rsidR="00FE4E56" w:rsidRPr="00C92276" w14:paraId="641F26FE" w14:textId="77777777" w:rsidTr="0022747C">
        <w:tc>
          <w:tcPr>
            <w:tcW w:w="1838" w:type="dxa"/>
          </w:tcPr>
          <w:p w14:paraId="1AD86A6F"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Health</w:t>
            </w:r>
          </w:p>
        </w:tc>
        <w:tc>
          <w:tcPr>
            <w:tcW w:w="2126" w:type="dxa"/>
          </w:tcPr>
          <w:p w14:paraId="7B77E968"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Rex Mason</w:t>
            </w:r>
          </w:p>
          <w:p w14:paraId="424226C1"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(1957-1960)</w:t>
            </w:r>
          </w:p>
        </w:tc>
        <w:tc>
          <w:tcPr>
            <w:tcW w:w="2835" w:type="dxa"/>
          </w:tcPr>
          <w:p w14:paraId="7ED58A3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Director-General of Health:</w:t>
            </w:r>
          </w:p>
          <w:p w14:paraId="61241A20"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Dr John Cairney </w:t>
            </w:r>
          </w:p>
          <w:p w14:paraId="410B15AA"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(1950-1959)</w:t>
            </w:r>
          </w:p>
          <w:p w14:paraId="614B0501"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Dr Harold Turbott </w:t>
            </w:r>
          </w:p>
          <w:p w14:paraId="160BE6EF"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(1959–1964)</w:t>
            </w:r>
          </w:p>
        </w:tc>
        <w:tc>
          <w:tcPr>
            <w:tcW w:w="2268" w:type="dxa"/>
          </w:tcPr>
          <w:p w14:paraId="61A7240E"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Mental Defectives Act 1911</w:t>
            </w:r>
          </w:p>
        </w:tc>
      </w:tr>
      <w:tr w:rsidR="00FE4E56" w:rsidRPr="00C92276" w14:paraId="7FC29668" w14:textId="77777777" w:rsidTr="0022747C">
        <w:tc>
          <w:tcPr>
            <w:tcW w:w="1838" w:type="dxa"/>
          </w:tcPr>
          <w:p w14:paraId="1A27CC6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Justice</w:t>
            </w:r>
          </w:p>
        </w:tc>
        <w:tc>
          <w:tcPr>
            <w:tcW w:w="2126" w:type="dxa"/>
          </w:tcPr>
          <w:p w14:paraId="03D9FF2A"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Rex Mason</w:t>
            </w:r>
          </w:p>
          <w:p w14:paraId="5D1E9D03"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(1957-1960)</w:t>
            </w:r>
          </w:p>
        </w:tc>
        <w:tc>
          <w:tcPr>
            <w:tcW w:w="2835" w:type="dxa"/>
          </w:tcPr>
          <w:p w14:paraId="7A7A631D"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Secretary for Justice:</w:t>
            </w:r>
          </w:p>
          <w:p w14:paraId="4439465F"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Samuel Thompson Barnett </w:t>
            </w:r>
          </w:p>
          <w:p w14:paraId="644D87A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(1949–1960)</w:t>
            </w:r>
          </w:p>
        </w:tc>
        <w:tc>
          <w:tcPr>
            <w:tcW w:w="2268" w:type="dxa"/>
          </w:tcPr>
          <w:p w14:paraId="0D59BCAE"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Prevention of Crime (Borstal Institutions Establishment) Act 1924</w:t>
            </w:r>
          </w:p>
          <w:p w14:paraId="46A81CBA"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Penal Institutions Act 1954</w:t>
            </w:r>
          </w:p>
          <w:p w14:paraId="3A62EA48"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Criminal Justice Act 1954</w:t>
            </w:r>
          </w:p>
        </w:tc>
      </w:tr>
      <w:tr w:rsidR="00FE4E56" w:rsidRPr="00C92276" w14:paraId="3EF7EC06" w14:textId="77777777" w:rsidTr="0022747C">
        <w:tc>
          <w:tcPr>
            <w:tcW w:w="1838" w:type="dxa"/>
          </w:tcPr>
          <w:p w14:paraId="6711143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Police</w:t>
            </w:r>
          </w:p>
        </w:tc>
        <w:tc>
          <w:tcPr>
            <w:tcW w:w="2126" w:type="dxa"/>
          </w:tcPr>
          <w:p w14:paraId="15411BF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Phil Connolly</w:t>
            </w:r>
          </w:p>
          <w:p w14:paraId="7DDB472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(1957-1960)</w:t>
            </w:r>
          </w:p>
        </w:tc>
        <w:tc>
          <w:tcPr>
            <w:tcW w:w="2835" w:type="dxa"/>
          </w:tcPr>
          <w:p w14:paraId="604543E9"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Commissioner of Police:</w:t>
            </w:r>
          </w:p>
          <w:p w14:paraId="5C4B2A0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Willis Spencer Brown (1958–1961)</w:t>
            </w:r>
          </w:p>
        </w:tc>
        <w:tc>
          <w:tcPr>
            <w:tcW w:w="2268" w:type="dxa"/>
          </w:tcPr>
          <w:p w14:paraId="4A97DCA1"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Police Act 1958</w:t>
            </w:r>
          </w:p>
        </w:tc>
      </w:tr>
      <w:tr w:rsidR="00FE4E56" w:rsidRPr="00C92276" w14:paraId="1575BDBD" w14:textId="77777777" w:rsidTr="0022747C">
        <w:trPr>
          <w:trHeight w:val="300"/>
        </w:trPr>
        <w:tc>
          <w:tcPr>
            <w:tcW w:w="1838" w:type="dxa"/>
          </w:tcPr>
          <w:p w14:paraId="48266C5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Corrections</w:t>
            </w:r>
          </w:p>
        </w:tc>
        <w:tc>
          <w:tcPr>
            <w:tcW w:w="2126" w:type="dxa"/>
          </w:tcPr>
          <w:p w14:paraId="0517D885"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N/A</w:t>
            </w:r>
          </w:p>
        </w:tc>
        <w:tc>
          <w:tcPr>
            <w:tcW w:w="2835" w:type="dxa"/>
          </w:tcPr>
          <w:p w14:paraId="7EDA2AA6"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N/A</w:t>
            </w:r>
          </w:p>
        </w:tc>
        <w:tc>
          <w:tcPr>
            <w:tcW w:w="2268" w:type="dxa"/>
          </w:tcPr>
          <w:p w14:paraId="12A31553" w14:textId="77777777" w:rsidR="00FE4E56" w:rsidRPr="00C92276" w:rsidRDefault="00FE4E56" w:rsidP="005E0F2F">
            <w:pPr>
              <w:spacing w:before="0" w:after="0" w:line="240" w:lineRule="auto"/>
              <w:rPr>
                <w:rFonts w:ascii="Arial" w:eastAsia="Calibri" w:hAnsi="Arial" w:cs="Arial"/>
                <w:sz w:val="20"/>
                <w:szCs w:val="20"/>
              </w:rPr>
            </w:pPr>
            <w:r w:rsidRPr="00C92276">
              <w:rPr>
                <w:rFonts w:ascii="Arial" w:hAnsi="Arial" w:cs="Arial"/>
                <w:sz w:val="20"/>
                <w:szCs w:val="20"/>
              </w:rPr>
              <w:t>N/A</w:t>
            </w:r>
          </w:p>
        </w:tc>
      </w:tr>
      <w:tr w:rsidR="00FE4E56" w:rsidRPr="00C92276" w14:paraId="6499B047" w14:textId="77777777" w:rsidTr="0022747C">
        <w:trPr>
          <w:trHeight w:val="300"/>
        </w:trPr>
        <w:tc>
          <w:tcPr>
            <w:tcW w:w="1838" w:type="dxa"/>
          </w:tcPr>
          <w:p w14:paraId="60FCB20E"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Finance</w:t>
            </w:r>
          </w:p>
        </w:tc>
        <w:tc>
          <w:tcPr>
            <w:tcW w:w="2126" w:type="dxa"/>
          </w:tcPr>
          <w:p w14:paraId="5947BE57"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Arnold Nordmeyer </w:t>
            </w:r>
          </w:p>
          <w:p w14:paraId="305E0817"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(1957 –1960)</w:t>
            </w:r>
          </w:p>
        </w:tc>
        <w:tc>
          <w:tcPr>
            <w:tcW w:w="2835" w:type="dxa"/>
          </w:tcPr>
          <w:p w14:paraId="22693732"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Secretary to the Treasury:</w:t>
            </w:r>
          </w:p>
          <w:p w14:paraId="39772EAA"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Ted Greensmith (1955 – 1964)</w:t>
            </w:r>
          </w:p>
        </w:tc>
        <w:tc>
          <w:tcPr>
            <w:tcW w:w="2268" w:type="dxa"/>
          </w:tcPr>
          <w:p w14:paraId="2C45FDC2" w14:textId="77777777" w:rsidR="00FE4E56" w:rsidRPr="00C92276" w:rsidRDefault="00FE4E56" w:rsidP="005E0F2F">
            <w:pPr>
              <w:spacing w:before="0" w:after="0" w:line="240" w:lineRule="auto"/>
              <w:rPr>
                <w:rFonts w:ascii="Arial" w:eastAsia="Calibri" w:hAnsi="Arial" w:cs="Arial"/>
                <w:sz w:val="20"/>
                <w:szCs w:val="20"/>
              </w:rPr>
            </w:pPr>
            <w:r w:rsidRPr="00C92276">
              <w:rPr>
                <w:rFonts w:ascii="Arial" w:eastAsia="Calibri" w:hAnsi="Arial" w:cs="Arial"/>
                <w:sz w:val="20"/>
                <w:szCs w:val="20"/>
              </w:rPr>
              <w:t>Public Revenues Act 1953</w:t>
            </w:r>
          </w:p>
          <w:p w14:paraId="1424D8B1" w14:textId="77777777" w:rsidR="00FE4E56" w:rsidRPr="00C92276" w:rsidRDefault="00FE4E56" w:rsidP="005E0F2F">
            <w:pPr>
              <w:spacing w:before="0" w:after="0" w:line="240" w:lineRule="auto"/>
              <w:rPr>
                <w:rFonts w:ascii="Arial" w:hAnsi="Arial" w:cs="Arial"/>
                <w:sz w:val="20"/>
                <w:szCs w:val="20"/>
              </w:rPr>
            </w:pPr>
          </w:p>
        </w:tc>
      </w:tr>
      <w:tr w:rsidR="00FE4E56" w:rsidRPr="00C92276" w14:paraId="2CDBC169" w14:textId="77777777" w:rsidTr="0022747C">
        <w:tc>
          <w:tcPr>
            <w:tcW w:w="1838" w:type="dxa"/>
          </w:tcPr>
          <w:p w14:paraId="770C738C"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Prime Minister</w:t>
            </w:r>
          </w:p>
          <w:p w14:paraId="33B9C74F" w14:textId="77777777" w:rsidR="00FE4E56" w:rsidRPr="00C92276" w:rsidRDefault="00FE4E56" w:rsidP="005E0F2F">
            <w:pPr>
              <w:spacing w:before="0" w:after="0" w:line="240" w:lineRule="auto"/>
              <w:rPr>
                <w:rFonts w:ascii="Arial" w:hAnsi="Arial" w:cs="Arial"/>
                <w:strike/>
                <w:sz w:val="20"/>
                <w:szCs w:val="20"/>
              </w:rPr>
            </w:pPr>
            <w:r w:rsidRPr="00C92276">
              <w:rPr>
                <w:rFonts w:ascii="Arial" w:hAnsi="Arial" w:cs="Arial"/>
                <w:sz w:val="20"/>
                <w:szCs w:val="20"/>
              </w:rPr>
              <w:t>(incl State Services)</w:t>
            </w:r>
          </w:p>
          <w:p w14:paraId="791FE881" w14:textId="77777777" w:rsidR="00FE4E56" w:rsidRPr="00C92276" w:rsidRDefault="00FE4E56" w:rsidP="005E0F2F">
            <w:pPr>
              <w:spacing w:before="0" w:after="0" w:line="240" w:lineRule="auto"/>
              <w:rPr>
                <w:rFonts w:ascii="Arial" w:hAnsi="Arial" w:cs="Arial"/>
                <w:sz w:val="20"/>
                <w:szCs w:val="20"/>
              </w:rPr>
            </w:pPr>
          </w:p>
        </w:tc>
        <w:tc>
          <w:tcPr>
            <w:tcW w:w="2126" w:type="dxa"/>
          </w:tcPr>
          <w:p w14:paraId="58278FA7"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Walter Nash </w:t>
            </w:r>
          </w:p>
          <w:p w14:paraId="00BEDE00"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(1958-1960)</w:t>
            </w:r>
          </w:p>
        </w:tc>
        <w:tc>
          <w:tcPr>
            <w:tcW w:w="2835" w:type="dxa"/>
          </w:tcPr>
          <w:p w14:paraId="355761CB"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Chairman of the Public Service Commission:</w:t>
            </w:r>
          </w:p>
          <w:p w14:paraId="744F80A3"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 xml:space="preserve">Leonard Atkinson </w:t>
            </w:r>
          </w:p>
          <w:p w14:paraId="2906D508"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(1958 – 1962)</w:t>
            </w:r>
          </w:p>
        </w:tc>
        <w:tc>
          <w:tcPr>
            <w:tcW w:w="2268" w:type="dxa"/>
          </w:tcPr>
          <w:p w14:paraId="06274DAE" w14:textId="77777777" w:rsidR="00FE4E56" w:rsidRPr="00C92276" w:rsidRDefault="00FE4E56" w:rsidP="005E0F2F">
            <w:pPr>
              <w:spacing w:before="0" w:after="0" w:line="240" w:lineRule="auto"/>
              <w:rPr>
                <w:rFonts w:ascii="Arial" w:hAnsi="Arial" w:cs="Arial"/>
                <w:sz w:val="20"/>
                <w:szCs w:val="20"/>
              </w:rPr>
            </w:pPr>
            <w:r w:rsidRPr="00C92276">
              <w:rPr>
                <w:rFonts w:ascii="Arial" w:hAnsi="Arial" w:cs="Arial"/>
                <w:sz w:val="20"/>
                <w:szCs w:val="20"/>
              </w:rPr>
              <w:t>Public Service Act 1912</w:t>
            </w:r>
          </w:p>
        </w:tc>
      </w:tr>
    </w:tbl>
    <w:p w14:paraId="0597B1A4" w14:textId="77777777" w:rsidR="00FE4E56" w:rsidRPr="00C92276" w:rsidRDefault="00FE4E56" w:rsidP="00654280">
      <w:pPr>
        <w:rPr>
          <w:rFonts w:ascii="Arial" w:hAnsi="Arial" w:cs="Arial"/>
          <w:sz w:val="20"/>
          <w:szCs w:val="20"/>
        </w:rPr>
      </w:pPr>
    </w:p>
    <w:p w14:paraId="2786818C" w14:textId="77777777" w:rsidR="00FE4E56" w:rsidRPr="00AF31E0" w:rsidRDefault="00FE4E56" w:rsidP="00654280">
      <w:pPr>
        <w:rPr>
          <w:rFonts w:ascii="Arial" w:hAnsi="Arial" w:cs="Arial"/>
          <w:sz w:val="18"/>
          <w:szCs w:val="18"/>
        </w:rPr>
      </w:pPr>
      <w:r w:rsidRPr="00AF31E0">
        <w:rPr>
          <w:rFonts w:ascii="Arial" w:hAnsi="Arial" w:cs="Arial"/>
          <w:sz w:val="18"/>
          <w:szCs w:val="18"/>
        </w:rPr>
        <w:br w:type="page"/>
      </w:r>
    </w:p>
    <w:p w14:paraId="6E24AEB3" w14:textId="77777777" w:rsidR="00FE4E56" w:rsidRPr="00984009" w:rsidRDefault="00FE4E56" w:rsidP="00155FB1">
      <w:pPr>
        <w:pStyle w:val="AllQuotes"/>
        <w:jc w:val="center"/>
      </w:pPr>
      <w:r w:rsidRPr="00984009">
        <w:rPr>
          <w:w w:val="90"/>
        </w:rPr>
        <w:lastRenderedPageBreak/>
        <w:t>National</w:t>
      </w:r>
      <w:r w:rsidRPr="00984009">
        <w:rPr>
          <w:spacing w:val="10"/>
        </w:rPr>
        <w:t xml:space="preserve"> </w:t>
      </w:r>
      <w:r w:rsidRPr="00984009">
        <w:rPr>
          <w:w w:val="90"/>
        </w:rPr>
        <w:t>Government</w:t>
      </w:r>
      <w:r w:rsidRPr="00984009">
        <w:rPr>
          <w:spacing w:val="10"/>
        </w:rPr>
        <w:t xml:space="preserve"> </w:t>
      </w:r>
      <w:r w:rsidRPr="00984009">
        <w:rPr>
          <w:w w:val="90"/>
        </w:rPr>
        <w:t>1960</w:t>
      </w:r>
      <w:r w:rsidRPr="00984009">
        <w:rPr>
          <w:spacing w:val="11"/>
        </w:rPr>
        <w:t xml:space="preserve"> </w:t>
      </w:r>
      <w:r w:rsidRPr="00984009">
        <w:rPr>
          <w:w w:val="90"/>
        </w:rPr>
        <w:t>–</w:t>
      </w:r>
      <w:r w:rsidRPr="00984009">
        <w:rPr>
          <w:spacing w:val="10"/>
        </w:rPr>
        <w:t xml:space="preserve"> </w:t>
      </w:r>
      <w:r w:rsidRPr="00984009">
        <w:rPr>
          <w:spacing w:val="-4"/>
          <w:w w:val="90"/>
        </w:rPr>
        <w:t>1972</w:t>
      </w:r>
    </w:p>
    <w:p w14:paraId="104EF6E0" w14:textId="77777777" w:rsidR="00FE4E56" w:rsidRDefault="00FE4E56" w:rsidP="00155FB1">
      <w:pPr>
        <w:pStyle w:val="AllQuotes"/>
        <w:jc w:val="center"/>
        <w:rPr>
          <w:sz w:val="18"/>
          <w:szCs w:val="18"/>
        </w:rPr>
      </w:pPr>
      <w:r w:rsidRPr="00984009">
        <w:rPr>
          <w:w w:val="85"/>
        </w:rPr>
        <w:t>PM:</w:t>
      </w:r>
      <w:r w:rsidRPr="00984009">
        <w:rPr>
          <w:spacing w:val="2"/>
        </w:rPr>
        <w:t xml:space="preserve"> </w:t>
      </w:r>
      <w:r w:rsidRPr="00984009">
        <w:rPr>
          <w:w w:val="85"/>
        </w:rPr>
        <w:t>Keith Holyoake (1960-1972) / PM:  Jack Marshall (1972)</w:t>
      </w:r>
    </w:p>
    <w:tbl>
      <w:tblPr>
        <w:tblStyle w:val="TableGrid"/>
        <w:tblW w:w="9351" w:type="dxa"/>
        <w:tblLook w:val="04A0" w:firstRow="1" w:lastRow="0" w:firstColumn="1" w:lastColumn="0" w:noHBand="0" w:noVBand="1"/>
      </w:tblPr>
      <w:tblGrid>
        <w:gridCol w:w="1838"/>
        <w:gridCol w:w="1985"/>
        <w:gridCol w:w="3118"/>
        <w:gridCol w:w="2410"/>
      </w:tblGrid>
      <w:tr w:rsidR="00FE4E56" w:rsidRPr="006A07DF" w14:paraId="7EEBC8BC" w14:textId="77777777" w:rsidTr="0022747C">
        <w:tc>
          <w:tcPr>
            <w:tcW w:w="1838" w:type="dxa"/>
            <w:shd w:val="clear" w:color="auto" w:fill="000000" w:themeFill="text1"/>
          </w:tcPr>
          <w:p w14:paraId="4061ADF1" w14:textId="77777777" w:rsidR="00FE4E56" w:rsidRPr="006A07DF" w:rsidRDefault="00FE4E56" w:rsidP="005E0F2F">
            <w:pPr>
              <w:spacing w:before="0" w:after="0" w:line="240" w:lineRule="auto"/>
              <w:rPr>
                <w:rFonts w:ascii="Arial" w:hAnsi="Arial" w:cs="Arial"/>
                <w:b/>
                <w:bCs/>
                <w:sz w:val="20"/>
                <w:szCs w:val="20"/>
              </w:rPr>
            </w:pPr>
            <w:r w:rsidRPr="006A07DF">
              <w:rPr>
                <w:rFonts w:ascii="Arial" w:hAnsi="Arial" w:cs="Arial"/>
                <w:b/>
                <w:bCs/>
                <w:sz w:val="20"/>
                <w:szCs w:val="20"/>
              </w:rPr>
              <w:t>Ministerial portfolio</w:t>
            </w:r>
          </w:p>
        </w:tc>
        <w:tc>
          <w:tcPr>
            <w:tcW w:w="1985" w:type="dxa"/>
            <w:shd w:val="clear" w:color="auto" w:fill="000000" w:themeFill="text1"/>
          </w:tcPr>
          <w:p w14:paraId="7E5AC3B9" w14:textId="77777777" w:rsidR="00FE4E56" w:rsidRPr="006A07DF" w:rsidRDefault="00FE4E56" w:rsidP="005E0F2F">
            <w:pPr>
              <w:spacing w:before="0" w:after="0" w:line="240" w:lineRule="auto"/>
              <w:rPr>
                <w:rFonts w:ascii="Arial" w:hAnsi="Arial" w:cs="Arial"/>
                <w:b/>
                <w:bCs/>
                <w:sz w:val="20"/>
                <w:szCs w:val="20"/>
              </w:rPr>
            </w:pPr>
            <w:r w:rsidRPr="006A07DF">
              <w:rPr>
                <w:rFonts w:ascii="Arial" w:hAnsi="Arial" w:cs="Arial"/>
                <w:b/>
                <w:bCs/>
                <w:sz w:val="20"/>
                <w:szCs w:val="20"/>
              </w:rPr>
              <w:t>Minister and tenure</w:t>
            </w:r>
          </w:p>
        </w:tc>
        <w:tc>
          <w:tcPr>
            <w:tcW w:w="3118" w:type="dxa"/>
            <w:shd w:val="clear" w:color="auto" w:fill="000000" w:themeFill="text1"/>
          </w:tcPr>
          <w:p w14:paraId="7B1393DA" w14:textId="77777777" w:rsidR="00FE4E56" w:rsidRPr="006A07DF" w:rsidRDefault="00FE4E56" w:rsidP="005E0F2F">
            <w:pPr>
              <w:spacing w:before="0" w:after="0" w:line="240" w:lineRule="auto"/>
              <w:rPr>
                <w:rFonts w:ascii="Arial" w:hAnsi="Arial" w:cs="Arial"/>
                <w:b/>
                <w:bCs/>
                <w:sz w:val="20"/>
                <w:szCs w:val="20"/>
              </w:rPr>
            </w:pPr>
            <w:r w:rsidRPr="006A07DF">
              <w:rPr>
                <w:rFonts w:ascii="Arial" w:hAnsi="Arial" w:cs="Arial"/>
                <w:b/>
                <w:bCs/>
                <w:sz w:val="20"/>
                <w:szCs w:val="20"/>
              </w:rPr>
              <w:t>Head of Department/</w:t>
            </w:r>
          </w:p>
          <w:p w14:paraId="391C17F1" w14:textId="77777777" w:rsidR="00FE4E56" w:rsidRPr="006A07DF" w:rsidRDefault="00FE4E56" w:rsidP="005E0F2F">
            <w:pPr>
              <w:spacing w:before="0" w:after="0" w:line="240" w:lineRule="auto"/>
              <w:rPr>
                <w:rFonts w:ascii="Arial" w:hAnsi="Arial" w:cs="Arial"/>
                <w:b/>
                <w:bCs/>
                <w:sz w:val="20"/>
                <w:szCs w:val="20"/>
              </w:rPr>
            </w:pPr>
            <w:r w:rsidRPr="006A07DF">
              <w:rPr>
                <w:rFonts w:ascii="Arial" w:hAnsi="Arial" w:cs="Arial"/>
                <w:b/>
                <w:bCs/>
                <w:sz w:val="20"/>
                <w:szCs w:val="20"/>
              </w:rPr>
              <w:t>Chief Executive</w:t>
            </w:r>
          </w:p>
        </w:tc>
        <w:tc>
          <w:tcPr>
            <w:tcW w:w="2410" w:type="dxa"/>
            <w:shd w:val="clear" w:color="auto" w:fill="000000" w:themeFill="text1"/>
          </w:tcPr>
          <w:p w14:paraId="05CF5B3C" w14:textId="77777777" w:rsidR="00FE4E56" w:rsidRPr="006A07DF" w:rsidRDefault="00FE4E56" w:rsidP="005E0F2F">
            <w:pPr>
              <w:spacing w:before="0" w:after="0" w:line="240" w:lineRule="auto"/>
              <w:rPr>
                <w:rFonts w:ascii="Arial" w:hAnsi="Arial" w:cs="Arial"/>
                <w:b/>
                <w:bCs/>
                <w:sz w:val="20"/>
                <w:szCs w:val="20"/>
              </w:rPr>
            </w:pPr>
            <w:r w:rsidRPr="006A07DF">
              <w:rPr>
                <w:rFonts w:ascii="Arial" w:hAnsi="Arial" w:cs="Arial"/>
                <w:b/>
                <w:bCs/>
                <w:sz w:val="20"/>
                <w:szCs w:val="20"/>
              </w:rPr>
              <w:t>Relevant legislation</w:t>
            </w:r>
          </w:p>
        </w:tc>
      </w:tr>
      <w:tr w:rsidR="00FE4E56" w:rsidRPr="006A07DF" w14:paraId="6CD43670" w14:textId="77777777" w:rsidTr="0022747C">
        <w:tc>
          <w:tcPr>
            <w:tcW w:w="1838" w:type="dxa"/>
          </w:tcPr>
          <w:p w14:paraId="3680E07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Social Welfare </w:t>
            </w:r>
          </w:p>
        </w:tc>
        <w:tc>
          <w:tcPr>
            <w:tcW w:w="1985" w:type="dxa"/>
          </w:tcPr>
          <w:p w14:paraId="0930EF8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N/A</w:t>
            </w:r>
          </w:p>
        </w:tc>
        <w:tc>
          <w:tcPr>
            <w:tcW w:w="3118" w:type="dxa"/>
          </w:tcPr>
          <w:p w14:paraId="3562F3C0"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N/A</w:t>
            </w:r>
          </w:p>
        </w:tc>
        <w:tc>
          <w:tcPr>
            <w:tcW w:w="2410" w:type="dxa"/>
          </w:tcPr>
          <w:p w14:paraId="302DEC6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N/A</w:t>
            </w:r>
          </w:p>
        </w:tc>
      </w:tr>
      <w:tr w:rsidR="00FE4E56" w:rsidRPr="006A07DF" w14:paraId="36FE4ABB" w14:textId="77777777" w:rsidTr="0022747C">
        <w:tc>
          <w:tcPr>
            <w:tcW w:w="1838" w:type="dxa"/>
          </w:tcPr>
          <w:p w14:paraId="243957E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Education (Education + Child Welfare Division)</w:t>
            </w:r>
          </w:p>
        </w:tc>
        <w:tc>
          <w:tcPr>
            <w:tcW w:w="1985" w:type="dxa"/>
          </w:tcPr>
          <w:p w14:paraId="46EE247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Blair Tennant </w:t>
            </w:r>
          </w:p>
          <w:p w14:paraId="38F8CFA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 –1963)</w:t>
            </w:r>
          </w:p>
          <w:p w14:paraId="3C421F6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Arthur Kinsella </w:t>
            </w:r>
          </w:p>
          <w:p w14:paraId="4FBB193E"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(1963 –1969)</w:t>
            </w:r>
          </w:p>
          <w:p w14:paraId="57C4382A"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Brian Talboys </w:t>
            </w:r>
          </w:p>
          <w:p w14:paraId="1DAB7887"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(1969 –1972)</w:t>
            </w:r>
          </w:p>
          <w:p w14:paraId="563BA1A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Lorrie Pickering </w:t>
            </w:r>
          </w:p>
          <w:p w14:paraId="48B4FF2C"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(1972)</w:t>
            </w:r>
          </w:p>
        </w:tc>
        <w:tc>
          <w:tcPr>
            <w:tcW w:w="3118" w:type="dxa"/>
          </w:tcPr>
          <w:p w14:paraId="62AE18B8"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Director of Education:</w:t>
            </w:r>
          </w:p>
          <w:p w14:paraId="4BF72D99"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Arnold E Campbell (1960 – 1966)</w:t>
            </w:r>
          </w:p>
          <w:p w14:paraId="649D2FDB"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Director-General of Education:</w:t>
            </w:r>
          </w:p>
          <w:p w14:paraId="7D41C643"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Dr Keith J Sheen (1966–1971)</w:t>
            </w:r>
          </w:p>
          <w:p w14:paraId="5F5FF325"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A N V (Ned) Dobbs (1971–1975) </w:t>
            </w:r>
          </w:p>
          <w:p w14:paraId="7EFFC78D"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Superintendent of Child Welfare:</w:t>
            </w:r>
          </w:p>
          <w:p w14:paraId="359768C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Charles E Peek (1950–1963)</w:t>
            </w:r>
          </w:p>
          <w:p w14:paraId="0C9A89C3"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L G Anderson </w:t>
            </w:r>
          </w:p>
          <w:p w14:paraId="1FA3A28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(1964–31 March 1972)</w:t>
            </w:r>
          </w:p>
        </w:tc>
        <w:tc>
          <w:tcPr>
            <w:tcW w:w="2410" w:type="dxa"/>
          </w:tcPr>
          <w:p w14:paraId="639FFB93"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Education Act 1914</w:t>
            </w:r>
          </w:p>
          <w:p w14:paraId="0B83160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Education Act 1969</w:t>
            </w:r>
          </w:p>
          <w:p w14:paraId="3EF0423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Child Welfare Act 1925</w:t>
            </w:r>
          </w:p>
          <w:p w14:paraId="2229ED23" w14:textId="77777777" w:rsidR="00FE4E56" w:rsidRPr="006A07DF" w:rsidRDefault="00FE4E56" w:rsidP="005E0F2F">
            <w:pPr>
              <w:spacing w:before="0" w:after="0" w:line="240" w:lineRule="auto"/>
              <w:rPr>
                <w:rFonts w:ascii="Arial" w:hAnsi="Arial" w:cs="Arial"/>
                <w:sz w:val="20"/>
                <w:szCs w:val="20"/>
              </w:rPr>
            </w:pPr>
            <w:hyperlink r:id="rId14" w:tooltip="Adoption Act 1955 (page does not exist)" w:history="1">
              <w:r w:rsidRPr="006A07DF">
                <w:rPr>
                  <w:rFonts w:ascii="Arial" w:hAnsi="Arial" w:cs="Arial"/>
                  <w:sz w:val="20"/>
                  <w:szCs w:val="20"/>
                </w:rPr>
                <w:t>Adoption Act 1955</w:t>
              </w:r>
            </w:hyperlink>
          </w:p>
          <w:p w14:paraId="3D7B1C6D" w14:textId="77777777" w:rsidR="00FE4E56" w:rsidRPr="006A07DF" w:rsidRDefault="00FE4E56" w:rsidP="005E0F2F">
            <w:pPr>
              <w:spacing w:before="0" w:after="0" w:line="240" w:lineRule="auto"/>
              <w:rPr>
                <w:rFonts w:ascii="Arial" w:hAnsi="Arial" w:cs="Arial"/>
                <w:sz w:val="20"/>
                <w:szCs w:val="20"/>
              </w:rPr>
            </w:pPr>
          </w:p>
        </w:tc>
      </w:tr>
      <w:tr w:rsidR="00FE4E56" w:rsidRPr="006A07DF" w14:paraId="69404236" w14:textId="77777777" w:rsidTr="0022747C">
        <w:tc>
          <w:tcPr>
            <w:tcW w:w="1838" w:type="dxa"/>
          </w:tcPr>
          <w:p w14:paraId="5485A633"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Health</w:t>
            </w:r>
          </w:p>
        </w:tc>
        <w:tc>
          <w:tcPr>
            <w:tcW w:w="1985" w:type="dxa"/>
          </w:tcPr>
          <w:p w14:paraId="2645CA3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Norman Shelton </w:t>
            </w:r>
          </w:p>
          <w:p w14:paraId="5E6AA79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 –1962)</w:t>
            </w:r>
          </w:p>
          <w:p w14:paraId="3CAB69DA"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Don McKay </w:t>
            </w:r>
          </w:p>
          <w:p w14:paraId="1708938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(1962 –1972)</w:t>
            </w:r>
          </w:p>
          <w:p w14:paraId="3F1193B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Lance Adams-Schnieder </w:t>
            </w:r>
          </w:p>
          <w:p w14:paraId="205D9BBE"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(1972)</w:t>
            </w:r>
          </w:p>
        </w:tc>
        <w:tc>
          <w:tcPr>
            <w:tcW w:w="3118" w:type="dxa"/>
          </w:tcPr>
          <w:p w14:paraId="422C98F2"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Director-General of Health:</w:t>
            </w:r>
          </w:p>
          <w:p w14:paraId="43F45C59"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Dr Harold Turbott (1959–1964)</w:t>
            </w:r>
          </w:p>
          <w:p w14:paraId="1087936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Dr D P Kennedy (1965–1972)</w:t>
            </w:r>
          </w:p>
        </w:tc>
        <w:tc>
          <w:tcPr>
            <w:tcW w:w="2410" w:type="dxa"/>
          </w:tcPr>
          <w:p w14:paraId="3C2EC4CA"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Mental Health Act 1969</w:t>
            </w:r>
          </w:p>
        </w:tc>
      </w:tr>
      <w:tr w:rsidR="00FE4E56" w:rsidRPr="006A07DF" w14:paraId="20347095" w14:textId="77777777" w:rsidTr="0022747C">
        <w:tc>
          <w:tcPr>
            <w:tcW w:w="1838" w:type="dxa"/>
          </w:tcPr>
          <w:p w14:paraId="613900BC"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Justice</w:t>
            </w:r>
          </w:p>
        </w:tc>
        <w:tc>
          <w:tcPr>
            <w:tcW w:w="1985" w:type="dxa"/>
          </w:tcPr>
          <w:p w14:paraId="62DE147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Ralph Hanan </w:t>
            </w:r>
          </w:p>
          <w:p w14:paraId="7CC345A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 –1969)</w:t>
            </w:r>
          </w:p>
          <w:p w14:paraId="6A55367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Dan Riddiford </w:t>
            </w:r>
          </w:p>
          <w:p w14:paraId="62178903"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(1969 –1972)</w:t>
            </w:r>
          </w:p>
          <w:p w14:paraId="3BF015C0"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Roy Jack </w:t>
            </w:r>
          </w:p>
          <w:p w14:paraId="047F428B"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(1972 –1972)</w:t>
            </w:r>
          </w:p>
        </w:tc>
        <w:tc>
          <w:tcPr>
            <w:tcW w:w="3118" w:type="dxa"/>
          </w:tcPr>
          <w:p w14:paraId="21286F2B"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Secretary for Justice:</w:t>
            </w:r>
          </w:p>
          <w:p w14:paraId="273D7F97"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Samuel Thompson Barnett </w:t>
            </w:r>
          </w:p>
          <w:p w14:paraId="7D549BD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(1949–1960)</w:t>
            </w:r>
          </w:p>
          <w:p w14:paraId="31EAAA92"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Dr John Lochiel Robson </w:t>
            </w:r>
          </w:p>
          <w:p w14:paraId="129E707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(1960-1970)</w:t>
            </w:r>
          </w:p>
          <w:p w14:paraId="634C6AE0"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Eric A Missen </w:t>
            </w:r>
          </w:p>
          <w:p w14:paraId="05AD0CB0"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(1971–1974)</w:t>
            </w:r>
          </w:p>
        </w:tc>
        <w:tc>
          <w:tcPr>
            <w:tcW w:w="2410" w:type="dxa"/>
          </w:tcPr>
          <w:p w14:paraId="5ACC7256"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Prevention of Crime (Borstal Institutions Establishment) Act 1924</w:t>
            </w:r>
          </w:p>
          <w:p w14:paraId="704B222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Penal Institutions Act 1954</w:t>
            </w:r>
          </w:p>
          <w:p w14:paraId="0D696AD7"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Criminal Justice Act 1954</w:t>
            </w:r>
          </w:p>
        </w:tc>
      </w:tr>
      <w:tr w:rsidR="00FE4E56" w:rsidRPr="006A07DF" w14:paraId="72497DF3" w14:textId="77777777" w:rsidTr="0022747C">
        <w:tc>
          <w:tcPr>
            <w:tcW w:w="1838" w:type="dxa"/>
          </w:tcPr>
          <w:p w14:paraId="16CFB9A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Police</w:t>
            </w:r>
          </w:p>
        </w:tc>
        <w:tc>
          <w:tcPr>
            <w:tcW w:w="1985" w:type="dxa"/>
          </w:tcPr>
          <w:p w14:paraId="3A11237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Dean Eyre </w:t>
            </w:r>
          </w:p>
          <w:p w14:paraId="3E8B4F9F"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 –1963)</w:t>
            </w:r>
          </w:p>
          <w:p w14:paraId="017A5F1B"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Percy Allen </w:t>
            </w:r>
          </w:p>
          <w:p w14:paraId="4E9F483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(1963 –1969)</w:t>
            </w:r>
          </w:p>
          <w:p w14:paraId="4FA1D1FA"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David Thommson </w:t>
            </w:r>
          </w:p>
          <w:p w14:paraId="0E013605"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(1969 –1972)</w:t>
            </w:r>
          </w:p>
          <w:p w14:paraId="5F821B4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Percy Allen </w:t>
            </w:r>
          </w:p>
          <w:p w14:paraId="1D5C8AB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(1972)</w:t>
            </w:r>
          </w:p>
        </w:tc>
        <w:tc>
          <w:tcPr>
            <w:tcW w:w="3118" w:type="dxa"/>
          </w:tcPr>
          <w:p w14:paraId="02428339"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Commissioner of Police:</w:t>
            </w:r>
          </w:p>
          <w:p w14:paraId="4CB0D50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Carl Leslie Spencer (1961–1967)</w:t>
            </w:r>
          </w:p>
          <w:p w14:paraId="36E97E0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George Colin Urquhart (1967-1969)</w:t>
            </w:r>
          </w:p>
          <w:p w14:paraId="3693E500"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Sir Angus Sharp </w:t>
            </w:r>
          </w:p>
          <w:p w14:paraId="62C4F56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(1970–1974)</w:t>
            </w:r>
          </w:p>
        </w:tc>
        <w:tc>
          <w:tcPr>
            <w:tcW w:w="2410" w:type="dxa"/>
          </w:tcPr>
          <w:p w14:paraId="390790C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Police Act 1958</w:t>
            </w:r>
          </w:p>
        </w:tc>
      </w:tr>
      <w:tr w:rsidR="00FE4E56" w:rsidRPr="006A07DF" w14:paraId="4807DA71" w14:textId="77777777" w:rsidTr="0022747C">
        <w:trPr>
          <w:trHeight w:val="300"/>
        </w:trPr>
        <w:tc>
          <w:tcPr>
            <w:tcW w:w="1838" w:type="dxa"/>
          </w:tcPr>
          <w:p w14:paraId="0871CFD0"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Corrections</w:t>
            </w:r>
          </w:p>
        </w:tc>
        <w:tc>
          <w:tcPr>
            <w:tcW w:w="1985" w:type="dxa"/>
          </w:tcPr>
          <w:p w14:paraId="113E0DD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N/A</w:t>
            </w:r>
          </w:p>
        </w:tc>
        <w:tc>
          <w:tcPr>
            <w:tcW w:w="3118" w:type="dxa"/>
          </w:tcPr>
          <w:p w14:paraId="14A5E28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N/A</w:t>
            </w:r>
          </w:p>
        </w:tc>
        <w:tc>
          <w:tcPr>
            <w:tcW w:w="2410" w:type="dxa"/>
          </w:tcPr>
          <w:p w14:paraId="3AF0EED9" w14:textId="77777777" w:rsidR="00FE4E56" w:rsidRPr="006A07DF" w:rsidRDefault="00FE4E56" w:rsidP="005E0F2F">
            <w:pPr>
              <w:spacing w:before="0" w:after="0" w:line="240" w:lineRule="auto"/>
              <w:rPr>
                <w:rFonts w:ascii="Arial" w:eastAsia="Calibri" w:hAnsi="Arial" w:cs="Arial"/>
                <w:sz w:val="20"/>
                <w:szCs w:val="20"/>
              </w:rPr>
            </w:pPr>
            <w:r w:rsidRPr="006A07DF">
              <w:rPr>
                <w:rFonts w:ascii="Arial" w:hAnsi="Arial" w:cs="Arial"/>
                <w:sz w:val="20"/>
                <w:szCs w:val="20"/>
              </w:rPr>
              <w:t>N/A</w:t>
            </w:r>
          </w:p>
        </w:tc>
      </w:tr>
      <w:tr w:rsidR="00FE4E56" w:rsidRPr="006A07DF" w14:paraId="40D94193" w14:textId="77777777" w:rsidTr="0022747C">
        <w:tc>
          <w:tcPr>
            <w:tcW w:w="1838" w:type="dxa"/>
          </w:tcPr>
          <w:p w14:paraId="7053F23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Finance</w:t>
            </w:r>
          </w:p>
        </w:tc>
        <w:tc>
          <w:tcPr>
            <w:tcW w:w="1985" w:type="dxa"/>
          </w:tcPr>
          <w:p w14:paraId="5F7F5D80"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Harry Lake </w:t>
            </w:r>
          </w:p>
          <w:p w14:paraId="3432E2B9"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(1960 –1967)</w:t>
            </w:r>
          </w:p>
          <w:p w14:paraId="1F30AA47"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Robert Muldoon </w:t>
            </w:r>
          </w:p>
          <w:p w14:paraId="29011BD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(1967 –1972)</w:t>
            </w:r>
          </w:p>
        </w:tc>
        <w:tc>
          <w:tcPr>
            <w:tcW w:w="3118" w:type="dxa"/>
          </w:tcPr>
          <w:p w14:paraId="2A94F958"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Secretary to the Treasury:</w:t>
            </w:r>
          </w:p>
          <w:p w14:paraId="302E6555"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Ted Greensmith </w:t>
            </w:r>
          </w:p>
          <w:p w14:paraId="7EF248D7"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(1955 – 1964)</w:t>
            </w:r>
          </w:p>
          <w:p w14:paraId="2FE14D94"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Doug Barker </w:t>
            </w:r>
          </w:p>
          <w:p w14:paraId="7169E8C6"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(1965 – 1966)</w:t>
            </w:r>
          </w:p>
          <w:p w14:paraId="0713F51C"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Noel Davis </w:t>
            </w:r>
          </w:p>
          <w:p w14:paraId="23AEEC58"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(1967 – 1968)</w:t>
            </w:r>
          </w:p>
          <w:p w14:paraId="08ADB627" w14:textId="77777777" w:rsidR="00FE4E56"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Henry Lang </w:t>
            </w:r>
          </w:p>
          <w:p w14:paraId="0B31A2E7"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(1969 – 1977)</w:t>
            </w:r>
          </w:p>
        </w:tc>
        <w:tc>
          <w:tcPr>
            <w:tcW w:w="2410" w:type="dxa"/>
          </w:tcPr>
          <w:p w14:paraId="0A433C42" w14:textId="77777777" w:rsidR="00FE4E56" w:rsidRPr="006A07DF" w:rsidRDefault="00FE4E56" w:rsidP="005E0F2F">
            <w:pPr>
              <w:spacing w:before="0" w:after="0" w:line="240" w:lineRule="auto"/>
              <w:rPr>
                <w:rFonts w:ascii="Arial" w:eastAsia="Calibri" w:hAnsi="Arial" w:cs="Arial"/>
                <w:sz w:val="20"/>
                <w:szCs w:val="20"/>
              </w:rPr>
            </w:pPr>
            <w:r w:rsidRPr="006A07DF">
              <w:rPr>
                <w:rFonts w:ascii="Arial" w:eastAsia="Calibri" w:hAnsi="Arial" w:cs="Arial"/>
                <w:sz w:val="20"/>
                <w:szCs w:val="20"/>
              </w:rPr>
              <w:t>Public Revenues Act 1953</w:t>
            </w:r>
          </w:p>
          <w:p w14:paraId="506B5644" w14:textId="77777777" w:rsidR="00FE4E56" w:rsidRPr="006A07DF" w:rsidRDefault="00FE4E56" w:rsidP="005E0F2F">
            <w:pPr>
              <w:spacing w:before="0" w:after="0" w:line="240" w:lineRule="auto"/>
              <w:rPr>
                <w:rFonts w:ascii="Arial" w:hAnsi="Arial" w:cs="Arial"/>
                <w:sz w:val="20"/>
                <w:szCs w:val="20"/>
              </w:rPr>
            </w:pPr>
          </w:p>
        </w:tc>
      </w:tr>
      <w:tr w:rsidR="00FE4E56" w:rsidRPr="006A07DF" w14:paraId="01D860B9" w14:textId="77777777" w:rsidTr="0022747C">
        <w:tc>
          <w:tcPr>
            <w:tcW w:w="1838" w:type="dxa"/>
          </w:tcPr>
          <w:p w14:paraId="69B57A31"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State Services </w:t>
            </w:r>
          </w:p>
        </w:tc>
        <w:tc>
          <w:tcPr>
            <w:tcW w:w="1985" w:type="dxa"/>
          </w:tcPr>
          <w:p w14:paraId="721DA92D"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 xml:space="preserve">Keith Holyoake </w:t>
            </w:r>
          </w:p>
          <w:p w14:paraId="76F01B7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(1963-1972)</w:t>
            </w:r>
          </w:p>
          <w:p w14:paraId="745A37EF" w14:textId="77777777" w:rsidR="00FE4E56" w:rsidRPr="006A07DF" w:rsidRDefault="00FE4E56" w:rsidP="005E0F2F">
            <w:pPr>
              <w:spacing w:before="0" w:after="0" w:line="240" w:lineRule="auto"/>
              <w:rPr>
                <w:rFonts w:ascii="Arial" w:hAnsi="Arial" w:cs="Arial"/>
                <w:sz w:val="20"/>
                <w:szCs w:val="20"/>
              </w:rPr>
            </w:pPr>
          </w:p>
        </w:tc>
        <w:tc>
          <w:tcPr>
            <w:tcW w:w="3118" w:type="dxa"/>
          </w:tcPr>
          <w:p w14:paraId="4420C356"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Chairman of the Public Service Commission:</w:t>
            </w:r>
          </w:p>
          <w:p w14:paraId="37F2894B"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Leonard Atkinson (1958 – 1962)</w:t>
            </w:r>
          </w:p>
          <w:p w14:paraId="6E89CDEC" w14:textId="77777777" w:rsidR="00FE4E56" w:rsidRPr="006A07DF" w:rsidRDefault="00FE4E56" w:rsidP="005E0F2F">
            <w:pPr>
              <w:spacing w:before="0" w:after="0" w:line="240" w:lineRule="auto"/>
              <w:rPr>
                <w:rFonts w:ascii="Arial" w:hAnsi="Arial" w:cs="Arial"/>
                <w:i/>
                <w:iCs/>
                <w:sz w:val="20"/>
                <w:szCs w:val="20"/>
              </w:rPr>
            </w:pPr>
            <w:r w:rsidRPr="006A07DF">
              <w:rPr>
                <w:rFonts w:ascii="Arial" w:hAnsi="Arial" w:cs="Arial"/>
                <w:i/>
                <w:iCs/>
                <w:sz w:val="20"/>
                <w:szCs w:val="20"/>
              </w:rPr>
              <w:t>Chairman of the State Services Commission:</w:t>
            </w:r>
          </w:p>
          <w:p w14:paraId="37ADC21C"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Leonard Atkinson (1963– 1966)</w:t>
            </w:r>
          </w:p>
          <w:p w14:paraId="1FFC6AE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Adrian Rodda (1967 – 1970)</w:t>
            </w:r>
          </w:p>
          <w:p w14:paraId="319D6194"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Ian Lythgoe (1971 – 1974)</w:t>
            </w:r>
          </w:p>
        </w:tc>
        <w:tc>
          <w:tcPr>
            <w:tcW w:w="2410" w:type="dxa"/>
          </w:tcPr>
          <w:p w14:paraId="7DB53FCE"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Public Service Act 1912</w:t>
            </w:r>
          </w:p>
          <w:p w14:paraId="2D5DC842" w14:textId="77777777" w:rsidR="00FE4E56" w:rsidRPr="006A07DF" w:rsidRDefault="00FE4E56" w:rsidP="005E0F2F">
            <w:pPr>
              <w:spacing w:before="0" w:after="0" w:line="240" w:lineRule="auto"/>
              <w:rPr>
                <w:rFonts w:ascii="Arial" w:hAnsi="Arial" w:cs="Arial"/>
                <w:sz w:val="20"/>
                <w:szCs w:val="20"/>
              </w:rPr>
            </w:pPr>
            <w:r w:rsidRPr="006A07DF">
              <w:rPr>
                <w:rFonts w:ascii="Arial" w:hAnsi="Arial" w:cs="Arial"/>
                <w:sz w:val="20"/>
                <w:szCs w:val="20"/>
              </w:rPr>
              <w:t>State Services Act 1962</w:t>
            </w:r>
            <w:r w:rsidRPr="006A07DF">
              <w:rPr>
                <w:rFonts w:ascii="Arial" w:hAnsi="Arial" w:cs="Arial"/>
                <w:sz w:val="20"/>
                <w:szCs w:val="20"/>
                <w:shd w:val="clear" w:color="auto" w:fill="FFFFFF"/>
              </w:rPr>
              <w:t> </w:t>
            </w:r>
          </w:p>
        </w:tc>
      </w:tr>
    </w:tbl>
    <w:p w14:paraId="65035D64" w14:textId="77777777" w:rsidR="00FE4E56" w:rsidRPr="00AF31E0" w:rsidRDefault="00FE4E56" w:rsidP="00654280">
      <w:pPr>
        <w:rPr>
          <w:rFonts w:ascii="Arial" w:hAnsi="Arial" w:cs="Arial"/>
          <w:sz w:val="18"/>
          <w:szCs w:val="18"/>
        </w:rPr>
      </w:pPr>
      <w:r w:rsidRPr="00AF31E0">
        <w:rPr>
          <w:rFonts w:ascii="Arial" w:hAnsi="Arial" w:cs="Arial"/>
          <w:sz w:val="18"/>
          <w:szCs w:val="18"/>
        </w:rPr>
        <w:br w:type="page"/>
      </w:r>
    </w:p>
    <w:p w14:paraId="4D22AA69" w14:textId="77777777" w:rsidR="00FE4E56" w:rsidRPr="00E56462" w:rsidRDefault="00FE4E56" w:rsidP="00155FB1">
      <w:pPr>
        <w:pStyle w:val="AllQuotes"/>
        <w:jc w:val="center"/>
      </w:pPr>
      <w:r w:rsidRPr="00E56462">
        <w:rPr>
          <w:w w:val="90"/>
        </w:rPr>
        <w:lastRenderedPageBreak/>
        <w:t>Labour</w:t>
      </w:r>
      <w:r w:rsidRPr="00E56462">
        <w:rPr>
          <w:spacing w:val="10"/>
        </w:rPr>
        <w:t xml:space="preserve"> </w:t>
      </w:r>
      <w:r w:rsidRPr="00E56462">
        <w:rPr>
          <w:w w:val="90"/>
        </w:rPr>
        <w:t>Government</w:t>
      </w:r>
      <w:r w:rsidRPr="00E56462">
        <w:rPr>
          <w:spacing w:val="10"/>
        </w:rPr>
        <w:t xml:space="preserve"> </w:t>
      </w:r>
      <w:r w:rsidRPr="00E56462">
        <w:rPr>
          <w:w w:val="90"/>
        </w:rPr>
        <w:t>1972</w:t>
      </w:r>
      <w:r w:rsidRPr="00E56462">
        <w:rPr>
          <w:spacing w:val="11"/>
        </w:rPr>
        <w:t xml:space="preserve"> </w:t>
      </w:r>
      <w:r w:rsidRPr="00E56462">
        <w:rPr>
          <w:w w:val="90"/>
        </w:rPr>
        <w:t>–</w:t>
      </w:r>
      <w:r w:rsidRPr="00E56462">
        <w:rPr>
          <w:spacing w:val="10"/>
        </w:rPr>
        <w:t xml:space="preserve"> </w:t>
      </w:r>
      <w:r w:rsidRPr="00E56462">
        <w:rPr>
          <w:spacing w:val="-4"/>
          <w:w w:val="90"/>
        </w:rPr>
        <w:t>1975</w:t>
      </w:r>
    </w:p>
    <w:p w14:paraId="45F049E6" w14:textId="77777777" w:rsidR="00FE4E56" w:rsidRPr="00E56462" w:rsidRDefault="00FE4E56" w:rsidP="00155FB1">
      <w:pPr>
        <w:pStyle w:val="AllQuotes"/>
        <w:jc w:val="center"/>
      </w:pPr>
      <w:r w:rsidRPr="00E56462">
        <w:rPr>
          <w:w w:val="85"/>
        </w:rPr>
        <w:t>PM:</w:t>
      </w:r>
      <w:r w:rsidRPr="00E56462">
        <w:rPr>
          <w:spacing w:val="2"/>
        </w:rPr>
        <w:t xml:space="preserve"> </w:t>
      </w:r>
      <w:r w:rsidRPr="00E56462">
        <w:rPr>
          <w:w w:val="85"/>
        </w:rPr>
        <w:t>Norman Kirk (1972-1974) / PM:  Bill Rowling (1974-1975)</w:t>
      </w:r>
    </w:p>
    <w:tbl>
      <w:tblPr>
        <w:tblStyle w:val="TableGrid"/>
        <w:tblW w:w="0" w:type="auto"/>
        <w:tblLook w:val="04A0" w:firstRow="1" w:lastRow="0" w:firstColumn="1" w:lastColumn="0" w:noHBand="0" w:noVBand="1"/>
      </w:tblPr>
      <w:tblGrid>
        <w:gridCol w:w="1838"/>
        <w:gridCol w:w="2126"/>
        <w:gridCol w:w="2410"/>
        <w:gridCol w:w="2410"/>
      </w:tblGrid>
      <w:tr w:rsidR="00FE4E56" w:rsidRPr="00E56462" w14:paraId="6A7742D1" w14:textId="77777777" w:rsidTr="0022747C">
        <w:trPr>
          <w:tblHeader/>
        </w:trPr>
        <w:tc>
          <w:tcPr>
            <w:tcW w:w="1838" w:type="dxa"/>
            <w:shd w:val="clear" w:color="auto" w:fill="000000" w:themeFill="text1"/>
          </w:tcPr>
          <w:p w14:paraId="2E4FC889" w14:textId="77777777" w:rsidR="00FE4E56" w:rsidRPr="00E56462" w:rsidRDefault="00FE4E56" w:rsidP="005E0F2F">
            <w:pPr>
              <w:spacing w:before="0" w:after="0" w:line="240" w:lineRule="auto"/>
              <w:rPr>
                <w:rFonts w:ascii="Arial" w:hAnsi="Arial" w:cs="Arial"/>
                <w:b/>
                <w:bCs/>
                <w:sz w:val="20"/>
                <w:szCs w:val="20"/>
              </w:rPr>
            </w:pPr>
            <w:r w:rsidRPr="00E56462">
              <w:rPr>
                <w:rFonts w:ascii="Arial" w:hAnsi="Arial" w:cs="Arial"/>
                <w:b/>
                <w:bCs/>
                <w:sz w:val="20"/>
                <w:szCs w:val="20"/>
              </w:rPr>
              <w:t>Ministerial portfolio</w:t>
            </w:r>
          </w:p>
        </w:tc>
        <w:tc>
          <w:tcPr>
            <w:tcW w:w="2126" w:type="dxa"/>
            <w:shd w:val="clear" w:color="auto" w:fill="000000" w:themeFill="text1"/>
          </w:tcPr>
          <w:p w14:paraId="45CCEA4A" w14:textId="77777777" w:rsidR="00FE4E56" w:rsidRPr="00E56462" w:rsidRDefault="00FE4E56" w:rsidP="005E0F2F">
            <w:pPr>
              <w:spacing w:before="0" w:after="0" w:line="240" w:lineRule="auto"/>
              <w:rPr>
                <w:rFonts w:ascii="Arial" w:hAnsi="Arial" w:cs="Arial"/>
                <w:b/>
                <w:bCs/>
                <w:sz w:val="20"/>
                <w:szCs w:val="20"/>
              </w:rPr>
            </w:pPr>
            <w:r w:rsidRPr="00E56462">
              <w:rPr>
                <w:rFonts w:ascii="Arial" w:hAnsi="Arial" w:cs="Arial"/>
                <w:b/>
                <w:bCs/>
                <w:sz w:val="20"/>
                <w:szCs w:val="20"/>
              </w:rPr>
              <w:t>Minister and tenure</w:t>
            </w:r>
          </w:p>
        </w:tc>
        <w:tc>
          <w:tcPr>
            <w:tcW w:w="2410" w:type="dxa"/>
            <w:shd w:val="clear" w:color="auto" w:fill="000000" w:themeFill="text1"/>
          </w:tcPr>
          <w:p w14:paraId="6144ED66" w14:textId="77777777" w:rsidR="00FE4E56" w:rsidRPr="00E56462" w:rsidRDefault="00FE4E56" w:rsidP="005E0F2F">
            <w:pPr>
              <w:spacing w:before="0" w:after="0" w:line="240" w:lineRule="auto"/>
              <w:rPr>
                <w:rFonts w:ascii="Arial" w:hAnsi="Arial" w:cs="Arial"/>
                <w:b/>
                <w:bCs/>
                <w:sz w:val="20"/>
                <w:szCs w:val="20"/>
              </w:rPr>
            </w:pPr>
            <w:r w:rsidRPr="00E56462">
              <w:rPr>
                <w:rFonts w:ascii="Arial" w:hAnsi="Arial" w:cs="Arial"/>
                <w:b/>
                <w:bCs/>
                <w:sz w:val="20"/>
                <w:szCs w:val="20"/>
              </w:rPr>
              <w:t>Head of Department/</w:t>
            </w:r>
          </w:p>
          <w:p w14:paraId="2C545E10" w14:textId="77777777" w:rsidR="00FE4E56" w:rsidRPr="00E56462" w:rsidRDefault="00FE4E56" w:rsidP="005E0F2F">
            <w:pPr>
              <w:spacing w:before="0" w:after="0" w:line="240" w:lineRule="auto"/>
              <w:rPr>
                <w:rFonts w:ascii="Arial" w:hAnsi="Arial" w:cs="Arial"/>
                <w:b/>
                <w:bCs/>
                <w:sz w:val="20"/>
                <w:szCs w:val="20"/>
              </w:rPr>
            </w:pPr>
            <w:r w:rsidRPr="00E56462">
              <w:rPr>
                <w:rFonts w:ascii="Arial" w:hAnsi="Arial" w:cs="Arial"/>
                <w:b/>
                <w:bCs/>
                <w:sz w:val="20"/>
                <w:szCs w:val="20"/>
              </w:rPr>
              <w:t>Chief Executive</w:t>
            </w:r>
          </w:p>
        </w:tc>
        <w:tc>
          <w:tcPr>
            <w:tcW w:w="2410" w:type="dxa"/>
            <w:shd w:val="clear" w:color="auto" w:fill="000000" w:themeFill="text1"/>
          </w:tcPr>
          <w:p w14:paraId="3BA956E4" w14:textId="77777777" w:rsidR="00FE4E56" w:rsidRPr="00E56462" w:rsidRDefault="00FE4E56" w:rsidP="005E0F2F">
            <w:pPr>
              <w:spacing w:before="0" w:after="0" w:line="240" w:lineRule="auto"/>
              <w:rPr>
                <w:rFonts w:ascii="Arial" w:hAnsi="Arial" w:cs="Arial"/>
                <w:b/>
                <w:bCs/>
                <w:sz w:val="20"/>
                <w:szCs w:val="20"/>
              </w:rPr>
            </w:pPr>
            <w:r w:rsidRPr="00E56462">
              <w:rPr>
                <w:rFonts w:ascii="Arial" w:hAnsi="Arial" w:cs="Arial"/>
                <w:b/>
                <w:bCs/>
                <w:sz w:val="20"/>
                <w:szCs w:val="20"/>
              </w:rPr>
              <w:t>Relevant legislation</w:t>
            </w:r>
          </w:p>
        </w:tc>
      </w:tr>
      <w:tr w:rsidR="00FE4E56" w:rsidRPr="00E56462" w14:paraId="628D2C7F" w14:textId="77777777" w:rsidTr="0022747C">
        <w:tc>
          <w:tcPr>
            <w:tcW w:w="1838" w:type="dxa"/>
          </w:tcPr>
          <w:p w14:paraId="7C4B2B8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Social Welfare</w:t>
            </w:r>
          </w:p>
          <w:p w14:paraId="6AD1F7EA" w14:textId="77777777" w:rsidR="00FE4E56" w:rsidRPr="00E56462" w:rsidRDefault="00FE4E56" w:rsidP="005E0F2F">
            <w:pPr>
              <w:spacing w:before="0" w:after="0" w:line="240" w:lineRule="auto"/>
              <w:rPr>
                <w:rFonts w:ascii="Arial" w:hAnsi="Arial" w:cs="Arial"/>
                <w:sz w:val="20"/>
                <w:szCs w:val="20"/>
              </w:rPr>
            </w:pPr>
          </w:p>
        </w:tc>
        <w:tc>
          <w:tcPr>
            <w:tcW w:w="2126" w:type="dxa"/>
          </w:tcPr>
          <w:p w14:paraId="1420C16C"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Norman King</w:t>
            </w:r>
          </w:p>
          <w:p w14:paraId="47A917FD"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(1972-1975)</w:t>
            </w:r>
          </w:p>
        </w:tc>
        <w:tc>
          <w:tcPr>
            <w:tcW w:w="2410" w:type="dxa"/>
          </w:tcPr>
          <w:p w14:paraId="3D0A10E3"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Director-General of Social Welfare:</w:t>
            </w:r>
          </w:p>
          <w:p w14:paraId="4636B559"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Ian D J MacKay </w:t>
            </w:r>
          </w:p>
          <w:p w14:paraId="3BD7EBDA"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 –1976)</w:t>
            </w:r>
          </w:p>
        </w:tc>
        <w:tc>
          <w:tcPr>
            <w:tcW w:w="2410" w:type="dxa"/>
          </w:tcPr>
          <w:p w14:paraId="657FDFD6" w14:textId="77777777" w:rsidR="00FE4E56" w:rsidRPr="00E56462" w:rsidRDefault="00FE4E56" w:rsidP="005E0F2F">
            <w:pPr>
              <w:spacing w:before="0" w:after="0" w:line="240" w:lineRule="auto"/>
              <w:rPr>
                <w:rFonts w:ascii="Arial" w:hAnsi="Arial" w:cs="Arial"/>
                <w:sz w:val="20"/>
                <w:szCs w:val="20"/>
              </w:rPr>
            </w:pPr>
            <w:hyperlink r:id="rId15" w:tooltip="Adoption Act 1955 (page does not exist)" w:history="1">
              <w:r w:rsidRPr="00E56462">
                <w:rPr>
                  <w:rFonts w:ascii="Arial" w:hAnsi="Arial" w:cs="Arial"/>
                  <w:sz w:val="20"/>
                  <w:szCs w:val="20"/>
                </w:rPr>
                <w:t>Adoption Act 1955</w:t>
              </w:r>
            </w:hyperlink>
          </w:p>
          <w:p w14:paraId="75BB062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Children and Young Persons Act 1974</w:t>
            </w:r>
          </w:p>
          <w:p w14:paraId="22E91311" w14:textId="77777777" w:rsidR="00FE4E56" w:rsidRPr="00E56462" w:rsidRDefault="00FE4E56" w:rsidP="005E0F2F">
            <w:pPr>
              <w:spacing w:before="0" w:after="0" w:line="240" w:lineRule="auto"/>
              <w:rPr>
                <w:rFonts w:ascii="Arial" w:hAnsi="Arial" w:cs="Arial"/>
                <w:sz w:val="20"/>
                <w:szCs w:val="20"/>
              </w:rPr>
            </w:pPr>
          </w:p>
        </w:tc>
      </w:tr>
      <w:tr w:rsidR="00FE4E56" w:rsidRPr="00E56462" w14:paraId="4CA91357" w14:textId="77777777" w:rsidTr="0022747C">
        <w:tc>
          <w:tcPr>
            <w:tcW w:w="1838" w:type="dxa"/>
          </w:tcPr>
          <w:p w14:paraId="5CF0DC40"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Education</w:t>
            </w:r>
          </w:p>
        </w:tc>
        <w:tc>
          <w:tcPr>
            <w:tcW w:w="2126" w:type="dxa"/>
          </w:tcPr>
          <w:p w14:paraId="1F3E747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Phil Amos</w:t>
            </w:r>
          </w:p>
          <w:p w14:paraId="3A06E4A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(1972-1975)</w:t>
            </w:r>
          </w:p>
        </w:tc>
        <w:tc>
          <w:tcPr>
            <w:tcW w:w="2410" w:type="dxa"/>
          </w:tcPr>
          <w:p w14:paraId="357FACD2" w14:textId="77777777" w:rsidR="00FE4E56" w:rsidRPr="00E56462" w:rsidRDefault="00FE4E56" w:rsidP="005E0F2F">
            <w:pPr>
              <w:spacing w:before="0" w:after="0" w:line="240" w:lineRule="auto"/>
              <w:rPr>
                <w:rFonts w:ascii="Arial" w:hAnsi="Arial" w:cs="Arial"/>
                <w:i/>
                <w:iCs/>
                <w:sz w:val="20"/>
                <w:szCs w:val="20"/>
              </w:rPr>
            </w:pPr>
            <w:r w:rsidRPr="00E56462">
              <w:rPr>
                <w:rFonts w:ascii="Arial" w:hAnsi="Arial" w:cs="Arial"/>
                <w:i/>
                <w:iCs/>
                <w:sz w:val="20"/>
                <w:szCs w:val="20"/>
              </w:rPr>
              <w:t>Director-General of Education:</w:t>
            </w:r>
          </w:p>
          <w:p w14:paraId="7E15C44F"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A N V (Ned) Dobbs (1971–1975)</w:t>
            </w:r>
          </w:p>
          <w:p w14:paraId="24190A9B"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William (Bill) L Renwick  </w:t>
            </w:r>
            <w:r>
              <w:rPr>
                <w:rFonts w:ascii="Arial" w:hAnsi="Arial" w:cs="Arial"/>
                <w:sz w:val="20"/>
                <w:szCs w:val="20"/>
              </w:rPr>
              <w:t>(</w:t>
            </w:r>
            <w:r w:rsidRPr="00E56462">
              <w:rPr>
                <w:rFonts w:ascii="Arial" w:hAnsi="Arial" w:cs="Arial"/>
                <w:sz w:val="20"/>
                <w:szCs w:val="20"/>
              </w:rPr>
              <w:t>1975–1988)</w:t>
            </w:r>
          </w:p>
        </w:tc>
        <w:tc>
          <w:tcPr>
            <w:tcW w:w="2410" w:type="dxa"/>
          </w:tcPr>
          <w:p w14:paraId="6FB8922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Education Act 1969</w:t>
            </w:r>
          </w:p>
          <w:p w14:paraId="16CCDF8E" w14:textId="77777777" w:rsidR="00FE4E56" w:rsidRPr="00E56462" w:rsidRDefault="00FE4E56" w:rsidP="005E0F2F">
            <w:pPr>
              <w:spacing w:before="0" w:after="0" w:line="240" w:lineRule="auto"/>
              <w:rPr>
                <w:rFonts w:ascii="Arial" w:hAnsi="Arial" w:cs="Arial"/>
                <w:sz w:val="20"/>
                <w:szCs w:val="20"/>
              </w:rPr>
            </w:pPr>
          </w:p>
        </w:tc>
      </w:tr>
      <w:tr w:rsidR="00FE4E56" w:rsidRPr="00E56462" w14:paraId="65A8B66A" w14:textId="77777777" w:rsidTr="0022747C">
        <w:tc>
          <w:tcPr>
            <w:tcW w:w="1838" w:type="dxa"/>
          </w:tcPr>
          <w:p w14:paraId="0D57D8C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Health</w:t>
            </w:r>
          </w:p>
        </w:tc>
        <w:tc>
          <w:tcPr>
            <w:tcW w:w="2126" w:type="dxa"/>
          </w:tcPr>
          <w:p w14:paraId="7E23506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Bob Tizard</w:t>
            </w:r>
          </w:p>
          <w:p w14:paraId="2BCFAB80"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(1972-1974)</w:t>
            </w:r>
          </w:p>
          <w:p w14:paraId="58F3168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Tom McGuigan</w:t>
            </w:r>
          </w:p>
          <w:p w14:paraId="00B52340"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(1974-1975)</w:t>
            </w:r>
          </w:p>
        </w:tc>
        <w:tc>
          <w:tcPr>
            <w:tcW w:w="2410" w:type="dxa"/>
          </w:tcPr>
          <w:p w14:paraId="401603AD" w14:textId="77777777" w:rsidR="00FE4E56" w:rsidRPr="00E56462" w:rsidRDefault="00FE4E56" w:rsidP="005E0F2F">
            <w:pPr>
              <w:spacing w:before="0" w:after="0" w:line="240" w:lineRule="auto"/>
              <w:rPr>
                <w:rFonts w:ascii="Arial" w:hAnsi="Arial" w:cs="Arial"/>
                <w:i/>
                <w:iCs/>
                <w:sz w:val="20"/>
                <w:szCs w:val="20"/>
              </w:rPr>
            </w:pPr>
            <w:r w:rsidRPr="00E56462">
              <w:rPr>
                <w:rFonts w:ascii="Arial" w:hAnsi="Arial" w:cs="Arial"/>
                <w:i/>
                <w:iCs/>
                <w:sz w:val="20"/>
                <w:szCs w:val="20"/>
              </w:rPr>
              <w:t>Director-General of Health:</w:t>
            </w:r>
          </w:p>
          <w:p w14:paraId="2797CAE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Dr H J H Hiddlestone (1973–1983)</w:t>
            </w:r>
          </w:p>
        </w:tc>
        <w:tc>
          <w:tcPr>
            <w:tcW w:w="2410" w:type="dxa"/>
          </w:tcPr>
          <w:p w14:paraId="054F068A"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Mental Health Act 1969</w:t>
            </w:r>
          </w:p>
          <w:p w14:paraId="43BA85B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Disabled Persons Community Welfare Act 1975</w:t>
            </w:r>
          </w:p>
        </w:tc>
      </w:tr>
      <w:tr w:rsidR="00FE4E56" w:rsidRPr="00E56462" w14:paraId="3F005880" w14:textId="77777777" w:rsidTr="0022747C">
        <w:tc>
          <w:tcPr>
            <w:tcW w:w="1838" w:type="dxa"/>
          </w:tcPr>
          <w:p w14:paraId="146AE0CB"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Justice</w:t>
            </w:r>
          </w:p>
        </w:tc>
        <w:tc>
          <w:tcPr>
            <w:tcW w:w="2126" w:type="dxa"/>
          </w:tcPr>
          <w:p w14:paraId="633E8EE1"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Martyn Finlay</w:t>
            </w:r>
          </w:p>
          <w:p w14:paraId="71FC4459"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(1972-1975)</w:t>
            </w:r>
          </w:p>
        </w:tc>
        <w:tc>
          <w:tcPr>
            <w:tcW w:w="2410" w:type="dxa"/>
          </w:tcPr>
          <w:p w14:paraId="75D6F8C6" w14:textId="77777777" w:rsidR="00FE4E56" w:rsidRPr="00E56462" w:rsidRDefault="00FE4E56" w:rsidP="005E0F2F">
            <w:pPr>
              <w:spacing w:before="0" w:after="0" w:line="240" w:lineRule="auto"/>
              <w:rPr>
                <w:rFonts w:ascii="Arial" w:hAnsi="Arial" w:cs="Arial"/>
                <w:i/>
                <w:iCs/>
                <w:sz w:val="20"/>
                <w:szCs w:val="20"/>
              </w:rPr>
            </w:pPr>
            <w:r w:rsidRPr="00E56462">
              <w:rPr>
                <w:rFonts w:ascii="Arial" w:hAnsi="Arial" w:cs="Arial"/>
                <w:i/>
                <w:iCs/>
                <w:sz w:val="20"/>
                <w:szCs w:val="20"/>
              </w:rPr>
              <w:t xml:space="preserve">Secretary for Justice: </w:t>
            </w:r>
          </w:p>
          <w:p w14:paraId="5312BA3E"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Eric A Missen </w:t>
            </w:r>
          </w:p>
          <w:p w14:paraId="107FAF2C"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(1971–1974)</w:t>
            </w:r>
          </w:p>
          <w:p w14:paraId="0D6FEBE0"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Gordon S Orr </w:t>
            </w:r>
          </w:p>
          <w:p w14:paraId="19B8AF64"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(1974-1979)</w:t>
            </w:r>
          </w:p>
        </w:tc>
        <w:tc>
          <w:tcPr>
            <w:tcW w:w="2410" w:type="dxa"/>
          </w:tcPr>
          <w:p w14:paraId="5D2D5FF3"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Prevention of Crime (Borstal Institutions Establishment) Act 1924</w:t>
            </w:r>
          </w:p>
          <w:p w14:paraId="30C6D834"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Penal Institutions Act 1954</w:t>
            </w:r>
          </w:p>
          <w:p w14:paraId="5760FE15"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Criminal Justice Act 1954</w:t>
            </w:r>
          </w:p>
        </w:tc>
      </w:tr>
      <w:tr w:rsidR="00FE4E56" w:rsidRPr="00E56462" w14:paraId="2A4F0344" w14:textId="77777777" w:rsidTr="0022747C">
        <w:tc>
          <w:tcPr>
            <w:tcW w:w="1838" w:type="dxa"/>
          </w:tcPr>
          <w:p w14:paraId="0B4FFD6C"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Police</w:t>
            </w:r>
          </w:p>
        </w:tc>
        <w:tc>
          <w:tcPr>
            <w:tcW w:w="2126" w:type="dxa"/>
          </w:tcPr>
          <w:p w14:paraId="16B9C053"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Mick Connelly</w:t>
            </w:r>
          </w:p>
          <w:p w14:paraId="6F13EA7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(1972-1975)</w:t>
            </w:r>
          </w:p>
        </w:tc>
        <w:tc>
          <w:tcPr>
            <w:tcW w:w="2410" w:type="dxa"/>
          </w:tcPr>
          <w:p w14:paraId="6A15FD64" w14:textId="77777777" w:rsidR="00FE4E56" w:rsidRPr="00E56462" w:rsidRDefault="00FE4E56" w:rsidP="005E0F2F">
            <w:pPr>
              <w:spacing w:before="0" w:after="0" w:line="240" w:lineRule="auto"/>
              <w:rPr>
                <w:rFonts w:ascii="Arial" w:hAnsi="Arial" w:cs="Arial"/>
                <w:i/>
                <w:iCs/>
                <w:sz w:val="20"/>
                <w:szCs w:val="20"/>
              </w:rPr>
            </w:pPr>
            <w:r w:rsidRPr="00E56462">
              <w:rPr>
                <w:rFonts w:ascii="Arial" w:hAnsi="Arial" w:cs="Arial"/>
                <w:i/>
                <w:iCs/>
                <w:sz w:val="20"/>
                <w:szCs w:val="20"/>
              </w:rPr>
              <w:t>Commissioner of Police:</w:t>
            </w:r>
          </w:p>
          <w:p w14:paraId="68A6C768"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Sir Angus Sharp </w:t>
            </w:r>
          </w:p>
          <w:p w14:paraId="613CD811"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(1970–1974)</w:t>
            </w:r>
          </w:p>
          <w:p w14:paraId="7639E49B"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Ken Burnside </w:t>
            </w:r>
          </w:p>
          <w:p w14:paraId="260405BF"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(1974–1978)</w:t>
            </w:r>
          </w:p>
        </w:tc>
        <w:tc>
          <w:tcPr>
            <w:tcW w:w="2410" w:type="dxa"/>
          </w:tcPr>
          <w:p w14:paraId="035D388C"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Police Act 1958</w:t>
            </w:r>
          </w:p>
        </w:tc>
      </w:tr>
      <w:tr w:rsidR="00FE4E56" w:rsidRPr="00E56462" w14:paraId="1D3F4376" w14:textId="77777777" w:rsidTr="0022747C">
        <w:trPr>
          <w:trHeight w:val="300"/>
        </w:trPr>
        <w:tc>
          <w:tcPr>
            <w:tcW w:w="1838" w:type="dxa"/>
          </w:tcPr>
          <w:p w14:paraId="343D083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Corrections</w:t>
            </w:r>
          </w:p>
        </w:tc>
        <w:tc>
          <w:tcPr>
            <w:tcW w:w="2126" w:type="dxa"/>
          </w:tcPr>
          <w:p w14:paraId="24710EE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N/A</w:t>
            </w:r>
          </w:p>
        </w:tc>
        <w:tc>
          <w:tcPr>
            <w:tcW w:w="2410" w:type="dxa"/>
          </w:tcPr>
          <w:p w14:paraId="2054B2F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N/A</w:t>
            </w:r>
          </w:p>
        </w:tc>
        <w:tc>
          <w:tcPr>
            <w:tcW w:w="2410" w:type="dxa"/>
          </w:tcPr>
          <w:p w14:paraId="6C6296C7" w14:textId="77777777" w:rsidR="00FE4E56" w:rsidRPr="00E56462" w:rsidRDefault="00FE4E56" w:rsidP="005E0F2F">
            <w:pPr>
              <w:spacing w:before="0" w:after="0" w:line="240" w:lineRule="auto"/>
              <w:rPr>
                <w:rFonts w:ascii="Arial" w:eastAsia="Calibri" w:hAnsi="Arial" w:cs="Arial"/>
                <w:sz w:val="20"/>
                <w:szCs w:val="20"/>
              </w:rPr>
            </w:pPr>
            <w:r w:rsidRPr="00E56462">
              <w:rPr>
                <w:rFonts w:ascii="Arial" w:hAnsi="Arial" w:cs="Arial"/>
                <w:sz w:val="20"/>
                <w:szCs w:val="20"/>
              </w:rPr>
              <w:t>N/A</w:t>
            </w:r>
          </w:p>
        </w:tc>
      </w:tr>
      <w:tr w:rsidR="00FE4E56" w:rsidRPr="00E56462" w14:paraId="127B8683" w14:textId="77777777" w:rsidTr="0022747C">
        <w:tc>
          <w:tcPr>
            <w:tcW w:w="1838" w:type="dxa"/>
          </w:tcPr>
          <w:p w14:paraId="1F0BC063"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Finance</w:t>
            </w:r>
          </w:p>
        </w:tc>
        <w:tc>
          <w:tcPr>
            <w:tcW w:w="2126" w:type="dxa"/>
          </w:tcPr>
          <w:p w14:paraId="20E06A7C"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Bob Rowling </w:t>
            </w:r>
          </w:p>
          <w:p w14:paraId="5C61ECB0"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(1972-1974)</w:t>
            </w:r>
          </w:p>
          <w:p w14:paraId="33C20D61"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Bob Tizard </w:t>
            </w:r>
          </w:p>
          <w:p w14:paraId="36881C3A"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(1974 –1975)</w:t>
            </w:r>
          </w:p>
        </w:tc>
        <w:tc>
          <w:tcPr>
            <w:tcW w:w="2410" w:type="dxa"/>
          </w:tcPr>
          <w:p w14:paraId="1EAFBCA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Secretary to the Treasury:</w:t>
            </w:r>
          </w:p>
          <w:p w14:paraId="56E6305B"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Henry Lang </w:t>
            </w:r>
          </w:p>
          <w:p w14:paraId="57DA0865"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(1969 – 1977)</w:t>
            </w:r>
          </w:p>
        </w:tc>
        <w:tc>
          <w:tcPr>
            <w:tcW w:w="2410" w:type="dxa"/>
          </w:tcPr>
          <w:p w14:paraId="6280F5C3" w14:textId="77777777" w:rsidR="00FE4E56" w:rsidRPr="00E56462" w:rsidRDefault="00FE4E56" w:rsidP="005E0F2F">
            <w:pPr>
              <w:spacing w:before="0" w:after="0" w:line="240" w:lineRule="auto"/>
              <w:rPr>
                <w:rFonts w:ascii="Arial" w:eastAsia="Calibri" w:hAnsi="Arial" w:cs="Arial"/>
                <w:sz w:val="20"/>
                <w:szCs w:val="20"/>
              </w:rPr>
            </w:pPr>
            <w:r w:rsidRPr="00E56462">
              <w:rPr>
                <w:rFonts w:ascii="Arial" w:eastAsia="Calibri" w:hAnsi="Arial" w:cs="Arial"/>
                <w:sz w:val="20"/>
                <w:szCs w:val="20"/>
              </w:rPr>
              <w:t>Public Revenues Act 1953</w:t>
            </w:r>
          </w:p>
          <w:p w14:paraId="08612956" w14:textId="77777777" w:rsidR="00FE4E56" w:rsidRPr="00E56462" w:rsidRDefault="00FE4E56" w:rsidP="005E0F2F">
            <w:pPr>
              <w:spacing w:before="0" w:after="0" w:line="240" w:lineRule="auto"/>
              <w:rPr>
                <w:rFonts w:ascii="Arial" w:hAnsi="Arial" w:cs="Arial"/>
                <w:sz w:val="20"/>
                <w:szCs w:val="20"/>
              </w:rPr>
            </w:pPr>
          </w:p>
        </w:tc>
      </w:tr>
      <w:tr w:rsidR="00FE4E56" w:rsidRPr="00E56462" w14:paraId="5231019B" w14:textId="77777777" w:rsidTr="0022747C">
        <w:tc>
          <w:tcPr>
            <w:tcW w:w="1838" w:type="dxa"/>
          </w:tcPr>
          <w:p w14:paraId="27E400E5"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State Services </w:t>
            </w:r>
          </w:p>
        </w:tc>
        <w:tc>
          <w:tcPr>
            <w:tcW w:w="2126" w:type="dxa"/>
          </w:tcPr>
          <w:p w14:paraId="7103189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Jack Marshall (1972)</w:t>
            </w:r>
          </w:p>
          <w:p w14:paraId="1ED38365"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Bob Tizard (1972-1974)</w:t>
            </w:r>
          </w:p>
          <w:p w14:paraId="33647D0E"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Arthur Faulkner </w:t>
            </w:r>
          </w:p>
          <w:p w14:paraId="311E40E1"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(1974-1975)</w:t>
            </w:r>
          </w:p>
        </w:tc>
        <w:tc>
          <w:tcPr>
            <w:tcW w:w="2410" w:type="dxa"/>
          </w:tcPr>
          <w:p w14:paraId="70ABB374" w14:textId="77777777" w:rsidR="00FE4E56" w:rsidRPr="00E56462" w:rsidRDefault="00FE4E56" w:rsidP="005E0F2F">
            <w:pPr>
              <w:spacing w:before="0" w:after="0" w:line="240" w:lineRule="auto"/>
              <w:rPr>
                <w:rFonts w:ascii="Arial" w:hAnsi="Arial" w:cs="Arial"/>
                <w:i/>
                <w:iCs/>
                <w:sz w:val="20"/>
                <w:szCs w:val="20"/>
              </w:rPr>
            </w:pPr>
            <w:r w:rsidRPr="00E56462">
              <w:rPr>
                <w:rFonts w:ascii="Arial" w:hAnsi="Arial" w:cs="Arial"/>
                <w:i/>
                <w:iCs/>
                <w:sz w:val="20"/>
                <w:szCs w:val="20"/>
              </w:rPr>
              <w:t>Chairman of the State Services Commission:</w:t>
            </w:r>
          </w:p>
          <w:p w14:paraId="0610606E"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Ian Lythgoe </w:t>
            </w:r>
          </w:p>
          <w:p w14:paraId="3D501608"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(1971 – 1974)</w:t>
            </w:r>
          </w:p>
          <w:p w14:paraId="446A01FB" w14:textId="77777777" w:rsidR="00FE4E56" w:rsidRDefault="00FE4E56" w:rsidP="005E0F2F">
            <w:pPr>
              <w:spacing w:before="0" w:after="0" w:line="240" w:lineRule="auto"/>
              <w:rPr>
                <w:rFonts w:ascii="Arial" w:hAnsi="Arial" w:cs="Arial"/>
                <w:sz w:val="20"/>
                <w:szCs w:val="20"/>
              </w:rPr>
            </w:pPr>
            <w:r w:rsidRPr="00E56462">
              <w:rPr>
                <w:rFonts w:ascii="Arial" w:hAnsi="Arial" w:cs="Arial"/>
                <w:sz w:val="20"/>
                <w:szCs w:val="20"/>
              </w:rPr>
              <w:t xml:space="preserve">Robin Williams </w:t>
            </w:r>
          </w:p>
          <w:p w14:paraId="31DAC231"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(1975–1981)</w:t>
            </w:r>
          </w:p>
        </w:tc>
        <w:tc>
          <w:tcPr>
            <w:tcW w:w="2410" w:type="dxa"/>
          </w:tcPr>
          <w:p w14:paraId="30589AA2" w14:textId="77777777" w:rsidR="00FE4E56" w:rsidRPr="00E56462" w:rsidRDefault="00FE4E56" w:rsidP="005E0F2F">
            <w:pPr>
              <w:spacing w:before="0" w:after="0" w:line="240" w:lineRule="auto"/>
              <w:rPr>
                <w:rFonts w:ascii="Arial" w:hAnsi="Arial" w:cs="Arial"/>
                <w:sz w:val="20"/>
                <w:szCs w:val="20"/>
              </w:rPr>
            </w:pPr>
            <w:r w:rsidRPr="00E56462">
              <w:rPr>
                <w:rFonts w:ascii="Arial" w:hAnsi="Arial" w:cs="Arial"/>
                <w:sz w:val="20"/>
                <w:szCs w:val="20"/>
              </w:rPr>
              <w:t>State Services Act 1962</w:t>
            </w:r>
            <w:r w:rsidRPr="00E56462">
              <w:rPr>
                <w:rFonts w:ascii="Arial" w:hAnsi="Arial" w:cs="Arial"/>
                <w:sz w:val="20"/>
                <w:szCs w:val="20"/>
                <w:shd w:val="clear" w:color="auto" w:fill="FFFFFF"/>
              </w:rPr>
              <w:t> </w:t>
            </w:r>
          </w:p>
        </w:tc>
      </w:tr>
    </w:tbl>
    <w:p w14:paraId="3D177F76" w14:textId="77777777" w:rsidR="00FE4E56" w:rsidRDefault="00FE4E56" w:rsidP="00654280">
      <w:pPr>
        <w:rPr>
          <w:rFonts w:ascii="Arial" w:hAnsi="Arial" w:cs="Arial"/>
          <w:sz w:val="18"/>
          <w:szCs w:val="18"/>
        </w:rPr>
      </w:pPr>
    </w:p>
    <w:p w14:paraId="498197C6" w14:textId="77777777" w:rsidR="00FE4E56" w:rsidRPr="00AF31E0" w:rsidRDefault="00FE4E56" w:rsidP="00654280">
      <w:pPr>
        <w:rPr>
          <w:rFonts w:ascii="Arial" w:hAnsi="Arial" w:cs="Arial"/>
          <w:sz w:val="18"/>
          <w:szCs w:val="18"/>
        </w:rPr>
      </w:pPr>
      <w:r w:rsidRPr="00AF31E0">
        <w:rPr>
          <w:rFonts w:ascii="Arial" w:hAnsi="Arial" w:cs="Arial"/>
          <w:sz w:val="18"/>
          <w:szCs w:val="18"/>
        </w:rPr>
        <w:br w:type="page"/>
      </w:r>
    </w:p>
    <w:p w14:paraId="0BA872D4" w14:textId="77777777" w:rsidR="00FE4E56" w:rsidRPr="00987DC4" w:rsidRDefault="00FE4E56" w:rsidP="00155FB1">
      <w:pPr>
        <w:pStyle w:val="AllQuotes"/>
        <w:jc w:val="center"/>
      </w:pPr>
      <w:r w:rsidRPr="00987DC4">
        <w:rPr>
          <w:w w:val="90"/>
        </w:rPr>
        <w:lastRenderedPageBreak/>
        <w:t>National</w:t>
      </w:r>
      <w:r w:rsidRPr="00987DC4">
        <w:rPr>
          <w:spacing w:val="10"/>
        </w:rPr>
        <w:t xml:space="preserve"> </w:t>
      </w:r>
      <w:r w:rsidRPr="00987DC4">
        <w:rPr>
          <w:w w:val="90"/>
        </w:rPr>
        <w:t>Government</w:t>
      </w:r>
      <w:r w:rsidRPr="00987DC4">
        <w:rPr>
          <w:spacing w:val="10"/>
        </w:rPr>
        <w:t xml:space="preserve"> </w:t>
      </w:r>
      <w:r w:rsidRPr="00987DC4">
        <w:rPr>
          <w:w w:val="90"/>
        </w:rPr>
        <w:t>1975</w:t>
      </w:r>
      <w:r w:rsidRPr="00987DC4">
        <w:rPr>
          <w:spacing w:val="11"/>
        </w:rPr>
        <w:t xml:space="preserve"> </w:t>
      </w:r>
      <w:r w:rsidRPr="00987DC4">
        <w:rPr>
          <w:w w:val="90"/>
        </w:rPr>
        <w:t>–</w:t>
      </w:r>
      <w:r w:rsidRPr="00987DC4">
        <w:rPr>
          <w:spacing w:val="10"/>
        </w:rPr>
        <w:t xml:space="preserve"> </w:t>
      </w:r>
      <w:r w:rsidRPr="00987DC4">
        <w:rPr>
          <w:spacing w:val="-4"/>
          <w:w w:val="90"/>
        </w:rPr>
        <w:t>1984</w:t>
      </w:r>
    </w:p>
    <w:p w14:paraId="5849F812" w14:textId="77777777" w:rsidR="00FE4E56" w:rsidRPr="00987DC4" w:rsidRDefault="00FE4E56" w:rsidP="00155FB1">
      <w:pPr>
        <w:pStyle w:val="AllQuotes"/>
        <w:jc w:val="center"/>
      </w:pPr>
      <w:r w:rsidRPr="00987DC4">
        <w:rPr>
          <w:w w:val="85"/>
        </w:rPr>
        <w:t>PM:</w:t>
      </w:r>
      <w:r w:rsidRPr="00987DC4">
        <w:rPr>
          <w:spacing w:val="2"/>
        </w:rPr>
        <w:t xml:space="preserve"> </w:t>
      </w:r>
      <w:r w:rsidRPr="00987DC4">
        <w:rPr>
          <w:w w:val="85"/>
        </w:rPr>
        <w:t>Robert Muldoon</w:t>
      </w:r>
    </w:p>
    <w:tbl>
      <w:tblPr>
        <w:tblStyle w:val="TableGrid"/>
        <w:tblW w:w="9067" w:type="dxa"/>
        <w:tblLook w:val="04A0" w:firstRow="1" w:lastRow="0" w:firstColumn="1" w:lastColumn="0" w:noHBand="0" w:noVBand="1"/>
      </w:tblPr>
      <w:tblGrid>
        <w:gridCol w:w="1838"/>
        <w:gridCol w:w="2268"/>
        <w:gridCol w:w="2410"/>
        <w:gridCol w:w="2551"/>
      </w:tblGrid>
      <w:tr w:rsidR="00FE4E56" w:rsidRPr="00987DC4" w14:paraId="5DDEB308" w14:textId="77777777" w:rsidTr="0022747C">
        <w:tc>
          <w:tcPr>
            <w:tcW w:w="1838" w:type="dxa"/>
            <w:shd w:val="clear" w:color="auto" w:fill="000000" w:themeFill="text1"/>
          </w:tcPr>
          <w:p w14:paraId="28BEA834" w14:textId="77777777" w:rsidR="00FE4E56" w:rsidRPr="00987DC4" w:rsidRDefault="00FE4E56" w:rsidP="005E0F2F">
            <w:pPr>
              <w:spacing w:before="0" w:after="0" w:line="240" w:lineRule="auto"/>
              <w:rPr>
                <w:rFonts w:ascii="Arial" w:hAnsi="Arial" w:cs="Arial"/>
                <w:b/>
                <w:bCs/>
                <w:sz w:val="20"/>
                <w:szCs w:val="20"/>
              </w:rPr>
            </w:pPr>
            <w:r w:rsidRPr="00987DC4">
              <w:rPr>
                <w:rFonts w:ascii="Arial" w:hAnsi="Arial" w:cs="Arial"/>
                <w:b/>
                <w:bCs/>
                <w:sz w:val="20"/>
                <w:szCs w:val="20"/>
              </w:rPr>
              <w:t>Ministerial portfolio</w:t>
            </w:r>
          </w:p>
        </w:tc>
        <w:tc>
          <w:tcPr>
            <w:tcW w:w="2268" w:type="dxa"/>
            <w:shd w:val="clear" w:color="auto" w:fill="000000" w:themeFill="text1"/>
          </w:tcPr>
          <w:p w14:paraId="35478851" w14:textId="77777777" w:rsidR="00FE4E56" w:rsidRPr="00987DC4" w:rsidRDefault="00FE4E56" w:rsidP="005E0F2F">
            <w:pPr>
              <w:spacing w:before="0" w:after="0" w:line="240" w:lineRule="auto"/>
              <w:rPr>
                <w:rFonts w:ascii="Arial" w:hAnsi="Arial" w:cs="Arial"/>
                <w:b/>
                <w:bCs/>
                <w:sz w:val="20"/>
                <w:szCs w:val="20"/>
              </w:rPr>
            </w:pPr>
            <w:r w:rsidRPr="00987DC4">
              <w:rPr>
                <w:rFonts w:ascii="Arial" w:hAnsi="Arial" w:cs="Arial"/>
                <w:b/>
                <w:bCs/>
                <w:sz w:val="20"/>
                <w:szCs w:val="20"/>
              </w:rPr>
              <w:t>Minister and tenure</w:t>
            </w:r>
          </w:p>
        </w:tc>
        <w:tc>
          <w:tcPr>
            <w:tcW w:w="2410" w:type="dxa"/>
            <w:shd w:val="clear" w:color="auto" w:fill="000000" w:themeFill="text1"/>
          </w:tcPr>
          <w:p w14:paraId="14455276" w14:textId="77777777" w:rsidR="00FE4E56" w:rsidRPr="00987DC4" w:rsidRDefault="00FE4E56" w:rsidP="005E0F2F">
            <w:pPr>
              <w:spacing w:before="0" w:after="0" w:line="240" w:lineRule="auto"/>
              <w:rPr>
                <w:rFonts w:ascii="Arial" w:hAnsi="Arial" w:cs="Arial"/>
                <w:b/>
                <w:bCs/>
                <w:sz w:val="20"/>
                <w:szCs w:val="20"/>
              </w:rPr>
            </w:pPr>
            <w:r w:rsidRPr="00987DC4">
              <w:rPr>
                <w:rFonts w:ascii="Arial" w:hAnsi="Arial" w:cs="Arial"/>
                <w:b/>
                <w:bCs/>
                <w:sz w:val="20"/>
                <w:szCs w:val="20"/>
              </w:rPr>
              <w:t>Head of Department/</w:t>
            </w:r>
          </w:p>
          <w:p w14:paraId="427933D6" w14:textId="77777777" w:rsidR="00FE4E56" w:rsidRPr="00987DC4" w:rsidRDefault="00FE4E56" w:rsidP="005E0F2F">
            <w:pPr>
              <w:spacing w:before="0" w:after="0" w:line="240" w:lineRule="auto"/>
              <w:rPr>
                <w:rFonts w:ascii="Arial" w:hAnsi="Arial" w:cs="Arial"/>
                <w:b/>
                <w:bCs/>
                <w:sz w:val="20"/>
                <w:szCs w:val="20"/>
              </w:rPr>
            </w:pPr>
            <w:r w:rsidRPr="00987DC4">
              <w:rPr>
                <w:rFonts w:ascii="Arial" w:hAnsi="Arial" w:cs="Arial"/>
                <w:b/>
                <w:bCs/>
                <w:sz w:val="20"/>
                <w:szCs w:val="20"/>
              </w:rPr>
              <w:t>Chief Executive</w:t>
            </w:r>
          </w:p>
        </w:tc>
        <w:tc>
          <w:tcPr>
            <w:tcW w:w="2551" w:type="dxa"/>
            <w:shd w:val="clear" w:color="auto" w:fill="000000" w:themeFill="text1"/>
          </w:tcPr>
          <w:p w14:paraId="3EC670B5" w14:textId="77777777" w:rsidR="00FE4E56" w:rsidRPr="00987DC4" w:rsidRDefault="00FE4E56" w:rsidP="005E0F2F">
            <w:pPr>
              <w:spacing w:before="0" w:after="0" w:line="240" w:lineRule="auto"/>
              <w:rPr>
                <w:rFonts w:ascii="Arial" w:hAnsi="Arial" w:cs="Arial"/>
                <w:b/>
                <w:bCs/>
                <w:sz w:val="20"/>
                <w:szCs w:val="20"/>
              </w:rPr>
            </w:pPr>
            <w:r w:rsidRPr="00987DC4">
              <w:rPr>
                <w:rFonts w:ascii="Arial" w:hAnsi="Arial" w:cs="Arial"/>
                <w:b/>
                <w:bCs/>
                <w:sz w:val="20"/>
                <w:szCs w:val="20"/>
              </w:rPr>
              <w:t>Relevant legislation</w:t>
            </w:r>
          </w:p>
        </w:tc>
      </w:tr>
      <w:tr w:rsidR="00FE4E56" w:rsidRPr="00987DC4" w14:paraId="413D6291" w14:textId="77777777" w:rsidTr="0022747C">
        <w:tc>
          <w:tcPr>
            <w:tcW w:w="1838" w:type="dxa"/>
          </w:tcPr>
          <w:p w14:paraId="43872D98"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Social Welfare</w:t>
            </w:r>
          </w:p>
        </w:tc>
        <w:tc>
          <w:tcPr>
            <w:tcW w:w="2268" w:type="dxa"/>
          </w:tcPr>
          <w:p w14:paraId="33ED0B7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Bert Walker </w:t>
            </w:r>
          </w:p>
          <w:p w14:paraId="27DCC51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–1978)</w:t>
            </w:r>
          </w:p>
          <w:p w14:paraId="5B82EC49"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George Gair </w:t>
            </w:r>
          </w:p>
          <w:p w14:paraId="48AF84E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(1978 –1981)</w:t>
            </w:r>
          </w:p>
          <w:p w14:paraId="108BAB8E"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Venn Young </w:t>
            </w:r>
          </w:p>
          <w:p w14:paraId="59411B2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(1981 –1984)</w:t>
            </w:r>
          </w:p>
        </w:tc>
        <w:tc>
          <w:tcPr>
            <w:tcW w:w="2410" w:type="dxa"/>
          </w:tcPr>
          <w:p w14:paraId="31BCC78C"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Director-General of Social Welfare:</w:t>
            </w:r>
          </w:p>
          <w:p w14:paraId="324007CC"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Stanley J Callahan (1977–1982)</w:t>
            </w:r>
          </w:p>
          <w:p w14:paraId="5D77F0F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John Grant (1983–1990)</w:t>
            </w:r>
          </w:p>
        </w:tc>
        <w:tc>
          <w:tcPr>
            <w:tcW w:w="2551" w:type="dxa"/>
          </w:tcPr>
          <w:p w14:paraId="5D63A44B" w14:textId="77777777" w:rsidR="00FE4E56" w:rsidRPr="00987DC4" w:rsidRDefault="00FE4E56" w:rsidP="005E0F2F">
            <w:pPr>
              <w:spacing w:before="0" w:after="0" w:line="240" w:lineRule="auto"/>
              <w:rPr>
                <w:rFonts w:ascii="Arial" w:hAnsi="Arial" w:cs="Arial"/>
                <w:sz w:val="20"/>
                <w:szCs w:val="20"/>
              </w:rPr>
            </w:pPr>
            <w:hyperlink r:id="rId16" w:tooltip="Adoption Act 1955 (page does not exist)" w:history="1">
              <w:r w:rsidRPr="00987DC4">
                <w:rPr>
                  <w:rFonts w:ascii="Arial" w:hAnsi="Arial" w:cs="Arial"/>
                  <w:sz w:val="20"/>
                  <w:szCs w:val="20"/>
                </w:rPr>
                <w:t>Adoption Act 1955</w:t>
              </w:r>
            </w:hyperlink>
          </w:p>
          <w:p w14:paraId="52A2C16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Children and Young Persons Act 1974</w:t>
            </w:r>
          </w:p>
          <w:p w14:paraId="48E2D62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Disabled Persons Community Welfare Act 1975</w:t>
            </w:r>
          </w:p>
        </w:tc>
      </w:tr>
      <w:tr w:rsidR="00FE4E56" w:rsidRPr="00987DC4" w14:paraId="788A8C7E" w14:textId="77777777" w:rsidTr="0022747C">
        <w:tc>
          <w:tcPr>
            <w:tcW w:w="1838" w:type="dxa"/>
          </w:tcPr>
          <w:p w14:paraId="6AFB1F7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Education</w:t>
            </w:r>
          </w:p>
        </w:tc>
        <w:tc>
          <w:tcPr>
            <w:tcW w:w="2268" w:type="dxa"/>
          </w:tcPr>
          <w:p w14:paraId="3EF2899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Les Gandar </w:t>
            </w:r>
          </w:p>
          <w:p w14:paraId="7996629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–1978)</w:t>
            </w:r>
          </w:p>
          <w:p w14:paraId="19502B4C"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Merv Wellington</w:t>
            </w:r>
          </w:p>
          <w:p w14:paraId="3399B53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(1978 – 1984)</w:t>
            </w:r>
          </w:p>
        </w:tc>
        <w:tc>
          <w:tcPr>
            <w:tcW w:w="2410" w:type="dxa"/>
          </w:tcPr>
          <w:p w14:paraId="2AC8BD38"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Director-General of Education:</w:t>
            </w:r>
          </w:p>
          <w:p w14:paraId="720FCB75"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William (Bill) L Renwick (1975–1988)</w:t>
            </w:r>
          </w:p>
        </w:tc>
        <w:tc>
          <w:tcPr>
            <w:tcW w:w="2551" w:type="dxa"/>
          </w:tcPr>
          <w:p w14:paraId="62FD3798"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Education Act 1969</w:t>
            </w:r>
          </w:p>
          <w:p w14:paraId="274AB83C" w14:textId="77777777" w:rsidR="00FE4E56" w:rsidRPr="00987DC4" w:rsidRDefault="00FE4E56" w:rsidP="005E0F2F">
            <w:pPr>
              <w:spacing w:before="0" w:after="0" w:line="240" w:lineRule="auto"/>
              <w:rPr>
                <w:rFonts w:ascii="Arial" w:hAnsi="Arial" w:cs="Arial"/>
                <w:sz w:val="20"/>
                <w:szCs w:val="20"/>
              </w:rPr>
            </w:pPr>
          </w:p>
        </w:tc>
      </w:tr>
      <w:tr w:rsidR="00FE4E56" w:rsidRPr="00987DC4" w14:paraId="11146C9C" w14:textId="77777777" w:rsidTr="0022747C">
        <w:tc>
          <w:tcPr>
            <w:tcW w:w="1838" w:type="dxa"/>
          </w:tcPr>
          <w:p w14:paraId="763CAE8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Health</w:t>
            </w:r>
          </w:p>
        </w:tc>
        <w:tc>
          <w:tcPr>
            <w:tcW w:w="2268" w:type="dxa"/>
          </w:tcPr>
          <w:p w14:paraId="1100CC36"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Frank Gill </w:t>
            </w:r>
          </w:p>
          <w:p w14:paraId="66A6F2A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–1978)</w:t>
            </w:r>
          </w:p>
          <w:p w14:paraId="2DB7017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George Gair </w:t>
            </w:r>
          </w:p>
          <w:p w14:paraId="60C069E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(1978 –1981)</w:t>
            </w:r>
          </w:p>
          <w:p w14:paraId="50AABE4B"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Aussie Malcolm </w:t>
            </w:r>
          </w:p>
          <w:p w14:paraId="4153301E"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(1981 –1984)</w:t>
            </w:r>
          </w:p>
        </w:tc>
        <w:tc>
          <w:tcPr>
            <w:tcW w:w="2410" w:type="dxa"/>
          </w:tcPr>
          <w:p w14:paraId="2F69C5D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Director-General of Health:</w:t>
            </w:r>
          </w:p>
          <w:p w14:paraId="07D6B16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Dr H J H Hiddlestone (1973–1983)</w:t>
            </w:r>
          </w:p>
        </w:tc>
        <w:tc>
          <w:tcPr>
            <w:tcW w:w="2551" w:type="dxa"/>
          </w:tcPr>
          <w:p w14:paraId="525F9088"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Mental Health Act 1969</w:t>
            </w:r>
          </w:p>
          <w:p w14:paraId="37389762"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Disabled Persons Community Welfare Act 1975</w:t>
            </w:r>
          </w:p>
        </w:tc>
      </w:tr>
      <w:tr w:rsidR="00FE4E56" w:rsidRPr="00987DC4" w14:paraId="504FFA7F" w14:textId="77777777" w:rsidTr="0022747C">
        <w:tc>
          <w:tcPr>
            <w:tcW w:w="1838" w:type="dxa"/>
          </w:tcPr>
          <w:p w14:paraId="579766A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Justice</w:t>
            </w:r>
          </w:p>
        </w:tc>
        <w:tc>
          <w:tcPr>
            <w:tcW w:w="2268" w:type="dxa"/>
          </w:tcPr>
          <w:p w14:paraId="6648ECAD"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David Thomson </w:t>
            </w:r>
          </w:p>
          <w:p w14:paraId="16AC9FE9"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–1978)</w:t>
            </w:r>
          </w:p>
          <w:p w14:paraId="777F792B"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Jim McLay </w:t>
            </w:r>
          </w:p>
          <w:p w14:paraId="70586A6B"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(1978 –1984)</w:t>
            </w:r>
          </w:p>
        </w:tc>
        <w:tc>
          <w:tcPr>
            <w:tcW w:w="2410" w:type="dxa"/>
          </w:tcPr>
          <w:p w14:paraId="0AF77832"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Secretary for Justice:</w:t>
            </w:r>
          </w:p>
          <w:p w14:paraId="52CACA3D"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John Fraser Robertson (1979–1983)</w:t>
            </w:r>
          </w:p>
          <w:p w14:paraId="48BD6937"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Stanley J Callahan (1983–1986)</w:t>
            </w:r>
          </w:p>
        </w:tc>
        <w:tc>
          <w:tcPr>
            <w:tcW w:w="2551" w:type="dxa"/>
          </w:tcPr>
          <w:p w14:paraId="257A41C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Penal Institutions Act 1954</w:t>
            </w:r>
          </w:p>
          <w:p w14:paraId="5E39CD6D"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Criminal Justice Act 1954</w:t>
            </w:r>
          </w:p>
          <w:p w14:paraId="6A8AA48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Criminal Justice Amendment Act 1975</w:t>
            </w:r>
          </w:p>
          <w:p w14:paraId="63D72915"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Penal Institutions Amendment Act 1980</w:t>
            </w:r>
          </w:p>
        </w:tc>
      </w:tr>
      <w:tr w:rsidR="00FE4E56" w:rsidRPr="00987DC4" w14:paraId="1B9F9493" w14:textId="77777777" w:rsidTr="0022747C">
        <w:tc>
          <w:tcPr>
            <w:tcW w:w="1838" w:type="dxa"/>
          </w:tcPr>
          <w:p w14:paraId="2749BB3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Police</w:t>
            </w:r>
          </w:p>
        </w:tc>
        <w:tc>
          <w:tcPr>
            <w:tcW w:w="2268" w:type="dxa"/>
          </w:tcPr>
          <w:p w14:paraId="52A122F2"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Allan McCready </w:t>
            </w:r>
          </w:p>
          <w:p w14:paraId="0AC68D9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–1978)</w:t>
            </w:r>
          </w:p>
          <w:p w14:paraId="7E317326"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Frank Gill </w:t>
            </w:r>
          </w:p>
          <w:p w14:paraId="4A1B6E97"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(1978 –1980)</w:t>
            </w:r>
          </w:p>
          <w:p w14:paraId="196E856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Ben Couch </w:t>
            </w:r>
          </w:p>
          <w:p w14:paraId="3FFF8AA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(1980 –1984)</w:t>
            </w:r>
          </w:p>
        </w:tc>
        <w:tc>
          <w:tcPr>
            <w:tcW w:w="2410" w:type="dxa"/>
          </w:tcPr>
          <w:p w14:paraId="49769C7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Commissioner of Police:</w:t>
            </w:r>
          </w:p>
          <w:p w14:paraId="665CF70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Ken Burnside (1974–1978)</w:t>
            </w:r>
          </w:p>
          <w:p w14:paraId="177E1FDD"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Robert Josiah Walton (1978–1983)</w:t>
            </w:r>
          </w:p>
          <w:p w14:paraId="5C9923F8"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Ken Thompson </w:t>
            </w:r>
          </w:p>
          <w:p w14:paraId="7A05D44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(1984-1986)</w:t>
            </w:r>
          </w:p>
        </w:tc>
        <w:tc>
          <w:tcPr>
            <w:tcW w:w="2551" w:type="dxa"/>
          </w:tcPr>
          <w:p w14:paraId="4CACC8C9"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Police Act 1958</w:t>
            </w:r>
          </w:p>
        </w:tc>
      </w:tr>
      <w:tr w:rsidR="00FE4E56" w:rsidRPr="00987DC4" w14:paraId="7A4A9404" w14:textId="77777777" w:rsidTr="0022747C">
        <w:trPr>
          <w:trHeight w:val="300"/>
        </w:trPr>
        <w:tc>
          <w:tcPr>
            <w:tcW w:w="1838" w:type="dxa"/>
          </w:tcPr>
          <w:p w14:paraId="54137ECD"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Corrections</w:t>
            </w:r>
          </w:p>
        </w:tc>
        <w:tc>
          <w:tcPr>
            <w:tcW w:w="2268" w:type="dxa"/>
          </w:tcPr>
          <w:p w14:paraId="0AF46F8B"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N/A</w:t>
            </w:r>
          </w:p>
        </w:tc>
        <w:tc>
          <w:tcPr>
            <w:tcW w:w="2410" w:type="dxa"/>
          </w:tcPr>
          <w:p w14:paraId="5E67DEA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N/A</w:t>
            </w:r>
          </w:p>
        </w:tc>
        <w:tc>
          <w:tcPr>
            <w:tcW w:w="2551" w:type="dxa"/>
          </w:tcPr>
          <w:p w14:paraId="51D52DCB" w14:textId="77777777" w:rsidR="00FE4E56" w:rsidRPr="00987DC4" w:rsidRDefault="00FE4E56" w:rsidP="005E0F2F">
            <w:pPr>
              <w:spacing w:before="0" w:after="0" w:line="240" w:lineRule="auto"/>
              <w:rPr>
                <w:rFonts w:ascii="Arial" w:eastAsia="Calibri" w:hAnsi="Arial" w:cs="Arial"/>
                <w:sz w:val="20"/>
                <w:szCs w:val="20"/>
              </w:rPr>
            </w:pPr>
            <w:r w:rsidRPr="00987DC4">
              <w:rPr>
                <w:rFonts w:ascii="Arial" w:hAnsi="Arial" w:cs="Arial"/>
                <w:sz w:val="20"/>
                <w:szCs w:val="20"/>
              </w:rPr>
              <w:t>N/A</w:t>
            </w:r>
          </w:p>
        </w:tc>
      </w:tr>
      <w:tr w:rsidR="00FE4E56" w:rsidRPr="00987DC4" w14:paraId="3FE21124" w14:textId="77777777" w:rsidTr="0022747C">
        <w:tc>
          <w:tcPr>
            <w:tcW w:w="1838" w:type="dxa"/>
          </w:tcPr>
          <w:p w14:paraId="1A1D6467"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Finance</w:t>
            </w:r>
          </w:p>
        </w:tc>
        <w:tc>
          <w:tcPr>
            <w:tcW w:w="2268" w:type="dxa"/>
          </w:tcPr>
          <w:p w14:paraId="74A17C23"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Robert Muldoon</w:t>
            </w:r>
          </w:p>
          <w:p w14:paraId="722437CF"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(1975-1984)</w:t>
            </w:r>
          </w:p>
        </w:tc>
        <w:tc>
          <w:tcPr>
            <w:tcW w:w="2410" w:type="dxa"/>
          </w:tcPr>
          <w:p w14:paraId="727DEC05"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Secretary to the Treasury:</w:t>
            </w:r>
          </w:p>
          <w:p w14:paraId="63D46457"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Henry Lang </w:t>
            </w:r>
          </w:p>
          <w:p w14:paraId="661A466E"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(1969 – 1977)</w:t>
            </w:r>
          </w:p>
          <w:p w14:paraId="190CC839"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Noel Lough </w:t>
            </w:r>
          </w:p>
          <w:p w14:paraId="1A69F98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(1977 – 1980)</w:t>
            </w:r>
          </w:p>
          <w:p w14:paraId="6E960961"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Bernie Galvin </w:t>
            </w:r>
          </w:p>
          <w:p w14:paraId="0CF2B292"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(1980 – 1986)</w:t>
            </w:r>
          </w:p>
        </w:tc>
        <w:tc>
          <w:tcPr>
            <w:tcW w:w="2551" w:type="dxa"/>
          </w:tcPr>
          <w:p w14:paraId="55B946E8" w14:textId="77777777" w:rsidR="00FE4E56" w:rsidRPr="00987DC4" w:rsidRDefault="00FE4E56" w:rsidP="005E0F2F">
            <w:pPr>
              <w:spacing w:before="0" w:after="0" w:line="240" w:lineRule="auto"/>
              <w:rPr>
                <w:rFonts w:ascii="Arial" w:eastAsia="Calibri" w:hAnsi="Arial" w:cs="Arial"/>
                <w:sz w:val="20"/>
                <w:szCs w:val="20"/>
              </w:rPr>
            </w:pPr>
            <w:r w:rsidRPr="00987DC4">
              <w:rPr>
                <w:rFonts w:ascii="Arial" w:hAnsi="Arial" w:cs="Arial"/>
                <w:sz w:val="20"/>
                <w:szCs w:val="20"/>
              </w:rPr>
              <w:t>Public Revenues Act 1953</w:t>
            </w:r>
          </w:p>
        </w:tc>
      </w:tr>
      <w:tr w:rsidR="00FE4E56" w:rsidRPr="00987DC4" w14:paraId="1AF5CA57" w14:textId="77777777" w:rsidTr="0022747C">
        <w:tc>
          <w:tcPr>
            <w:tcW w:w="1838" w:type="dxa"/>
          </w:tcPr>
          <w:p w14:paraId="5EB86A44"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State Services </w:t>
            </w:r>
          </w:p>
        </w:tc>
        <w:tc>
          <w:tcPr>
            <w:tcW w:w="2268" w:type="dxa"/>
          </w:tcPr>
          <w:p w14:paraId="63D1AAE3"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Peter Gordon (1975-1978)</w:t>
            </w:r>
          </w:p>
          <w:p w14:paraId="7D95ADC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David Thomson (1978-1984)</w:t>
            </w:r>
          </w:p>
        </w:tc>
        <w:tc>
          <w:tcPr>
            <w:tcW w:w="2410" w:type="dxa"/>
          </w:tcPr>
          <w:p w14:paraId="72390ABA"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Chairman of the State Services Commission:</w:t>
            </w:r>
          </w:p>
          <w:p w14:paraId="115D7497"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Ian Lythgoe </w:t>
            </w:r>
          </w:p>
          <w:p w14:paraId="494E7170"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(1971 – 1974)</w:t>
            </w:r>
          </w:p>
          <w:p w14:paraId="6162B272"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Robin Williams </w:t>
            </w:r>
          </w:p>
          <w:p w14:paraId="2264BAAC"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(1975 – 1981)</w:t>
            </w:r>
          </w:p>
          <w:p w14:paraId="0D5A2A9C"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 xml:space="preserve">Mervyn Probine </w:t>
            </w:r>
          </w:p>
          <w:p w14:paraId="57215925"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(1981 - 1985)</w:t>
            </w:r>
          </w:p>
        </w:tc>
        <w:tc>
          <w:tcPr>
            <w:tcW w:w="2551" w:type="dxa"/>
          </w:tcPr>
          <w:p w14:paraId="3565BC4E" w14:textId="77777777" w:rsidR="00FE4E56" w:rsidRPr="00987DC4" w:rsidRDefault="00FE4E56" w:rsidP="005E0F2F">
            <w:pPr>
              <w:spacing w:before="0" w:after="0" w:line="240" w:lineRule="auto"/>
              <w:rPr>
                <w:rFonts w:ascii="Arial" w:hAnsi="Arial" w:cs="Arial"/>
                <w:sz w:val="20"/>
                <w:szCs w:val="20"/>
              </w:rPr>
            </w:pPr>
            <w:r w:rsidRPr="00987DC4">
              <w:rPr>
                <w:rFonts w:ascii="Arial" w:hAnsi="Arial" w:cs="Arial"/>
                <w:sz w:val="20"/>
                <w:szCs w:val="20"/>
              </w:rPr>
              <w:t>State Services Act 1962</w:t>
            </w:r>
            <w:r w:rsidRPr="00987DC4">
              <w:rPr>
                <w:rFonts w:ascii="Arial" w:hAnsi="Arial" w:cs="Arial"/>
                <w:sz w:val="20"/>
                <w:szCs w:val="20"/>
                <w:shd w:val="clear" w:color="auto" w:fill="FFFFFF"/>
              </w:rPr>
              <w:t> </w:t>
            </w:r>
          </w:p>
        </w:tc>
      </w:tr>
    </w:tbl>
    <w:p w14:paraId="62602274" w14:textId="77777777" w:rsidR="00FE4E56" w:rsidRDefault="00FE4E56" w:rsidP="00654280">
      <w:pPr>
        <w:rPr>
          <w:rFonts w:ascii="Arial" w:hAnsi="Arial" w:cs="Arial"/>
          <w:sz w:val="18"/>
          <w:szCs w:val="18"/>
        </w:rPr>
      </w:pPr>
    </w:p>
    <w:p w14:paraId="1D16947C" w14:textId="77777777" w:rsidR="00FE4E56" w:rsidRPr="00AF31E0" w:rsidRDefault="00FE4E56" w:rsidP="00654280">
      <w:pPr>
        <w:rPr>
          <w:rFonts w:ascii="Arial" w:hAnsi="Arial" w:cs="Arial"/>
          <w:sz w:val="18"/>
          <w:szCs w:val="18"/>
        </w:rPr>
      </w:pPr>
      <w:r w:rsidRPr="00AF31E0">
        <w:rPr>
          <w:rFonts w:ascii="Arial" w:hAnsi="Arial" w:cs="Arial"/>
          <w:sz w:val="18"/>
          <w:szCs w:val="18"/>
        </w:rPr>
        <w:br w:type="page"/>
      </w:r>
    </w:p>
    <w:p w14:paraId="064B1272" w14:textId="77777777" w:rsidR="00FE4E56" w:rsidRPr="00BD5914" w:rsidRDefault="00FE4E56" w:rsidP="00155FB1">
      <w:pPr>
        <w:pStyle w:val="AllQuotes"/>
        <w:jc w:val="center"/>
      </w:pPr>
      <w:r w:rsidRPr="00BD5914">
        <w:rPr>
          <w:w w:val="90"/>
        </w:rPr>
        <w:lastRenderedPageBreak/>
        <w:t>Labour</w:t>
      </w:r>
      <w:r w:rsidRPr="00BD5914">
        <w:rPr>
          <w:spacing w:val="10"/>
        </w:rPr>
        <w:t xml:space="preserve"> </w:t>
      </w:r>
      <w:r w:rsidRPr="00BD5914">
        <w:rPr>
          <w:w w:val="90"/>
        </w:rPr>
        <w:t>Government</w:t>
      </w:r>
      <w:r w:rsidRPr="00BD5914">
        <w:rPr>
          <w:spacing w:val="10"/>
        </w:rPr>
        <w:t xml:space="preserve"> </w:t>
      </w:r>
      <w:r w:rsidRPr="00BD5914">
        <w:rPr>
          <w:w w:val="90"/>
        </w:rPr>
        <w:t>1984</w:t>
      </w:r>
      <w:r w:rsidRPr="00BD5914">
        <w:rPr>
          <w:spacing w:val="11"/>
        </w:rPr>
        <w:t xml:space="preserve"> </w:t>
      </w:r>
      <w:r w:rsidRPr="00BD5914">
        <w:rPr>
          <w:w w:val="90"/>
        </w:rPr>
        <w:t>–</w:t>
      </w:r>
      <w:r w:rsidRPr="00BD5914">
        <w:rPr>
          <w:spacing w:val="10"/>
        </w:rPr>
        <w:t xml:space="preserve"> </w:t>
      </w:r>
      <w:r w:rsidRPr="00BD5914">
        <w:rPr>
          <w:spacing w:val="-4"/>
          <w:w w:val="90"/>
        </w:rPr>
        <w:t>1990</w:t>
      </w:r>
    </w:p>
    <w:p w14:paraId="090F5823" w14:textId="77777777" w:rsidR="00FE4E56" w:rsidRDefault="00FE4E56" w:rsidP="00155FB1">
      <w:pPr>
        <w:jc w:val="center"/>
        <w:rPr>
          <w:rFonts w:ascii="Arial" w:hAnsi="Arial" w:cs="Arial"/>
          <w:sz w:val="18"/>
          <w:szCs w:val="18"/>
        </w:rPr>
      </w:pPr>
      <w:r w:rsidRPr="00BD5914">
        <w:rPr>
          <w:rFonts w:ascii="Arial" w:hAnsi="Arial" w:cs="Arial"/>
          <w:w w:val="85"/>
          <w:sz w:val="20"/>
          <w:szCs w:val="20"/>
        </w:rPr>
        <w:t>PM:</w:t>
      </w:r>
      <w:r w:rsidRPr="00BD5914">
        <w:rPr>
          <w:rFonts w:ascii="Arial" w:hAnsi="Arial" w:cs="Arial"/>
          <w:spacing w:val="2"/>
          <w:sz w:val="20"/>
          <w:szCs w:val="20"/>
        </w:rPr>
        <w:t xml:space="preserve"> </w:t>
      </w:r>
      <w:r w:rsidRPr="00BD5914">
        <w:rPr>
          <w:rFonts w:ascii="Arial" w:hAnsi="Arial" w:cs="Arial"/>
          <w:w w:val="85"/>
          <w:sz w:val="20"/>
          <w:szCs w:val="20"/>
        </w:rPr>
        <w:t>David Lange (1984-1989) / PM: Geoffrey Palmer (1989-1990)/ PM: Mike Moore (1990)</w:t>
      </w:r>
    </w:p>
    <w:tbl>
      <w:tblPr>
        <w:tblStyle w:val="TableGrid"/>
        <w:tblW w:w="9067" w:type="dxa"/>
        <w:tblLook w:val="04A0" w:firstRow="1" w:lastRow="0" w:firstColumn="1" w:lastColumn="0" w:noHBand="0" w:noVBand="1"/>
      </w:tblPr>
      <w:tblGrid>
        <w:gridCol w:w="1838"/>
        <w:gridCol w:w="1985"/>
        <w:gridCol w:w="2835"/>
        <w:gridCol w:w="2409"/>
      </w:tblGrid>
      <w:tr w:rsidR="00FE4E56" w:rsidRPr="00D27E86" w14:paraId="69CBEB52" w14:textId="77777777" w:rsidTr="0022747C">
        <w:tc>
          <w:tcPr>
            <w:tcW w:w="1838" w:type="dxa"/>
            <w:shd w:val="clear" w:color="auto" w:fill="000000" w:themeFill="text1"/>
          </w:tcPr>
          <w:p w14:paraId="2CB4FD73" w14:textId="77777777" w:rsidR="00FE4E56" w:rsidRPr="00D27E86" w:rsidRDefault="00FE4E56" w:rsidP="005E0F2F">
            <w:pPr>
              <w:spacing w:before="0" w:after="0" w:line="240" w:lineRule="auto"/>
              <w:rPr>
                <w:rFonts w:ascii="Arial" w:hAnsi="Arial" w:cs="Arial"/>
                <w:b/>
                <w:bCs/>
                <w:sz w:val="18"/>
                <w:szCs w:val="18"/>
              </w:rPr>
            </w:pPr>
            <w:r w:rsidRPr="00D27E86">
              <w:rPr>
                <w:rFonts w:ascii="Arial" w:hAnsi="Arial" w:cs="Arial"/>
                <w:b/>
                <w:bCs/>
                <w:sz w:val="18"/>
                <w:szCs w:val="18"/>
              </w:rPr>
              <w:t>Ministerial portfolio</w:t>
            </w:r>
          </w:p>
        </w:tc>
        <w:tc>
          <w:tcPr>
            <w:tcW w:w="1985" w:type="dxa"/>
            <w:shd w:val="clear" w:color="auto" w:fill="000000" w:themeFill="text1"/>
          </w:tcPr>
          <w:p w14:paraId="366BEA3D" w14:textId="77777777" w:rsidR="00FE4E56" w:rsidRPr="00D27E86" w:rsidRDefault="00FE4E56" w:rsidP="005E0F2F">
            <w:pPr>
              <w:spacing w:before="0" w:after="0" w:line="240" w:lineRule="auto"/>
              <w:rPr>
                <w:rFonts w:ascii="Arial" w:hAnsi="Arial" w:cs="Arial"/>
                <w:b/>
                <w:bCs/>
                <w:sz w:val="18"/>
                <w:szCs w:val="18"/>
              </w:rPr>
            </w:pPr>
            <w:r w:rsidRPr="00D27E86">
              <w:rPr>
                <w:rFonts w:ascii="Arial" w:hAnsi="Arial" w:cs="Arial"/>
                <w:b/>
                <w:bCs/>
                <w:sz w:val="18"/>
                <w:szCs w:val="18"/>
              </w:rPr>
              <w:t>Minister and tenure</w:t>
            </w:r>
          </w:p>
        </w:tc>
        <w:tc>
          <w:tcPr>
            <w:tcW w:w="2835" w:type="dxa"/>
            <w:shd w:val="clear" w:color="auto" w:fill="000000" w:themeFill="text1"/>
          </w:tcPr>
          <w:p w14:paraId="6505E83F" w14:textId="77777777" w:rsidR="00FE4E56" w:rsidRPr="00D27E86" w:rsidRDefault="00FE4E56" w:rsidP="005E0F2F">
            <w:pPr>
              <w:spacing w:before="0" w:after="0" w:line="240" w:lineRule="auto"/>
              <w:rPr>
                <w:rFonts w:ascii="Arial" w:hAnsi="Arial" w:cs="Arial"/>
                <w:b/>
                <w:bCs/>
                <w:sz w:val="18"/>
                <w:szCs w:val="18"/>
              </w:rPr>
            </w:pPr>
            <w:r w:rsidRPr="00D27E86">
              <w:rPr>
                <w:rFonts w:ascii="Arial" w:hAnsi="Arial" w:cs="Arial"/>
                <w:b/>
                <w:bCs/>
                <w:sz w:val="18"/>
                <w:szCs w:val="18"/>
              </w:rPr>
              <w:t>Head of Department/</w:t>
            </w:r>
          </w:p>
          <w:p w14:paraId="2EAB9AAB" w14:textId="77777777" w:rsidR="00FE4E56" w:rsidRPr="00D27E86" w:rsidRDefault="00FE4E56" w:rsidP="005E0F2F">
            <w:pPr>
              <w:spacing w:before="0" w:after="0" w:line="240" w:lineRule="auto"/>
              <w:rPr>
                <w:rFonts w:ascii="Arial" w:hAnsi="Arial" w:cs="Arial"/>
                <w:b/>
                <w:bCs/>
                <w:sz w:val="18"/>
                <w:szCs w:val="18"/>
              </w:rPr>
            </w:pPr>
            <w:r w:rsidRPr="00D27E86">
              <w:rPr>
                <w:rFonts w:ascii="Arial" w:hAnsi="Arial" w:cs="Arial"/>
                <w:b/>
                <w:bCs/>
                <w:sz w:val="18"/>
                <w:szCs w:val="18"/>
              </w:rPr>
              <w:t>Chief Executive</w:t>
            </w:r>
          </w:p>
        </w:tc>
        <w:tc>
          <w:tcPr>
            <w:tcW w:w="2409" w:type="dxa"/>
            <w:shd w:val="clear" w:color="auto" w:fill="000000" w:themeFill="text1"/>
          </w:tcPr>
          <w:p w14:paraId="08596D8A" w14:textId="77777777" w:rsidR="00FE4E56" w:rsidRPr="00D27E86" w:rsidRDefault="00FE4E56" w:rsidP="005E0F2F">
            <w:pPr>
              <w:spacing w:before="0" w:after="0" w:line="240" w:lineRule="auto"/>
              <w:rPr>
                <w:rFonts w:ascii="Arial" w:hAnsi="Arial" w:cs="Arial"/>
                <w:b/>
                <w:bCs/>
                <w:sz w:val="18"/>
                <w:szCs w:val="18"/>
              </w:rPr>
            </w:pPr>
            <w:r w:rsidRPr="00D27E86">
              <w:rPr>
                <w:rFonts w:ascii="Arial" w:hAnsi="Arial" w:cs="Arial"/>
                <w:b/>
                <w:bCs/>
                <w:sz w:val="18"/>
                <w:szCs w:val="18"/>
              </w:rPr>
              <w:t>Relevant legislation</w:t>
            </w:r>
          </w:p>
        </w:tc>
      </w:tr>
      <w:tr w:rsidR="00FE4E56" w:rsidRPr="00D27E86" w14:paraId="4E379DCE" w14:textId="77777777" w:rsidTr="0022747C">
        <w:tc>
          <w:tcPr>
            <w:tcW w:w="1838" w:type="dxa"/>
          </w:tcPr>
          <w:p w14:paraId="4F0F9EBA"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Social Welfare</w:t>
            </w:r>
          </w:p>
        </w:tc>
        <w:tc>
          <w:tcPr>
            <w:tcW w:w="1985" w:type="dxa"/>
          </w:tcPr>
          <w:p w14:paraId="25491BAA"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Ann Hercus </w:t>
            </w:r>
          </w:p>
          <w:p w14:paraId="00B7174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–1987)</w:t>
            </w:r>
          </w:p>
          <w:p w14:paraId="0B050CC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Michael Cullen </w:t>
            </w:r>
          </w:p>
          <w:p w14:paraId="5BC8368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(1987 –1990)</w:t>
            </w:r>
          </w:p>
        </w:tc>
        <w:tc>
          <w:tcPr>
            <w:tcW w:w="2835" w:type="dxa"/>
          </w:tcPr>
          <w:p w14:paraId="2AE02D7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Director-General of Social Welfare:</w:t>
            </w:r>
          </w:p>
          <w:p w14:paraId="753D501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John Grant </w:t>
            </w:r>
          </w:p>
          <w:p w14:paraId="4C35CFEE"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(1983-1990)</w:t>
            </w:r>
          </w:p>
        </w:tc>
        <w:tc>
          <w:tcPr>
            <w:tcW w:w="2409" w:type="dxa"/>
          </w:tcPr>
          <w:p w14:paraId="4776AE02" w14:textId="77777777" w:rsidR="00FE4E56" w:rsidRPr="00D27E86" w:rsidRDefault="00FE4E56" w:rsidP="005E0F2F">
            <w:pPr>
              <w:spacing w:before="0" w:after="0" w:line="240" w:lineRule="auto"/>
              <w:rPr>
                <w:rFonts w:ascii="Arial" w:hAnsi="Arial" w:cs="Arial"/>
                <w:sz w:val="18"/>
                <w:szCs w:val="18"/>
              </w:rPr>
            </w:pPr>
            <w:hyperlink r:id="rId17" w:tooltip="Adoption Act 1955 (page does not exist)" w:history="1">
              <w:r w:rsidRPr="00D27E86">
                <w:rPr>
                  <w:rFonts w:ascii="Arial" w:hAnsi="Arial" w:cs="Arial"/>
                  <w:sz w:val="18"/>
                  <w:szCs w:val="18"/>
                </w:rPr>
                <w:t>Adoption Act 1955</w:t>
              </w:r>
            </w:hyperlink>
          </w:p>
          <w:p w14:paraId="2EFE66AF"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Children and Young Persons Act 1974</w:t>
            </w:r>
          </w:p>
          <w:p w14:paraId="70B606E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Disabled Persons Community Welfare Act 1975</w:t>
            </w:r>
          </w:p>
          <w:p w14:paraId="12331EF7" w14:textId="77777777" w:rsidR="00FE4E56" w:rsidRPr="00D27E86" w:rsidRDefault="00FE4E56" w:rsidP="005E0F2F">
            <w:pPr>
              <w:spacing w:before="0" w:after="0" w:line="240" w:lineRule="auto"/>
              <w:rPr>
                <w:rFonts w:ascii="Arial" w:hAnsi="Arial" w:cs="Arial"/>
                <w:sz w:val="18"/>
                <w:szCs w:val="18"/>
              </w:rPr>
            </w:pPr>
            <w:hyperlink r:id="rId18" w:tooltip="Oranga Tamariki Act 1989" w:history="1">
              <w:r w:rsidRPr="00D27E86">
                <w:rPr>
                  <w:rFonts w:ascii="Arial" w:hAnsi="Arial" w:cs="Arial"/>
                  <w:sz w:val="18"/>
                  <w:szCs w:val="18"/>
                </w:rPr>
                <w:t>Children, Young Persons, and Their Families Act 1989</w:t>
              </w:r>
            </w:hyperlink>
          </w:p>
        </w:tc>
      </w:tr>
      <w:tr w:rsidR="00FE4E56" w:rsidRPr="00D27E86" w14:paraId="48D05B40" w14:textId="77777777" w:rsidTr="0022747C">
        <w:tc>
          <w:tcPr>
            <w:tcW w:w="1838" w:type="dxa"/>
          </w:tcPr>
          <w:p w14:paraId="46ADCAE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Education</w:t>
            </w:r>
          </w:p>
        </w:tc>
        <w:tc>
          <w:tcPr>
            <w:tcW w:w="1985" w:type="dxa"/>
          </w:tcPr>
          <w:p w14:paraId="144D6B9E"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Russell Marshall </w:t>
            </w:r>
          </w:p>
          <w:p w14:paraId="79263741"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–1987)</w:t>
            </w:r>
          </w:p>
          <w:p w14:paraId="4A22B4EB"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David Lange </w:t>
            </w:r>
          </w:p>
          <w:p w14:paraId="30838266"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(1987 –1989)</w:t>
            </w:r>
          </w:p>
          <w:p w14:paraId="402E538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Geoffrey Palmer </w:t>
            </w:r>
          </w:p>
          <w:p w14:paraId="4C473F0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w:t>
            </w:r>
          </w:p>
          <w:p w14:paraId="6449D95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Phil Goff </w:t>
            </w:r>
          </w:p>
          <w:p w14:paraId="0023CABB"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 – 1990)</w:t>
            </w:r>
          </w:p>
        </w:tc>
        <w:tc>
          <w:tcPr>
            <w:tcW w:w="2835" w:type="dxa"/>
          </w:tcPr>
          <w:p w14:paraId="78251F8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Director-General of Education:</w:t>
            </w:r>
          </w:p>
          <w:p w14:paraId="433775B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William (Bill) L Renwick (1975–1988)</w:t>
            </w:r>
          </w:p>
          <w:p w14:paraId="41AB65C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Dr Russ Ballard </w:t>
            </w:r>
          </w:p>
          <w:p w14:paraId="676BCED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(1988–1989)</w:t>
            </w:r>
          </w:p>
          <w:p w14:paraId="2DEB089D"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Secretary for Education:</w:t>
            </w:r>
          </w:p>
          <w:p w14:paraId="2CB6483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Dr Maris O’Rourke (1989-1997)</w:t>
            </w:r>
          </w:p>
        </w:tc>
        <w:tc>
          <w:tcPr>
            <w:tcW w:w="2409" w:type="dxa"/>
          </w:tcPr>
          <w:p w14:paraId="67FCAC3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Education Act 1969</w:t>
            </w:r>
          </w:p>
          <w:p w14:paraId="63676BBB"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Education Act 1989</w:t>
            </w:r>
          </w:p>
          <w:p w14:paraId="119CD627" w14:textId="77777777" w:rsidR="00FE4E56" w:rsidRPr="00D27E86" w:rsidRDefault="00FE4E56" w:rsidP="005E0F2F">
            <w:pPr>
              <w:spacing w:before="0" w:after="0" w:line="240" w:lineRule="auto"/>
              <w:rPr>
                <w:rFonts w:ascii="Arial" w:hAnsi="Arial" w:cs="Arial"/>
                <w:sz w:val="18"/>
                <w:szCs w:val="18"/>
              </w:rPr>
            </w:pPr>
          </w:p>
        </w:tc>
      </w:tr>
      <w:tr w:rsidR="00FE4E56" w:rsidRPr="00D27E86" w14:paraId="205D8D8B" w14:textId="77777777" w:rsidTr="0022747C">
        <w:tc>
          <w:tcPr>
            <w:tcW w:w="1838" w:type="dxa"/>
          </w:tcPr>
          <w:p w14:paraId="7C499238"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Health</w:t>
            </w:r>
          </w:p>
        </w:tc>
        <w:tc>
          <w:tcPr>
            <w:tcW w:w="1985" w:type="dxa"/>
          </w:tcPr>
          <w:p w14:paraId="2D7B64BB"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Michael Bassett </w:t>
            </w:r>
          </w:p>
          <w:p w14:paraId="71D43378"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–1987)</w:t>
            </w:r>
          </w:p>
          <w:p w14:paraId="74C7851E"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David Caygill </w:t>
            </w:r>
          </w:p>
          <w:p w14:paraId="254AB9ED"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(1987 –1989)</w:t>
            </w:r>
          </w:p>
          <w:p w14:paraId="3ECB6D7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Helen Clark </w:t>
            </w:r>
          </w:p>
          <w:p w14:paraId="1D339386"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 –1990)</w:t>
            </w:r>
          </w:p>
        </w:tc>
        <w:tc>
          <w:tcPr>
            <w:tcW w:w="2835" w:type="dxa"/>
          </w:tcPr>
          <w:p w14:paraId="5EAF49FA"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Director-General of Health:</w:t>
            </w:r>
          </w:p>
          <w:p w14:paraId="05B5F4E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Dr Ronald A Barker (1983-1986)</w:t>
            </w:r>
          </w:p>
          <w:p w14:paraId="3081302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Dr George Salmond (1986-1991)</w:t>
            </w:r>
          </w:p>
        </w:tc>
        <w:tc>
          <w:tcPr>
            <w:tcW w:w="2409" w:type="dxa"/>
          </w:tcPr>
          <w:p w14:paraId="67208FF8"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Mental Health Act 1969</w:t>
            </w:r>
          </w:p>
          <w:p w14:paraId="6740147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Disabled Persons Community Welfare Act 1975</w:t>
            </w:r>
          </w:p>
        </w:tc>
      </w:tr>
      <w:tr w:rsidR="00FE4E56" w:rsidRPr="00D27E86" w14:paraId="0B542598" w14:textId="77777777" w:rsidTr="0022747C">
        <w:tc>
          <w:tcPr>
            <w:tcW w:w="1838" w:type="dxa"/>
          </w:tcPr>
          <w:p w14:paraId="400BDA7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Justice</w:t>
            </w:r>
          </w:p>
        </w:tc>
        <w:tc>
          <w:tcPr>
            <w:tcW w:w="1985" w:type="dxa"/>
          </w:tcPr>
          <w:p w14:paraId="21C8362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Geoffrey Palmer </w:t>
            </w:r>
          </w:p>
          <w:p w14:paraId="18D2883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–1989)</w:t>
            </w:r>
          </w:p>
          <w:p w14:paraId="5FC00D6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Bill Jeffries </w:t>
            </w:r>
          </w:p>
          <w:p w14:paraId="65CF1271"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 –1990)</w:t>
            </w:r>
          </w:p>
        </w:tc>
        <w:tc>
          <w:tcPr>
            <w:tcW w:w="2835" w:type="dxa"/>
          </w:tcPr>
          <w:p w14:paraId="540353B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Secretary for Justice:</w:t>
            </w:r>
          </w:p>
          <w:p w14:paraId="1EAF651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Stanley J Callahan (1983–1986)</w:t>
            </w:r>
          </w:p>
          <w:p w14:paraId="49C582B0"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David Oughton </w:t>
            </w:r>
          </w:p>
          <w:p w14:paraId="39336C4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(1986–1994)</w:t>
            </w:r>
          </w:p>
        </w:tc>
        <w:tc>
          <w:tcPr>
            <w:tcW w:w="2409" w:type="dxa"/>
          </w:tcPr>
          <w:p w14:paraId="04CDF7E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Penal Institutions Act 1954</w:t>
            </w:r>
          </w:p>
          <w:p w14:paraId="6CAC020D"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Criminal Justice Act 1954</w:t>
            </w:r>
          </w:p>
          <w:p w14:paraId="1DD7A236"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Criminal Justice Amendment Act 1975</w:t>
            </w:r>
          </w:p>
          <w:p w14:paraId="7476C44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Penal Institutions Amendment Act 1980</w:t>
            </w:r>
          </w:p>
        </w:tc>
      </w:tr>
      <w:tr w:rsidR="00FE4E56" w:rsidRPr="00D27E86" w14:paraId="428C01DB" w14:textId="77777777" w:rsidTr="0022747C">
        <w:tc>
          <w:tcPr>
            <w:tcW w:w="1838" w:type="dxa"/>
          </w:tcPr>
          <w:p w14:paraId="3632F762"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Police</w:t>
            </w:r>
          </w:p>
        </w:tc>
        <w:tc>
          <w:tcPr>
            <w:tcW w:w="1985" w:type="dxa"/>
          </w:tcPr>
          <w:p w14:paraId="5C49492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Ann Hercus </w:t>
            </w:r>
          </w:p>
          <w:p w14:paraId="02888C9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–1987)</w:t>
            </w:r>
          </w:p>
          <w:p w14:paraId="4B85C5B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Peter Tapsell </w:t>
            </w:r>
          </w:p>
          <w:p w14:paraId="65FE969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(1987 –1989)</w:t>
            </w:r>
          </w:p>
          <w:p w14:paraId="72E3BD3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Roger Douglas </w:t>
            </w:r>
          </w:p>
          <w:p w14:paraId="25DE3D06"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 –1990)</w:t>
            </w:r>
          </w:p>
          <w:p w14:paraId="59D7CD72"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Richard Prebble </w:t>
            </w:r>
          </w:p>
          <w:p w14:paraId="46F1661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(1990)</w:t>
            </w:r>
          </w:p>
        </w:tc>
        <w:tc>
          <w:tcPr>
            <w:tcW w:w="2835" w:type="dxa"/>
          </w:tcPr>
          <w:p w14:paraId="35E5FB0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Commissioner of Police:</w:t>
            </w:r>
          </w:p>
          <w:p w14:paraId="52DC661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Ken Thompson (1984-1986)</w:t>
            </w:r>
          </w:p>
          <w:p w14:paraId="6C44F6FD"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Malcolm Churches (1987–1989)</w:t>
            </w:r>
          </w:p>
          <w:p w14:paraId="2CC42D11"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John Anderson Jamieson (1989–1993)</w:t>
            </w:r>
          </w:p>
        </w:tc>
        <w:tc>
          <w:tcPr>
            <w:tcW w:w="2409" w:type="dxa"/>
          </w:tcPr>
          <w:p w14:paraId="7D01A10A"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Police Act 1958</w:t>
            </w:r>
          </w:p>
        </w:tc>
      </w:tr>
      <w:tr w:rsidR="00FE4E56" w:rsidRPr="00D27E86" w14:paraId="761B6097" w14:textId="77777777" w:rsidTr="0022747C">
        <w:trPr>
          <w:trHeight w:val="300"/>
        </w:trPr>
        <w:tc>
          <w:tcPr>
            <w:tcW w:w="1838" w:type="dxa"/>
          </w:tcPr>
          <w:p w14:paraId="103006E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Corrections</w:t>
            </w:r>
          </w:p>
        </w:tc>
        <w:tc>
          <w:tcPr>
            <w:tcW w:w="1985" w:type="dxa"/>
          </w:tcPr>
          <w:p w14:paraId="1D858551"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N/A</w:t>
            </w:r>
          </w:p>
        </w:tc>
        <w:tc>
          <w:tcPr>
            <w:tcW w:w="2835" w:type="dxa"/>
          </w:tcPr>
          <w:p w14:paraId="26582D26"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N/A</w:t>
            </w:r>
          </w:p>
        </w:tc>
        <w:tc>
          <w:tcPr>
            <w:tcW w:w="2409" w:type="dxa"/>
          </w:tcPr>
          <w:p w14:paraId="1FC8D18A" w14:textId="77777777" w:rsidR="00FE4E56" w:rsidRPr="00D27E86" w:rsidRDefault="00FE4E56" w:rsidP="005E0F2F">
            <w:pPr>
              <w:spacing w:before="0" w:after="0" w:line="240" w:lineRule="auto"/>
              <w:rPr>
                <w:rFonts w:ascii="Arial" w:eastAsia="Calibri" w:hAnsi="Arial" w:cs="Arial"/>
                <w:sz w:val="18"/>
                <w:szCs w:val="18"/>
              </w:rPr>
            </w:pPr>
            <w:r w:rsidRPr="00D27E86">
              <w:rPr>
                <w:rFonts w:ascii="Arial" w:hAnsi="Arial" w:cs="Arial"/>
                <w:sz w:val="18"/>
                <w:szCs w:val="18"/>
              </w:rPr>
              <w:t>N/A</w:t>
            </w:r>
          </w:p>
        </w:tc>
      </w:tr>
      <w:tr w:rsidR="00FE4E56" w:rsidRPr="00D27E86" w14:paraId="5F1316B1" w14:textId="77777777" w:rsidTr="0022747C">
        <w:tc>
          <w:tcPr>
            <w:tcW w:w="1838" w:type="dxa"/>
          </w:tcPr>
          <w:p w14:paraId="1355694F"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Finance</w:t>
            </w:r>
          </w:p>
        </w:tc>
        <w:tc>
          <w:tcPr>
            <w:tcW w:w="1985" w:type="dxa"/>
          </w:tcPr>
          <w:p w14:paraId="4EB5B74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Roger Douglas </w:t>
            </w:r>
          </w:p>
          <w:p w14:paraId="2C44950E"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–198</w:t>
            </w:r>
            <w:r w:rsidRPr="00D27E86">
              <w:rPr>
                <w:rFonts w:ascii="Arial" w:hAnsi="Arial" w:cs="Arial"/>
                <w:strike/>
                <w:sz w:val="18"/>
                <w:szCs w:val="18"/>
              </w:rPr>
              <w:t>7</w:t>
            </w:r>
            <w:r w:rsidRPr="00D27E86">
              <w:rPr>
                <w:rFonts w:ascii="Arial" w:hAnsi="Arial" w:cs="Arial"/>
                <w:sz w:val="18"/>
                <w:szCs w:val="18"/>
              </w:rPr>
              <w:t>8)</w:t>
            </w:r>
          </w:p>
          <w:p w14:paraId="5E16FC6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David Caygill </w:t>
            </w:r>
          </w:p>
          <w:p w14:paraId="32DDA561"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(1988 –1990)</w:t>
            </w:r>
          </w:p>
        </w:tc>
        <w:tc>
          <w:tcPr>
            <w:tcW w:w="2835" w:type="dxa"/>
          </w:tcPr>
          <w:p w14:paraId="7C1E494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Secretary to the Treasury:</w:t>
            </w:r>
          </w:p>
          <w:p w14:paraId="30EE6790"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Graham Scott </w:t>
            </w:r>
          </w:p>
          <w:p w14:paraId="4507C47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(1986 – 1993)</w:t>
            </w:r>
          </w:p>
        </w:tc>
        <w:tc>
          <w:tcPr>
            <w:tcW w:w="2409" w:type="dxa"/>
          </w:tcPr>
          <w:p w14:paraId="56092288" w14:textId="77777777" w:rsidR="00FE4E56" w:rsidRPr="00D27E86" w:rsidRDefault="00FE4E56" w:rsidP="005E0F2F">
            <w:pPr>
              <w:spacing w:before="0" w:after="0" w:line="240" w:lineRule="auto"/>
              <w:rPr>
                <w:rFonts w:ascii="Arial" w:eastAsia="Calibri" w:hAnsi="Arial" w:cs="Arial"/>
                <w:sz w:val="18"/>
                <w:szCs w:val="18"/>
              </w:rPr>
            </w:pPr>
            <w:r w:rsidRPr="00D27E86">
              <w:rPr>
                <w:rFonts w:ascii="Arial" w:eastAsia="Calibri" w:hAnsi="Arial" w:cs="Arial"/>
                <w:sz w:val="18"/>
                <w:szCs w:val="18"/>
              </w:rPr>
              <w:t>Public Revenues Act 1953</w:t>
            </w:r>
          </w:p>
          <w:p w14:paraId="377EADAC" w14:textId="77777777" w:rsidR="00FE4E56" w:rsidRPr="00D27E86" w:rsidRDefault="00FE4E56" w:rsidP="005E0F2F">
            <w:pPr>
              <w:spacing w:before="0" w:after="0" w:line="240" w:lineRule="auto"/>
              <w:rPr>
                <w:rFonts w:ascii="Arial" w:eastAsia="Calibri" w:hAnsi="Arial" w:cs="Arial"/>
                <w:sz w:val="18"/>
                <w:szCs w:val="18"/>
              </w:rPr>
            </w:pPr>
            <w:r w:rsidRPr="00D27E86">
              <w:rPr>
                <w:rFonts w:ascii="Arial" w:eastAsia="Calibri" w:hAnsi="Arial" w:cs="Arial"/>
                <w:sz w:val="18"/>
                <w:szCs w:val="18"/>
              </w:rPr>
              <w:t>Public Finance Act 1989</w:t>
            </w:r>
          </w:p>
          <w:p w14:paraId="11D97967" w14:textId="77777777" w:rsidR="00FE4E56" w:rsidRPr="00D27E86" w:rsidRDefault="00FE4E56" w:rsidP="005E0F2F">
            <w:pPr>
              <w:spacing w:before="0" w:after="0" w:line="240" w:lineRule="auto"/>
              <w:rPr>
                <w:rFonts w:ascii="Arial" w:eastAsia="Calibri" w:hAnsi="Arial" w:cs="Arial"/>
                <w:sz w:val="18"/>
                <w:szCs w:val="18"/>
              </w:rPr>
            </w:pPr>
          </w:p>
        </w:tc>
      </w:tr>
      <w:tr w:rsidR="00FE4E56" w:rsidRPr="00D27E86" w14:paraId="33DA6BEA" w14:textId="77777777" w:rsidTr="0022747C">
        <w:tc>
          <w:tcPr>
            <w:tcW w:w="1838" w:type="dxa"/>
          </w:tcPr>
          <w:p w14:paraId="7A5A7FEE"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State Services </w:t>
            </w:r>
          </w:p>
        </w:tc>
        <w:tc>
          <w:tcPr>
            <w:tcW w:w="1985" w:type="dxa"/>
          </w:tcPr>
          <w:p w14:paraId="7CEAC26C"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Stan Rodger </w:t>
            </w:r>
          </w:p>
          <w:p w14:paraId="553197E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(1984 –1990)</w:t>
            </w:r>
          </w:p>
          <w:p w14:paraId="6A9D5DB2" w14:textId="77777777" w:rsidR="00FE4E5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Clive Matthewson </w:t>
            </w:r>
          </w:p>
          <w:p w14:paraId="32205B4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(1990)</w:t>
            </w:r>
          </w:p>
        </w:tc>
        <w:tc>
          <w:tcPr>
            <w:tcW w:w="2835" w:type="dxa"/>
          </w:tcPr>
          <w:p w14:paraId="1E5A253C"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Chairman of the State Services Commission:</w:t>
            </w:r>
          </w:p>
          <w:p w14:paraId="035326FF"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Mervyn Probine </w:t>
            </w:r>
          </w:p>
          <w:p w14:paraId="280BC0F5"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(1981 - 1985)</w:t>
            </w:r>
          </w:p>
          <w:p w14:paraId="65F632F2"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Roderick Deane </w:t>
            </w:r>
          </w:p>
          <w:p w14:paraId="310D6ABF"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(1985 – 1986</w:t>
            </w:r>
          </w:p>
          <w:p w14:paraId="6AC4EC63"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Don Hunn </w:t>
            </w:r>
          </w:p>
          <w:p w14:paraId="1FAD8B5A"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(1986 – 1987) </w:t>
            </w:r>
          </w:p>
          <w:p w14:paraId="5FC7B90F"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 xml:space="preserve">Chief Commissioner of the State Services Commission: </w:t>
            </w:r>
          </w:p>
          <w:p w14:paraId="0C136B97"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Don Hunn (1988)</w:t>
            </w:r>
          </w:p>
          <w:p w14:paraId="60132BFD"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State Services Commissioner:</w:t>
            </w:r>
          </w:p>
          <w:p w14:paraId="5A8B6239"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Don Hunn</w:t>
            </w:r>
          </w:p>
          <w:p w14:paraId="3044125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(1989 - 1997)</w:t>
            </w:r>
          </w:p>
        </w:tc>
        <w:tc>
          <w:tcPr>
            <w:tcW w:w="2409" w:type="dxa"/>
          </w:tcPr>
          <w:p w14:paraId="3E7FF064" w14:textId="77777777" w:rsidR="00FE4E56" w:rsidRPr="00D27E86" w:rsidRDefault="00FE4E56" w:rsidP="005E0F2F">
            <w:pPr>
              <w:spacing w:before="0" w:after="0" w:line="240" w:lineRule="auto"/>
              <w:rPr>
                <w:rFonts w:ascii="Arial" w:hAnsi="Arial" w:cs="Arial"/>
                <w:sz w:val="18"/>
                <w:szCs w:val="18"/>
              </w:rPr>
            </w:pPr>
            <w:r w:rsidRPr="00D27E86">
              <w:rPr>
                <w:rFonts w:ascii="Arial" w:hAnsi="Arial" w:cs="Arial"/>
                <w:sz w:val="18"/>
                <w:szCs w:val="18"/>
              </w:rPr>
              <w:t>State Services Act 1962</w:t>
            </w:r>
          </w:p>
          <w:p w14:paraId="4D35F7EE" w14:textId="77777777" w:rsidR="00FE4E56" w:rsidRPr="00D27E86" w:rsidRDefault="00FE4E56" w:rsidP="005E0F2F">
            <w:pPr>
              <w:spacing w:before="0" w:after="0" w:line="240" w:lineRule="auto"/>
              <w:rPr>
                <w:rFonts w:ascii="Arial" w:hAnsi="Arial" w:cs="Arial"/>
                <w:sz w:val="18"/>
                <w:szCs w:val="18"/>
                <w:shd w:val="clear" w:color="auto" w:fill="FFFFFF"/>
              </w:rPr>
            </w:pPr>
            <w:r w:rsidRPr="00D27E86">
              <w:rPr>
                <w:rFonts w:ascii="Arial" w:hAnsi="Arial" w:cs="Arial"/>
                <w:sz w:val="18"/>
                <w:szCs w:val="18"/>
              </w:rPr>
              <w:t>State Sector Act 1988</w:t>
            </w:r>
          </w:p>
          <w:p w14:paraId="2A7549DE" w14:textId="77777777" w:rsidR="00FE4E56" w:rsidRPr="00D27E86" w:rsidRDefault="00FE4E56" w:rsidP="005E0F2F">
            <w:pPr>
              <w:spacing w:before="0" w:after="0" w:line="240" w:lineRule="auto"/>
              <w:rPr>
                <w:rFonts w:ascii="Arial" w:hAnsi="Arial" w:cs="Arial"/>
                <w:sz w:val="18"/>
                <w:szCs w:val="18"/>
                <w:shd w:val="clear" w:color="auto" w:fill="FFFFFF"/>
              </w:rPr>
            </w:pPr>
          </w:p>
          <w:p w14:paraId="709F8C68" w14:textId="77777777" w:rsidR="00FE4E56" w:rsidRPr="00D27E86" w:rsidRDefault="00FE4E56" w:rsidP="005E0F2F">
            <w:pPr>
              <w:spacing w:before="0" w:after="0" w:line="240" w:lineRule="auto"/>
              <w:rPr>
                <w:rFonts w:ascii="Arial" w:hAnsi="Arial" w:cs="Arial"/>
                <w:sz w:val="18"/>
                <w:szCs w:val="18"/>
              </w:rPr>
            </w:pPr>
          </w:p>
        </w:tc>
      </w:tr>
    </w:tbl>
    <w:p w14:paraId="5D6ACCD8" w14:textId="77777777" w:rsidR="00FE4E56" w:rsidRPr="00AF31E0" w:rsidRDefault="00FE4E56" w:rsidP="00654280">
      <w:pPr>
        <w:rPr>
          <w:rFonts w:ascii="Arial" w:hAnsi="Arial" w:cs="Arial"/>
          <w:sz w:val="18"/>
          <w:szCs w:val="18"/>
        </w:rPr>
      </w:pPr>
      <w:r w:rsidRPr="00AF31E0">
        <w:rPr>
          <w:rFonts w:ascii="Arial" w:hAnsi="Arial" w:cs="Arial"/>
          <w:sz w:val="18"/>
          <w:szCs w:val="18"/>
        </w:rPr>
        <w:br w:type="page"/>
      </w:r>
    </w:p>
    <w:p w14:paraId="65415654" w14:textId="77777777" w:rsidR="00FE4E56" w:rsidRPr="00044101" w:rsidRDefault="00FE4E56" w:rsidP="00155FB1">
      <w:pPr>
        <w:pStyle w:val="AllQuotes"/>
        <w:jc w:val="center"/>
      </w:pPr>
      <w:r w:rsidRPr="00044101">
        <w:rPr>
          <w:w w:val="90"/>
        </w:rPr>
        <w:lastRenderedPageBreak/>
        <w:t>National</w:t>
      </w:r>
      <w:r w:rsidRPr="00044101">
        <w:rPr>
          <w:spacing w:val="10"/>
        </w:rPr>
        <w:t xml:space="preserve"> </w:t>
      </w:r>
      <w:r w:rsidRPr="00044101">
        <w:rPr>
          <w:w w:val="90"/>
        </w:rPr>
        <w:t>Government</w:t>
      </w:r>
      <w:r w:rsidRPr="00044101">
        <w:rPr>
          <w:spacing w:val="10"/>
        </w:rPr>
        <w:t xml:space="preserve"> </w:t>
      </w:r>
      <w:r w:rsidRPr="00044101">
        <w:rPr>
          <w:w w:val="90"/>
        </w:rPr>
        <w:t>1990</w:t>
      </w:r>
      <w:r w:rsidRPr="00044101">
        <w:rPr>
          <w:spacing w:val="11"/>
        </w:rPr>
        <w:t xml:space="preserve"> </w:t>
      </w:r>
      <w:r w:rsidRPr="00044101">
        <w:rPr>
          <w:w w:val="90"/>
        </w:rPr>
        <w:t>–</w:t>
      </w:r>
      <w:r w:rsidRPr="00044101">
        <w:rPr>
          <w:spacing w:val="10"/>
        </w:rPr>
        <w:t xml:space="preserve"> </w:t>
      </w:r>
      <w:r w:rsidRPr="00044101">
        <w:rPr>
          <w:spacing w:val="-4"/>
          <w:w w:val="90"/>
        </w:rPr>
        <w:t>1999</w:t>
      </w:r>
    </w:p>
    <w:p w14:paraId="1699C8E2" w14:textId="77777777" w:rsidR="00FE4E56" w:rsidRDefault="00FE4E56" w:rsidP="00155FB1">
      <w:pPr>
        <w:pStyle w:val="AllQuotes"/>
        <w:jc w:val="center"/>
      </w:pPr>
      <w:r w:rsidRPr="00044101">
        <w:rPr>
          <w:w w:val="85"/>
        </w:rPr>
        <w:t>PM:</w:t>
      </w:r>
      <w:r w:rsidRPr="00044101">
        <w:rPr>
          <w:spacing w:val="2"/>
        </w:rPr>
        <w:t xml:space="preserve"> </w:t>
      </w:r>
      <w:r w:rsidRPr="00044101">
        <w:rPr>
          <w:w w:val="85"/>
        </w:rPr>
        <w:t>Jim Bolger (1990-1997) / PM:  Jenny Shipley (1997-1999)</w:t>
      </w:r>
    </w:p>
    <w:tbl>
      <w:tblPr>
        <w:tblStyle w:val="TableGrid"/>
        <w:tblW w:w="0" w:type="auto"/>
        <w:tblLook w:val="04A0" w:firstRow="1" w:lastRow="0" w:firstColumn="1" w:lastColumn="0" w:noHBand="0" w:noVBand="1"/>
      </w:tblPr>
      <w:tblGrid>
        <w:gridCol w:w="1555"/>
        <w:gridCol w:w="2551"/>
        <w:gridCol w:w="2268"/>
        <w:gridCol w:w="2410"/>
      </w:tblGrid>
      <w:tr w:rsidR="00FE4E56" w:rsidRPr="00044101" w14:paraId="0A77B5D0" w14:textId="77777777" w:rsidTr="0022747C">
        <w:tc>
          <w:tcPr>
            <w:tcW w:w="1555" w:type="dxa"/>
            <w:shd w:val="clear" w:color="auto" w:fill="000000" w:themeFill="text1"/>
          </w:tcPr>
          <w:p w14:paraId="24BC3CF3" w14:textId="77777777" w:rsidR="00FE4E56" w:rsidRPr="00044101" w:rsidRDefault="00FE4E56" w:rsidP="00DD23E6">
            <w:pPr>
              <w:spacing w:before="0" w:after="0" w:line="240" w:lineRule="auto"/>
              <w:rPr>
                <w:rFonts w:ascii="Arial" w:hAnsi="Arial" w:cs="Arial"/>
                <w:b/>
                <w:bCs/>
                <w:sz w:val="18"/>
                <w:szCs w:val="18"/>
              </w:rPr>
            </w:pPr>
            <w:r w:rsidRPr="00044101">
              <w:rPr>
                <w:rFonts w:ascii="Arial" w:hAnsi="Arial" w:cs="Arial"/>
                <w:b/>
                <w:bCs/>
                <w:sz w:val="18"/>
                <w:szCs w:val="18"/>
              </w:rPr>
              <w:t>Ministerial portfolio</w:t>
            </w:r>
          </w:p>
        </w:tc>
        <w:tc>
          <w:tcPr>
            <w:tcW w:w="2551" w:type="dxa"/>
            <w:shd w:val="clear" w:color="auto" w:fill="000000" w:themeFill="text1"/>
          </w:tcPr>
          <w:p w14:paraId="647B0E9E" w14:textId="77777777" w:rsidR="00FE4E56" w:rsidRPr="00044101" w:rsidRDefault="00FE4E56" w:rsidP="00DD23E6">
            <w:pPr>
              <w:spacing w:before="0" w:after="0" w:line="240" w:lineRule="auto"/>
              <w:rPr>
                <w:rFonts w:ascii="Arial" w:hAnsi="Arial" w:cs="Arial"/>
                <w:b/>
                <w:bCs/>
                <w:sz w:val="18"/>
                <w:szCs w:val="18"/>
              </w:rPr>
            </w:pPr>
            <w:r w:rsidRPr="00044101">
              <w:rPr>
                <w:rFonts w:ascii="Arial" w:hAnsi="Arial" w:cs="Arial"/>
                <w:b/>
                <w:bCs/>
                <w:sz w:val="18"/>
                <w:szCs w:val="18"/>
              </w:rPr>
              <w:t>Minister and tenure</w:t>
            </w:r>
          </w:p>
        </w:tc>
        <w:tc>
          <w:tcPr>
            <w:tcW w:w="2268" w:type="dxa"/>
            <w:shd w:val="clear" w:color="auto" w:fill="000000" w:themeFill="text1"/>
          </w:tcPr>
          <w:p w14:paraId="5FECA328" w14:textId="77777777" w:rsidR="00FE4E56" w:rsidRPr="00044101" w:rsidRDefault="00FE4E56" w:rsidP="00DD23E6">
            <w:pPr>
              <w:spacing w:before="0" w:after="0" w:line="240" w:lineRule="auto"/>
              <w:rPr>
                <w:rFonts w:ascii="Arial" w:hAnsi="Arial" w:cs="Arial"/>
                <w:b/>
                <w:bCs/>
                <w:sz w:val="18"/>
                <w:szCs w:val="18"/>
              </w:rPr>
            </w:pPr>
            <w:r w:rsidRPr="00044101">
              <w:rPr>
                <w:rFonts w:ascii="Arial" w:hAnsi="Arial" w:cs="Arial"/>
                <w:b/>
                <w:bCs/>
                <w:sz w:val="18"/>
                <w:szCs w:val="18"/>
              </w:rPr>
              <w:t>Head of Department/</w:t>
            </w:r>
          </w:p>
          <w:p w14:paraId="143C149E" w14:textId="77777777" w:rsidR="00FE4E56" w:rsidRPr="00044101" w:rsidRDefault="00FE4E56" w:rsidP="00DD23E6">
            <w:pPr>
              <w:spacing w:before="0" w:after="0" w:line="240" w:lineRule="auto"/>
              <w:rPr>
                <w:rFonts w:ascii="Arial" w:hAnsi="Arial" w:cs="Arial"/>
                <w:b/>
                <w:bCs/>
                <w:sz w:val="18"/>
                <w:szCs w:val="18"/>
              </w:rPr>
            </w:pPr>
            <w:r w:rsidRPr="00044101">
              <w:rPr>
                <w:rFonts w:ascii="Arial" w:hAnsi="Arial" w:cs="Arial"/>
                <w:b/>
                <w:bCs/>
                <w:sz w:val="18"/>
                <w:szCs w:val="18"/>
              </w:rPr>
              <w:t>Chief Executive</w:t>
            </w:r>
          </w:p>
        </w:tc>
        <w:tc>
          <w:tcPr>
            <w:tcW w:w="2410" w:type="dxa"/>
            <w:shd w:val="clear" w:color="auto" w:fill="000000" w:themeFill="text1"/>
          </w:tcPr>
          <w:p w14:paraId="5FEFB821" w14:textId="77777777" w:rsidR="00FE4E56" w:rsidRPr="00044101" w:rsidRDefault="00FE4E56" w:rsidP="00DD23E6">
            <w:pPr>
              <w:spacing w:before="0" w:after="0" w:line="240" w:lineRule="auto"/>
              <w:rPr>
                <w:rFonts w:ascii="Arial" w:hAnsi="Arial" w:cs="Arial"/>
                <w:b/>
                <w:bCs/>
                <w:sz w:val="18"/>
                <w:szCs w:val="18"/>
              </w:rPr>
            </w:pPr>
            <w:r w:rsidRPr="00044101">
              <w:rPr>
                <w:rFonts w:ascii="Arial" w:hAnsi="Arial" w:cs="Arial"/>
                <w:b/>
                <w:bCs/>
                <w:sz w:val="18"/>
                <w:szCs w:val="18"/>
              </w:rPr>
              <w:t>Relevant legislation</w:t>
            </w:r>
          </w:p>
        </w:tc>
      </w:tr>
      <w:tr w:rsidR="00FE4E56" w:rsidRPr="00044101" w14:paraId="0C89D4AF" w14:textId="77777777" w:rsidTr="0022747C">
        <w:trPr>
          <w:trHeight w:val="300"/>
        </w:trPr>
        <w:tc>
          <w:tcPr>
            <w:tcW w:w="1555" w:type="dxa"/>
          </w:tcPr>
          <w:p w14:paraId="2D86AEA7"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Social Welfare</w:t>
            </w:r>
          </w:p>
        </w:tc>
        <w:tc>
          <w:tcPr>
            <w:tcW w:w="2551" w:type="dxa"/>
          </w:tcPr>
          <w:p w14:paraId="22E6F817"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Jenny Shipley </w:t>
            </w:r>
          </w:p>
          <w:p w14:paraId="11C83F68"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(1990 –1996)</w:t>
            </w:r>
          </w:p>
          <w:p w14:paraId="4A354356"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Roger Sowry </w:t>
            </w:r>
          </w:p>
          <w:p w14:paraId="786509D0"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(1996 –1999)</w:t>
            </w:r>
          </w:p>
        </w:tc>
        <w:tc>
          <w:tcPr>
            <w:tcW w:w="2268" w:type="dxa"/>
          </w:tcPr>
          <w:p w14:paraId="57366D04"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Director-General of Social Welfare:</w:t>
            </w:r>
          </w:p>
          <w:p w14:paraId="5E01276A"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Andrew Kirkland </w:t>
            </w:r>
          </w:p>
          <w:p w14:paraId="6D51FC19"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(1991–1993)</w:t>
            </w:r>
          </w:p>
          <w:p w14:paraId="7D414F2D"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Margaret Bazley </w:t>
            </w:r>
          </w:p>
          <w:p w14:paraId="4D877A8A"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(1993–1999)</w:t>
            </w:r>
            <w:r w:rsidRPr="00044101">
              <w:rPr>
                <w:rFonts w:ascii="Arial" w:hAnsi="Arial" w:cs="Arial"/>
                <w:sz w:val="18"/>
                <w:szCs w:val="18"/>
                <w:vertAlign w:val="superscript"/>
              </w:rPr>
              <w:t>502</w:t>
            </w:r>
          </w:p>
        </w:tc>
        <w:tc>
          <w:tcPr>
            <w:tcW w:w="2410" w:type="dxa"/>
          </w:tcPr>
          <w:p w14:paraId="6174F073" w14:textId="77777777" w:rsidR="00FE4E56" w:rsidRPr="00044101" w:rsidRDefault="00FE4E56" w:rsidP="00DD23E6">
            <w:pPr>
              <w:spacing w:before="0" w:after="0" w:line="240" w:lineRule="auto"/>
              <w:rPr>
                <w:rFonts w:ascii="Arial" w:eastAsia="Calibri" w:hAnsi="Arial" w:cs="Arial"/>
                <w:sz w:val="18"/>
                <w:szCs w:val="18"/>
              </w:rPr>
            </w:pPr>
            <w:hyperlink r:id="rId19">
              <w:r w:rsidRPr="00044101">
                <w:rPr>
                  <w:rFonts w:ascii="Arial" w:eastAsia="Calibri" w:hAnsi="Arial" w:cs="Arial"/>
                  <w:sz w:val="18"/>
                  <w:szCs w:val="18"/>
                </w:rPr>
                <w:t>Adoption Act 1955</w:t>
              </w:r>
            </w:hyperlink>
          </w:p>
          <w:p w14:paraId="5E395054"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Disabled Persons Community Welfare Act 1975</w:t>
            </w:r>
          </w:p>
          <w:p w14:paraId="57CB9D93" w14:textId="77777777" w:rsidR="00FE4E56" w:rsidRPr="00044101" w:rsidRDefault="00FE4E56" w:rsidP="00DD23E6">
            <w:pPr>
              <w:spacing w:before="0" w:after="0" w:line="240" w:lineRule="auto"/>
              <w:rPr>
                <w:rFonts w:ascii="Arial" w:eastAsia="Calibri" w:hAnsi="Arial" w:cs="Arial"/>
                <w:sz w:val="18"/>
                <w:szCs w:val="18"/>
              </w:rPr>
            </w:pPr>
            <w:hyperlink r:id="rId20">
              <w:r w:rsidRPr="00044101">
                <w:rPr>
                  <w:rFonts w:ascii="Arial" w:eastAsia="Calibri" w:hAnsi="Arial" w:cs="Arial"/>
                  <w:sz w:val="18"/>
                  <w:szCs w:val="18"/>
                </w:rPr>
                <w:t>Children, Young Persons, and Their Families Act 1989</w:t>
              </w:r>
            </w:hyperlink>
          </w:p>
          <w:p w14:paraId="3969024B"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Protection of Personal Property Rights Act 1988.</w:t>
            </w:r>
          </w:p>
        </w:tc>
      </w:tr>
      <w:tr w:rsidR="00FE4E56" w:rsidRPr="00044101" w14:paraId="0780D90E" w14:textId="77777777" w:rsidTr="0022747C">
        <w:tc>
          <w:tcPr>
            <w:tcW w:w="1555" w:type="dxa"/>
          </w:tcPr>
          <w:p w14:paraId="1EB10475"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Education</w:t>
            </w:r>
          </w:p>
        </w:tc>
        <w:tc>
          <w:tcPr>
            <w:tcW w:w="2551" w:type="dxa"/>
          </w:tcPr>
          <w:p w14:paraId="0804CFE7"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Lockwood Smith </w:t>
            </w:r>
          </w:p>
          <w:p w14:paraId="3BA88AC3"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(1990 –1996)</w:t>
            </w:r>
          </w:p>
          <w:p w14:paraId="4BE03D5F"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Wyatt Creech (1996 –1999)</w:t>
            </w:r>
          </w:p>
          <w:p w14:paraId="749F39E1"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Nick Smith (1999)</w:t>
            </w:r>
          </w:p>
        </w:tc>
        <w:tc>
          <w:tcPr>
            <w:tcW w:w="2268" w:type="dxa"/>
          </w:tcPr>
          <w:p w14:paraId="1B7C5ACF"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Secretary for Education:</w:t>
            </w:r>
          </w:p>
          <w:p w14:paraId="0CB48A99"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Dr Maris O’Rourke (1989-1996)</w:t>
            </w:r>
          </w:p>
          <w:p w14:paraId="0535C96E"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Howard Fancy </w:t>
            </w:r>
          </w:p>
          <w:p w14:paraId="7B7D3D20"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(1996–2006)</w:t>
            </w:r>
          </w:p>
        </w:tc>
        <w:tc>
          <w:tcPr>
            <w:tcW w:w="2410" w:type="dxa"/>
          </w:tcPr>
          <w:p w14:paraId="0E9EEF5C"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Education Act 1989</w:t>
            </w:r>
          </w:p>
          <w:p w14:paraId="02516448"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 xml:space="preserve"> </w:t>
            </w:r>
          </w:p>
        </w:tc>
      </w:tr>
      <w:tr w:rsidR="00FE4E56" w:rsidRPr="00044101" w14:paraId="2E4D6843" w14:textId="77777777" w:rsidTr="0022747C">
        <w:tc>
          <w:tcPr>
            <w:tcW w:w="1555" w:type="dxa"/>
          </w:tcPr>
          <w:p w14:paraId="751398B8"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Health</w:t>
            </w:r>
          </w:p>
        </w:tc>
        <w:tc>
          <w:tcPr>
            <w:tcW w:w="2551" w:type="dxa"/>
          </w:tcPr>
          <w:p w14:paraId="0BD6C93E"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Simon Upton (1990 –1993)</w:t>
            </w:r>
          </w:p>
          <w:p w14:paraId="49F30433"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Bill Birch (1993)</w:t>
            </w:r>
          </w:p>
          <w:p w14:paraId="0AF4E69B"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Jenny Shipley (1993 –1996)</w:t>
            </w:r>
          </w:p>
          <w:p w14:paraId="703F861F"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Bill English (1996 –1999)</w:t>
            </w:r>
          </w:p>
          <w:p w14:paraId="50094DD8"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Wyatt Creech (1999)</w:t>
            </w:r>
          </w:p>
        </w:tc>
        <w:tc>
          <w:tcPr>
            <w:tcW w:w="2268" w:type="dxa"/>
          </w:tcPr>
          <w:p w14:paraId="0FFC379B"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Director-General of Health:</w:t>
            </w:r>
          </w:p>
          <w:p w14:paraId="59EDEA82"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Dr George Salmond (1986-1991) </w:t>
            </w:r>
          </w:p>
          <w:p w14:paraId="174A55B8"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Dr Christopher Lovelace (1992–1995)</w:t>
            </w:r>
          </w:p>
          <w:p w14:paraId="19C73B2E"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Dr Karen Poutasi </w:t>
            </w:r>
          </w:p>
          <w:p w14:paraId="0B360431"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(1995–2006)</w:t>
            </w:r>
          </w:p>
        </w:tc>
        <w:tc>
          <w:tcPr>
            <w:tcW w:w="2410" w:type="dxa"/>
          </w:tcPr>
          <w:p w14:paraId="324B9349"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Mental Health Act 1969</w:t>
            </w:r>
          </w:p>
          <w:p w14:paraId="185E15F0"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Mental Health (Compulsory Assessment and Treatment) Act 1992</w:t>
            </w:r>
          </w:p>
          <w:p w14:paraId="6C7C576D"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Health and Disability Commissioner Act 1994</w:t>
            </w:r>
          </w:p>
          <w:p w14:paraId="7932D61F" w14:textId="77777777" w:rsidR="00FE4E56" w:rsidRPr="00044101" w:rsidRDefault="00FE4E56" w:rsidP="00DD23E6">
            <w:pPr>
              <w:spacing w:before="0" w:after="0" w:line="240" w:lineRule="auto"/>
              <w:rPr>
                <w:rFonts w:ascii="Arial" w:hAnsi="Arial" w:cs="Arial"/>
                <w:sz w:val="18"/>
                <w:szCs w:val="18"/>
              </w:rPr>
            </w:pPr>
          </w:p>
        </w:tc>
      </w:tr>
      <w:tr w:rsidR="00FE4E56" w:rsidRPr="00044101" w14:paraId="217E978B" w14:textId="77777777" w:rsidTr="0022747C">
        <w:tc>
          <w:tcPr>
            <w:tcW w:w="1555" w:type="dxa"/>
          </w:tcPr>
          <w:p w14:paraId="6AA595B3"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Justice</w:t>
            </w:r>
          </w:p>
        </w:tc>
        <w:tc>
          <w:tcPr>
            <w:tcW w:w="2551" w:type="dxa"/>
          </w:tcPr>
          <w:p w14:paraId="6D6CD92E"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Doug Graham (1990-1999)</w:t>
            </w:r>
          </w:p>
        </w:tc>
        <w:tc>
          <w:tcPr>
            <w:tcW w:w="2268" w:type="dxa"/>
          </w:tcPr>
          <w:p w14:paraId="03D49BCC"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Secretary for Justice:</w:t>
            </w:r>
          </w:p>
          <w:p w14:paraId="0E698BBF"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David Oughton </w:t>
            </w:r>
          </w:p>
          <w:p w14:paraId="0222DF6E"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(1986–1994)</w:t>
            </w:r>
          </w:p>
          <w:p w14:paraId="0EE2258D"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John Belgrave </w:t>
            </w:r>
          </w:p>
          <w:p w14:paraId="14C75A9C"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(1994–1997)</w:t>
            </w:r>
          </w:p>
          <w:p w14:paraId="3EEBC89F"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Colin Keating </w:t>
            </w:r>
          </w:p>
          <w:p w14:paraId="767C4D35"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(1997-2000)</w:t>
            </w:r>
          </w:p>
        </w:tc>
        <w:tc>
          <w:tcPr>
            <w:tcW w:w="2410" w:type="dxa"/>
          </w:tcPr>
          <w:p w14:paraId="19AAD51B"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Penal Institutions Act 1954</w:t>
            </w:r>
          </w:p>
          <w:p w14:paraId="49BE212F"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Criminal Justice Act 1954</w:t>
            </w:r>
          </w:p>
          <w:p w14:paraId="1E0BE0A4"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Criminal Justice Amendment Act 1975</w:t>
            </w:r>
          </w:p>
          <w:p w14:paraId="48B5C1E1"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Penal Institutions Amendment Act 1980</w:t>
            </w:r>
          </w:p>
          <w:p w14:paraId="7FDBA775"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Bill of Rights Act 1990</w:t>
            </w:r>
          </w:p>
          <w:p w14:paraId="28B421BA"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Human Rights Act 1993</w:t>
            </w:r>
          </w:p>
        </w:tc>
      </w:tr>
      <w:tr w:rsidR="00FE4E56" w:rsidRPr="00044101" w14:paraId="3CE88868" w14:textId="77777777" w:rsidTr="0022747C">
        <w:tc>
          <w:tcPr>
            <w:tcW w:w="1555" w:type="dxa"/>
          </w:tcPr>
          <w:p w14:paraId="1088611A"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Police</w:t>
            </w:r>
          </w:p>
        </w:tc>
        <w:tc>
          <w:tcPr>
            <w:tcW w:w="2551" w:type="dxa"/>
          </w:tcPr>
          <w:p w14:paraId="5B01DF5C"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John Banks (1990 –1994)</w:t>
            </w:r>
          </w:p>
          <w:p w14:paraId="71E2C01C"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John Luxton (1994 –1996)</w:t>
            </w:r>
          </w:p>
          <w:p w14:paraId="22F0DD65"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Jack Elder (1996 –1998)</w:t>
            </w:r>
          </w:p>
          <w:p w14:paraId="0D6A42D6"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Clem Simich (1988 –1999)</w:t>
            </w:r>
          </w:p>
        </w:tc>
        <w:tc>
          <w:tcPr>
            <w:tcW w:w="2268" w:type="dxa"/>
          </w:tcPr>
          <w:p w14:paraId="4092C8BC"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Commissioner of Police:</w:t>
            </w:r>
          </w:p>
          <w:p w14:paraId="5A2BA897"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John Anderson Jamieson (1989–1993)</w:t>
            </w:r>
          </w:p>
          <w:p w14:paraId="57EF8FF5"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Richard Macdonald (1994–1996)</w:t>
            </w:r>
          </w:p>
          <w:p w14:paraId="1C728173"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Peter Doone </w:t>
            </w:r>
          </w:p>
          <w:p w14:paraId="6FDCCB47"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(1996-2000)</w:t>
            </w:r>
          </w:p>
        </w:tc>
        <w:tc>
          <w:tcPr>
            <w:tcW w:w="2410" w:type="dxa"/>
          </w:tcPr>
          <w:p w14:paraId="046F4CF8"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 xml:space="preserve"> </w:t>
            </w:r>
            <w:r w:rsidRPr="00044101">
              <w:rPr>
                <w:rFonts w:ascii="Arial" w:hAnsi="Arial" w:cs="Arial"/>
                <w:sz w:val="18"/>
                <w:szCs w:val="18"/>
              </w:rPr>
              <w:t>Police Act 1958</w:t>
            </w:r>
          </w:p>
        </w:tc>
      </w:tr>
      <w:tr w:rsidR="00FE4E56" w:rsidRPr="00044101" w14:paraId="2C6E2537" w14:textId="77777777" w:rsidTr="0022747C">
        <w:tc>
          <w:tcPr>
            <w:tcW w:w="1555" w:type="dxa"/>
          </w:tcPr>
          <w:p w14:paraId="3FC5CE1B"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Corrections</w:t>
            </w:r>
          </w:p>
        </w:tc>
        <w:tc>
          <w:tcPr>
            <w:tcW w:w="2551" w:type="dxa"/>
          </w:tcPr>
          <w:p w14:paraId="2280B0DC"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Paul East (1996 –1997)</w:t>
            </w:r>
          </w:p>
          <w:p w14:paraId="3E0DB39A"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Nick Smith (1997 –1999)</w:t>
            </w:r>
          </w:p>
          <w:p w14:paraId="2EAFDFF5"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Clem Simich (1999)</w:t>
            </w:r>
          </w:p>
        </w:tc>
        <w:tc>
          <w:tcPr>
            <w:tcW w:w="2268" w:type="dxa"/>
          </w:tcPr>
          <w:p w14:paraId="2C2F78A5"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Chief Executive:</w:t>
            </w:r>
          </w:p>
          <w:p w14:paraId="34342616"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Mark Byers (1995–2005)</w:t>
            </w:r>
          </w:p>
        </w:tc>
        <w:tc>
          <w:tcPr>
            <w:tcW w:w="2410" w:type="dxa"/>
          </w:tcPr>
          <w:p w14:paraId="4FA5F328"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 xml:space="preserve"> </w:t>
            </w:r>
          </w:p>
        </w:tc>
      </w:tr>
      <w:tr w:rsidR="00FE4E56" w:rsidRPr="00044101" w14:paraId="6035D581" w14:textId="77777777" w:rsidTr="0022747C">
        <w:tc>
          <w:tcPr>
            <w:tcW w:w="1555" w:type="dxa"/>
          </w:tcPr>
          <w:p w14:paraId="18968719"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Finance</w:t>
            </w:r>
          </w:p>
        </w:tc>
        <w:tc>
          <w:tcPr>
            <w:tcW w:w="2551" w:type="dxa"/>
          </w:tcPr>
          <w:p w14:paraId="61C994EF"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Ruth Richardson </w:t>
            </w:r>
          </w:p>
          <w:p w14:paraId="0D638046"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(1990 –1993)</w:t>
            </w:r>
          </w:p>
          <w:p w14:paraId="3D3CC30A"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Bill Birch (1993 –1999)</w:t>
            </w:r>
          </w:p>
          <w:p w14:paraId="5F1326A8"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Bill English (1999)</w:t>
            </w:r>
          </w:p>
          <w:p w14:paraId="7CBED491"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Bill Birch (1999)</w:t>
            </w:r>
          </w:p>
        </w:tc>
        <w:tc>
          <w:tcPr>
            <w:tcW w:w="2268" w:type="dxa"/>
          </w:tcPr>
          <w:p w14:paraId="3FEDC134" w14:textId="77777777" w:rsidR="00FE4E56" w:rsidRPr="00044101" w:rsidRDefault="00FE4E56" w:rsidP="00DD23E6">
            <w:pPr>
              <w:spacing w:before="0" w:after="0" w:line="240" w:lineRule="auto"/>
              <w:rPr>
                <w:rFonts w:ascii="Arial" w:hAnsi="Arial" w:cs="Arial"/>
                <w:sz w:val="18"/>
                <w:szCs w:val="18"/>
              </w:rPr>
            </w:pPr>
            <w:r w:rsidRPr="00044101">
              <w:rPr>
                <w:rFonts w:ascii="Arial" w:hAnsi="Arial" w:cs="Arial"/>
                <w:sz w:val="18"/>
                <w:szCs w:val="18"/>
              </w:rPr>
              <w:t>Secretary to the Treasury:</w:t>
            </w:r>
          </w:p>
          <w:p w14:paraId="1F19AB8E" w14:textId="77777777" w:rsidR="00FE4E56" w:rsidRDefault="00FE4E56" w:rsidP="00DD23E6">
            <w:pPr>
              <w:spacing w:before="0" w:after="0" w:line="240" w:lineRule="auto"/>
              <w:rPr>
                <w:rFonts w:ascii="Arial" w:hAnsi="Arial" w:cs="Arial"/>
                <w:sz w:val="18"/>
                <w:szCs w:val="18"/>
              </w:rPr>
            </w:pPr>
            <w:r w:rsidRPr="00044101">
              <w:rPr>
                <w:rFonts w:ascii="Arial" w:hAnsi="Arial" w:cs="Arial"/>
                <w:sz w:val="18"/>
                <w:szCs w:val="18"/>
              </w:rPr>
              <w:t xml:space="preserve">Graham Scott </w:t>
            </w:r>
          </w:p>
          <w:p w14:paraId="36D71AE3"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hAnsi="Arial" w:cs="Arial"/>
                <w:sz w:val="18"/>
                <w:szCs w:val="18"/>
              </w:rPr>
              <w:t xml:space="preserve">(1986 – 1993) </w:t>
            </w:r>
          </w:p>
          <w:p w14:paraId="752F480F" w14:textId="77777777" w:rsidR="00FE4E56"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Dr Murray Horn </w:t>
            </w:r>
          </w:p>
          <w:p w14:paraId="31EC603C"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(1993 – 1997)</w:t>
            </w:r>
          </w:p>
          <w:p w14:paraId="5434B024" w14:textId="77777777" w:rsidR="00FE4E56"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Dr Alan Bollard </w:t>
            </w:r>
          </w:p>
          <w:p w14:paraId="045646D3"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(1998 – 2002) </w:t>
            </w:r>
          </w:p>
        </w:tc>
        <w:tc>
          <w:tcPr>
            <w:tcW w:w="2410" w:type="dxa"/>
          </w:tcPr>
          <w:p w14:paraId="7CE7B5C9"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Public Finance Act 1989</w:t>
            </w:r>
          </w:p>
        </w:tc>
      </w:tr>
      <w:tr w:rsidR="00FE4E56" w:rsidRPr="00044101" w14:paraId="217F2250" w14:textId="77777777" w:rsidTr="0022747C">
        <w:tc>
          <w:tcPr>
            <w:tcW w:w="1555" w:type="dxa"/>
          </w:tcPr>
          <w:p w14:paraId="0C4CAEE0"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State Services</w:t>
            </w:r>
          </w:p>
        </w:tc>
        <w:tc>
          <w:tcPr>
            <w:tcW w:w="2551" w:type="dxa"/>
          </w:tcPr>
          <w:p w14:paraId="74DD8843"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 Bill Birch (1990-1993)</w:t>
            </w:r>
          </w:p>
          <w:p w14:paraId="71C157B7"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Paul East (1993-1996)</w:t>
            </w:r>
          </w:p>
          <w:p w14:paraId="214EFE8B"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Jenny Shipley (1996-1997)</w:t>
            </w:r>
          </w:p>
          <w:p w14:paraId="6E87E619"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Paul East (1997)</w:t>
            </w:r>
          </w:p>
          <w:p w14:paraId="6E93317C"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Simon Upton (1997-1999)</w:t>
            </w:r>
          </w:p>
        </w:tc>
        <w:tc>
          <w:tcPr>
            <w:tcW w:w="2268" w:type="dxa"/>
          </w:tcPr>
          <w:p w14:paraId="1FDE4B2C" w14:textId="77777777" w:rsidR="00FE4E56" w:rsidRPr="00044101"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State Services Commissioner:</w:t>
            </w:r>
          </w:p>
          <w:p w14:paraId="2DF6AAD5" w14:textId="77777777" w:rsidR="00FE4E56" w:rsidRDefault="00FE4E56" w:rsidP="00DD23E6">
            <w:pPr>
              <w:spacing w:before="0" w:after="0" w:line="240" w:lineRule="auto"/>
              <w:rPr>
                <w:rFonts w:ascii="Arial" w:eastAsia="Calibri" w:hAnsi="Arial" w:cs="Arial"/>
                <w:sz w:val="18"/>
                <w:szCs w:val="18"/>
              </w:rPr>
            </w:pPr>
            <w:r w:rsidRPr="00044101">
              <w:rPr>
                <w:rFonts w:ascii="Arial" w:eastAsia="Calibri" w:hAnsi="Arial" w:cs="Arial"/>
                <w:sz w:val="18"/>
                <w:szCs w:val="18"/>
              </w:rPr>
              <w:t xml:space="preserve">Don Hunn </w:t>
            </w:r>
          </w:p>
          <w:p w14:paraId="6B046AAB"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(1989 - 1997)</w:t>
            </w:r>
          </w:p>
          <w:p w14:paraId="237D124A"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Michael Wintringham (1997 – 2004)</w:t>
            </w:r>
          </w:p>
        </w:tc>
        <w:tc>
          <w:tcPr>
            <w:tcW w:w="2410" w:type="dxa"/>
          </w:tcPr>
          <w:p w14:paraId="10337794" w14:textId="77777777" w:rsidR="00FE4E56" w:rsidRPr="00044101" w:rsidRDefault="00FE4E56" w:rsidP="00DD23E6">
            <w:pPr>
              <w:spacing w:before="0" w:after="0" w:line="240" w:lineRule="auto"/>
              <w:rPr>
                <w:rFonts w:ascii="Arial" w:hAnsi="Arial" w:cs="Arial"/>
                <w:sz w:val="18"/>
                <w:szCs w:val="18"/>
              </w:rPr>
            </w:pPr>
            <w:r w:rsidRPr="00044101">
              <w:rPr>
                <w:rFonts w:ascii="Arial" w:eastAsia="Calibri" w:hAnsi="Arial" w:cs="Arial"/>
                <w:sz w:val="18"/>
                <w:szCs w:val="18"/>
              </w:rPr>
              <w:t>State Sector Act 1988</w:t>
            </w:r>
          </w:p>
        </w:tc>
      </w:tr>
    </w:tbl>
    <w:p w14:paraId="2D1B7435" w14:textId="77777777" w:rsidR="00FE4E56" w:rsidRPr="00AF31E0" w:rsidRDefault="00FE4E56" w:rsidP="00654280">
      <w:pPr>
        <w:rPr>
          <w:rFonts w:ascii="Arial" w:hAnsi="Arial" w:cs="Arial"/>
          <w:sz w:val="18"/>
          <w:szCs w:val="18"/>
        </w:rPr>
      </w:pPr>
      <w:r w:rsidRPr="007B2BD1">
        <w:rPr>
          <w:rFonts w:ascii="Arial" w:hAnsi="Arial" w:cs="Arial"/>
          <w:sz w:val="18"/>
          <w:szCs w:val="18"/>
          <w:vertAlign w:val="superscript"/>
        </w:rPr>
        <w:t>502</w:t>
      </w:r>
      <w:r w:rsidRPr="00AF31E0">
        <w:rPr>
          <w:rFonts w:ascii="Arial" w:hAnsi="Arial" w:cs="Arial"/>
          <w:sz w:val="18"/>
          <w:szCs w:val="18"/>
        </w:rPr>
        <w:t xml:space="preserve">  </w:t>
      </w:r>
      <w:r w:rsidRPr="004C68C7">
        <w:rPr>
          <w:rFonts w:ascii="Arial" w:hAnsi="Arial" w:cs="Arial"/>
          <w:sz w:val="18"/>
          <w:szCs w:val="18"/>
        </w:rPr>
        <w:t>Margaret Bazley worked at Tokanui Psychiatric Hospital, Seacliff Lunatic Asylum and Sunnyside Hospital as a psychiatric nurse in the 1960s-1970s</w:t>
      </w:r>
    </w:p>
    <w:p w14:paraId="219B13CE" w14:textId="7E780297" w:rsidR="00FE4E56" w:rsidRDefault="00FE4E56">
      <w:pPr>
        <w:keepLines w:val="0"/>
        <w:rPr>
          <w:rFonts w:ascii="Arial" w:eastAsia="Arial" w:hAnsi="Arial" w:cs="Arial"/>
          <w:sz w:val="22"/>
          <w:szCs w:val="22"/>
        </w:rPr>
      </w:pPr>
      <w:r>
        <w:rPr>
          <w:rFonts w:eastAsia="Arial" w:cs="Arial"/>
          <w:szCs w:val="22"/>
        </w:rPr>
        <w:br w:type="page"/>
      </w:r>
    </w:p>
    <w:p w14:paraId="5D08604D" w14:textId="77777777" w:rsidR="00FE4E56" w:rsidRDefault="00FE4E56" w:rsidP="004D37B9">
      <w:pPr>
        <w:pStyle w:val="AllQuotes"/>
        <w:ind w:left="0"/>
        <w:rPr>
          <w:rFonts w:eastAsia="Arial" w:cs="Arial"/>
          <w:szCs w:val="22"/>
        </w:rPr>
      </w:pPr>
    </w:p>
    <w:p w14:paraId="313B4D20" w14:textId="0A094B51" w:rsidR="00FE4E56" w:rsidRDefault="00FE4E56" w:rsidP="004D37B9">
      <w:pPr>
        <w:pStyle w:val="AllQuotes"/>
        <w:ind w:left="0"/>
        <w:rPr>
          <w:rFonts w:eastAsia="Arial" w:cs="Arial"/>
          <w:b/>
          <w:bCs/>
          <w:szCs w:val="22"/>
        </w:rPr>
      </w:pPr>
      <w:r w:rsidRPr="44ADDF6E">
        <w:rPr>
          <w:rFonts w:eastAsia="Arial" w:cs="Arial"/>
          <w:szCs w:val="22"/>
        </w:rPr>
        <w:t>[Quote]</w:t>
      </w:r>
    </w:p>
    <w:p w14:paraId="4B0A9459" w14:textId="77777777" w:rsidR="00FE4E56" w:rsidRDefault="00FE4E56" w:rsidP="004D37B9">
      <w:pPr>
        <w:pStyle w:val="AllQuotes"/>
        <w:rPr>
          <w:rFonts w:eastAsia="Arial" w:cs="Arial"/>
          <w:b/>
          <w:bCs/>
          <w:szCs w:val="22"/>
          <w:lang w:bidi="th-TH"/>
        </w:rPr>
      </w:pPr>
      <w:r w:rsidRPr="700D4309">
        <w:rPr>
          <w:rFonts w:eastAsia="Arial" w:cs="Arial"/>
          <w:b/>
          <w:bCs/>
          <w:szCs w:val="22"/>
        </w:rPr>
        <w:t>“</w:t>
      </w:r>
      <w:r w:rsidRPr="44ADDF6E">
        <w:rPr>
          <w:rFonts w:eastAsia="Arial" w:cs="Arial"/>
          <w:b/>
          <w:bCs/>
          <w:szCs w:val="22"/>
        </w:rPr>
        <w:t xml:space="preserve">Children and young people were </w:t>
      </w:r>
      <w:r w:rsidRPr="700D4309">
        <w:rPr>
          <w:rFonts w:eastAsia="Arial" w:cs="Arial"/>
          <w:b/>
          <w:bCs/>
          <w:szCs w:val="22"/>
        </w:rPr>
        <w:t>sometimes held in adult prisons</w:t>
      </w:r>
      <w:r w:rsidRPr="44ADDF6E">
        <w:rPr>
          <w:rFonts w:eastAsia="Arial" w:cs="Arial"/>
          <w:b/>
          <w:bCs/>
          <w:szCs w:val="22"/>
        </w:rPr>
        <w:t xml:space="preserve"> </w:t>
      </w:r>
      <w:r w:rsidRPr="700D4309">
        <w:rPr>
          <w:rFonts w:eastAsia="Arial" w:cs="Arial"/>
          <w:b/>
          <w:bCs/>
          <w:szCs w:val="22"/>
        </w:rPr>
        <w:t>on remand or awaiting court when</w:t>
      </w:r>
      <w:r w:rsidRPr="44ADDF6E">
        <w:rPr>
          <w:rFonts w:eastAsia="Arial" w:cs="Arial"/>
          <w:b/>
          <w:bCs/>
          <w:szCs w:val="22"/>
        </w:rPr>
        <w:t xml:space="preserve"> </w:t>
      </w:r>
      <w:r w:rsidRPr="700D4309">
        <w:rPr>
          <w:rFonts w:eastAsia="Arial" w:cs="Arial"/>
          <w:b/>
          <w:bCs/>
          <w:szCs w:val="22"/>
        </w:rPr>
        <w:t>other facilities were full.</w:t>
      </w:r>
      <w:r w:rsidRPr="44ADDF6E">
        <w:rPr>
          <w:rFonts w:eastAsia="Arial" w:cs="Arial"/>
          <w:b/>
          <w:bCs/>
          <w:szCs w:val="22"/>
        </w:rPr>
        <w:t>”</w:t>
      </w:r>
    </w:p>
    <w:p w14:paraId="6FE9FE5C" w14:textId="77777777" w:rsidR="00FE4E56" w:rsidRDefault="00FE4E56" w:rsidP="004D37B9">
      <w:pPr>
        <w:pStyle w:val="AllQuotes"/>
        <w:rPr>
          <w:rFonts w:eastAsia="Arial" w:cs="Arial"/>
          <w:b/>
          <w:bCs/>
          <w:szCs w:val="22"/>
          <w:lang w:bidi="th-TH"/>
        </w:rPr>
      </w:pPr>
      <w:r w:rsidRPr="700D4309">
        <w:rPr>
          <w:rFonts w:eastAsia="Arial" w:cs="Arial"/>
          <w:b/>
          <w:bCs/>
          <w:szCs w:val="22"/>
        </w:rPr>
        <w:t>Andrew Coster</w:t>
      </w:r>
    </w:p>
    <w:p w14:paraId="7ECFFC10" w14:textId="1A6F2450" w:rsidR="00FE4E56" w:rsidRDefault="00FE4E56" w:rsidP="004D37B9">
      <w:pPr>
        <w:pStyle w:val="AllQuotes"/>
        <w:rPr>
          <w:rFonts w:eastAsia="Arial" w:cs="Arial"/>
          <w:b/>
          <w:bCs/>
          <w:szCs w:val="22"/>
        </w:rPr>
      </w:pPr>
      <w:r>
        <w:rPr>
          <w:rFonts w:eastAsia="Arial" w:cs="Arial"/>
          <w:b/>
          <w:bCs/>
          <w:szCs w:val="22"/>
        </w:rPr>
        <w:t xml:space="preserve">Police Commissioner, </w:t>
      </w:r>
      <w:r w:rsidRPr="700D4309">
        <w:rPr>
          <w:rFonts w:eastAsia="Arial" w:cs="Arial"/>
          <w:b/>
          <w:bCs/>
          <w:szCs w:val="22"/>
        </w:rPr>
        <w:t>NZ Police</w:t>
      </w:r>
    </w:p>
    <w:p w14:paraId="534C9386" w14:textId="77777777" w:rsidR="00FE4E56" w:rsidRDefault="00FE4E56">
      <w:pPr>
        <w:keepLines w:val="0"/>
        <w:rPr>
          <w:rFonts w:ascii="Arial" w:hAnsi="Arial" w:cs="Arial"/>
          <w:b/>
          <w:bCs/>
          <w:color w:val="4F7D29" w:themeColor="accent4"/>
          <w:sz w:val="36"/>
          <w:szCs w:val="36"/>
        </w:rPr>
      </w:pPr>
      <w:r>
        <w:br w:type="page"/>
      </w:r>
    </w:p>
    <w:p w14:paraId="5961DE63" w14:textId="5FAEE323" w:rsidR="00FE4E56" w:rsidRPr="004A0212" w:rsidRDefault="00FE4E56" w:rsidP="00282055">
      <w:pPr>
        <w:pStyle w:val="Heading1"/>
        <w:rPr>
          <w:color w:val="222222"/>
          <w:sz w:val="22"/>
          <w:szCs w:val="22"/>
          <w14:textFill>
            <w14:solidFill>
              <w14:srgbClr w14:val="222222">
                <w14:lumMod w14:val="50000"/>
              </w14:srgbClr>
            </w14:solidFill>
          </w14:textFill>
        </w:rPr>
      </w:pPr>
      <w:bookmarkStart w:id="618" w:name="_Toc181084958"/>
      <w:r w:rsidRPr="004A0212">
        <w:rPr>
          <w:color w:val="3B5D1E" w:themeColor="accent4" w:themeShade="BF"/>
        </w:rPr>
        <w:lastRenderedPageBreak/>
        <w:t>Ūpoko 10: Ngā whakaritenga taurima ā-Kāwanatanga i te wā Pakirehua</w:t>
      </w:r>
      <w:bookmarkEnd w:id="617"/>
      <w:bookmarkEnd w:id="618"/>
      <w:r w:rsidRPr="004A0212">
        <w:rPr>
          <w:color w:val="3B5D1E" w:themeColor="accent4" w:themeShade="BF"/>
        </w:rPr>
        <w:t xml:space="preserve"> </w:t>
      </w:r>
    </w:p>
    <w:p w14:paraId="5B3208EC" w14:textId="0103DAFD" w:rsidR="00FE4E56" w:rsidRPr="004A0212" w:rsidRDefault="00FE4E56" w:rsidP="00282055">
      <w:pPr>
        <w:pStyle w:val="Heading1"/>
        <w:rPr>
          <w:color w:val="3B5D1E" w:themeColor="accent4" w:themeShade="BF"/>
        </w:rPr>
      </w:pPr>
      <w:bookmarkStart w:id="619" w:name="_Toc1468377198"/>
      <w:bookmarkStart w:id="620" w:name="_Toc181084959"/>
      <w:r w:rsidRPr="004A0212">
        <w:rPr>
          <w:color w:val="3B5D1E" w:themeColor="accent4" w:themeShade="BF"/>
        </w:rPr>
        <w:t xml:space="preserve">Chapter 10: State-based care settings </w:t>
      </w:r>
      <w:bookmarkEnd w:id="461"/>
      <w:bookmarkEnd w:id="462"/>
      <w:r w:rsidRPr="004A0212">
        <w:rPr>
          <w:color w:val="3B5D1E" w:themeColor="accent4" w:themeShade="BF"/>
        </w:rPr>
        <w:t>during the Inquiry period</w:t>
      </w:r>
      <w:bookmarkEnd w:id="619"/>
      <w:bookmarkEnd w:id="620"/>
    </w:p>
    <w:p w14:paraId="00B5C154" w14:textId="77777777" w:rsidR="00FE4E56" w:rsidRPr="004A0212" w:rsidRDefault="00FE4E56" w:rsidP="0062717F">
      <w:pPr>
        <w:pStyle w:val="AllNumbparas"/>
      </w:pPr>
      <w:r w:rsidRPr="004A0212">
        <w:t xml:space="preserve">Throughout the Inquiry period there were many different State care settings, managed by different government departments and involving a huge range of different staff, professions, legislation, policy and practice. A single survivor could move from foster care to a children’s short-stay facility, to a long-term facility and then on to a borstal, corrective training or a psychiatric institution. </w:t>
      </w:r>
    </w:p>
    <w:p w14:paraId="39DEEC4E" w14:textId="77777777" w:rsidR="00FE4E56" w:rsidRDefault="00FE4E56" w:rsidP="00282055">
      <w:pPr>
        <w:pStyle w:val="Heading2"/>
      </w:pPr>
      <w:bookmarkStart w:id="621" w:name="_Toc11884108"/>
      <w:bookmarkStart w:id="622" w:name="_Toc181084960"/>
      <w:r w:rsidRPr="004A0212">
        <w:t>Tokoora Pāpori</w:t>
      </w:r>
      <w:bookmarkEnd w:id="622"/>
    </w:p>
    <w:p w14:paraId="57C66079" w14:textId="79408612" w:rsidR="00FE4E56" w:rsidRPr="004A0212" w:rsidRDefault="00FE4E56" w:rsidP="00282055">
      <w:pPr>
        <w:pStyle w:val="Heading2"/>
      </w:pPr>
      <w:bookmarkStart w:id="623" w:name="_Toc181084961"/>
      <w:r w:rsidRPr="004A0212">
        <w:t>Social welfare 1950–1999</w:t>
      </w:r>
      <w:bookmarkEnd w:id="621"/>
      <w:bookmarkEnd w:id="623"/>
    </w:p>
    <w:p w14:paraId="185BA424" w14:textId="77777777" w:rsidR="00FE4E56" w:rsidRDefault="00FE4E56" w:rsidP="0062717F">
      <w:pPr>
        <w:pStyle w:val="Heading3"/>
        <w:rPr>
          <w:lang w:val="en-US"/>
        </w:rPr>
      </w:pPr>
      <w:bookmarkStart w:id="624" w:name="_Toc2077624632"/>
      <w:bookmarkStart w:id="625" w:name="_Toc181084962"/>
      <w:r w:rsidRPr="004A0212">
        <w:rPr>
          <w:lang w:val="en-US"/>
        </w:rPr>
        <w:t>Te ture Tokoora Tamariki</w:t>
      </w:r>
      <w:bookmarkEnd w:id="625"/>
    </w:p>
    <w:p w14:paraId="706FDB32" w14:textId="1E169C46" w:rsidR="00FE4E56" w:rsidRPr="004A0212" w:rsidRDefault="00FE4E56" w:rsidP="0062717F">
      <w:pPr>
        <w:pStyle w:val="Heading3"/>
      </w:pPr>
      <w:bookmarkStart w:id="626" w:name="_Toc181084963"/>
      <w:r w:rsidRPr="004A0212">
        <w:t>Child Welfare legislation</w:t>
      </w:r>
      <w:bookmarkEnd w:id="624"/>
      <w:bookmarkEnd w:id="626"/>
      <w:r w:rsidRPr="004A0212">
        <w:t xml:space="preserve"> </w:t>
      </w:r>
    </w:p>
    <w:p w14:paraId="0E38FF49" w14:textId="77777777" w:rsidR="00FE4E56" w:rsidRPr="004A0212" w:rsidRDefault="00FE4E56" w:rsidP="0062717F">
      <w:pPr>
        <w:pStyle w:val="Numbparas"/>
      </w:pPr>
      <w:r w:rsidRPr="004A0212">
        <w:t>There were three key Acts across the Inquiry period governing child welfare and out of home placements. The first was the Child Welfare Act 1925.</w:t>
      </w:r>
      <w:r w:rsidRPr="004A0212">
        <w:rPr>
          <w:rStyle w:val="StyleFootnoteReferenceFagoFunotenzeichenFagoFunotenzeichen"/>
        </w:rPr>
        <w:endnoteReference w:id="503"/>
      </w:r>
      <w:r w:rsidRPr="004A0212">
        <w:rPr>
          <w:rStyle w:val="normaltextrun"/>
        </w:rPr>
        <w:t xml:space="preserve"> </w:t>
      </w:r>
      <w:r w:rsidRPr="004A0212">
        <w:t>The 1925 Act did not separate the care and protection of children from youth justice issues. Whether children and young people had broken the law or were in an unsuitable home environment, the State viewed them as in need of care and protection.</w:t>
      </w:r>
      <w:r w:rsidRPr="004A0212">
        <w:rPr>
          <w:rStyle w:val="StyleFootnoteReferenceFagoFunotenzeichenFagoFunotenzeichen"/>
        </w:rPr>
        <w:endnoteReference w:id="504"/>
      </w:r>
      <w:r w:rsidRPr="004A0212">
        <w:t xml:space="preserve"> </w:t>
      </w:r>
    </w:p>
    <w:p w14:paraId="3BA63936" w14:textId="77777777" w:rsidR="00FE4E56" w:rsidRPr="004A0212" w:rsidRDefault="00FE4E56" w:rsidP="0062717F">
      <w:pPr>
        <w:pStyle w:val="Numbparas"/>
      </w:pPr>
      <w:r w:rsidRPr="004A0212">
        <w:t>The Children and Young Persons Act 1974 replaced the Child Welfare Act 1925. Like the 1925 Act, the 1974 Act did not distinguish between youth justice and care and protection. The 1974 Act did, however, distinguish between children (those under 14 years old) and young people (15 to 16 years old) with the intention of diverting children away from the court system.</w:t>
      </w:r>
      <w:r w:rsidRPr="004A0212">
        <w:rPr>
          <w:rStyle w:val="StyleFootnoteReferenceFagoFunotenzeichenFagoFunotenzeichen"/>
        </w:rPr>
        <w:endnoteReference w:id="505"/>
      </w:r>
    </w:p>
    <w:p w14:paraId="72ED8E1A" w14:textId="7E4CE52D" w:rsidR="00FE4E56" w:rsidRPr="004A0212" w:rsidRDefault="00FE4E56" w:rsidP="0062717F">
      <w:pPr>
        <w:pStyle w:val="Numbparas"/>
      </w:pPr>
      <w:r w:rsidRPr="004A0212">
        <w:t>The Children, Young Persons and Their Families 1989 Act placed a focus on working with a child’s whānau in an attempt to give them more authority and power to make decisions about their children. That decision-making process was intended to be bolstered by the establishment of family group conferences where whānau could participate in the decision-making process.</w:t>
      </w:r>
      <w:r w:rsidRPr="004A0212">
        <w:rPr>
          <w:rStyle w:val="StyleFootnoteReferenceFagoFunotenzeichenFagoFunotenzeichen"/>
        </w:rPr>
        <w:endnoteReference w:id="506"/>
      </w:r>
    </w:p>
    <w:p w14:paraId="58420EC6" w14:textId="77777777" w:rsidR="00FE4E56" w:rsidRDefault="00FE4E56">
      <w:pPr>
        <w:keepLines w:val="0"/>
        <w:rPr>
          <w:rFonts w:ascii="Arial" w:hAnsi="Arial" w:cs="Arial"/>
          <w:i/>
          <w:iCs/>
          <w:color w:val="3B5D1E" w:themeColor="accent4" w:themeShade="BF"/>
          <w:lang w:val="en"/>
        </w:rPr>
      </w:pPr>
      <w:bookmarkStart w:id="627" w:name="_Toc606686880"/>
      <w:r>
        <w:br w:type="page"/>
      </w:r>
    </w:p>
    <w:p w14:paraId="1824E6B2" w14:textId="48ED722D" w:rsidR="00FE4E56" w:rsidRDefault="00FE4E56" w:rsidP="00EE5D4D">
      <w:pPr>
        <w:pStyle w:val="Heading4"/>
      </w:pPr>
      <w:r w:rsidRPr="44ADDF6E">
        <w:lastRenderedPageBreak/>
        <w:t>Te Tari me āna kaiārahi</w:t>
      </w:r>
      <w:bookmarkEnd w:id="627"/>
    </w:p>
    <w:p w14:paraId="0137315A" w14:textId="0164C7C5" w:rsidR="00FE4E56" w:rsidRPr="004A0212" w:rsidRDefault="00FE4E56" w:rsidP="00EE5D4D">
      <w:pPr>
        <w:pStyle w:val="Heading4"/>
      </w:pPr>
      <w:bookmarkStart w:id="628" w:name="_Toc646052190"/>
      <w:r w:rsidRPr="44ADDF6E">
        <w:t>The Department and its leadership</w:t>
      </w:r>
      <w:bookmarkEnd w:id="628"/>
    </w:p>
    <w:p w14:paraId="3D6CF1DB" w14:textId="4B20D858" w:rsidR="00FE4E56" w:rsidRPr="004A0212" w:rsidRDefault="00FE4E56" w:rsidP="0062717F">
      <w:pPr>
        <w:pStyle w:val="Numbparas"/>
      </w:pPr>
      <w:r w:rsidRPr="004A0212">
        <w:t>Departmental responsibility for administering child welfare legislation underwent several changes during the Inquiry period. For the first two decades of the Inquiry period, the Child Welfare Branch within the Department of Education was responsible for the welfare of all children and young people, under the Child Welfare Act 1925.</w:t>
      </w:r>
      <w:r w:rsidRPr="004A0212">
        <w:rPr>
          <w:rStyle w:val="StyleFootnoteReferenceFagoFunotenzeichenFagoFunotenzeichen"/>
        </w:rPr>
        <w:endnoteReference w:id="507"/>
      </w:r>
    </w:p>
    <w:p w14:paraId="17874630" w14:textId="6700FDA2" w:rsidR="00FE4E56" w:rsidRPr="004A0212" w:rsidRDefault="00FE4E56" w:rsidP="0062717F">
      <w:pPr>
        <w:pStyle w:val="Numbparas"/>
      </w:pPr>
      <w:r w:rsidRPr="004A0212">
        <w:t>From 1972, the newly established Department of Social Welfare took over responsibility for child welfare from the Department of Education. The Children and Young Persons Act 1974 governed the department’s work until 1989, with the introduction of the Children, Young Persons, and Their Families Act 1989.</w:t>
      </w:r>
    </w:p>
    <w:p w14:paraId="3B9C6665" w14:textId="77777777" w:rsidR="00FE4E56" w:rsidRPr="004A0212" w:rsidRDefault="00FE4E56" w:rsidP="0062717F">
      <w:pPr>
        <w:pStyle w:val="Numbparas"/>
      </w:pPr>
      <w:r w:rsidRPr="004A0212">
        <w:t>Between 1950 and 1999, the following people were responsible for the administration of child welfare in New Zealand:</w:t>
      </w:r>
    </w:p>
    <w:p w14:paraId="7A110B0D" w14:textId="7BE0615D" w:rsidR="00FE4E56" w:rsidRPr="004A0212" w:rsidRDefault="00FE4E56" w:rsidP="005F640D">
      <w:pPr>
        <w:pStyle w:val="Bulletpoints"/>
      </w:pPr>
      <w:r w:rsidRPr="004A0212">
        <w:t>between 1950 and 1972, the superintendent of the Child Welfare Division within the Department of Education. The superintendent was appointed by the State Services Commission and was answerable to the Minister of Education through the Director of Education.</w:t>
      </w:r>
      <w:r w:rsidRPr="004A0212">
        <w:rPr>
          <w:rStyle w:val="StyleFootnoteReferenceFagoFunotenzeichenFagoFunotenzeichen"/>
        </w:rPr>
        <w:endnoteReference w:id="508"/>
      </w:r>
      <w:r w:rsidRPr="004A0212">
        <w:t xml:space="preserve"> The superintendent was responsible for administering the Child Welfare Act 1925, Part V of the Infants Act 1908 relating to Infant homes,</w:t>
      </w:r>
      <w:r w:rsidRPr="004A0212">
        <w:rPr>
          <w:rStyle w:val="StyleFootnoteReferenceFagoFunotenzeichenFagoFunotenzeichen"/>
        </w:rPr>
        <w:endnoteReference w:id="509"/>
      </w:r>
      <w:r w:rsidRPr="004A0212">
        <w:t xml:space="preserve"> as well as the Child Welfare Division of the Department of Education.</w:t>
      </w:r>
      <w:r w:rsidRPr="004A0212">
        <w:rPr>
          <w:rStyle w:val="StyleFootnoteReferenceFagoFunotenzeichenFagoFunotenzeichen"/>
        </w:rPr>
        <w:endnoteReference w:id="510"/>
      </w:r>
    </w:p>
    <w:p w14:paraId="7AE1F42B" w14:textId="0D0814AC" w:rsidR="00FE4E56" w:rsidRPr="004A0212" w:rsidRDefault="00FE4E56" w:rsidP="00D668D0">
      <w:pPr>
        <w:pStyle w:val="Bulletpoints"/>
      </w:pPr>
      <w:r w:rsidRPr="004A0212">
        <w:t>The Child Welfare Act 1925 encouraged the use of community-based care rather than institutional care through the use of supervision orders where a Child Welfare Officer (social worker from 1971) would monitor a child at home.</w:t>
      </w:r>
      <w:r w:rsidRPr="004A0212">
        <w:rPr>
          <w:rStyle w:val="StyleFootnoteReferenceFagoFunotenzeichenFagoFunotenzeichen"/>
        </w:rPr>
        <w:endnoteReference w:id="511"/>
      </w:r>
      <w:r w:rsidRPr="004A0212">
        <w:t xml:space="preserve"> Under this Act, the superintendent could become the person responsible for children and young people if the superintendent entered an agreement with a parent or other guardian to take responsibility for a child or young person.</w:t>
      </w:r>
      <w:r w:rsidRPr="004A0212">
        <w:rPr>
          <w:rStyle w:val="StyleFootnoteReferenceFagoFunotenzeichenFagoFunotenzeichen"/>
        </w:rPr>
        <w:endnoteReference w:id="512"/>
      </w:r>
      <w:r w:rsidRPr="004A0212">
        <w:t xml:space="preserve"> Judges in the Children’s Court could also</w:t>
      </w:r>
      <w:r w:rsidRPr="004A0212" w:rsidDel="00F04BB4">
        <w:t xml:space="preserve"> </w:t>
      </w:r>
      <w:r w:rsidRPr="004A0212">
        <w:t>make a committal order, making the superintendent responsible for the care of children and young people.</w:t>
      </w:r>
      <w:r w:rsidRPr="004A0212">
        <w:rPr>
          <w:rStyle w:val="StyleFootnoteReferenceFagoFunotenzeichenFagoFunotenzeichen"/>
        </w:rPr>
        <w:endnoteReference w:id="513"/>
      </w:r>
      <w:r w:rsidRPr="004A0212">
        <w:t xml:space="preserve"> Under either of these arrangements, the superintendent became the sole guardian of the child or young person</w:t>
      </w:r>
      <w:r w:rsidRPr="004A0212">
        <w:rPr>
          <w:rStyle w:val="StyleFootnoteReferenceFagoFunotenzeichenFagoFunotenzeichen"/>
        </w:rPr>
        <w:endnoteReference w:id="514"/>
      </w:r>
      <w:r w:rsidRPr="004A0212">
        <w:t xml:space="preserve"> and had a duty to act with due expertise, skill and care in making any decisions which affected the child or young person’s wellbeing, care and development.</w:t>
      </w:r>
      <w:r w:rsidRPr="004A0212">
        <w:rPr>
          <w:rStyle w:val="StyleFootnoteReferenceFagoFunotenzeichenFagoFunotenzeichen"/>
        </w:rPr>
        <w:endnoteReference w:id="515"/>
      </w:r>
    </w:p>
    <w:p w14:paraId="6F0801FF" w14:textId="77777777" w:rsidR="00FE4E56" w:rsidRDefault="00FE4E56">
      <w:pPr>
        <w:keepLines w:val="0"/>
        <w:rPr>
          <w:rFonts w:ascii="Arial" w:eastAsia="Calibri" w:hAnsi="Arial" w:cs="Arial"/>
          <w:bCs/>
          <w:color w:val="222222"/>
          <w:sz w:val="22"/>
          <w:szCs w:val="22"/>
          <w:shd w:val="clear" w:color="auto" w:fill="FFFFFF"/>
        </w:rPr>
      </w:pPr>
      <w:r>
        <w:br w:type="page"/>
      </w:r>
    </w:p>
    <w:p w14:paraId="49611EF7" w14:textId="5EDA1297" w:rsidR="00FE4E56" w:rsidRPr="004A0212" w:rsidRDefault="00FE4E56" w:rsidP="00D668D0">
      <w:pPr>
        <w:pStyle w:val="Bulletpoints"/>
      </w:pPr>
      <w:r w:rsidRPr="004A0212">
        <w:lastRenderedPageBreak/>
        <w:t>From 1974 to 1989, the director-general was the administrative head of the Department of Social Welfare,</w:t>
      </w:r>
      <w:r w:rsidRPr="004A0212">
        <w:rPr>
          <w:rStyle w:val="StyleFootnoteReferenceFagoFunotenzeichenFagoFunotenzeichen"/>
        </w:rPr>
        <w:endnoteReference w:id="516"/>
      </w:r>
      <w:r w:rsidRPr="004A0212">
        <w:rPr>
          <w:rStyle w:val="StyleFootnoteReferenceFagoFunotenzeichenFagoFunotenzeichen"/>
        </w:rPr>
        <w:t xml:space="preserve"> </w:t>
      </w:r>
      <w:r w:rsidRPr="004A0212">
        <w:t>responsible for providing care, protection, education, training</w:t>
      </w:r>
      <w:r w:rsidRPr="004A0212">
        <w:rPr>
          <w:rStyle w:val="StyleFootnoteReferenceFagoFunotenzeichenFagoFunotenzeichen"/>
        </w:rPr>
        <w:endnoteReference w:id="517"/>
      </w:r>
      <w:r w:rsidRPr="004A0212">
        <w:rPr>
          <w:vertAlign w:val="superscript"/>
        </w:rPr>
        <w:t>,</w:t>
      </w:r>
      <w:r w:rsidRPr="004A0212">
        <w:rPr>
          <w:rStyle w:val="StyleFootnoteReferenceFagoFunotenzeichenFagoFunotenzeichen1"/>
        </w:rPr>
        <w:t xml:space="preserve"> </w:t>
      </w:r>
      <w:r w:rsidRPr="004A0212">
        <w:rPr>
          <w:rStyle w:val="StyleFootnoteReferenceFagoFunotenzeichenFagoFunotenzeichen"/>
        </w:rPr>
        <w:endnoteReference w:id="518"/>
      </w:r>
      <w:r w:rsidRPr="004A0212">
        <w:t xml:space="preserve"> </w:t>
      </w:r>
    </w:p>
    <w:p w14:paraId="2DEDC19F" w14:textId="1F2C2C5E" w:rsidR="00FE4E56" w:rsidRPr="004A0212" w:rsidRDefault="00FE4E56" w:rsidP="00D668D0">
      <w:pPr>
        <w:pStyle w:val="Bulletpoints"/>
      </w:pPr>
      <w:r w:rsidRPr="004A0212">
        <w:t>Where the director-general was the child's or young person’s sole guardian, they were responsible for decisions about where and with whom the child or young person lived.</w:t>
      </w:r>
      <w:r w:rsidRPr="004A0212">
        <w:rPr>
          <w:rStyle w:val="StyleFootnoteReferenceFagoFunotenzeichenFagoFunotenzeichen"/>
        </w:rPr>
        <w:endnoteReference w:id="519"/>
      </w:r>
      <w:r w:rsidRPr="004A0212">
        <w:t> </w:t>
      </w:r>
    </w:p>
    <w:p w14:paraId="1529CD14" w14:textId="7D99E6DB" w:rsidR="00FE4E56" w:rsidRPr="004A0212" w:rsidRDefault="00FE4E56" w:rsidP="00D668D0">
      <w:pPr>
        <w:pStyle w:val="Bulletpoints"/>
      </w:pPr>
      <w:r w:rsidRPr="004A0212">
        <w:t>Under the Children, Young Persons, and Their Families Act 1989 the director-general (known as the chief executive from the early 1990s) was responsible for a comprehensive approach to the welfare and protection of children and young persons, considering cultural diversity, preventing child abuse, and maintaining high standards in service provision.</w:t>
      </w:r>
      <w:r w:rsidRPr="004A0212">
        <w:rPr>
          <w:rStyle w:val="StyleFootnoteReferenceFagoFunotenzeichenFagoFunotenzeichen"/>
        </w:rPr>
        <w:endnoteReference w:id="520"/>
      </w:r>
    </w:p>
    <w:p w14:paraId="7FECC2C2" w14:textId="77777777" w:rsidR="00FE4E56" w:rsidRDefault="00FE4E56" w:rsidP="00B06600">
      <w:pPr>
        <w:pStyle w:val="Heading4"/>
      </w:pPr>
      <w:bookmarkStart w:id="629" w:name="_Toc2058602278"/>
      <w:r w:rsidRPr="700D4309">
        <w:t>Ngā kaimahi me te whakahaerenga 1950 – 1999</w:t>
      </w:r>
      <w:bookmarkEnd w:id="629"/>
    </w:p>
    <w:p w14:paraId="7FAD2359" w14:textId="463942BB" w:rsidR="00FE4E56" w:rsidRPr="004A0212" w:rsidRDefault="00FE4E56" w:rsidP="00B06600">
      <w:pPr>
        <w:pStyle w:val="Heading4"/>
      </w:pPr>
      <w:bookmarkStart w:id="630" w:name="_Toc497996645"/>
      <w:r w:rsidRPr="700D4309">
        <w:t>Staff and structure 1950 – 1999</w:t>
      </w:r>
      <w:bookmarkEnd w:id="630"/>
    </w:p>
    <w:p w14:paraId="3031F82E" w14:textId="6997D13C" w:rsidR="00FE4E56" w:rsidRPr="004A0212" w:rsidRDefault="00FE4E56" w:rsidP="0062717F">
      <w:pPr>
        <w:pStyle w:val="Numbparas"/>
      </w:pPr>
      <w:r w:rsidRPr="004A0212">
        <w:t>The Child Welfare Division was organised into administrative, field, institution and clerical workers. Head office in Te Whanganui-</w:t>
      </w:r>
      <w:r w:rsidRPr="0050016F">
        <w:rPr>
          <w:rStyle w:val="normaltextrun"/>
        </w:rPr>
        <w:t>ā</w:t>
      </w:r>
      <w:r w:rsidRPr="004A0212">
        <w:t>-Tara Wellington was responsible for national administration, and included the superintendent, a deputy superintendent, and two supervisors responsible for social welfare facilities and field services (the work of social workers in each district). A senior inspector oversaw the performance of district offices and social welfare facilities. A senior boys’ welfare officer and senior child welfare officer were responsible for staff training and supervision of case work respectively.</w:t>
      </w:r>
      <w:r w:rsidRPr="004A0212">
        <w:rPr>
          <w:rStyle w:val="StyleFootnoteReferenceFagoFunotenzeichenFagoFunotenzeichen"/>
        </w:rPr>
        <w:endnoteReference w:id="521"/>
      </w:r>
    </w:p>
    <w:p w14:paraId="080AD774" w14:textId="0042D7E6" w:rsidR="00FE4E56" w:rsidRPr="004A0212" w:rsidRDefault="00FE4E56" w:rsidP="0062717F">
      <w:pPr>
        <w:pStyle w:val="Numbparas"/>
      </w:pPr>
      <w:r w:rsidRPr="004A0212">
        <w:t>Field work was carried out by district offices around Aotearoa New Zealand, with each district office under the control of a district child welfare officer. They were responsible, among other things, for boys’ and girls’ homes, receiving homes and Family Homes in their district, as well as the Child Welfare Offices attached to their district.</w:t>
      </w:r>
      <w:r w:rsidRPr="004A0212">
        <w:rPr>
          <w:rStyle w:val="StyleFootnoteReferenceFagoFunotenzeichenFagoFunotenzeichen"/>
        </w:rPr>
        <w:endnoteReference w:id="522"/>
      </w:r>
      <w:r w:rsidRPr="004A0212">
        <w:t xml:space="preserve"> District child welfare officers reported to National Office in Te Whanganui-</w:t>
      </w:r>
      <w:r w:rsidRPr="0050016F">
        <w:rPr>
          <w:rStyle w:val="normaltextrun"/>
        </w:rPr>
        <w:t>ā</w:t>
      </w:r>
      <w:r w:rsidRPr="004A0212">
        <w:t>-Tara Wellington, and carried out functions on behalf of the superintendent.</w:t>
      </w:r>
      <w:r w:rsidRPr="004A0212">
        <w:rPr>
          <w:rStyle w:val="StyleFootnoteReferenceFagoFunotenzeichenFagoFunotenzeichen"/>
        </w:rPr>
        <w:endnoteReference w:id="523"/>
      </w:r>
    </w:p>
    <w:p w14:paraId="060B69BE" w14:textId="77777777" w:rsidR="00FE4E56" w:rsidRDefault="00FE4E56">
      <w:pPr>
        <w:keepLines w:val="0"/>
        <w:rPr>
          <w:rFonts w:asciiTheme="minorHAnsi" w:hAnsiTheme="minorHAnsi" w:cstheme="minorBidi"/>
          <w:b/>
          <w:bCs/>
          <w:color w:val="262626" w:themeColor="text1" w:themeTint="D9"/>
          <w:sz w:val="22"/>
          <w:szCs w:val="22"/>
        </w:rPr>
      </w:pPr>
      <w:r>
        <w:rPr>
          <w:b/>
          <w:bCs/>
          <w:i/>
          <w:iCs/>
        </w:rPr>
        <w:br w:type="page"/>
      </w:r>
    </w:p>
    <w:p w14:paraId="22F82F58" w14:textId="0755EA55" w:rsidR="00FE4E56" w:rsidRDefault="00FE4E56" w:rsidP="0062717F">
      <w:pPr>
        <w:pStyle w:val="Quote"/>
        <w:rPr>
          <w:b/>
          <w:bCs/>
          <w:i w:val="0"/>
          <w:iCs w:val="0"/>
        </w:rPr>
      </w:pPr>
      <w:r w:rsidRPr="004A0212">
        <w:rPr>
          <w:b/>
          <w:bCs/>
          <w:i w:val="0"/>
          <w:iCs w:val="0"/>
        </w:rPr>
        <w:lastRenderedPageBreak/>
        <w:t>Structure chart for the Child Welfare Division before 1972</w:t>
      </w:r>
      <w:r w:rsidRPr="004A0212">
        <w:rPr>
          <w:rStyle w:val="StyleFootnoteReferenceFagoFunotenzeichenFagoFunotenzeichen"/>
        </w:rPr>
        <w:endnoteReference w:id="524"/>
      </w:r>
    </w:p>
    <w:p w14:paraId="263D1145" w14:textId="77777777" w:rsidR="00FE4E56" w:rsidRPr="004A0212" w:rsidRDefault="00FE4E56" w:rsidP="0062717F">
      <w:pPr>
        <w:pStyle w:val="Numbparas"/>
        <w:numPr>
          <w:ilvl w:val="0"/>
          <w:numId w:val="0"/>
        </w:numPr>
      </w:pPr>
      <w:r w:rsidRPr="004A0212">
        <w:rPr>
          <w:noProof/>
        </w:rPr>
        <w:drawing>
          <wp:inline distT="0" distB="0" distL="0" distR="0" wp14:anchorId="27DEA651" wp14:editId="7FD1EEAF">
            <wp:extent cx="5731510" cy="2954020"/>
            <wp:effectExtent l="0" t="0" r="2540" b="0"/>
            <wp:docPr id="6" name="Picture 6" descr="This organisational chart shows the hierarchy and reporting lines of the Child Welfare Division before 1972. At the top is the Superintendent of Child Welfare. At the second level, reporting to the Superintendent, is the Deputy Superintendent. At the third level, reporting to the Deputy, are the Supervisor Institution Services, Supervisor Field Services, Executive Officer, Research Officer and Research Officer Joint Committee on Young Offenders. At the fourth level are the Residential Staff Training School Kohitere, the Training Officer and Tutor Tiromoana, who report to the Deputy; the Supervisor Child Care Centres Registered Children’s Homes, who reports to the Supervisor Institution Services, as well as the Deputy; the Senior Inspector and 2 Inspectors, who report to the Supervisor Institution Services and the Supervisor Field Services, and have a reporting line to the Deputy; the Senior Boys’ Welfare Officer and Senior Child Welfare Officer, who report to the Supervisor Field Services; the District and Head Office Clerical Staff, who report to the Executive Officer; and 2 Assistant Research Officers, one who reports to the Research Officer and one to both the Research Officer and Research Officer Joint Committee on Young Offenders. At the fifth level are National Institutions, which report to the Supervisor Institution Services, and 29 Child Welfare District Offices who report to the Supervisor Field Services. At the sixth level are the Girls’, Boys’, Receiving and Family Homes, which report to the Supervisor Institu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organisational chart shows the hierarchy and reporting lines of the Child Welfare Division before 1972. At the top is the Superintendent of Child Welfare. At the second level, reporting to the Superintendent, is the Deputy Superintendent. At the third level, reporting to the Deputy, are the Supervisor Institution Services, Supervisor Field Services, Executive Officer, Research Officer and Research Officer Joint Committee on Young Offenders. At the fourth level are the Residential Staff Training School Kohitere, the Training Officer and Tutor Tiromoana, who report to the Deputy; the Supervisor Child Care Centres Registered Children’s Homes, who reports to the Supervisor Institution Services, as well as the Deputy; the Senior Inspector and 2 Inspectors, who report to the Supervisor Institution Services and the Supervisor Field Services, and have a reporting line to the Deputy; the Senior Boys’ Welfare Officer and Senior Child Welfare Officer, who report to the Supervisor Field Services; the District and Head Office Clerical Staff, who report to the Executive Officer; and 2 Assistant Research Officers, one who reports to the Research Officer and one to both the Research Officer and Research Officer Joint Committee on Young Offenders. At the fifth level are National Institutions, which report to the Supervisor Institution Services, and 29 Child Welfare District Offices who report to the Supervisor Field Services. At the sixth level are the Girls’, Boys’, Receiving and Family Homes, which report to the Supervisor Institution Services."/>
                    <pic:cNvPicPr/>
                  </pic:nvPicPr>
                  <pic:blipFill>
                    <a:blip r:embed="rId21">
                      <a:extLst>
                        <a:ext uri="{28A0092B-C50C-407E-A947-70E740481C1C}">
                          <a14:useLocalDpi xmlns:a14="http://schemas.microsoft.com/office/drawing/2010/main" val="0"/>
                        </a:ext>
                      </a:extLst>
                    </a:blip>
                    <a:stretch>
                      <a:fillRect/>
                    </a:stretch>
                  </pic:blipFill>
                  <pic:spPr>
                    <a:xfrm>
                      <a:off x="0" y="0"/>
                      <a:ext cx="5731510" cy="2954020"/>
                    </a:xfrm>
                    <a:prstGeom prst="rect">
                      <a:avLst/>
                    </a:prstGeom>
                  </pic:spPr>
                </pic:pic>
              </a:graphicData>
            </a:graphic>
          </wp:inline>
        </w:drawing>
      </w:r>
    </w:p>
    <w:p w14:paraId="4768CF08" w14:textId="510A5DF4" w:rsidR="00FE4E56" w:rsidRPr="007611CB" w:rsidRDefault="00FE4E56" w:rsidP="004E3D23">
      <w:p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&lt;Description of image.  It includes the following structure chart:</w:t>
      </w:r>
    </w:p>
    <w:p w14:paraId="688DFAFE" w14:textId="77777777" w:rsidR="00FE4E56" w:rsidRPr="007611CB" w:rsidRDefault="00FE4E56" w:rsidP="004E3D23">
      <w:p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 xml:space="preserve">Level one:  </w:t>
      </w:r>
      <w:r w:rsidRPr="007611CB">
        <w:rPr>
          <w:rFonts w:asciiTheme="minorHAnsi" w:hAnsiTheme="minorHAnsi" w:cstheme="minorBidi"/>
          <w:i/>
          <w:iCs/>
          <w:color w:val="262626" w:themeColor="text1" w:themeTint="D9"/>
          <w:sz w:val="18"/>
          <w:szCs w:val="18"/>
        </w:rPr>
        <w:tab/>
        <w:t>Superintendent of Child Welfare</w:t>
      </w:r>
    </w:p>
    <w:p w14:paraId="29E2E33A" w14:textId="77777777" w:rsidR="00FE4E56" w:rsidRPr="007611CB" w:rsidRDefault="00FE4E56" w:rsidP="004E3D23">
      <w:p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 xml:space="preserve">Level two: </w:t>
      </w:r>
      <w:r w:rsidRPr="007611CB">
        <w:rPr>
          <w:rFonts w:asciiTheme="minorHAnsi" w:hAnsiTheme="minorHAnsi" w:cstheme="minorBidi"/>
          <w:i/>
          <w:iCs/>
          <w:color w:val="262626" w:themeColor="text1" w:themeTint="D9"/>
          <w:sz w:val="18"/>
          <w:szCs w:val="18"/>
        </w:rPr>
        <w:tab/>
        <w:t>Deputy Superintendent (reports to level one)</w:t>
      </w:r>
    </w:p>
    <w:p w14:paraId="0033F2B4" w14:textId="77777777" w:rsidR="00FE4E56" w:rsidRPr="007611CB" w:rsidRDefault="00FE4E56" w:rsidP="004E3D23">
      <w:p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Level three:</w:t>
      </w:r>
      <w:r w:rsidRPr="007611CB">
        <w:rPr>
          <w:rFonts w:asciiTheme="minorHAnsi" w:hAnsiTheme="minorHAnsi" w:cstheme="minorBidi"/>
          <w:i/>
          <w:iCs/>
          <w:color w:val="262626" w:themeColor="text1" w:themeTint="D9"/>
          <w:sz w:val="18"/>
          <w:szCs w:val="18"/>
        </w:rPr>
        <w:tab/>
        <w:t>Seven roles / functions that report to level two consisting of:</w:t>
      </w:r>
    </w:p>
    <w:p w14:paraId="63F29391"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Training – includes Training Officer, Residential Staff Training School and Tutor, Tiromoana</w:t>
      </w:r>
    </w:p>
    <w:p w14:paraId="6C141A02"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(a):  Supervisor Child Care Centres, Registered Children’s Homes – (also appears to report to role (b))</w:t>
      </w:r>
    </w:p>
    <w:p w14:paraId="5A36C260"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(b):  Supervisor Institution Services – (also appears to report to role (a))</w:t>
      </w:r>
    </w:p>
    <w:p w14:paraId="01CBBC43"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(c):  Supervisor Field Services</w:t>
      </w:r>
    </w:p>
    <w:p w14:paraId="00021296"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(d):  Executive Officer</w:t>
      </w:r>
    </w:p>
    <w:p w14:paraId="6A8FB977"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(e):  Research Officer</w:t>
      </w:r>
    </w:p>
    <w:p w14:paraId="26CB0B2E"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 (f):   Research Officer Joint Committee on Young Offenders</w:t>
      </w:r>
    </w:p>
    <w:p w14:paraId="56789D8E" w14:textId="77777777" w:rsidR="00FE4E56" w:rsidRPr="007611CB" w:rsidRDefault="00FE4E56" w:rsidP="004E3D23">
      <w:p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Level four:</w:t>
      </w:r>
      <w:r w:rsidRPr="007611CB">
        <w:rPr>
          <w:rFonts w:asciiTheme="minorHAnsi" w:hAnsiTheme="minorHAnsi" w:cstheme="minorBidi"/>
          <w:i/>
          <w:iCs/>
          <w:color w:val="262626" w:themeColor="text1" w:themeTint="D9"/>
          <w:sz w:val="18"/>
          <w:szCs w:val="18"/>
        </w:rPr>
        <w:tab/>
        <w:t>Roles / functions reporting to a role in level 3</w:t>
      </w:r>
    </w:p>
    <w:p w14:paraId="6C41331D" w14:textId="77777777" w:rsidR="00FE4E56" w:rsidRPr="007611CB" w:rsidRDefault="00FE4E56" w:rsidP="004E3D23">
      <w:pPr>
        <w:pStyle w:val="ListParagraph"/>
        <w:numPr>
          <w:ilvl w:val="0"/>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Roles /functions reporting to Role (b):  Supervisor Institution Services:</w:t>
      </w:r>
    </w:p>
    <w:p w14:paraId="1C52DA45"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National Institutions</w:t>
      </w:r>
    </w:p>
    <w:p w14:paraId="318C50ED"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Girls Homes</w:t>
      </w:r>
    </w:p>
    <w:p w14:paraId="6F094EFD"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Boys Homes</w:t>
      </w:r>
    </w:p>
    <w:p w14:paraId="53283745"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Receiving Homes</w:t>
      </w:r>
    </w:p>
    <w:p w14:paraId="48DD398B"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Function: Family Homes</w:t>
      </w:r>
    </w:p>
    <w:p w14:paraId="69F55D6A"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Roles:  Senior Inspector and 2 Inspectors (nb:  these roles also report to the Supervisor Field Services)</w:t>
      </w:r>
    </w:p>
    <w:p w14:paraId="050D9622"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Roles /functions reporting to Role (c):  Supervisor Field Services:</w:t>
      </w:r>
    </w:p>
    <w:p w14:paraId="75455C08"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Roles:  Senior Inspector and 2 Inspectors (nb:  these roles also report to the Supervisor Institutions)</w:t>
      </w:r>
    </w:p>
    <w:p w14:paraId="00E89C44"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 Senior Boys Officer</w:t>
      </w:r>
    </w:p>
    <w:p w14:paraId="76BF8BD4"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  Child Welfare District Offices (29)</w:t>
      </w:r>
    </w:p>
    <w:p w14:paraId="2D644DE3"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Senior Child Welfare Officer</w:t>
      </w:r>
    </w:p>
    <w:p w14:paraId="7C0CC4DE"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Roles /functions reporting to Role (d):  EWxecutive Officer:</w:t>
      </w:r>
    </w:p>
    <w:p w14:paraId="10E97CD3"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Roles:  District and Head Office Clerical staff</w:t>
      </w:r>
    </w:p>
    <w:p w14:paraId="68666E03"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Roles /functions reporting to Role (e):  Research Officer:</w:t>
      </w:r>
    </w:p>
    <w:p w14:paraId="3C974E3E" w14:textId="77777777"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  Assistant Research Officer</w:t>
      </w:r>
    </w:p>
    <w:p w14:paraId="13A1829C" w14:textId="77777777" w:rsidR="00FE4E56" w:rsidRPr="007611CB" w:rsidRDefault="00FE4E56" w:rsidP="004E3D23">
      <w:pPr>
        <w:pStyle w:val="ListParagraph"/>
        <w:numPr>
          <w:ilvl w:val="0"/>
          <w:numId w:val="159"/>
        </w:numPr>
        <w:spacing w:before="0" w:after="0"/>
        <w:rPr>
          <w:rFonts w:asciiTheme="minorHAnsi" w:hAnsiTheme="minorHAnsi" w:cstheme="minorBidi"/>
          <w:b/>
          <w:bCs/>
          <w:i/>
          <w:iCs/>
          <w:color w:val="262626" w:themeColor="text1" w:themeTint="D9"/>
          <w:sz w:val="18"/>
          <w:szCs w:val="18"/>
        </w:rPr>
      </w:pPr>
      <w:r w:rsidRPr="007611CB">
        <w:rPr>
          <w:rFonts w:asciiTheme="minorHAnsi" w:hAnsiTheme="minorHAnsi" w:cstheme="minorBidi"/>
          <w:i/>
          <w:iCs/>
          <w:color w:val="262626" w:themeColor="text1" w:themeTint="D9"/>
          <w:sz w:val="18"/>
          <w:szCs w:val="18"/>
        </w:rPr>
        <w:t>Roles /functions reporting to Role (f):  Research Officer Joint Committee on Young Offenders:</w:t>
      </w:r>
    </w:p>
    <w:p w14:paraId="361C453B" w14:textId="0EE4DE01" w:rsidR="00FE4E56" w:rsidRPr="007611CB" w:rsidRDefault="00FE4E56" w:rsidP="004E3D23">
      <w:pPr>
        <w:pStyle w:val="ListParagraph"/>
        <w:numPr>
          <w:ilvl w:val="1"/>
          <w:numId w:val="159"/>
        </w:numPr>
        <w:spacing w:before="0" w:after="0"/>
        <w:rPr>
          <w:rFonts w:asciiTheme="minorHAnsi" w:hAnsiTheme="minorHAnsi" w:cstheme="minorBidi"/>
          <w:i/>
          <w:iCs/>
          <w:color w:val="262626" w:themeColor="text1" w:themeTint="D9"/>
          <w:sz w:val="18"/>
          <w:szCs w:val="18"/>
        </w:rPr>
      </w:pPr>
      <w:r w:rsidRPr="007611CB">
        <w:rPr>
          <w:rFonts w:asciiTheme="minorHAnsi" w:hAnsiTheme="minorHAnsi" w:cstheme="minorBidi"/>
          <w:i/>
          <w:iCs/>
          <w:color w:val="262626" w:themeColor="text1" w:themeTint="D9"/>
          <w:sz w:val="18"/>
          <w:szCs w:val="18"/>
        </w:rPr>
        <w:t>Role:  Assistant Research Officer&gt;</w:t>
      </w:r>
    </w:p>
    <w:p w14:paraId="01557B53" w14:textId="77777777" w:rsidR="00FE4E56" w:rsidRPr="004E3D23" w:rsidRDefault="00FE4E56" w:rsidP="004E3D23">
      <w:pPr>
        <w:pStyle w:val="Numbparas"/>
        <w:numPr>
          <w:ilvl w:val="0"/>
          <w:numId w:val="0"/>
        </w:numPr>
        <w:ind w:left="851"/>
        <w:rPr>
          <w:rStyle w:val="normaltextrun"/>
        </w:rPr>
      </w:pPr>
    </w:p>
    <w:p w14:paraId="0FCC56CA" w14:textId="6CEFAF73" w:rsidR="00FE4E56" w:rsidRPr="004A0212" w:rsidRDefault="00FE4E56" w:rsidP="0062717F">
      <w:pPr>
        <w:pStyle w:val="Numbparas"/>
      </w:pPr>
      <w:r w:rsidRPr="004A0212">
        <w:rPr>
          <w:rStyle w:val="normaltextrun"/>
          <w:color w:val="000000" w:themeColor="text1"/>
        </w:rPr>
        <w:t xml:space="preserve">While the day-to-day care of children and young people was the responsibility of the residential staff or caregiver, the superintendent, director-general or chief executive relevant to the time was legally responsible for their well-being. They carried out </w:t>
      </w:r>
      <w:r w:rsidRPr="004A0212">
        <w:rPr>
          <w:rStyle w:val="normaltextrun"/>
          <w:color w:val="000000" w:themeColor="text1"/>
        </w:rPr>
        <w:lastRenderedPageBreak/>
        <w:t>part of that responsibility through delegation to departmental officers and employees such as child welfare officers and social workers</w:t>
      </w:r>
      <w:r w:rsidRPr="004A0212">
        <w:t>.</w:t>
      </w:r>
      <w:r w:rsidRPr="004A0212">
        <w:rPr>
          <w:rStyle w:val="StyleFootnoteReferenceFagoFunotenzeichenFagoFunotenzeichen"/>
        </w:rPr>
        <w:endnoteReference w:id="525"/>
      </w:r>
      <w:r w:rsidRPr="004A0212">
        <w:t xml:space="preserve"> </w:t>
      </w:r>
    </w:p>
    <w:p w14:paraId="2D2A4B3E" w14:textId="7B2336F7" w:rsidR="00FE4E56" w:rsidRPr="004A0212" w:rsidRDefault="00FE4E56" w:rsidP="13A9954A">
      <w:pPr>
        <w:pStyle w:val="Numbparas"/>
        <w:rPr>
          <w:rFonts w:ascii="Roboto" w:hAnsi="Roboto"/>
          <w:color w:val="000000" w:themeColor="text1"/>
          <w:sz w:val="21"/>
          <w:szCs w:val="21"/>
        </w:rPr>
      </w:pPr>
      <w:r w:rsidRPr="004A0212">
        <w:t>Child welfare officers were supervised in district offices by the district child welfare officer (DCWO).</w:t>
      </w:r>
      <w:r w:rsidRPr="004A0212">
        <w:rPr>
          <w:rStyle w:val="StyleFootnoteReferenceFagoFunotenzeichenFagoFunotenzeichen"/>
        </w:rPr>
        <w:endnoteReference w:id="526"/>
      </w:r>
      <w:r w:rsidRPr="004A0212">
        <w:t xml:space="preserve"> Principals of district facilities reported to the local district director while principals of the four national facilities (Kohitere Boys’ Training Centre, Kingslea Girls Training Cent</w:t>
      </w:r>
      <w:r>
        <w:t>re</w:t>
      </w:r>
      <w:r w:rsidRPr="004A0212">
        <w:t>, Hokio Beach School and Fareham House) reported directly to the director-general.</w:t>
      </w:r>
      <w:r w:rsidRPr="004A0212">
        <w:rPr>
          <w:rStyle w:val="StyleFootnoteReferenceFagoFunotenzeichenFagoFunotenzeichen"/>
        </w:rPr>
        <w:endnoteReference w:id="527"/>
      </w:r>
      <w:r w:rsidRPr="004A0212">
        <w:rPr>
          <w:rFonts w:ascii="Roboto" w:hAnsi="Roboto"/>
          <w:color w:val="000000"/>
          <w:sz w:val="21"/>
          <w:szCs w:val="21"/>
        </w:rPr>
        <w:t xml:space="preserve"> </w:t>
      </w:r>
    </w:p>
    <w:p w14:paraId="4A95446B" w14:textId="77777777" w:rsidR="00FE4E56" w:rsidRPr="004A0212" w:rsidRDefault="00FE4E56" w:rsidP="0062717F">
      <w:pPr>
        <w:pStyle w:val="Numbparas"/>
        <w:rPr>
          <w:vertAlign w:val="superscript"/>
        </w:rPr>
      </w:pPr>
      <w:r w:rsidRPr="004A0212">
        <w:t>Under the Child Welfare Act 1925, child welfare officers had broad powers to investigate the circumstances of children and their families, to oversee children under court-ordered supervision, and to inquire into the living situations of illegitimate children and their mothers.</w:t>
      </w:r>
      <w:r w:rsidRPr="004A0212">
        <w:rPr>
          <w:rStyle w:val="StyleFootnoteReferenceFagoFunotenzeichenFagoFunotenzeichen"/>
        </w:rPr>
        <w:endnoteReference w:id="528"/>
      </w:r>
      <w:r w:rsidRPr="004A0212">
        <w:t xml:space="preserve"> A police officer or child welfare officer could apply to the Children’s Court for a warrant to remove children and young people from their home.</w:t>
      </w:r>
      <w:r w:rsidRPr="004A0212">
        <w:rPr>
          <w:rStyle w:val="StyleFootnoteReferenceFagoFunotenzeichenFagoFunotenzeichen"/>
        </w:rPr>
        <w:endnoteReference w:id="529"/>
      </w:r>
      <w:r w:rsidRPr="004A0212">
        <w:t xml:space="preserve"> </w:t>
      </w:r>
    </w:p>
    <w:p w14:paraId="5B6E8DDE" w14:textId="5BAB8BA2" w:rsidR="00FE4E56" w:rsidRPr="004A0212" w:rsidRDefault="00FE4E56" w:rsidP="0062717F">
      <w:pPr>
        <w:pStyle w:val="Numbparas"/>
      </w:pPr>
      <w:r w:rsidRPr="004A0212">
        <w:rPr>
          <w:rStyle w:val="normaltextrun"/>
          <w:color w:val="000000" w:themeColor="text1"/>
        </w:rPr>
        <w:t>The superintendent (or any child welfare officer acting with their delegated authority) had the discretion to place a child or young person who was under a court order in any care setting, anywhere in Aotearoa New Zealand, and they could move them at any time.</w:t>
      </w:r>
      <w:r w:rsidRPr="004A0212">
        <w:rPr>
          <w:rStyle w:val="StyleFootnoteReferenceFagoFunotenzeichenFagoFunotenzeichen"/>
        </w:rPr>
        <w:endnoteReference w:id="530"/>
      </w:r>
      <w:r w:rsidRPr="004A0212">
        <w:t xml:space="preserve"> </w:t>
      </w:r>
      <w:r w:rsidRPr="004A0212">
        <w:rPr>
          <w:rStyle w:val="normaltextrun"/>
          <w:color w:val="000000" w:themeColor="text1"/>
          <w:bdr w:val="none" w:sz="0" w:space="0" w:color="auto" w:frame="1"/>
        </w:rPr>
        <w:t xml:space="preserve">The </w:t>
      </w:r>
      <w:r w:rsidRPr="004A0212">
        <w:rPr>
          <w:rStyle w:val="normaltextrun"/>
          <w:color w:val="000000" w:themeColor="text1"/>
        </w:rPr>
        <w:t xml:space="preserve">superintendent </w:t>
      </w:r>
      <w:r w:rsidRPr="004A0212">
        <w:rPr>
          <w:rStyle w:val="normaltextrun"/>
          <w:color w:val="000000" w:themeColor="text1"/>
          <w:bdr w:val="none" w:sz="0" w:space="0" w:color="auto" w:frame="1"/>
        </w:rPr>
        <w:t xml:space="preserve">or </w:t>
      </w:r>
      <w:r w:rsidRPr="004A0212">
        <w:rPr>
          <w:rStyle w:val="normaltextrun"/>
          <w:color w:val="000000" w:themeColor="text1"/>
        </w:rPr>
        <w:t xml:space="preserve">director-general </w:t>
      </w:r>
      <w:r w:rsidRPr="004A0212">
        <w:rPr>
          <w:rStyle w:val="normaltextrun"/>
          <w:color w:val="000000" w:themeColor="text1"/>
          <w:bdr w:val="none" w:sz="0" w:space="0" w:color="auto" w:frame="1"/>
        </w:rPr>
        <w:t>had to personally approve placements for particular settings</w:t>
      </w:r>
      <w:r w:rsidRPr="004A0212">
        <w:t>.</w:t>
      </w:r>
      <w:r w:rsidRPr="004A0212">
        <w:rPr>
          <w:rStyle w:val="EndnoteReference"/>
        </w:rPr>
        <w:endnoteReference w:id="531"/>
      </w:r>
    </w:p>
    <w:p w14:paraId="3B45650D" w14:textId="0C887E82" w:rsidR="00FE4E56" w:rsidRPr="004A0212" w:rsidRDefault="00FE4E56" w:rsidP="0062717F">
      <w:pPr>
        <w:pStyle w:val="Numbparas"/>
      </w:pPr>
      <w:r w:rsidRPr="004A0212">
        <w:t>By the mid-1980s child welfare officers were known as social workers. Head Office was focused on overall administration of services, planning and advising the government. Directors of Social Work, Residential Services and Institutions and Family Homes reported to the director-general. District offices used a mix of specialist and general social work staff to carry out field work around Aotearoa New Zealand.</w:t>
      </w:r>
      <w:r w:rsidRPr="004A0212">
        <w:rPr>
          <w:rStyle w:val="StyleFootnoteReferenceFagoFunotenzeichenFagoFunotenzeichen"/>
        </w:rPr>
        <w:endnoteReference w:id="532"/>
      </w:r>
    </w:p>
    <w:p w14:paraId="78FFF473" w14:textId="77777777" w:rsidR="00FE4E56" w:rsidRDefault="00FE4E56">
      <w:pPr>
        <w:keepLines w:val="0"/>
        <w:rPr>
          <w:rFonts w:ascii="Arial" w:eastAsia="Calibri" w:hAnsi="Arial" w:cs="Arial"/>
          <w:b/>
          <w:bCs/>
          <w:color w:val="222222"/>
          <w:sz w:val="22"/>
          <w:szCs w:val="22"/>
          <w:shd w:val="clear" w:color="auto" w:fill="FFFFFF"/>
        </w:rPr>
      </w:pPr>
      <w:r>
        <w:rPr>
          <w:b/>
        </w:rPr>
        <w:br w:type="page"/>
      </w:r>
    </w:p>
    <w:p w14:paraId="704270AC" w14:textId="343F3C7A" w:rsidR="00FE4E56" w:rsidRDefault="00FE4E56" w:rsidP="0062717F">
      <w:pPr>
        <w:pStyle w:val="AllNumbparas"/>
        <w:numPr>
          <w:ilvl w:val="0"/>
          <w:numId w:val="0"/>
        </w:numPr>
        <w:ind w:left="851"/>
        <w:rPr>
          <w:b/>
        </w:rPr>
      </w:pPr>
      <w:r w:rsidRPr="004A0212">
        <w:rPr>
          <w:b/>
        </w:rPr>
        <w:lastRenderedPageBreak/>
        <w:t>Department of Social Welfare District Office Structure 1986</w:t>
      </w:r>
      <w:r w:rsidRPr="004A0212">
        <w:rPr>
          <w:rStyle w:val="StyleFootnoteReferenceFagoFunotenzeichenFagoFunotenzeichen"/>
        </w:rPr>
        <w:endnoteReference w:id="533"/>
      </w:r>
    </w:p>
    <w:p w14:paraId="30293859" w14:textId="2B542AC9" w:rsidR="00FE4E56" w:rsidRPr="006F7B63" w:rsidRDefault="00FE4E56" w:rsidP="002A080A">
      <w:pPr>
        <w:rPr>
          <w:i/>
          <w:iCs/>
          <w:sz w:val="18"/>
          <w:szCs w:val="18"/>
        </w:rPr>
      </w:pPr>
      <w:r w:rsidRPr="006F7B63">
        <w:rPr>
          <w:rFonts w:asciiTheme="minorHAnsi" w:hAnsiTheme="minorHAnsi" w:cstheme="minorBidi"/>
          <w:i/>
          <w:iCs/>
          <w:sz w:val="18"/>
          <w:szCs w:val="18"/>
        </w:rPr>
        <w:t>[Image of Department of Social Welfare District Office Structure 1986]</w:t>
      </w:r>
    </w:p>
    <w:p w14:paraId="74FB5106" w14:textId="77777777" w:rsidR="00FE4E56" w:rsidRPr="004A0212" w:rsidRDefault="00FE4E56" w:rsidP="0062717F">
      <w:pPr>
        <w:pStyle w:val="AllNumbparas"/>
        <w:numPr>
          <w:ilvl w:val="0"/>
          <w:numId w:val="0"/>
        </w:numPr>
        <w:ind w:left="851"/>
        <w:rPr>
          <w:b/>
          <w:bCs w:val="0"/>
        </w:rPr>
      </w:pPr>
    </w:p>
    <w:p w14:paraId="3FE9653B" w14:textId="77777777" w:rsidR="00FE4E56" w:rsidRPr="004A0212" w:rsidRDefault="00FE4E56" w:rsidP="0062717F">
      <w:pPr>
        <w:pStyle w:val="TSOtherBodyText"/>
      </w:pPr>
      <w:r w:rsidRPr="004A0212">
        <w:rPr>
          <w:noProof/>
        </w:rPr>
        <w:drawing>
          <wp:inline distT="0" distB="0" distL="0" distR="0" wp14:anchorId="2D34AE20" wp14:editId="3D1C0550">
            <wp:extent cx="4349974" cy="2209914"/>
            <wp:effectExtent l="0" t="0" r="0" b="0"/>
            <wp:docPr id="7" name="Picture 7" descr="This organisational chart shows the hierarchy and reporting lines of the Department of Social Welfare District Office in 1986. At the top is the Director. At the second level are the Assistant Director Social Work; Assistant Director Administration, who looks after administration; and the Assistant Director Benefits &amp; Pensions, who looks after benefits and pensions. At the third level are the Senior Social Workers, who report to the Assistant Director Social Work. At the fourth level is the Principal of Local Institutions. At the fifth level are the Area Welfare Office or District Agent, who reports to the Principal; and the Social Workers, who report to the Senior Social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organisational chart shows the hierarchy and reporting lines of the Department of Social Welfare District Office in 1986. At the top is the Director. At the second level are the Assistant Director Social Work; Assistant Director Administration, who looks after administration; and the Assistant Director Benefits &amp; Pensions, who looks after benefits and pensions. At the third level are the Senior Social Workers, who report to the Assistant Director Social Work. At the fourth level is the Principal of Local Institutions. At the fifth level are the Area Welfare Office or District Agent, who reports to the Principal; and the Social Workers, who report to the Senior Social Workers."/>
                    <pic:cNvPicPr/>
                  </pic:nvPicPr>
                  <pic:blipFill>
                    <a:blip r:embed="rId22">
                      <a:extLst>
                        <a:ext uri="{28A0092B-C50C-407E-A947-70E740481C1C}">
                          <a14:useLocalDpi xmlns:a14="http://schemas.microsoft.com/office/drawing/2010/main" val="0"/>
                        </a:ext>
                      </a:extLst>
                    </a:blip>
                    <a:stretch>
                      <a:fillRect/>
                    </a:stretch>
                  </pic:blipFill>
                  <pic:spPr>
                    <a:xfrm>
                      <a:off x="0" y="0"/>
                      <a:ext cx="4349974" cy="2209914"/>
                    </a:xfrm>
                    <a:prstGeom prst="rect">
                      <a:avLst/>
                    </a:prstGeom>
                  </pic:spPr>
                </pic:pic>
              </a:graphicData>
            </a:graphic>
          </wp:inline>
        </w:drawing>
      </w:r>
      <w:r w:rsidRPr="004A0212">
        <w:rPr>
          <w:szCs w:val="16"/>
        </w:rPr>
        <w:t xml:space="preserve"> </w:t>
      </w:r>
    </w:p>
    <w:p w14:paraId="764C8F07" w14:textId="77777777" w:rsidR="00FE4E56" w:rsidRDefault="00FE4E56" w:rsidP="00E32940">
      <w:pPr>
        <w:pStyle w:val="Numbparas"/>
        <w:numPr>
          <w:ilvl w:val="0"/>
          <w:numId w:val="0"/>
        </w:numPr>
        <w:ind w:left="851"/>
      </w:pPr>
    </w:p>
    <w:p w14:paraId="1D0BBC1A" w14:textId="530CF45B" w:rsidR="00FE4E56" w:rsidRPr="007611CB" w:rsidRDefault="00FE4E56" w:rsidP="00F8586B">
      <w:pPr>
        <w:pStyle w:val="Numbparas"/>
        <w:numPr>
          <w:ilvl w:val="0"/>
          <w:numId w:val="0"/>
        </w:numPr>
        <w:rPr>
          <w:i/>
          <w:iCs/>
          <w:sz w:val="18"/>
          <w:szCs w:val="18"/>
        </w:rPr>
      </w:pPr>
      <w:r w:rsidRPr="007611CB">
        <w:rPr>
          <w:i/>
          <w:iCs/>
          <w:sz w:val="18"/>
          <w:szCs w:val="18"/>
        </w:rPr>
        <w:t>&lt;Description of image.  It sets out the following structure:</w:t>
      </w:r>
    </w:p>
    <w:p w14:paraId="544DEFBB" w14:textId="5525F1C9" w:rsidR="00FE4E56" w:rsidRPr="007611CB" w:rsidRDefault="00FE4E56" w:rsidP="00F8586B">
      <w:pPr>
        <w:pStyle w:val="Numbparas"/>
        <w:numPr>
          <w:ilvl w:val="0"/>
          <w:numId w:val="0"/>
        </w:numPr>
        <w:rPr>
          <w:i/>
          <w:iCs/>
          <w:sz w:val="18"/>
          <w:szCs w:val="18"/>
        </w:rPr>
      </w:pPr>
      <w:r w:rsidRPr="007611CB">
        <w:rPr>
          <w:i/>
          <w:iCs/>
          <w:sz w:val="18"/>
          <w:szCs w:val="18"/>
        </w:rPr>
        <w:t>Level one:  Director</w:t>
      </w:r>
    </w:p>
    <w:p w14:paraId="7557BBA9" w14:textId="77777777" w:rsidR="00FE4E56" w:rsidRPr="007611CB" w:rsidRDefault="00FE4E56" w:rsidP="009748F5">
      <w:pPr>
        <w:pStyle w:val="Numbparas"/>
        <w:numPr>
          <w:ilvl w:val="0"/>
          <w:numId w:val="0"/>
        </w:numPr>
        <w:rPr>
          <w:i/>
          <w:iCs/>
          <w:sz w:val="18"/>
          <w:szCs w:val="18"/>
        </w:rPr>
      </w:pPr>
      <w:r w:rsidRPr="007611CB">
        <w:rPr>
          <w:i/>
          <w:iCs/>
          <w:sz w:val="18"/>
          <w:szCs w:val="18"/>
        </w:rPr>
        <w:t xml:space="preserve">Level two:  Reporting to the Director at level one are five roles – </w:t>
      </w:r>
    </w:p>
    <w:p w14:paraId="124D509C" w14:textId="0F47C807" w:rsidR="00FE4E56" w:rsidRPr="007611CB" w:rsidRDefault="00FE4E56" w:rsidP="009748F5">
      <w:pPr>
        <w:pStyle w:val="Numbparas"/>
        <w:numPr>
          <w:ilvl w:val="0"/>
          <w:numId w:val="0"/>
        </w:numPr>
        <w:rPr>
          <w:i/>
          <w:iCs/>
          <w:sz w:val="18"/>
          <w:szCs w:val="18"/>
        </w:rPr>
      </w:pPr>
      <w:r w:rsidRPr="007611CB">
        <w:rPr>
          <w:i/>
          <w:iCs/>
          <w:sz w:val="18"/>
          <w:szCs w:val="18"/>
        </w:rPr>
        <w:t>(a) Assistant Director Social Work – with senior social workers and social workers reporting to the Assistant Director</w:t>
      </w:r>
    </w:p>
    <w:p w14:paraId="77D215FA" w14:textId="1F362A30" w:rsidR="00FE4E56" w:rsidRPr="007611CB" w:rsidRDefault="00FE4E56" w:rsidP="009748F5">
      <w:pPr>
        <w:pStyle w:val="Numbparas"/>
        <w:numPr>
          <w:ilvl w:val="0"/>
          <w:numId w:val="0"/>
        </w:numPr>
        <w:rPr>
          <w:i/>
          <w:iCs/>
          <w:sz w:val="18"/>
          <w:szCs w:val="18"/>
        </w:rPr>
      </w:pPr>
      <w:r w:rsidRPr="007611CB">
        <w:rPr>
          <w:i/>
          <w:iCs/>
          <w:sz w:val="18"/>
          <w:szCs w:val="18"/>
        </w:rPr>
        <w:t xml:space="preserve">(b) Assistant Director Administration – in charge of administration; </w:t>
      </w:r>
    </w:p>
    <w:p w14:paraId="5374C4DC" w14:textId="285431E4" w:rsidR="00FE4E56" w:rsidRPr="007611CB" w:rsidRDefault="00FE4E56" w:rsidP="009748F5">
      <w:pPr>
        <w:pStyle w:val="Numbparas"/>
        <w:numPr>
          <w:ilvl w:val="0"/>
          <w:numId w:val="0"/>
        </w:numPr>
        <w:rPr>
          <w:i/>
          <w:iCs/>
          <w:sz w:val="18"/>
          <w:szCs w:val="18"/>
        </w:rPr>
      </w:pPr>
      <w:r w:rsidRPr="007611CB">
        <w:rPr>
          <w:i/>
          <w:iCs/>
          <w:sz w:val="18"/>
          <w:szCs w:val="18"/>
        </w:rPr>
        <w:t xml:space="preserve">(c) Assistant Director Benefits and Pensions – in charge of benefits and pensions </w:t>
      </w:r>
    </w:p>
    <w:p w14:paraId="435B769A" w14:textId="77777777" w:rsidR="00FE4E56" w:rsidRPr="007611CB" w:rsidRDefault="00FE4E56" w:rsidP="009748F5">
      <w:pPr>
        <w:pStyle w:val="Numbparas"/>
        <w:numPr>
          <w:ilvl w:val="0"/>
          <w:numId w:val="0"/>
        </w:numPr>
        <w:rPr>
          <w:i/>
          <w:iCs/>
          <w:sz w:val="18"/>
          <w:szCs w:val="18"/>
        </w:rPr>
      </w:pPr>
      <w:r w:rsidRPr="007611CB">
        <w:rPr>
          <w:i/>
          <w:iCs/>
          <w:sz w:val="18"/>
          <w:szCs w:val="18"/>
        </w:rPr>
        <w:t xml:space="preserve">(d) Principal of Local Institutions; </w:t>
      </w:r>
    </w:p>
    <w:p w14:paraId="0B676B86" w14:textId="3E5F6B1B" w:rsidR="00FE4E56" w:rsidRPr="007611CB" w:rsidRDefault="00FE4E56" w:rsidP="009748F5">
      <w:pPr>
        <w:pStyle w:val="Numbparas"/>
        <w:numPr>
          <w:ilvl w:val="0"/>
          <w:numId w:val="0"/>
        </w:numPr>
        <w:rPr>
          <w:i/>
          <w:iCs/>
          <w:sz w:val="18"/>
          <w:szCs w:val="18"/>
        </w:rPr>
      </w:pPr>
      <w:r w:rsidRPr="007611CB">
        <w:rPr>
          <w:i/>
          <w:iCs/>
          <w:sz w:val="18"/>
          <w:szCs w:val="18"/>
        </w:rPr>
        <w:t>(e) Area Welfare Office of District Agent&gt;</w:t>
      </w:r>
    </w:p>
    <w:p w14:paraId="03D2D331" w14:textId="77777777" w:rsidR="00FE4E56" w:rsidRDefault="00FE4E56" w:rsidP="009748F5">
      <w:pPr>
        <w:pStyle w:val="Numbparas"/>
        <w:numPr>
          <w:ilvl w:val="0"/>
          <w:numId w:val="0"/>
        </w:numPr>
        <w:rPr>
          <w:sz w:val="18"/>
          <w:szCs w:val="18"/>
        </w:rPr>
      </w:pPr>
    </w:p>
    <w:p w14:paraId="77DD4DE4" w14:textId="0E51E1B5" w:rsidR="00FE4E56" w:rsidRPr="004A0212" w:rsidRDefault="00FE4E56" w:rsidP="0062717F">
      <w:pPr>
        <w:pStyle w:val="Numbparas"/>
      </w:pPr>
      <w:r w:rsidRPr="004A0212">
        <w:t>In 1992 the Department of Social Welfare was restructured into several different business units, including:</w:t>
      </w:r>
    </w:p>
    <w:p w14:paraId="00020C48" w14:textId="77777777" w:rsidR="00FE4E56" w:rsidRPr="004A0212" w:rsidRDefault="00FE4E56" w:rsidP="00FC05B9">
      <w:pPr>
        <w:pStyle w:val="Bulletpoints"/>
      </w:pPr>
      <w:r w:rsidRPr="004A0212">
        <w:t>the New Zealand Children and Young People’s Service, responsible for care and protection, youth justice and adoption services</w:t>
      </w:r>
    </w:p>
    <w:p w14:paraId="699DE1B9" w14:textId="6B69EDBB" w:rsidR="00FE4E56" w:rsidRPr="004A0212" w:rsidRDefault="00FE4E56" w:rsidP="00FC05B9">
      <w:pPr>
        <w:pStyle w:val="Bulletpoints"/>
      </w:pPr>
      <w:r w:rsidRPr="004A0212">
        <w:t>the New Zealand Community Funding Agency, responsible for third-party service providers</w:t>
      </w:r>
    </w:p>
    <w:p w14:paraId="68E95F8E" w14:textId="77777777" w:rsidR="00FE4E56" w:rsidRPr="004A0212" w:rsidRDefault="00FE4E56" w:rsidP="00FC05B9">
      <w:pPr>
        <w:pStyle w:val="Bulletpoints"/>
      </w:pPr>
      <w:r w:rsidRPr="004A0212">
        <w:t>the Social Policy Agency, responsible for provision of policy advice and review across core service divisions.</w:t>
      </w:r>
      <w:r w:rsidRPr="004A0212">
        <w:rPr>
          <w:rStyle w:val="StyleFootnoteReferenceFagoFunotenzeichenFagoFunotenzeichen"/>
        </w:rPr>
        <w:endnoteReference w:id="534"/>
      </w:r>
    </w:p>
    <w:p w14:paraId="1714A9BE" w14:textId="77777777" w:rsidR="00FE4E56" w:rsidRPr="004A0212" w:rsidRDefault="00FE4E56" w:rsidP="0062717F">
      <w:pPr>
        <w:pStyle w:val="Numbparas"/>
      </w:pPr>
      <w:r w:rsidRPr="004A0212">
        <w:t>The Minister for Social Welfare was responsible for these business units through the Department of Social Welfare as the parent agency.</w:t>
      </w:r>
    </w:p>
    <w:p w14:paraId="677722F6" w14:textId="77777777" w:rsidR="00FE4E56" w:rsidRDefault="00FE4E56">
      <w:pPr>
        <w:keepLines w:val="0"/>
        <w:rPr>
          <w:rFonts w:ascii="Arial" w:eastAsia="Calibri" w:hAnsi="Arial" w:cs="Arial"/>
          <w:bCs/>
          <w:color w:val="222222"/>
          <w:sz w:val="22"/>
          <w:szCs w:val="22"/>
          <w:shd w:val="clear" w:color="auto" w:fill="FFFFFF"/>
        </w:rPr>
      </w:pPr>
      <w:r>
        <w:br w:type="page"/>
      </w:r>
    </w:p>
    <w:p w14:paraId="0EC08B95" w14:textId="11BBAA0B" w:rsidR="00FE4E56" w:rsidRPr="004A0212" w:rsidRDefault="00FE4E56" w:rsidP="0062717F">
      <w:pPr>
        <w:pStyle w:val="Numbparas"/>
      </w:pPr>
      <w:r w:rsidRPr="004A0212">
        <w:lastRenderedPageBreak/>
        <w:t>There were further restructures throughout the 1990s, and by 1999 the New Zealand Community Funding Agency had merged with the Children, Young Persons and Their Families to become The Department of Children, Young Persons and Their Families Services (CYPFS). The Department of Social Welfare was disestablished, with CYPFS supported by the Ministry of Social Policy.</w:t>
      </w:r>
      <w:r w:rsidRPr="004A0212">
        <w:rPr>
          <w:rStyle w:val="StyleFootnoteReferenceFagoFunotenzeichenFagoFunotenzeichen"/>
        </w:rPr>
        <w:endnoteReference w:id="535"/>
      </w:r>
      <w:r w:rsidRPr="004A0212">
        <w:t xml:space="preserve"> These restructures would continue past 1999 into the following decades.</w:t>
      </w:r>
      <w:r w:rsidRPr="004A0212">
        <w:rPr>
          <w:rStyle w:val="EndnoteReference"/>
        </w:rPr>
        <w:endnoteReference w:id="536"/>
      </w:r>
    </w:p>
    <w:p w14:paraId="0BB79764" w14:textId="1C07B3F6" w:rsidR="00FE4E56" w:rsidRDefault="00FE4E56" w:rsidP="0062717F">
      <w:pPr>
        <w:pStyle w:val="Numbparas"/>
        <w:numPr>
          <w:ilvl w:val="0"/>
          <w:numId w:val="0"/>
        </w:numPr>
        <w:rPr>
          <w:b/>
        </w:rPr>
      </w:pPr>
      <w:r w:rsidRPr="004A0212">
        <w:rPr>
          <w:b/>
        </w:rPr>
        <w:t>The structure of Child Youth and Family as of October 1999</w:t>
      </w:r>
      <w:r w:rsidRPr="004A0212">
        <w:rPr>
          <w:rStyle w:val="StyleFootnoteReferenceFagoFunotenzeichenFagoFunotenzeichen"/>
        </w:rPr>
        <w:endnoteReference w:id="537"/>
      </w:r>
    </w:p>
    <w:p w14:paraId="2BCF328B" w14:textId="375B7242" w:rsidR="00FE4E56" w:rsidRPr="004A0212" w:rsidRDefault="00FE4E56" w:rsidP="0062717F">
      <w:pPr>
        <w:pStyle w:val="Numbparas"/>
        <w:numPr>
          <w:ilvl w:val="0"/>
          <w:numId w:val="0"/>
        </w:numPr>
        <w:rPr>
          <w:b/>
          <w:bCs w:val="0"/>
        </w:rPr>
      </w:pPr>
      <w:r>
        <w:rPr>
          <w:b/>
          <w:bCs w:val="0"/>
        </w:rPr>
        <w:t xml:space="preserve">[Image of: </w:t>
      </w:r>
      <w:r w:rsidRPr="002A080A">
        <w:rPr>
          <w:b/>
          <w:bCs w:val="0"/>
        </w:rPr>
        <w:t>The structure of Child Youth and Family as of October 1999</w:t>
      </w:r>
      <w:r>
        <w:rPr>
          <w:b/>
          <w:bCs w:val="0"/>
        </w:rPr>
        <w:t>]</w:t>
      </w:r>
    </w:p>
    <w:p w14:paraId="1D379D04" w14:textId="77777777" w:rsidR="00FE4E56" w:rsidRDefault="00FE4E56" w:rsidP="0062717F">
      <w:pPr>
        <w:pStyle w:val="AllNumbparas"/>
        <w:numPr>
          <w:ilvl w:val="0"/>
          <w:numId w:val="0"/>
        </w:numPr>
      </w:pPr>
      <w:r w:rsidRPr="004A0212">
        <w:rPr>
          <w:noProof/>
        </w:rPr>
        <w:drawing>
          <wp:inline distT="0" distB="0" distL="0" distR="0" wp14:anchorId="3EFE6DC5" wp14:editId="59CD394B">
            <wp:extent cx="4705592" cy="2502029"/>
            <wp:effectExtent l="0" t="0" r="0" b="0"/>
            <wp:docPr id="8" name="Picture 8" descr="This organisational chart shows the hierarchy and reporting lines of Child, Youth and Family as of October 1999. At the top is the Chief Executive Officer (CEO). At the second level are the Chief Social Worker and the Māori and Pacific Island Advisory Groups, who report to the CEO. At the third level are the Chief Executive Office and Internal Audit, which report to the CEO. At the fourth level are Service and Delivery, Contracting &amp; Approvals, Policy &amp; Development, Finance, Human Resources, and Information Services, which all report to the CEO. At the fifth level is Business Planning, which reports to Policy &amp; Development. To the side, sitting in between the fourth and fifth levels, is Marketing &amp; Legal Communications, which reports to Information Services but also has a dotted reporting line to the CEO. At a level below Marketing &amp; Legal Communications is Information Systems Operations Business Services, which reports to Infor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organisational chart shows the hierarchy and reporting lines of Child, Youth and Family as of October 1999. At the top is the Chief Executive Officer (CEO). At the second level are the Chief Social Worker and the Māori and Pacific Island Advisory Groups, who report to the CEO. At the third level are the Chief Executive Office and Internal Audit, which report to the CEO. At the fourth level are Service and Delivery, Contracting &amp; Approvals, Policy &amp; Development, Finance, Human Resources, and Information Services, which all report to the CEO. At the fifth level is Business Planning, which reports to Policy &amp; Development. To the side, sitting in between the fourth and fifth levels, is Marketing &amp; Legal Communications, which reports to Information Services but also has a dotted reporting line to the CEO. At a level below Marketing &amp; Legal Communications is Information Systems Operations Business Services, which reports to Information Services."/>
                    <pic:cNvPicPr/>
                  </pic:nvPicPr>
                  <pic:blipFill>
                    <a:blip r:embed="rId23">
                      <a:extLst>
                        <a:ext uri="{28A0092B-C50C-407E-A947-70E740481C1C}">
                          <a14:useLocalDpi xmlns:a14="http://schemas.microsoft.com/office/drawing/2010/main" val="0"/>
                        </a:ext>
                      </a:extLst>
                    </a:blip>
                    <a:stretch>
                      <a:fillRect/>
                    </a:stretch>
                  </pic:blipFill>
                  <pic:spPr>
                    <a:xfrm>
                      <a:off x="0" y="0"/>
                      <a:ext cx="4705592" cy="2502029"/>
                    </a:xfrm>
                    <a:prstGeom prst="rect">
                      <a:avLst/>
                    </a:prstGeom>
                  </pic:spPr>
                </pic:pic>
              </a:graphicData>
            </a:graphic>
          </wp:inline>
        </w:drawing>
      </w:r>
    </w:p>
    <w:p w14:paraId="5CB4E18E" w14:textId="458D2421" w:rsidR="00FE4E56" w:rsidRPr="007611CB" w:rsidRDefault="00FE4E56" w:rsidP="0062717F">
      <w:pPr>
        <w:pStyle w:val="AllNumbparas"/>
        <w:numPr>
          <w:ilvl w:val="0"/>
          <w:numId w:val="0"/>
        </w:numPr>
        <w:rPr>
          <w:i/>
          <w:iCs/>
          <w:sz w:val="18"/>
          <w:szCs w:val="18"/>
        </w:rPr>
      </w:pPr>
      <w:r w:rsidRPr="007611CB">
        <w:rPr>
          <w:i/>
          <w:iCs/>
          <w:sz w:val="18"/>
          <w:szCs w:val="18"/>
        </w:rPr>
        <w:t>&lt;Description of the structure of Child Youth and Family as of October 1999:</w:t>
      </w:r>
    </w:p>
    <w:p w14:paraId="28337AB4" w14:textId="4006AFCD" w:rsidR="00FE4E56" w:rsidRPr="007611CB" w:rsidRDefault="00FE4E56" w:rsidP="0062717F">
      <w:pPr>
        <w:pStyle w:val="AllNumbparas"/>
        <w:numPr>
          <w:ilvl w:val="0"/>
          <w:numId w:val="0"/>
        </w:numPr>
        <w:rPr>
          <w:i/>
          <w:iCs/>
          <w:sz w:val="18"/>
          <w:szCs w:val="18"/>
        </w:rPr>
      </w:pPr>
      <w:r w:rsidRPr="007611CB">
        <w:rPr>
          <w:i/>
          <w:iCs/>
          <w:sz w:val="18"/>
          <w:szCs w:val="18"/>
        </w:rPr>
        <w:t>Level one:  Chief Executive Officer</w:t>
      </w:r>
    </w:p>
    <w:p w14:paraId="54CD8D65" w14:textId="5B6B9D4C" w:rsidR="00FE4E56" w:rsidRPr="007611CB" w:rsidRDefault="00FE4E56" w:rsidP="0062717F">
      <w:pPr>
        <w:pStyle w:val="AllNumbparas"/>
        <w:numPr>
          <w:ilvl w:val="0"/>
          <w:numId w:val="0"/>
        </w:numPr>
        <w:rPr>
          <w:i/>
          <w:iCs/>
          <w:sz w:val="18"/>
          <w:szCs w:val="18"/>
        </w:rPr>
      </w:pPr>
      <w:r w:rsidRPr="007611CB">
        <w:rPr>
          <w:i/>
          <w:iCs/>
          <w:sz w:val="18"/>
          <w:szCs w:val="18"/>
        </w:rPr>
        <w:t>Level two:  Roles and functions reporting to the chief executive:  (a) Chief Social Worker: (b) Maori &amp; Pacific Island Advisory Groups;(c) Chief Executive Office; (d) Internal Audit; (e) Service Delivery; (f) Contracting &amp; Approvals; (g) Policy and Development – with Business Planning function in a separate box reporting to Policy and Development; (h) Finance; (i) Human Resources; (j) Information Services with Marketing &amp; Communications Legal reporting to Information Services – and with a doitted line to the Chief Executive, and Information Services, Operations and Business Services reporting to Information Services too.&gt;</w:t>
      </w:r>
    </w:p>
    <w:p w14:paraId="76D5EEE7" w14:textId="77777777" w:rsidR="00FE4E56" w:rsidRPr="004A0212" w:rsidRDefault="00FE4E56" w:rsidP="0062717F">
      <w:pPr>
        <w:pStyle w:val="AllNumbparas"/>
        <w:numPr>
          <w:ilvl w:val="0"/>
          <w:numId w:val="0"/>
        </w:numPr>
      </w:pPr>
    </w:p>
    <w:p w14:paraId="39BCC5AE" w14:textId="77777777" w:rsidR="00FE4E56" w:rsidRDefault="00FE4E56">
      <w:pPr>
        <w:keepLines w:val="0"/>
        <w:rPr>
          <w:rFonts w:ascii="Arial" w:hAnsi="Arial" w:cstheme="minorHAnsi"/>
          <w:b/>
          <w:i/>
          <w:color w:val="3B5D1E" w:themeColor="accent4" w:themeShade="BF"/>
          <w:sz w:val="22"/>
          <w:lang w:val="en"/>
        </w:rPr>
      </w:pPr>
      <w:bookmarkStart w:id="631" w:name="_Toc944525704"/>
      <w:r>
        <w:br w:type="page"/>
      </w:r>
    </w:p>
    <w:p w14:paraId="798F5314" w14:textId="3CE86022" w:rsidR="00FE4E56" w:rsidRPr="004A0212" w:rsidRDefault="00FE4E56" w:rsidP="001A5ECD">
      <w:pPr>
        <w:pStyle w:val="Heading4"/>
      </w:pPr>
      <w:r w:rsidRPr="700D4309">
        <w:lastRenderedPageBreak/>
        <w:t>Te huarahi whakanoho tamariki me ngā rangatahi ki ngā tokoora pāpori</w:t>
      </w:r>
      <w:bookmarkEnd w:id="631"/>
    </w:p>
    <w:p w14:paraId="0A73220D" w14:textId="77777777" w:rsidR="00FE4E56" w:rsidRPr="004A0212" w:rsidRDefault="00FE4E56" w:rsidP="001A5ECD">
      <w:pPr>
        <w:pStyle w:val="Heading4"/>
      </w:pPr>
      <w:bookmarkStart w:id="632" w:name="_Toc84245837"/>
      <w:r w:rsidRPr="004A0212">
        <w:t>How children and young people were placed in social welfare care</w:t>
      </w:r>
      <w:bookmarkEnd w:id="632"/>
    </w:p>
    <w:p w14:paraId="7DEE02E4" w14:textId="17690BC9" w:rsidR="00FE4E56" w:rsidRPr="004A0212" w:rsidRDefault="00FE4E56" w:rsidP="0062717F">
      <w:pPr>
        <w:pStyle w:val="Numbparas"/>
      </w:pPr>
      <w:r w:rsidRPr="004A0212">
        <w:t>The Child Welfare Act 1925 set up a system of Children’s Courts to make decisions for children and young people who came to the attention of the State. Judges in the Children’s Court could deliver a range of judgements for children, bought before the court, for care and protection matters or offences, including placing them in State care. Under the Children and Young Persons Act 1974, the Children and Young Person’s Court heard cases on youth offending, while care and protection matters were heard by the Family Court.</w:t>
      </w:r>
      <w:r w:rsidRPr="004A0212">
        <w:rPr>
          <w:rStyle w:val="EndnoteReference"/>
        </w:rPr>
        <w:endnoteReference w:id="538"/>
      </w:r>
      <w:r w:rsidRPr="004A0212">
        <w:t xml:space="preserve"> </w:t>
      </w:r>
    </w:p>
    <w:p w14:paraId="2EF1F18B" w14:textId="4F2DE1C0" w:rsidR="00FE4E56" w:rsidRPr="004A0212" w:rsidRDefault="00FE4E56" w:rsidP="0062717F">
      <w:pPr>
        <w:pStyle w:val="Numbparas"/>
      </w:pPr>
      <w:r w:rsidRPr="004A0212">
        <w:t>Under the Children, Young Persons, and Their Families Act 1989, youth justice proceedings were dealt with by a new Youth Court and care and protection proceedings in the Family Court.</w:t>
      </w:r>
      <w:r w:rsidRPr="004A0212">
        <w:rPr>
          <w:rStyle w:val="EndnoteReference"/>
        </w:rPr>
        <w:endnoteReference w:id="539"/>
      </w:r>
      <w:r w:rsidRPr="004A0212">
        <w:t xml:space="preserve"> </w:t>
      </w:r>
    </w:p>
    <w:p w14:paraId="12CC4022" w14:textId="4E122237" w:rsidR="00FE4E56" w:rsidRPr="004A0212" w:rsidRDefault="00FE4E56" w:rsidP="0062717F">
      <w:pPr>
        <w:pStyle w:val="Numbparas"/>
      </w:pPr>
      <w:r w:rsidRPr="004A0212">
        <w:t xml:space="preserve">From 1950 to 1974, the Child Welfare Act 1925 set out four ways children and young people could be committed to social welfare care. </w:t>
      </w:r>
    </w:p>
    <w:p w14:paraId="40C51BA3" w14:textId="24116022" w:rsidR="00FE4E56" w:rsidRPr="004A0212" w:rsidRDefault="00FE4E56" w:rsidP="00840EF6">
      <w:pPr>
        <w:pStyle w:val="Bulletpoints"/>
      </w:pPr>
      <w:r w:rsidRPr="004A0212">
        <w:rPr>
          <w:b/>
        </w:rPr>
        <w:t>by agreement:</w:t>
      </w:r>
      <w:r w:rsidRPr="004A0212">
        <w:t xml:space="preserve"> The superintendent could make agreements with a child or young person's parents to take control of them.</w:t>
      </w:r>
      <w:r w:rsidRPr="004A0212">
        <w:rPr>
          <w:rStyle w:val="StyleFootnoteReferenceFagoFunotenzeichenFagoFunotenzeichen"/>
        </w:rPr>
        <w:endnoteReference w:id="540"/>
      </w:r>
      <w:r w:rsidRPr="004A0212">
        <w:t xml:space="preserve"> In such cases, the superintendent held the same powers and responsibilities as if the child were placed under their care through the Child Welfare Act of 1925, excluding guardianship.</w:t>
      </w:r>
      <w:r w:rsidRPr="004A0212">
        <w:rPr>
          <w:rStyle w:val="StyleFootnoteReferenceFagoFunotenzeichenFagoFunotenzeichen"/>
        </w:rPr>
        <w:endnoteReference w:id="541"/>
      </w:r>
      <w:r w:rsidRPr="004A0212">
        <w:t xml:space="preserve"> The superintendent would only assume guardianship if a committal order was issued after a complaint or application to the Children's Court</w:t>
      </w:r>
      <w:r w:rsidRPr="004A0212">
        <w:rPr>
          <w:rStyle w:val="StyleFootnoteReferenceFagoFunotenzeichenFagoFunotenzeichen"/>
        </w:rPr>
        <w:endnoteReference w:id="542"/>
      </w:r>
      <w:r w:rsidRPr="004A0212">
        <w:t xml:space="preserve"> </w:t>
      </w:r>
    </w:p>
    <w:p w14:paraId="64C21A66" w14:textId="1A064E28" w:rsidR="00FE4E56" w:rsidRPr="004A0212" w:rsidRDefault="00FE4E56" w:rsidP="00840EF6">
      <w:pPr>
        <w:pStyle w:val="Bulletpoints"/>
      </w:pPr>
      <w:r w:rsidRPr="004A0212">
        <w:rPr>
          <w:b/>
        </w:rPr>
        <w:t>by complaint:</w:t>
      </w:r>
      <w:r w:rsidRPr="004A0212">
        <w:t xml:space="preserve"> A constable or child welfare officer could file a complaint with the Children’s Court for children or young people who were neglected, indigent (poor), delinquent, or living in an environment detrimental to their well-being. Children’s Court judges could summon custody holders and issue warrants for the child or young person to be temporarily placed in a social welfare residence such as a borstal or youth prison.</w:t>
      </w:r>
      <w:r w:rsidRPr="004A0212">
        <w:rPr>
          <w:rStyle w:val="StyleFootnoteReferenceFagoFunotenzeichenFagoFunotenzeichen"/>
        </w:rPr>
        <w:endnoteReference w:id="543"/>
      </w:r>
      <w:r w:rsidRPr="004A0212">
        <w:t xml:space="preserve"> Following an investigation a hearing would be held. If the complaint was upheld, the judge could order the child or young person committed to the superintendent or director-general’s care, or supervision by a child welfare officer or social worker.</w:t>
      </w:r>
      <w:r w:rsidRPr="004A0212">
        <w:rPr>
          <w:rStyle w:val="StyleFootnoteReferenceFagoFunotenzeichenFagoFunotenzeichen"/>
        </w:rPr>
        <w:endnoteReference w:id="544"/>
      </w:r>
    </w:p>
    <w:p w14:paraId="057BA143" w14:textId="19F86913" w:rsidR="00FE4E56" w:rsidRPr="004A0212" w:rsidRDefault="00FE4E56" w:rsidP="00840EF6">
      <w:pPr>
        <w:pStyle w:val="Bulletpoints"/>
      </w:pPr>
      <w:r w:rsidRPr="004A0212">
        <w:rPr>
          <w:b/>
        </w:rPr>
        <w:t>by application:</w:t>
      </w:r>
      <w:r w:rsidRPr="004A0212">
        <w:t xml:space="preserve"> A constable or child welfare officer could bypass the complaint and summons process by directly requesting a committal order from the Children’s Court based on a report about the child or young person’s circumstances.</w:t>
      </w:r>
      <w:r w:rsidRPr="004A0212">
        <w:rPr>
          <w:rStyle w:val="StyleFootnoteReferenceFagoFunotenzeichenFagoFunotenzeichen"/>
        </w:rPr>
        <w:endnoteReference w:id="545"/>
      </w:r>
      <w:r w:rsidRPr="004A0212">
        <w:t xml:space="preserve"> If granted, the court didn’t have to specify a facility for the child or young person. Instead, the order gave a constable or child welfare officer authority to take the child or young person to a facility designated by the superintendent, or to the nearest available State institution</w:t>
      </w:r>
      <w:r w:rsidRPr="004A0212">
        <w:rPr>
          <w:rStyle w:val="StyleFootnoteReferenceFagoFunotenzeichenFagoFunotenzeichen"/>
        </w:rPr>
        <w:endnoteReference w:id="546"/>
      </w:r>
    </w:p>
    <w:p w14:paraId="038A86CB" w14:textId="77777777" w:rsidR="009E142E" w:rsidRDefault="009E142E">
      <w:pPr>
        <w:keepLines w:val="0"/>
        <w:rPr>
          <w:rFonts w:ascii="Arial" w:eastAsia="Calibri" w:hAnsi="Arial" w:cs="Arial"/>
          <w:b/>
          <w:bCs/>
          <w:color w:val="222222"/>
          <w:sz w:val="22"/>
          <w:szCs w:val="22"/>
          <w:shd w:val="clear" w:color="auto" w:fill="FFFFFF"/>
        </w:rPr>
      </w:pPr>
      <w:r>
        <w:rPr>
          <w:b/>
        </w:rPr>
        <w:br w:type="page"/>
      </w:r>
    </w:p>
    <w:p w14:paraId="72E63186" w14:textId="03E85827" w:rsidR="00FE4E56" w:rsidRPr="004A0212" w:rsidRDefault="00FE4E56" w:rsidP="00840EF6">
      <w:pPr>
        <w:pStyle w:val="Bulletpoints"/>
      </w:pPr>
      <w:r w:rsidRPr="004A0212">
        <w:rPr>
          <w:b/>
        </w:rPr>
        <w:lastRenderedPageBreak/>
        <w:t>committal following charge:</w:t>
      </w:r>
      <w:r w:rsidRPr="004A0212">
        <w:t xml:space="preserve"> If a child or young person faced charges and appeared before the Children’s Court, the judge could commit them to the care of the superintendent, treating it similarly to a filed complaint.</w:t>
      </w:r>
      <w:r w:rsidRPr="004A0212">
        <w:rPr>
          <w:rStyle w:val="StyleFootnoteReferenceFagoFunotenzeichenFagoFunotenzeichen"/>
        </w:rPr>
        <w:endnoteReference w:id="547"/>
      </w:r>
      <w:r w:rsidRPr="004A0212">
        <w:t xml:space="preserve"> In such cases, the judge did not need to rule on the charges but could base his or her decision to put the child or young person into care on factors such as the child's parentage, environment, history, education, mentality, disposition and other relevant considerations.</w:t>
      </w:r>
      <w:r w:rsidRPr="004A0212">
        <w:rPr>
          <w:rStyle w:val="StyleFootnoteReferenceFagoFunotenzeichenFagoFunotenzeichen"/>
        </w:rPr>
        <w:endnoteReference w:id="548"/>
      </w:r>
    </w:p>
    <w:p w14:paraId="0406C5A3" w14:textId="77777777" w:rsidR="00FE4E56" w:rsidRPr="004A0212" w:rsidRDefault="00FE4E56" w:rsidP="0062717F">
      <w:pPr>
        <w:pStyle w:val="Numbparas"/>
      </w:pPr>
      <w:r w:rsidRPr="004A0212">
        <w:t>Under the Children and Young Persons Act 1974, the interests and wellbeing of the child or young person were to be the first and most important consideration of the Court or any other person exercising powers under that Act.</w:t>
      </w:r>
      <w:r w:rsidRPr="004A0212">
        <w:rPr>
          <w:rStyle w:val="StyleFootnoteReferenceFagoFunotenzeichenFagoFunotenzeichen"/>
        </w:rPr>
        <w:endnoteReference w:id="549"/>
      </w:r>
      <w:r w:rsidRPr="004A0212">
        <w:t xml:space="preserve"> In 1983, the Act was amended to provide for a principle in favour of keeping a child or young person with his or her family group, except where expressly required by the Act or impractical.</w:t>
      </w:r>
      <w:r w:rsidRPr="004A0212">
        <w:rPr>
          <w:rStyle w:val="StyleFootnoteReferenceFagoFunotenzeichenFagoFunotenzeichen"/>
        </w:rPr>
        <w:endnoteReference w:id="550"/>
      </w:r>
      <w:r w:rsidRPr="004A0212">
        <w:t xml:space="preserve"> </w:t>
      </w:r>
    </w:p>
    <w:p w14:paraId="12D8BDAF" w14:textId="77777777" w:rsidR="00FE4E56" w:rsidRPr="004A0212" w:rsidRDefault="00FE4E56" w:rsidP="0062717F">
      <w:pPr>
        <w:pStyle w:val="Numbparas"/>
      </w:pPr>
      <w:r w:rsidRPr="004A0212">
        <w:t>The Children and Young Persons Act 1974 provided for Children's Boards to divert children and young people away from court. Children’s Boards involved community members such as police, social welfare officers, a representative appointed by the Secretary for Māori and Island Affairs, and a local resident.</w:t>
      </w:r>
      <w:r w:rsidRPr="004A0212">
        <w:rPr>
          <w:rStyle w:val="StyleFootnoteReferenceFagoFunotenzeichenFagoFunotenzeichen"/>
        </w:rPr>
        <w:endnoteReference w:id="551"/>
      </w:r>
      <w:r w:rsidRPr="004A0212">
        <w:t xml:space="preserve"> They considered reports and made inquiries to decide on appropriate actions, usually if matters were undisputed by the child or parents.</w:t>
      </w:r>
      <w:r w:rsidRPr="004A0212">
        <w:rPr>
          <w:rStyle w:val="StyleFootnoteReferenceFagoFunotenzeichenFagoFunotenzeichen"/>
        </w:rPr>
        <w:endnoteReference w:id="552"/>
      </w:r>
      <w:r w:rsidRPr="004A0212">
        <w:t xml:space="preserve"> Actions could include counselling or professional help or recommending a complaint to the Children and Young Persons Court by the police or a social worker.</w:t>
      </w:r>
      <w:r w:rsidRPr="004A0212">
        <w:rPr>
          <w:rStyle w:val="StyleFootnoteReferenceFagoFunotenzeichenFagoFunotenzeichen"/>
        </w:rPr>
        <w:endnoteReference w:id="553"/>
      </w:r>
    </w:p>
    <w:p w14:paraId="1FF19048" w14:textId="77777777" w:rsidR="00FE4E56" w:rsidRPr="004A0212" w:rsidRDefault="00FE4E56" w:rsidP="0062717F">
      <w:pPr>
        <w:pStyle w:val="Numbparas"/>
      </w:pPr>
      <w:r w:rsidRPr="004A0212">
        <w:t>From 1982 a complaint could only proceed to the Court after being reported to a Children's Board, except when the Court thought that delay was not in the child's or the public’s best interest.</w:t>
      </w:r>
      <w:r w:rsidRPr="004A0212">
        <w:rPr>
          <w:rStyle w:val="StyleFootnoteReferenceFagoFunotenzeichenFagoFunotenzeichen"/>
        </w:rPr>
        <w:endnoteReference w:id="554"/>
      </w:r>
    </w:p>
    <w:p w14:paraId="1138EC5B" w14:textId="5EAE4CB2" w:rsidR="00FE4E56" w:rsidRPr="004A0212" w:rsidRDefault="00FE4E56" w:rsidP="0062717F">
      <w:pPr>
        <w:pStyle w:val="Numbparas"/>
      </w:pPr>
      <w:r w:rsidRPr="004A0212">
        <w:t>The Children, Young Persons, and Their Families Act 1989 represented a significant point, both nationally and internationally, in child welfare legislation.</w:t>
      </w:r>
      <w:r w:rsidRPr="004A0212">
        <w:rPr>
          <w:rStyle w:val="StyleFootnoteReferenceFagoFunotenzeichenFagoFunotenzeichen"/>
        </w:rPr>
        <w:endnoteReference w:id="555"/>
      </w:r>
      <w:r w:rsidRPr="004A0212">
        <w:rPr>
          <w:color w:val="FF0000"/>
        </w:rPr>
        <w:t xml:space="preserve"> </w:t>
      </w:r>
      <w:r w:rsidRPr="004A0212">
        <w:t xml:space="preserve">It reflected the insights and suggestions outlined in the </w:t>
      </w:r>
      <w:r w:rsidRPr="007D232D">
        <w:t>Puao-te-Ata-Tū</w:t>
      </w:r>
      <w:r w:rsidRPr="004A0212">
        <w:t xml:space="preserve"> </w:t>
      </w:r>
      <w:r>
        <w:t>R</w:t>
      </w:r>
      <w:r w:rsidRPr="004A0212">
        <w:t>eport of 1986, shifting the responsibility for decisions about care and protection for children and young offenders away from the State and toward families and wh</w:t>
      </w:r>
      <w:r w:rsidRPr="004A0212">
        <w:rPr>
          <w:rStyle w:val="normaltextrun"/>
        </w:rPr>
        <w:t>ā</w:t>
      </w:r>
      <w:r w:rsidRPr="004A0212">
        <w:t>nau.</w:t>
      </w:r>
      <w:r w:rsidRPr="004A0212">
        <w:rPr>
          <w:rStyle w:val="StyleFootnoteReferenceFagoFunotenzeichenFagoFunotenzeichen"/>
        </w:rPr>
        <w:endnoteReference w:id="556"/>
      </w:r>
      <w:r w:rsidRPr="004A0212">
        <w:t xml:space="preserve"> Beyond outlining general principles, such as prioritising the welfare and interests of the child or young person, the Act also contained specific principles related to care and protection and youth justice matters.</w:t>
      </w:r>
      <w:r w:rsidRPr="004A0212">
        <w:rPr>
          <w:rStyle w:val="StyleFootnoteReferenceFagoFunotenzeichenFagoFunotenzeichen"/>
        </w:rPr>
        <w:endnoteReference w:id="557"/>
      </w:r>
    </w:p>
    <w:p w14:paraId="4FD01C80" w14:textId="77777777" w:rsidR="00FE4E56" w:rsidRPr="004A0212" w:rsidRDefault="00FE4E56" w:rsidP="0062717F">
      <w:pPr>
        <w:pStyle w:val="Numbparas"/>
      </w:pPr>
      <w:r w:rsidRPr="004A0212">
        <w:t>At the heart of the Act was the concept of family and wh</w:t>
      </w:r>
      <w:r w:rsidRPr="004A0212">
        <w:rPr>
          <w:rStyle w:val="normaltextrun"/>
        </w:rPr>
        <w:t>ā</w:t>
      </w:r>
      <w:r w:rsidRPr="004A0212">
        <w:t>nau decision-making, formalised through the family group conference process.</w:t>
      </w:r>
      <w:r w:rsidRPr="004A0212">
        <w:rPr>
          <w:rStyle w:val="StyleFootnoteReferenceFagoFunotenzeichenFagoFunotenzeichen"/>
        </w:rPr>
        <w:endnoteReference w:id="558"/>
      </w:r>
      <w:r w:rsidRPr="004A0212">
        <w:t xml:space="preserve"> The focus on a child or young person’s whānau, hapū, iwi and extended family was intended to give them more authority and power to make decisions about their children and young people.</w:t>
      </w:r>
      <w:r w:rsidRPr="004A0212">
        <w:rPr>
          <w:rStyle w:val="StyleFootnoteReferenceFagoFunotenzeichenFagoFunotenzeichen"/>
        </w:rPr>
        <w:endnoteReference w:id="559"/>
      </w:r>
    </w:p>
    <w:p w14:paraId="7DE2323D" w14:textId="4192902E" w:rsidR="00FE4E56" w:rsidRPr="004A0212" w:rsidRDefault="00FE4E56" w:rsidP="0062717F">
      <w:pPr>
        <w:pStyle w:val="Numbparas"/>
      </w:pPr>
      <w:r w:rsidRPr="004A0212">
        <w:t>The Act divided youth justice and care and protection matters, with youth justice proceedings dealt with by a new Youth Court and care and protection proceedings in the Family Court. It emphasised the accountability of young offenders for their actions and the role of families and wh</w:t>
      </w:r>
      <w:r w:rsidRPr="004A0212">
        <w:rPr>
          <w:rStyle w:val="normaltextrun"/>
        </w:rPr>
        <w:t>ā</w:t>
      </w:r>
      <w:r w:rsidRPr="004A0212">
        <w:t>nau in supporting them to change their behaviour.</w:t>
      </w:r>
      <w:r w:rsidRPr="004A0212">
        <w:rPr>
          <w:rStyle w:val="StyleFootnoteReferenceFagoFunotenzeichenFagoFunotenzeichen"/>
        </w:rPr>
        <w:endnoteReference w:id="560"/>
      </w:r>
    </w:p>
    <w:p w14:paraId="69AE42E5" w14:textId="77777777" w:rsidR="00FE4E56" w:rsidRPr="004A0212" w:rsidRDefault="00FE4E56" w:rsidP="0062717F">
      <w:pPr>
        <w:pStyle w:val="Numbparas"/>
      </w:pPr>
      <w:r w:rsidRPr="004A0212">
        <w:t xml:space="preserve">While an attempt was made to reduce the powers of the State under the Children, Young Persons, and Their Families Act 1989, children and young people could still find themselves being placed into social welfare care if a Court found that they were in need of care and protection or there had been youth offending. </w:t>
      </w:r>
    </w:p>
    <w:p w14:paraId="5D494B64" w14:textId="77777777" w:rsidR="00FE4E56" w:rsidRPr="004A0212" w:rsidRDefault="00FE4E56" w:rsidP="0062717F">
      <w:pPr>
        <w:pStyle w:val="Numbparas"/>
      </w:pPr>
      <w:r w:rsidRPr="004A0212">
        <w:lastRenderedPageBreak/>
        <w:t>For care and protection matters, children and young people would now come to the attention of the State following a report of concern. A report of concern was where a person or an entity told a social worker or the police that they believed a child or young person had been harmed or neglected.</w:t>
      </w:r>
      <w:r w:rsidRPr="004A0212">
        <w:rPr>
          <w:rStyle w:val="StyleFootnoteReferenceFagoFunotenzeichenFagoFunotenzeichen"/>
        </w:rPr>
        <w:endnoteReference w:id="561"/>
      </w:r>
      <w:r w:rsidRPr="004A0212">
        <w:t xml:space="preserve"> </w:t>
      </w:r>
    </w:p>
    <w:p w14:paraId="5FDE335D" w14:textId="77777777" w:rsidR="00FE4E56" w:rsidRPr="004A0212" w:rsidRDefault="00FE4E56" w:rsidP="0062717F">
      <w:pPr>
        <w:pStyle w:val="Numbparas"/>
      </w:pPr>
      <w:r w:rsidRPr="004A0212">
        <w:t>Reports of concern could trigger an investigation. If the child or young person was considered to be in need of care or protection, a Care and Protection Coordinator could call a family group conference. The conference addressed concerns and decided recommendations and plans for the child or young person and their family.</w:t>
      </w:r>
      <w:r w:rsidRPr="004A0212">
        <w:rPr>
          <w:rStyle w:val="StyleFootnoteReferenceFagoFunotenzeichenFagoFunotenzeichen"/>
        </w:rPr>
        <w:endnoteReference w:id="562"/>
      </w:r>
      <w:r w:rsidRPr="004A0212">
        <w:t xml:space="preserve"> </w:t>
      </w:r>
    </w:p>
    <w:p w14:paraId="6A65502C" w14:textId="329F2C11" w:rsidR="00FE4E56" w:rsidRPr="004A0212" w:rsidRDefault="00FE4E56" w:rsidP="0062717F">
      <w:pPr>
        <w:pStyle w:val="Numbparas"/>
      </w:pPr>
      <w:r w:rsidRPr="004A0212">
        <w:t>Care and protection co-ordinators sought consensus on the plan made by the family group conference, and if agreed, the Director-General of Social Welfare was required to implement it unless it was impractical or was inconsistent with the child or young person’s welfare. Financial assistance could be provided if needed.</w:t>
      </w:r>
      <w:r w:rsidRPr="004A0212">
        <w:rPr>
          <w:rStyle w:val="StyleFootnoteReferenceFagoFunotenzeichenFagoFunotenzeichen"/>
        </w:rPr>
        <w:endnoteReference w:id="563"/>
      </w:r>
      <w:r w:rsidRPr="004A0212">
        <w:t xml:space="preserve"> </w:t>
      </w:r>
    </w:p>
    <w:p w14:paraId="4BC19C93" w14:textId="7924D047" w:rsidR="00FE4E56" w:rsidRPr="004A0212" w:rsidRDefault="00FE4E56" w:rsidP="0062717F">
      <w:pPr>
        <w:pStyle w:val="Numbparas"/>
      </w:pPr>
      <w:r w:rsidRPr="004A0212">
        <w:t>If no agreement was reached, the co-ordinator would report back to the referrer. Referrers, such as social workers or police officers, could then take appropriate actions under the Children, Young Persons, and Their Families</w:t>
      </w:r>
      <w:r w:rsidRPr="004A0212">
        <w:rPr>
          <w:rFonts w:ascii="Century Gothic" w:hAnsi="Century Gothic"/>
        </w:rPr>
        <w:t xml:space="preserve"> </w:t>
      </w:r>
      <w:r w:rsidRPr="004A0212">
        <w:t>Act 1989, including the use of warrants or pursuit of custody and guardianship orders in the Family Court.</w:t>
      </w:r>
      <w:r w:rsidRPr="004A0212">
        <w:rPr>
          <w:rStyle w:val="StyleFootnoteReferenceFagoFunotenzeichenFagoFunotenzeichen"/>
        </w:rPr>
        <w:endnoteReference w:id="564"/>
      </w:r>
    </w:p>
    <w:p w14:paraId="5DA07F27" w14:textId="77777777" w:rsidR="00FE4E56" w:rsidRPr="004A0212" w:rsidRDefault="00FE4E56" w:rsidP="0062717F">
      <w:pPr>
        <w:pStyle w:val="Numbparas"/>
      </w:pPr>
      <w:r w:rsidRPr="004A0212">
        <w:t>The Children, Young Persons, and Their Families Act 1989, like its predecessors, allowed the use of warrants in specific circumstances.</w:t>
      </w:r>
      <w:r w:rsidRPr="004A0212">
        <w:rPr>
          <w:rStyle w:val="StyleFootnoteReferenceFagoFunotenzeichenFagoFunotenzeichen"/>
        </w:rPr>
        <w:endnoteReference w:id="565"/>
      </w:r>
      <w:r w:rsidRPr="004A0212">
        <w:t xml:space="preserve"> Place of safety warrants and warrants to remove a child or young person could be issued if a Judge was satisfied that there were reasonable grounds that a child or young person was suffering, or was likely to suffer, ill-treatment, neglect, deprivation, abuse or harm.</w:t>
      </w:r>
      <w:r w:rsidRPr="004A0212">
        <w:rPr>
          <w:rStyle w:val="StyleFootnoteReferenceFagoFunotenzeichenFagoFunotenzeichen"/>
        </w:rPr>
        <w:endnoteReference w:id="566"/>
      </w:r>
      <w:r w:rsidRPr="004A0212">
        <w:t xml:space="preserve"> </w:t>
      </w:r>
    </w:p>
    <w:p w14:paraId="713AED82" w14:textId="145726D0" w:rsidR="00FE4E56" w:rsidRPr="004A0212" w:rsidRDefault="00FE4E56" w:rsidP="0062717F">
      <w:pPr>
        <w:pStyle w:val="Numbparas"/>
        <w:rPr>
          <w:rFonts w:ascii="Roboto" w:hAnsi="Roboto"/>
          <w:sz w:val="21"/>
          <w:szCs w:val="21"/>
        </w:rPr>
      </w:pPr>
      <w:r w:rsidRPr="004A0212">
        <w:t>The Children, Young Persons, and Their Families Act 1989 allowed non-government agencies to care for children and young people on behalf of the State. These third-party providers were required to be approved under section 396 of the Act.</w:t>
      </w:r>
      <w:r w:rsidRPr="004A0212">
        <w:rPr>
          <w:rStyle w:val="StyleFootnoteReferenceFagoFunotenzeichenFagoFunotenzeichen"/>
        </w:rPr>
        <w:endnoteReference w:id="567"/>
      </w:r>
      <w:r w:rsidRPr="004A0212">
        <w:t xml:space="preserve"> </w:t>
      </w:r>
    </w:p>
    <w:p w14:paraId="7CB6751B" w14:textId="77777777" w:rsidR="00FE4E56" w:rsidRPr="004A0212" w:rsidRDefault="00FE4E56" w:rsidP="0062717F">
      <w:pPr>
        <w:pStyle w:val="Numbparas"/>
        <w:rPr>
          <w:rStyle w:val="AlldraftingnotesChar"/>
        </w:rPr>
      </w:pPr>
      <w:r w:rsidRPr="004A0212">
        <w:t>In 1992 the New Zealand Community Funding Agency (NZCFA) was established within the Department of Social Welfare for the government to purchase social services from the not-for-profit sector. NZCFA inherited roles under the Disabled Persons Community Welfare Act 1975 and the Children, Young Persons, and Their Families Act 1989 and administered regulations, assessed service providers, negotiated contracts, distributed funds, and monitored performance</w:t>
      </w:r>
      <w:r w:rsidRPr="004A0212">
        <w:rPr>
          <w:rStyle w:val="AlldraftingnotesChar"/>
        </w:rPr>
        <w:t xml:space="preserve">. </w:t>
      </w:r>
    </w:p>
    <w:p w14:paraId="7EB787C3" w14:textId="557CBDEF" w:rsidR="00FE4E56" w:rsidRPr="004A0212" w:rsidRDefault="00FE4E56" w:rsidP="0062717F">
      <w:pPr>
        <w:pStyle w:val="Numbparas"/>
      </w:pPr>
      <w:r w:rsidRPr="004A0212">
        <w:t>The Children, Young Persons, and Their Families Act 1989 also allowed a parent, guardian or other caregiver to make an agreement with the director-general for the temporary or extended care of a child or young person. This could also include an agreement with an iwi or cultural organisation or the director of a Child and Family Support Service. The maximum length of extended care agreements was usually 12 months. If the child or young person was “so mentally or physically disabled that suitable care for that child or young person can be provided only if that child or young person is placed in institutional care”,</w:t>
      </w:r>
      <w:r w:rsidRPr="004A0212">
        <w:rPr>
          <w:rStyle w:val="EndnoteReference"/>
        </w:rPr>
        <w:endnoteReference w:id="568"/>
      </w:r>
      <w:r w:rsidRPr="004A0212">
        <w:t xml:space="preserve"> the agreement could be for up to two years and could be extended biennially by a family group conference. </w:t>
      </w:r>
    </w:p>
    <w:p w14:paraId="24BCCA0D" w14:textId="77777777" w:rsidR="009E142E" w:rsidRDefault="009E142E">
      <w:pPr>
        <w:keepLines w:val="0"/>
        <w:rPr>
          <w:rFonts w:ascii="Arial" w:eastAsia="Calibri" w:hAnsi="Arial" w:cs="Arial"/>
          <w:bCs/>
          <w:color w:val="222222"/>
          <w:sz w:val="22"/>
          <w:szCs w:val="22"/>
          <w:shd w:val="clear" w:color="auto" w:fill="FFFFFF"/>
        </w:rPr>
      </w:pPr>
      <w:r>
        <w:br w:type="page"/>
      </w:r>
    </w:p>
    <w:p w14:paraId="61E046E3" w14:textId="0B7864B9" w:rsidR="00FE4E56" w:rsidRPr="004A0212" w:rsidRDefault="00FE4E56" w:rsidP="0062717F">
      <w:pPr>
        <w:pStyle w:val="Numbparas"/>
      </w:pPr>
      <w:r w:rsidRPr="004A0212">
        <w:lastRenderedPageBreak/>
        <w:t xml:space="preserve">Under the Care and Protection Handbook (1996–2002), direction was given to social workers that temporary care agreements were only to be entered into when the child or young person would be returning home on expiry of the agreement. </w:t>
      </w:r>
    </w:p>
    <w:p w14:paraId="740C66D3" w14:textId="4F86E1E4" w:rsidR="00FE4E56" w:rsidRPr="004A0212" w:rsidRDefault="00FE4E56" w:rsidP="0062717F">
      <w:pPr>
        <w:pStyle w:val="Numbparas"/>
      </w:pPr>
      <w:r w:rsidRPr="004A0212">
        <w:t>The handbook required the social worker to ensure that people entering into the agreement fully understood it and that alternatives, such as accessing support services, were explored. A temporary care agreement could be entered into with one parent, guardian or caregiver in a “crisis situation” but other parents or guardians were to be notified as soon as possible.</w:t>
      </w:r>
      <w:r w:rsidRPr="004A0212">
        <w:rPr>
          <w:rStyle w:val="EndnoteReference"/>
        </w:rPr>
        <w:endnoteReference w:id="569"/>
      </w:r>
      <w:r w:rsidRPr="004A0212">
        <w:t xml:space="preserve"> It also stated that it was “good practice” to consult with a child over the age of 12 years old.</w:t>
      </w:r>
      <w:r w:rsidRPr="004A0212">
        <w:rPr>
          <w:rStyle w:val="EndnoteReference"/>
        </w:rPr>
        <w:endnoteReference w:id="570"/>
      </w:r>
    </w:p>
    <w:p w14:paraId="59F3D259" w14:textId="77777777" w:rsidR="00FE4E56" w:rsidRPr="00EE5D4D" w:rsidRDefault="00FE4E56" w:rsidP="00EE5D4D">
      <w:pPr>
        <w:pStyle w:val="Heading4"/>
      </w:pPr>
      <w:bookmarkStart w:id="633" w:name="_Toc2099228338"/>
      <w:r w:rsidRPr="00EE5D4D">
        <w:t>Te wehe i te Taurimatanga Tokoora Pāpori</w:t>
      </w:r>
    </w:p>
    <w:p w14:paraId="1AD1B03B" w14:textId="1DC1E1F1" w:rsidR="00FE4E56" w:rsidRPr="004A0212" w:rsidRDefault="00FE4E56" w:rsidP="00EE5D4D">
      <w:pPr>
        <w:pStyle w:val="Heading4"/>
      </w:pPr>
      <w:r w:rsidRPr="700D4309">
        <w:t>Exiting Social Welfare Care</w:t>
      </w:r>
      <w:bookmarkEnd w:id="633"/>
    </w:p>
    <w:p w14:paraId="79627968" w14:textId="3232AEC0" w:rsidR="00FE4E56" w:rsidRPr="004A0212" w:rsidRDefault="00FE4E56" w:rsidP="0062717F">
      <w:pPr>
        <w:pStyle w:val="Numbparas"/>
      </w:pPr>
      <w:r w:rsidRPr="004A0212">
        <w:t>Until 1961, superintendents decided how long a child or young person stayed in social welfare care. Subsequent Acts introduced changes, allowing requests for discharge from the child, parents, or caregivers.</w:t>
      </w:r>
      <w:r w:rsidRPr="004A0212">
        <w:rPr>
          <w:rStyle w:val="StyleFootnoteReferenceFagoFunotenzeichenFagoFunotenzeichen"/>
        </w:rPr>
        <w:endnoteReference w:id="571"/>
      </w:r>
      <w:r w:rsidRPr="004A0212">
        <w:t xml:space="preserve"> Guardianship under the 1974 Act extended until age 20, subject to the director-general’s discretion.</w:t>
      </w:r>
      <w:r w:rsidRPr="004A0212">
        <w:rPr>
          <w:rStyle w:val="StyleFootnoteReferenceFagoFunotenzeichenFagoFunotenzeichen"/>
        </w:rPr>
        <w:endnoteReference w:id="572"/>
      </w:r>
      <w:r w:rsidRPr="004A0212">
        <w:rPr>
          <w:rStyle w:val="StyleFootnoteReferenceFagoFunotenzeichenFagoFunotenzeichen1"/>
        </w:rPr>
        <w:t xml:space="preserve"> </w:t>
      </w:r>
      <w:r w:rsidRPr="004A0212">
        <w:t>The 1989 Act gave courts the ability to issue declaration orders for custody or guardianship,</w:t>
      </w:r>
      <w:r w:rsidRPr="004A0212">
        <w:rPr>
          <w:rStyle w:val="StyleFootnoteReferenceFagoFunotenzeichenFagoFunotenzeichen1"/>
        </w:rPr>
        <w:t xml:space="preserve"> </w:t>
      </w:r>
      <w:r w:rsidRPr="004A0212">
        <w:t>with specific terms.</w:t>
      </w:r>
      <w:r w:rsidRPr="004A0212">
        <w:rPr>
          <w:rStyle w:val="StyleFootnoteReferenceFagoFunotenzeichenFagoFunotenzeichen"/>
        </w:rPr>
        <w:endnoteReference w:id="573"/>
      </w:r>
      <w:r w:rsidRPr="004A0212">
        <w:t xml:space="preserve"> </w:t>
      </w:r>
    </w:p>
    <w:p w14:paraId="51D890E7" w14:textId="77777777" w:rsidR="00FE4E56" w:rsidRPr="004A0212" w:rsidRDefault="00FE4E56" w:rsidP="0062717F">
      <w:pPr>
        <w:pStyle w:val="Numbparas"/>
      </w:pPr>
      <w:r w:rsidRPr="004A0212">
        <w:t>Social worker manuals from 1957, 1970 and 1984 provided general recommendations for transitioning State wards out of residential care and back into their communities.</w:t>
      </w:r>
      <w:r w:rsidRPr="004A0212">
        <w:rPr>
          <w:rStyle w:val="StyleFootnoteReferenceFagoFunotenzeichenFagoFunotenzeichen"/>
        </w:rPr>
        <w:endnoteReference w:id="574"/>
      </w:r>
      <w:r w:rsidRPr="004A0212">
        <w:t xml:space="preserve"> </w:t>
      </w:r>
    </w:p>
    <w:p w14:paraId="7C3BCD26" w14:textId="77777777" w:rsidR="00FE4E56" w:rsidRPr="004A0212" w:rsidRDefault="00FE4E56" w:rsidP="0062717F">
      <w:pPr>
        <w:pStyle w:val="Numbparas"/>
      </w:pPr>
      <w:r w:rsidRPr="004A0212">
        <w:t>The key criteria points listed in the 1984 Social Worker Manual included more short-term considerations, like whether a State ward’s living circumstances were satisfactory and whether employment or benefits had been established.</w:t>
      </w:r>
      <w:r w:rsidRPr="004A0212">
        <w:rPr>
          <w:rStyle w:val="StyleFootnoteReferenceFagoFunotenzeichenFagoFunotenzeichen"/>
        </w:rPr>
        <w:endnoteReference w:id="575"/>
      </w:r>
      <w:r w:rsidRPr="004A0212">
        <w:t xml:space="preserve"> There were no points made about ongoing support by the Department of Social Welfare. </w:t>
      </w:r>
    </w:p>
    <w:p w14:paraId="1D3A25D7" w14:textId="29013CB1" w:rsidR="00FE4E56" w:rsidRPr="004A0212" w:rsidRDefault="00FE4E56" w:rsidP="00EE5D4D">
      <w:pPr>
        <w:pStyle w:val="Heading4"/>
      </w:pPr>
      <w:bookmarkStart w:id="634" w:name="_Toc1834272138"/>
      <w:r w:rsidRPr="700D4309">
        <w:t>Ngā tamariki whaikaha i pāngia e ngā whakaritenga o roto i te ture</w:t>
      </w:r>
      <w:bookmarkEnd w:id="634"/>
      <w:r w:rsidRPr="700D4309">
        <w:t xml:space="preserve"> </w:t>
      </w:r>
    </w:p>
    <w:p w14:paraId="5ACA6678" w14:textId="77777777" w:rsidR="00FE4E56" w:rsidRPr="004A0212" w:rsidRDefault="00FE4E56" w:rsidP="00EE5D4D">
      <w:pPr>
        <w:pStyle w:val="Heading4"/>
      </w:pPr>
      <w:bookmarkStart w:id="635" w:name="_Toc83138708"/>
      <w:r w:rsidRPr="004A0212">
        <w:t>Disabled children affected by provisions in the law</w:t>
      </w:r>
      <w:bookmarkEnd w:id="635"/>
    </w:p>
    <w:p w14:paraId="21CA00BB" w14:textId="581F0A8E" w:rsidR="00FE4E56" w:rsidRPr="004A0212" w:rsidRDefault="00FE4E56" w:rsidP="0062717F">
      <w:pPr>
        <w:pStyle w:val="Numbparas"/>
      </w:pPr>
      <w:r w:rsidRPr="004A0212">
        <w:t>Similar to the voluntary agreement in Section 142 of the Disabled Persons Community Act 1975, the Children, Young Persons, and Their Families Act 1989 included separate provisions for the care and protection of disabled children and young people. These provisions applied to those children and young people who were considered to be in need of out of home care due to their disability.</w:t>
      </w:r>
      <w:r w:rsidRPr="004A0212">
        <w:rPr>
          <w:rStyle w:val="EndnoteReference"/>
        </w:rPr>
        <w:endnoteReference w:id="576"/>
      </w:r>
      <w:r w:rsidRPr="004A0212">
        <w:t xml:space="preserve"> Sections 141 and 142 of the 1989 Act enabled out-of-home care placements for disabled children through the Ministry of Health's Disability Support Service. Placement decisions involved the Needs Assessment Service Coordination system, with final approval via a family group conference.</w:t>
      </w:r>
    </w:p>
    <w:p w14:paraId="3FFD1297" w14:textId="77777777" w:rsidR="00FE4E56" w:rsidRDefault="00FE4E56">
      <w:pPr>
        <w:keepLines w:val="0"/>
        <w:rPr>
          <w:rFonts w:ascii="Arial" w:hAnsi="Arial" w:cs="Helvetica"/>
          <w:b/>
          <w:bCs/>
          <w:color w:val="3B5D1E" w:themeColor="accent4" w:themeShade="BF"/>
          <w:szCs w:val="28"/>
        </w:rPr>
      </w:pPr>
      <w:bookmarkStart w:id="636" w:name="_Toc2052285979"/>
      <w:r>
        <w:br w:type="page"/>
      </w:r>
    </w:p>
    <w:p w14:paraId="761BAFC1" w14:textId="6AEA77A6" w:rsidR="00FE4E56" w:rsidRPr="00063FA2" w:rsidRDefault="00FE4E56" w:rsidP="00282055">
      <w:pPr>
        <w:pStyle w:val="Heading2"/>
      </w:pPr>
      <w:bookmarkStart w:id="637" w:name="_Toc181084964"/>
      <w:r w:rsidRPr="00063FA2">
        <w:lastRenderedPageBreak/>
        <w:t>Ngā whakaritenga tokoora pāpori</w:t>
      </w:r>
      <w:bookmarkEnd w:id="637"/>
    </w:p>
    <w:p w14:paraId="5D8AD86E" w14:textId="3205A482" w:rsidR="00FE4E56" w:rsidRPr="004A0212" w:rsidRDefault="00FE4E56" w:rsidP="00282055">
      <w:pPr>
        <w:pStyle w:val="Heading2"/>
      </w:pPr>
      <w:bookmarkStart w:id="638" w:name="_Toc181084965"/>
      <w:r w:rsidRPr="004A0212">
        <w:t>Social welfare settings</w:t>
      </w:r>
      <w:bookmarkEnd w:id="636"/>
      <w:bookmarkEnd w:id="638"/>
    </w:p>
    <w:p w14:paraId="1F288A78" w14:textId="77777777" w:rsidR="00FE4E56" w:rsidRDefault="00FE4E56" w:rsidP="0062717F">
      <w:pPr>
        <w:pStyle w:val="Heading3"/>
      </w:pPr>
      <w:bookmarkStart w:id="639" w:name="_Toc562988815"/>
      <w:bookmarkStart w:id="640" w:name="_Toc181084966"/>
      <w:r w:rsidRPr="004A0212">
        <w:t>Te taurimatanga i ngā kāinga atawhai me ngā kāinga whānau</w:t>
      </w:r>
      <w:bookmarkEnd w:id="640"/>
      <w:r w:rsidRPr="004A0212">
        <w:t xml:space="preserve"> </w:t>
      </w:r>
    </w:p>
    <w:p w14:paraId="329DCD47" w14:textId="53813705" w:rsidR="00FE4E56" w:rsidRPr="004A0212" w:rsidRDefault="00FE4E56" w:rsidP="0062717F">
      <w:pPr>
        <w:pStyle w:val="Heading3"/>
      </w:pPr>
      <w:bookmarkStart w:id="641" w:name="_Toc181084967"/>
      <w:r w:rsidRPr="004A0212">
        <w:t>Foster and Family Home care</w:t>
      </w:r>
      <w:bookmarkEnd w:id="639"/>
      <w:bookmarkEnd w:id="641"/>
    </w:p>
    <w:p w14:paraId="6AD8E40C" w14:textId="39E4E12C" w:rsidR="00FE4E56" w:rsidRPr="004A0212" w:rsidRDefault="00FE4E56" w:rsidP="0062717F">
      <w:pPr>
        <w:pStyle w:val="AllNumbparas"/>
      </w:pPr>
      <w:r w:rsidRPr="004A0212">
        <w:t>Foster care was the most common State care setting for children and young people during the Inquiry period. Children were placed with families – often unrelated to them – to live as a member of that family. Due to the number of foster placements, it is unclear from the records how many such placements occurred, or their locations.</w:t>
      </w:r>
    </w:p>
    <w:p w14:paraId="1DB19699" w14:textId="77777777" w:rsidR="00FE4E56" w:rsidRPr="004A0212" w:rsidRDefault="00FE4E56" w:rsidP="0062717F">
      <w:pPr>
        <w:pStyle w:val="AllNumbparas"/>
      </w:pPr>
      <w:r w:rsidRPr="004A0212">
        <w:t>Family Homes were established in the mid-1950s as an extension of fostering, with Family</w:t>
      </w:r>
      <w:r w:rsidRPr="004A0212" w:rsidDel="00B136CB">
        <w:t xml:space="preserve"> </w:t>
      </w:r>
      <w:r w:rsidRPr="004A0212">
        <w:t>Home caregivers intended to be surrogate parents. Married couples ran Family Homes and cared for multiple children. This type of care setting was thought to be more in keeping with a natural family life. Family Homes also allowed siblings to be kept together.</w:t>
      </w:r>
      <w:r w:rsidRPr="004A0212">
        <w:rPr>
          <w:rStyle w:val="StyleFootnoteReferenceFagoFunotenzeichenFagoFunotenzeichen"/>
        </w:rPr>
        <w:endnoteReference w:id="577"/>
      </w:r>
      <w:r w:rsidRPr="004A0212">
        <w:t xml:space="preserve"> By 1972 there were 78 Family Homes around the country.</w:t>
      </w:r>
      <w:r w:rsidRPr="004A0212">
        <w:rPr>
          <w:rStyle w:val="StyleFootnoteReferenceFagoFunotenzeichenFagoFunotenzeichen"/>
        </w:rPr>
        <w:endnoteReference w:id="578"/>
      </w:r>
      <w:r w:rsidRPr="004A0212">
        <w:t> </w:t>
      </w:r>
    </w:p>
    <w:p w14:paraId="40EB3756" w14:textId="77777777" w:rsidR="00FE4E56" w:rsidRPr="004A0212" w:rsidRDefault="00FE4E56" w:rsidP="0062717F">
      <w:pPr>
        <w:pStyle w:val="AllNumbparas"/>
      </w:pPr>
      <w:r w:rsidRPr="004A0212">
        <w:t xml:space="preserve">Family Homes were later developed for more transitional placements. However, the continuous shortage of foster carers meant that some children remained in Family Homes for extended periods. </w:t>
      </w:r>
    </w:p>
    <w:p w14:paraId="1AB6AA39" w14:textId="1C9F2AEE" w:rsidR="00FE4E56" w:rsidRPr="004A0212" w:rsidRDefault="00FE4E56" w:rsidP="0062717F">
      <w:pPr>
        <w:pStyle w:val="AllNumbparas"/>
      </w:pPr>
      <w:r w:rsidRPr="004A0212">
        <w:t xml:space="preserve">In 1983, the Department of Social Welfare and the Department of Māori Affairs started the Mātua Whāngai programme to place tamariki and rangatahi Māori in Māori homes rather than social welfare residences and non-Māori families. Mātua Whāngai evolved into a community-based initiative focused on reintegrating </w:t>
      </w:r>
      <w:r w:rsidRPr="004A0212">
        <w:rPr>
          <w:rFonts w:eastAsia="Segoe UI"/>
          <w:color w:val="333333"/>
        </w:rPr>
        <w:t xml:space="preserve">tamariki and rangatahi </w:t>
      </w:r>
      <w:r w:rsidRPr="004A0212">
        <w:rPr>
          <w:rFonts w:eastAsia="Segoe UI"/>
          <w:color w:val="404040" w:themeColor="text1" w:themeTint="BF"/>
        </w:rPr>
        <w:t>Māori</w:t>
      </w:r>
      <w:r w:rsidRPr="004A0212">
        <w:rPr>
          <w:sz w:val="28"/>
          <w:szCs w:val="28"/>
        </w:rPr>
        <w:t xml:space="preserve"> </w:t>
      </w:r>
      <w:r w:rsidRPr="004A0212">
        <w:t>into their whānau or iwi and ran until around 1991.</w:t>
      </w:r>
    </w:p>
    <w:p w14:paraId="75F385C1" w14:textId="77777777" w:rsidR="00FE4E56" w:rsidRDefault="00FE4E56" w:rsidP="0062717F">
      <w:pPr>
        <w:pStyle w:val="Heading3"/>
      </w:pPr>
      <w:bookmarkStart w:id="642" w:name="_Toc660269141"/>
      <w:bookmarkStart w:id="643" w:name="_Toc181084968"/>
      <w:r w:rsidRPr="004A0212">
        <w:t>Kāinga tokoora</w:t>
      </w:r>
      <w:bookmarkEnd w:id="643"/>
    </w:p>
    <w:p w14:paraId="6CAD0739" w14:textId="1D84CD6B" w:rsidR="00FE4E56" w:rsidRPr="004A0212" w:rsidRDefault="00FE4E56" w:rsidP="0062717F">
      <w:pPr>
        <w:pStyle w:val="Heading3"/>
      </w:pPr>
      <w:bookmarkStart w:id="644" w:name="_Toc181084969"/>
      <w:r w:rsidRPr="004A0212">
        <w:t>Social welfare residences</w:t>
      </w:r>
      <w:bookmarkEnd w:id="642"/>
      <w:bookmarkEnd w:id="644"/>
    </w:p>
    <w:p w14:paraId="44FB1097" w14:textId="77777777" w:rsidR="00FE4E56" w:rsidRPr="004A0212" w:rsidRDefault="00FE4E56" w:rsidP="0062717F">
      <w:pPr>
        <w:pStyle w:val="AllNumbparas"/>
      </w:pPr>
      <w:r w:rsidRPr="004A0212">
        <w:t>Social welfare residences were broadly split into national and district institutions, with separate institutions for boys and girls.</w:t>
      </w:r>
      <w:r w:rsidRPr="004A0212">
        <w:rPr>
          <w:rStyle w:val="StyleFootnoteReferenceFagoFunotenzeichenFagoFunotenzeichen"/>
        </w:rPr>
        <w:endnoteReference w:id="579"/>
      </w:r>
      <w:r w:rsidRPr="004A0212">
        <w:t xml:space="preserve"> Each district or major centre had a boys’ and girls’ home for short- to medium-term placements. National institutions existed for long-term placements.</w:t>
      </w:r>
      <w:r w:rsidRPr="004A0212">
        <w:rPr>
          <w:rStyle w:val="StyleFootnoteReferenceFagoFunotenzeichenFagoFunotenzeichen"/>
        </w:rPr>
        <w:endnoteReference w:id="580"/>
      </w:r>
    </w:p>
    <w:p w14:paraId="6EB8467F" w14:textId="77777777" w:rsidR="00FE4E56" w:rsidRPr="004A0212" w:rsidRDefault="00FE4E56" w:rsidP="0062717F">
      <w:pPr>
        <w:pStyle w:val="AllNumbparas"/>
      </w:pPr>
      <w:r w:rsidRPr="004A0212">
        <w:t>There were six national and 14 district facilities which operated from the early 1950s to 1990. There were also receiving homes (or reception centres) which were short-term residences for babies and very young children.</w:t>
      </w:r>
      <w:r w:rsidRPr="004A0212">
        <w:rPr>
          <w:rStyle w:val="StyleFootnoteReferenceFagoFunotenzeichenFagoFunotenzeichen"/>
        </w:rPr>
        <w:endnoteReference w:id="581"/>
      </w:r>
      <w:r w:rsidRPr="004A0212">
        <w:t xml:space="preserve"> </w:t>
      </w:r>
    </w:p>
    <w:p w14:paraId="2E756794" w14:textId="77777777" w:rsidR="00FE4E56" w:rsidRPr="004A0212" w:rsidRDefault="00FE4E56" w:rsidP="0062717F">
      <w:pPr>
        <w:pStyle w:val="AllNumbparas"/>
      </w:pPr>
      <w:r w:rsidRPr="004A0212">
        <w:t>Children placed in district institutions were often between placements or being assessed for placement in a foster or Family Home or national institution. Those placed in national institutions were deemed to need an extended period of institutional training and behaviour management.</w:t>
      </w:r>
      <w:r w:rsidRPr="004A0212">
        <w:rPr>
          <w:rStyle w:val="StyleFootnoteReferenceFagoFunotenzeichenFagoFunotenzeichen"/>
        </w:rPr>
        <w:endnoteReference w:id="582"/>
      </w:r>
    </w:p>
    <w:p w14:paraId="691372E7" w14:textId="77777777" w:rsidR="00FE4E56" w:rsidRPr="004A0212" w:rsidRDefault="00FE4E56" w:rsidP="0062717F">
      <w:pPr>
        <w:pStyle w:val="AllNumbparas"/>
      </w:pPr>
      <w:r w:rsidRPr="004A0212">
        <w:t>Some residences were large homesteads, usually with several outbuildings, and dormitory-style accommodation. By the mid-1970s, many of the social welfare residences were overcrowded and in poor repair.</w:t>
      </w:r>
      <w:r w:rsidRPr="004A0212">
        <w:rPr>
          <w:rStyle w:val="StyleFootnoteReferenceFagoFunotenzeichenFagoFunotenzeichen"/>
        </w:rPr>
        <w:endnoteReference w:id="583"/>
      </w:r>
      <w:r w:rsidRPr="004A0212">
        <w:t xml:space="preserve"> </w:t>
      </w:r>
    </w:p>
    <w:p w14:paraId="4817D4AD" w14:textId="77777777" w:rsidR="00FE4E56" w:rsidRDefault="00FE4E56" w:rsidP="0062717F">
      <w:pPr>
        <w:pStyle w:val="AllNumbparas"/>
      </w:pPr>
      <w:r w:rsidRPr="004A0212">
        <w:lastRenderedPageBreak/>
        <w:t>Over the 1980s the number of these institutions dropped from 26 to four in the main centres (Weymouth, Epuni, Kingslea and Elliot Street).</w:t>
      </w:r>
      <w:r w:rsidRPr="004A0212">
        <w:rPr>
          <w:rStyle w:val="StyleFootnoteReferenceFagoFunotenzeichenFagoFunotenzeichen"/>
        </w:rPr>
        <w:endnoteReference w:id="584"/>
      </w:r>
    </w:p>
    <w:p w14:paraId="54EAA8D6" w14:textId="77777777" w:rsidR="00FE4E56" w:rsidRDefault="00FE4E56" w:rsidP="00282055">
      <w:pPr>
        <w:pStyle w:val="Heading2"/>
      </w:pPr>
      <w:bookmarkStart w:id="645" w:name="_Toc215778213"/>
      <w:bookmarkStart w:id="646" w:name="_Toc181084970"/>
      <w:r>
        <w:t>Tamaiti atawhai</w:t>
      </w:r>
      <w:bookmarkEnd w:id="646"/>
    </w:p>
    <w:p w14:paraId="73749F22" w14:textId="0AC95293" w:rsidR="00FE4E56" w:rsidRPr="004A0212" w:rsidRDefault="00FE4E56" w:rsidP="00282055">
      <w:pPr>
        <w:pStyle w:val="Heading2"/>
      </w:pPr>
      <w:bookmarkStart w:id="647" w:name="_Toc181084971"/>
      <w:r w:rsidRPr="004A0212">
        <w:t>Adoption</w:t>
      </w:r>
      <w:bookmarkEnd w:id="645"/>
      <w:bookmarkEnd w:id="647"/>
    </w:p>
    <w:p w14:paraId="5C09D170" w14:textId="77777777" w:rsidR="00FE4E56" w:rsidRPr="004A0212" w:rsidRDefault="00FE4E56" w:rsidP="0062717F">
      <w:pPr>
        <w:pStyle w:val="Numbparas"/>
      </w:pPr>
      <w:r w:rsidRPr="004A0212">
        <w:t>Legal adoptions became possible in Aotearoa New Zealand from the late 19</w:t>
      </w:r>
      <w:r w:rsidRPr="004A0212">
        <w:rPr>
          <w:vertAlign w:val="superscript"/>
        </w:rPr>
        <w:t>th</w:t>
      </w:r>
      <w:r w:rsidRPr="004A0212">
        <w:t xml:space="preserve"> century but remained relatively uncommon before the Second World War. There was a separate legal process for Māori adoptions, which took place through the Native Land Court (the Māori Land Court from 1947). The vast majority of legal adoptions in this era were open, with adoptive children knowing the identity of their biological mother or parents.</w:t>
      </w:r>
      <w:r w:rsidRPr="004A0212">
        <w:rPr>
          <w:rStyle w:val="StyleFootnoteReferenceFagoFunotenzeichenFagoFunotenzeichen"/>
        </w:rPr>
        <w:endnoteReference w:id="585"/>
      </w:r>
      <w:r w:rsidRPr="004A0212">
        <w:t xml:space="preserve"> </w:t>
      </w:r>
    </w:p>
    <w:p w14:paraId="7FB499B7" w14:textId="77777777" w:rsidR="00FE4E56" w:rsidRPr="004A0212" w:rsidRDefault="00FE4E56" w:rsidP="0062717F">
      <w:pPr>
        <w:pStyle w:val="Numbparas"/>
      </w:pPr>
      <w:r w:rsidRPr="004A0212">
        <w:t xml:space="preserve">By 1945 over 1,000 children were adopted </w:t>
      </w:r>
      <w:r w:rsidRPr="005C11C1">
        <w:t>annually in Aotearoa New Zealand, growing</w:t>
      </w:r>
      <w:r w:rsidRPr="005C11C1">
        <w:rPr>
          <w:color w:val="404040" w:themeColor="text1" w:themeTint="BF"/>
          <w:shd w:val="clear" w:color="auto" w:fill="auto"/>
        </w:rPr>
        <w:t xml:space="preserve"> to 1,880 by 1960.</w:t>
      </w:r>
      <w:r w:rsidRPr="005C11C1">
        <w:rPr>
          <w:rStyle w:val="StyleFootnoteReferenceFagoFunotenzeichenFagoFunotenzeichen"/>
        </w:rPr>
        <w:endnoteReference w:id="586"/>
      </w:r>
      <w:r w:rsidRPr="005C11C1">
        <w:rPr>
          <w:color w:val="404040" w:themeColor="text1" w:themeTint="BF"/>
          <w:shd w:val="clear" w:color="auto" w:fill="auto"/>
        </w:rPr>
        <w:t xml:space="preserve"> Initially, there were more people wanting to adopt than available children.</w:t>
      </w:r>
      <w:r w:rsidRPr="005C11C1">
        <w:rPr>
          <w:rStyle w:val="StyleFootnoteReferenceFagoFunotenzeichenFagoFunotenzeichen"/>
        </w:rPr>
        <w:endnoteReference w:id="587"/>
      </w:r>
      <w:r w:rsidRPr="005C11C1">
        <w:rPr>
          <w:color w:val="404040" w:themeColor="text1" w:themeTint="BF"/>
          <w:shd w:val="clear" w:color="auto" w:fill="auto"/>
        </w:rPr>
        <w:t xml:space="preserve"> </w:t>
      </w:r>
      <w:r w:rsidRPr="005C11C1">
        <w:t>H</w:t>
      </w:r>
      <w:r w:rsidRPr="004A0212">
        <w:t xml:space="preserve">owever, by </w:t>
      </w:r>
      <w:r w:rsidRPr="005C11C1">
        <w:t>the</w:t>
      </w:r>
      <w:r w:rsidRPr="005C11C1">
        <w:rPr>
          <w:color w:val="404040" w:themeColor="text1" w:themeTint="BF"/>
          <w:shd w:val="clear" w:color="auto" w:fill="auto"/>
        </w:rPr>
        <w:t xml:space="preserve"> early to mid-1960s, </w:t>
      </w:r>
      <w:r w:rsidRPr="005C11C1">
        <w:t>State</w:t>
      </w:r>
      <w:r w:rsidRPr="004A0212">
        <w:t xml:space="preserve"> and faith-based institutions were reporting an increase in children being placed up for adoption but extreme difficulties finding adoptive homes.</w:t>
      </w:r>
      <w:r w:rsidRPr="004A0212">
        <w:rPr>
          <w:rStyle w:val="StyleFootnoteReferenceFagoFunotenzeichenFagoFunotenzeichen"/>
        </w:rPr>
        <w:endnoteReference w:id="588"/>
      </w:r>
      <w:r w:rsidRPr="004A0212">
        <w:rPr>
          <w:rFonts w:ascii="Helvetica" w:hAnsi="Helvetica"/>
          <w:color w:val="404040" w:themeColor="text1" w:themeTint="BF"/>
          <w:shd w:val="clear" w:color="auto" w:fill="auto"/>
        </w:rPr>
        <w:t xml:space="preserve"> </w:t>
      </w:r>
    </w:p>
    <w:p w14:paraId="4E79EE20" w14:textId="77777777" w:rsidR="00FE4E56" w:rsidRPr="004A0212" w:rsidRDefault="00FE4E56" w:rsidP="0062717F">
      <w:pPr>
        <w:pStyle w:val="Numbparas"/>
      </w:pPr>
      <w:r w:rsidRPr="004A0212">
        <w:t>Until 1955 legal adoptions were mainly arranged privately, often by agencies, doctors, maternity homes, hospital matrons or facilitated through faith-based unmarried mothers’ homes.</w:t>
      </w:r>
      <w:r w:rsidRPr="004A0212">
        <w:rPr>
          <w:rStyle w:val="StyleFootnoteReferenceFagoFunotenzeichenFagoFunotenzeichen"/>
        </w:rPr>
        <w:endnoteReference w:id="589"/>
      </w:r>
      <w:r w:rsidRPr="004A0212">
        <w:t xml:space="preserve"> Social workers were not required to approve or be involved in adoptions until the Adoption Act 1955 was passed.</w:t>
      </w:r>
      <w:r w:rsidRPr="004A0212">
        <w:rPr>
          <w:rStyle w:val="StyleFootnoteReferenceFagoFunotenzeichenFagoFunotenzeichen"/>
        </w:rPr>
        <w:endnoteReference w:id="590"/>
      </w:r>
    </w:p>
    <w:p w14:paraId="36B12A27" w14:textId="70551BC0" w:rsidR="00FE4E56" w:rsidRPr="004A0212" w:rsidRDefault="00FE4E56" w:rsidP="0062717F">
      <w:pPr>
        <w:pStyle w:val="Numbparas"/>
        <w:rPr>
          <w:rStyle w:val="EndnoteReference"/>
        </w:rPr>
      </w:pPr>
      <w:r w:rsidRPr="004A0212">
        <w:t>The State became more involved in adoptions following the Adoption Act.</w:t>
      </w:r>
      <w:r w:rsidRPr="004A0212">
        <w:rPr>
          <w:rStyle w:val="StyleFootnoteReferenceFagoFunotenzeichenFagoFunotenzeichen"/>
        </w:rPr>
        <w:endnoteReference w:id="591"/>
      </w:r>
      <w:r w:rsidRPr="004A0212">
        <w:rPr>
          <w:rStyle w:val="EndnoteReference"/>
        </w:rPr>
        <w:t xml:space="preserve"> </w:t>
      </w:r>
      <w:r w:rsidRPr="004A0212">
        <w:t>The Act promoted a ‘complete break’ between birth and adoptive families</w:t>
      </w:r>
      <w:r w:rsidRPr="004A0212">
        <w:rPr>
          <w:rStyle w:val="StyleFootnoteReferenceFagoFunotenzeichenFagoFunotenzeichen"/>
        </w:rPr>
        <w:endnoteReference w:id="592"/>
      </w:r>
      <w:r w:rsidRPr="004A0212">
        <w:rPr>
          <w:rStyle w:val="EndnoteReference"/>
        </w:rPr>
        <w:t xml:space="preserve"> </w:t>
      </w:r>
      <w:r w:rsidRPr="004A0212">
        <w:t>by providing for closed adoptions by unrelated strangers where “all identifying details of the child’s birth parents remained confidential”.</w:t>
      </w:r>
      <w:r w:rsidRPr="004A0212">
        <w:rPr>
          <w:rStyle w:val="StyleFootnoteReferenceFagoFunotenzeichenFagoFunotenzeichen"/>
        </w:rPr>
        <w:endnoteReference w:id="593"/>
      </w:r>
      <w:r w:rsidRPr="004A0212">
        <w:t xml:space="preserve"> Birth mothers could consent to adoption 10 days following the birth, one of the shortest periods in any country.</w:t>
      </w:r>
      <w:r w:rsidRPr="004A0212">
        <w:rPr>
          <w:rStyle w:val="StyleFootnoteReferenceFagoFunotenzeichenFagoFunotenzeichen"/>
        </w:rPr>
        <w:endnoteReference w:id="594"/>
      </w:r>
      <w:r w:rsidRPr="004A0212">
        <w:rPr>
          <w:rStyle w:val="EndnoteReference"/>
        </w:rPr>
        <w:t xml:space="preserve"> </w:t>
      </w:r>
      <w:r w:rsidRPr="004A0212">
        <w:t>The birth father’s consent was not required.</w:t>
      </w:r>
    </w:p>
    <w:p w14:paraId="45AADC8E" w14:textId="77777777" w:rsidR="00FE4E56" w:rsidRPr="004A0212" w:rsidRDefault="00FE4E56" w:rsidP="0062717F">
      <w:pPr>
        <w:pStyle w:val="Numbparas"/>
      </w:pPr>
      <w:r w:rsidRPr="004A0212">
        <w:t>There were grounds when consent of the parent (almost always the birth mother) or guardian could be dispensed with for adoption to proceed. These were set out in Section 8 of the Adoption Act 1955 and included situations where the parent or guardian had “abandoned, neglected, persistently failed to maintain, or persistently ill-treated the child, or failed to exercise the normal duty and care of parenthood”.</w:t>
      </w:r>
      <w:r w:rsidRPr="004A0212">
        <w:rPr>
          <w:rStyle w:val="StyleFootnoteReferenceFagoFunotenzeichenFagoFunotenzeichen"/>
        </w:rPr>
        <w:endnoteReference w:id="595"/>
      </w:r>
      <w:r w:rsidRPr="004A0212">
        <w:t xml:space="preserve"> It also included situations where the parent or guardian was thought to be unable to care for the child due to physical or mental incapacity.</w:t>
      </w:r>
      <w:r w:rsidRPr="004A0212">
        <w:rPr>
          <w:rStyle w:val="StyleFootnoteReferenceFagoFunotenzeichenFagoFunotenzeichen"/>
        </w:rPr>
        <w:endnoteReference w:id="596"/>
      </w:r>
    </w:p>
    <w:p w14:paraId="46DC0AE1" w14:textId="77777777" w:rsidR="00FE4E56" w:rsidRPr="004A0212" w:rsidRDefault="00FE4E56" w:rsidP="0062717F">
      <w:pPr>
        <w:pStyle w:val="Numbparas"/>
      </w:pPr>
      <w:r w:rsidRPr="004A0212">
        <w:t>The Child Welfare Division took an active role in identifying the babies of single mothers for adoption, advising its officers to co-operate closely with unmarried mothers’ homes. The Field Officers’ Manual for 1958 to 1969 advised officers to help the mother “think carefully about the future” and “assist her towards a satisfactory decision”.</w:t>
      </w:r>
      <w:r w:rsidRPr="004A0212">
        <w:rPr>
          <w:rStyle w:val="StyleFootnoteReferenceFagoFunotenzeichenFagoFunotenzeichen"/>
        </w:rPr>
        <w:endnoteReference w:id="597"/>
      </w:r>
      <w:r w:rsidRPr="004A0212">
        <w:t xml:space="preserve"> There was a growing reluctance among social workers from the 1960s towards making such intrusive investigations.</w:t>
      </w:r>
      <w:r w:rsidRPr="004A0212">
        <w:rPr>
          <w:rStyle w:val="StyleFootnoteReferenceFagoFunotenzeichenFagoFunotenzeichen"/>
        </w:rPr>
        <w:endnoteReference w:id="598"/>
      </w:r>
      <w:r w:rsidRPr="004A0212">
        <w:t xml:space="preserve">  </w:t>
      </w:r>
    </w:p>
    <w:p w14:paraId="029A24AC" w14:textId="77777777" w:rsidR="00FE4E56" w:rsidRPr="004A0212" w:rsidRDefault="00FE4E56" w:rsidP="0062717F">
      <w:pPr>
        <w:pStyle w:val="Numbparas"/>
      </w:pPr>
      <w:r w:rsidRPr="004A0212">
        <w:t>Between 1984 and 1996, social workers were advised to build a relationship of trust with young mothers while they were still pregnant to help them reach a “realistic decision” that took into regard the child’s future.</w:t>
      </w:r>
      <w:r w:rsidRPr="004A0212">
        <w:rPr>
          <w:rStyle w:val="StyleFootnoteReferenceFagoFunotenzeichenFagoFunotenzeichen"/>
        </w:rPr>
        <w:endnoteReference w:id="599"/>
      </w:r>
      <w:r w:rsidRPr="004A0212">
        <w:t xml:space="preserve"> The Social Work Manual warned that because ex-nuptial pregnancies were now more socially acceptable, and a </w:t>
      </w:r>
      <w:r w:rsidRPr="004A0212">
        <w:lastRenderedPageBreak/>
        <w:t>benefit was available, mothers were “frequently confronted by a tempting choice” of alternatives to adoption:</w:t>
      </w:r>
    </w:p>
    <w:p w14:paraId="6E7D802C" w14:textId="77777777" w:rsidR="00FE4E56" w:rsidRPr="004A0212" w:rsidRDefault="00FE4E56" w:rsidP="0062717F">
      <w:pPr>
        <w:pStyle w:val="AllQuotes"/>
        <w:rPr>
          <w:shd w:val="clear" w:color="auto" w:fill="FFFFFF"/>
        </w:rPr>
      </w:pPr>
      <w:r w:rsidRPr="004A0212">
        <w:t>“Unfortunately experience indicates that many of the young girls who decide to keep their babies are the very ones who are least ready to assume the responsibility – and constraints on their social life – of the care of a young child. The Social Worker should not too readily accept the mother’s statement that she has already decided the baby’s future.”</w:t>
      </w:r>
      <w:r w:rsidRPr="004A0212">
        <w:rPr>
          <w:rStyle w:val="StyleFootnoteReferenceFagoFunotenzeichenFagoFunotenzeichen"/>
        </w:rPr>
        <w:endnoteReference w:id="600"/>
      </w:r>
      <w:r w:rsidRPr="004A0212">
        <w:t xml:space="preserve"> </w:t>
      </w:r>
    </w:p>
    <w:p w14:paraId="5FAAFFD6" w14:textId="77777777" w:rsidR="00FE4E56" w:rsidRPr="004A0212" w:rsidRDefault="00FE4E56" w:rsidP="0062717F">
      <w:pPr>
        <w:pStyle w:val="Numbparas"/>
      </w:pPr>
      <w:r w:rsidRPr="004A0212">
        <w:t>Adoption rates peaked at 3,976 in 1971, comprising 6 percent of live births, and declined to 2,200 by 1979 (4 percent of live births).</w:t>
      </w:r>
      <w:r w:rsidRPr="004A0212">
        <w:rPr>
          <w:rStyle w:val="StyleFootnoteReferenceFagoFunotenzeichenFagoFunotenzeichen"/>
        </w:rPr>
        <w:endnoteReference w:id="601"/>
      </w:r>
      <w:r w:rsidRPr="004A0212">
        <w:t xml:space="preserve"> Most adoptions involved children born to unmarried parents,</w:t>
      </w:r>
      <w:r w:rsidRPr="004A0212">
        <w:rPr>
          <w:rStyle w:val="StyleFootnoteReferenceFagoFunotenzeichenFagoFunotenzeichen"/>
        </w:rPr>
        <w:endnoteReference w:id="602"/>
      </w:r>
      <w:r w:rsidRPr="004A0212">
        <w:t xml:space="preserve"> with a decrease in the percentage over the years (82 percent in 1945, 67 percent in 1971). Even into the 1970s, when social attitudes towards single motherhood began to shift, State financial support remained limited. Few childcare options existed, and women's work was often low paid. This severely constrained single mothers’ ability to provide for themselves and their children.</w:t>
      </w:r>
      <w:r w:rsidRPr="004A0212">
        <w:rPr>
          <w:rStyle w:val="StyleFootnoteReferenceFagoFunotenzeichenFagoFunotenzeichen"/>
        </w:rPr>
        <w:endnoteReference w:id="603"/>
      </w:r>
      <w:r w:rsidRPr="004A0212">
        <w:t xml:space="preserve"> An estimated 45,000 closed stranger adoptions occurred between 1955 and 1985.</w:t>
      </w:r>
      <w:r w:rsidRPr="004A0212">
        <w:rPr>
          <w:rStyle w:val="StyleFootnoteReferenceFagoFunotenzeichenFagoFunotenzeichen"/>
        </w:rPr>
        <w:endnoteReference w:id="604"/>
      </w:r>
    </w:p>
    <w:p w14:paraId="64F84D28" w14:textId="14068EF9" w:rsidR="00FE4E56" w:rsidRDefault="00FE4E56" w:rsidP="009E392F">
      <w:pPr>
        <w:pStyle w:val="Numbparas"/>
      </w:pPr>
      <w:r w:rsidRPr="004A0212">
        <w:t>In 1985 the Adult Adoption Information Act 1985 allowed adopted people aged over 20 to obtain their original birth certificate and potentially apply for identifying information about their birth mother and / or father.</w:t>
      </w:r>
      <w:r w:rsidRPr="004A0212">
        <w:rPr>
          <w:rStyle w:val="StyleFootnoteReferenceFagoFunotenzeichenFagoFunotenzeichen"/>
        </w:rPr>
        <w:endnoteReference w:id="605"/>
      </w:r>
    </w:p>
    <w:p w14:paraId="3BABA63C" w14:textId="77777777" w:rsidR="00FE4E56" w:rsidRDefault="00FE4E56" w:rsidP="00263E37">
      <w:pPr>
        <w:pStyle w:val="Numbparas"/>
        <w:numPr>
          <w:ilvl w:val="0"/>
          <w:numId w:val="0"/>
        </w:numPr>
        <w:ind w:left="851"/>
      </w:pPr>
    </w:p>
    <w:p w14:paraId="2F62DBDE" w14:textId="77777777" w:rsidR="003B3E8E" w:rsidRDefault="003B3E8E" w:rsidP="009B7215">
      <w:pPr>
        <w:pStyle w:val="Numbparas"/>
        <w:numPr>
          <w:ilvl w:val="0"/>
          <w:numId w:val="0"/>
        </w:numPr>
        <w:ind w:left="851"/>
        <w:sectPr w:rsidR="003B3E8E" w:rsidSect="000A2C7E">
          <w:headerReference w:type="even" r:id="rId24"/>
          <w:footerReference w:type="default" r:id="rId25"/>
          <w:headerReference w:type="first" r:id="rId26"/>
          <w:endnotePr>
            <w:numFmt w:val="decimal"/>
          </w:endnotePr>
          <w:pgSz w:w="11906" w:h="16838" w:code="9"/>
          <w:pgMar w:top="1440" w:right="1440" w:bottom="1440" w:left="1440" w:header="425" w:footer="213" w:gutter="0"/>
          <w:cols w:space="708"/>
          <w:docGrid w:linePitch="360"/>
        </w:sectPr>
      </w:pPr>
    </w:p>
    <w:p w14:paraId="1AFBA0B4" w14:textId="77777777" w:rsidR="00FE4E56" w:rsidRPr="004A0212" w:rsidRDefault="00FE4E56" w:rsidP="009B7215">
      <w:pPr>
        <w:pStyle w:val="Numbparas"/>
        <w:numPr>
          <w:ilvl w:val="0"/>
          <w:numId w:val="0"/>
        </w:numPr>
        <w:ind w:left="851"/>
      </w:pPr>
    </w:p>
    <w:p w14:paraId="43E6E443" w14:textId="7ABF5E6E" w:rsidR="00FE4E56" w:rsidRDefault="00FE4E56" w:rsidP="0062717F">
      <w:pPr>
        <w:pStyle w:val="AllNumbparas"/>
        <w:numPr>
          <w:ilvl w:val="0"/>
          <w:numId w:val="0"/>
        </w:numPr>
        <w:rPr>
          <w:rStyle w:val="Heading5Char0"/>
          <w:b/>
        </w:rPr>
      </w:pPr>
      <w:r w:rsidRPr="004A0212">
        <w:rPr>
          <w:rStyle w:val="Heading5Char0"/>
          <w:b/>
        </w:rPr>
        <w:t>Table of legal adoptions during the period of 1943 – 1979</w:t>
      </w:r>
      <w:r w:rsidRPr="004A0212">
        <w:rPr>
          <w:rStyle w:val="StyleFootnoteReferenceFagoFunotenzeichenFagoFunotenzeichen"/>
        </w:rPr>
        <w:endnoteReference w:id="606"/>
      </w:r>
    </w:p>
    <w:p w14:paraId="012D48C2" w14:textId="77777777" w:rsidR="00FE4E56" w:rsidRPr="009B7215" w:rsidRDefault="00FE4E56" w:rsidP="009B7215">
      <w:pPr>
        <w:pStyle w:val="Numbparas"/>
        <w:numPr>
          <w:ilvl w:val="0"/>
          <w:numId w:val="0"/>
        </w:numPr>
        <w:ind w:left="851"/>
      </w:pPr>
    </w:p>
    <w:tbl>
      <w:tblPr>
        <w:tblStyle w:val="DIATable"/>
        <w:tblW w:w="0" w:type="auto"/>
        <w:tblInd w:w="851" w:type="dxa"/>
        <w:tblLook w:val="04A0" w:firstRow="1" w:lastRow="0" w:firstColumn="1" w:lastColumn="0" w:noHBand="0" w:noVBand="1"/>
      </w:tblPr>
      <w:tblGrid>
        <w:gridCol w:w="1632"/>
        <w:gridCol w:w="1359"/>
        <w:gridCol w:w="1357"/>
        <w:gridCol w:w="1357"/>
        <w:gridCol w:w="1163"/>
        <w:gridCol w:w="828"/>
        <w:gridCol w:w="828"/>
        <w:gridCol w:w="828"/>
        <w:gridCol w:w="828"/>
        <w:gridCol w:w="828"/>
        <w:gridCol w:w="828"/>
        <w:gridCol w:w="828"/>
      </w:tblGrid>
      <w:tr w:rsidR="00FE4E56" w14:paraId="25F362C6" w14:textId="25094AF3" w:rsidTr="00071636">
        <w:trPr>
          <w:cnfStyle w:val="100000000000" w:firstRow="1" w:lastRow="0" w:firstColumn="0" w:lastColumn="0" w:oddVBand="0" w:evenVBand="0" w:oddHBand="0" w:evenHBand="0" w:firstRowFirstColumn="0" w:firstRowLastColumn="0" w:lastRowFirstColumn="0" w:lastRowLastColumn="0"/>
        </w:trPr>
        <w:tc>
          <w:tcPr>
            <w:tcW w:w="1632" w:type="dxa"/>
          </w:tcPr>
          <w:p w14:paraId="7EBA3C3F" w14:textId="77777777" w:rsidR="00FE4E56" w:rsidRDefault="00FE4E56" w:rsidP="009B7215">
            <w:pPr>
              <w:pStyle w:val="Numbparas"/>
              <w:numPr>
                <w:ilvl w:val="0"/>
                <w:numId w:val="0"/>
              </w:numPr>
            </w:pPr>
          </w:p>
        </w:tc>
        <w:tc>
          <w:tcPr>
            <w:tcW w:w="1359" w:type="dxa"/>
          </w:tcPr>
          <w:p w14:paraId="49A6463B" w14:textId="57992CFE" w:rsidR="00FE4E56" w:rsidRDefault="00FE4E56" w:rsidP="009B7215">
            <w:pPr>
              <w:pStyle w:val="Numbparas"/>
              <w:numPr>
                <w:ilvl w:val="0"/>
                <w:numId w:val="0"/>
              </w:numPr>
            </w:pPr>
            <w:r>
              <w:t>1943</w:t>
            </w:r>
          </w:p>
        </w:tc>
        <w:tc>
          <w:tcPr>
            <w:tcW w:w="1357" w:type="dxa"/>
          </w:tcPr>
          <w:p w14:paraId="0AE11D54" w14:textId="64BE45DF" w:rsidR="00FE4E56" w:rsidRDefault="00FE4E56" w:rsidP="009B7215">
            <w:pPr>
              <w:pStyle w:val="Numbparas"/>
              <w:numPr>
                <w:ilvl w:val="0"/>
                <w:numId w:val="0"/>
              </w:numPr>
            </w:pPr>
            <w:r>
              <w:t>1944</w:t>
            </w:r>
          </w:p>
        </w:tc>
        <w:tc>
          <w:tcPr>
            <w:tcW w:w="1357" w:type="dxa"/>
          </w:tcPr>
          <w:p w14:paraId="792ED576" w14:textId="4C094930" w:rsidR="00FE4E56" w:rsidRDefault="00FE4E56" w:rsidP="009B7215">
            <w:pPr>
              <w:pStyle w:val="Numbparas"/>
              <w:numPr>
                <w:ilvl w:val="0"/>
                <w:numId w:val="0"/>
              </w:numPr>
            </w:pPr>
            <w:r>
              <w:t>1945</w:t>
            </w:r>
          </w:p>
        </w:tc>
        <w:tc>
          <w:tcPr>
            <w:tcW w:w="1163" w:type="dxa"/>
          </w:tcPr>
          <w:p w14:paraId="14C007AE" w14:textId="74B32A5E" w:rsidR="00FE4E56" w:rsidRDefault="00FE4E56" w:rsidP="009B7215">
            <w:pPr>
              <w:pStyle w:val="Numbparas"/>
              <w:numPr>
                <w:ilvl w:val="0"/>
                <w:numId w:val="0"/>
              </w:numPr>
            </w:pPr>
            <w:r>
              <w:t>1955</w:t>
            </w:r>
          </w:p>
        </w:tc>
        <w:tc>
          <w:tcPr>
            <w:tcW w:w="828" w:type="dxa"/>
          </w:tcPr>
          <w:p w14:paraId="2994A6FF" w14:textId="12EA6A04" w:rsidR="00FE4E56" w:rsidRDefault="00FE4E56" w:rsidP="009B7215">
            <w:pPr>
              <w:pStyle w:val="Numbparas"/>
              <w:numPr>
                <w:ilvl w:val="0"/>
                <w:numId w:val="0"/>
              </w:numPr>
            </w:pPr>
            <w:r>
              <w:t>1960</w:t>
            </w:r>
          </w:p>
        </w:tc>
        <w:tc>
          <w:tcPr>
            <w:tcW w:w="828" w:type="dxa"/>
          </w:tcPr>
          <w:p w14:paraId="786DE21F" w14:textId="317EA468" w:rsidR="00FE4E56" w:rsidRDefault="00FE4E56" w:rsidP="009B7215">
            <w:pPr>
              <w:pStyle w:val="Numbparas"/>
              <w:numPr>
                <w:ilvl w:val="0"/>
                <w:numId w:val="0"/>
              </w:numPr>
            </w:pPr>
            <w:r>
              <w:t>1965</w:t>
            </w:r>
          </w:p>
        </w:tc>
        <w:tc>
          <w:tcPr>
            <w:tcW w:w="828" w:type="dxa"/>
          </w:tcPr>
          <w:p w14:paraId="2335D257" w14:textId="7D3E27B1" w:rsidR="00FE4E56" w:rsidRDefault="00FE4E56" w:rsidP="009B7215">
            <w:pPr>
              <w:pStyle w:val="Numbparas"/>
              <w:numPr>
                <w:ilvl w:val="0"/>
                <w:numId w:val="0"/>
              </w:numPr>
            </w:pPr>
            <w:r>
              <w:t>1970</w:t>
            </w:r>
          </w:p>
        </w:tc>
        <w:tc>
          <w:tcPr>
            <w:tcW w:w="828" w:type="dxa"/>
          </w:tcPr>
          <w:p w14:paraId="4516A510" w14:textId="2872FBB9" w:rsidR="00FE4E56" w:rsidRDefault="00FE4E56" w:rsidP="009B7215">
            <w:pPr>
              <w:pStyle w:val="Numbparas"/>
              <w:numPr>
                <w:ilvl w:val="0"/>
                <w:numId w:val="0"/>
              </w:numPr>
            </w:pPr>
            <w:r>
              <w:t>1971</w:t>
            </w:r>
          </w:p>
        </w:tc>
        <w:tc>
          <w:tcPr>
            <w:tcW w:w="828" w:type="dxa"/>
          </w:tcPr>
          <w:p w14:paraId="3227169A" w14:textId="461EF388" w:rsidR="00FE4E56" w:rsidRDefault="00FE4E56" w:rsidP="009B7215">
            <w:pPr>
              <w:pStyle w:val="Numbparas"/>
              <w:numPr>
                <w:ilvl w:val="0"/>
                <w:numId w:val="0"/>
              </w:numPr>
            </w:pPr>
            <w:r>
              <w:t>1972</w:t>
            </w:r>
          </w:p>
        </w:tc>
        <w:tc>
          <w:tcPr>
            <w:tcW w:w="828" w:type="dxa"/>
          </w:tcPr>
          <w:p w14:paraId="0CBF44DE" w14:textId="61B6EA89" w:rsidR="00FE4E56" w:rsidRDefault="00FE4E56" w:rsidP="009B7215">
            <w:pPr>
              <w:pStyle w:val="Numbparas"/>
              <w:numPr>
                <w:ilvl w:val="0"/>
                <w:numId w:val="0"/>
              </w:numPr>
            </w:pPr>
            <w:r>
              <w:t>1974</w:t>
            </w:r>
          </w:p>
        </w:tc>
        <w:tc>
          <w:tcPr>
            <w:tcW w:w="828" w:type="dxa"/>
          </w:tcPr>
          <w:p w14:paraId="708CFFFA" w14:textId="40FB6457" w:rsidR="00FE4E56" w:rsidRDefault="00FE4E56" w:rsidP="009B7215">
            <w:pPr>
              <w:pStyle w:val="Numbparas"/>
              <w:numPr>
                <w:ilvl w:val="0"/>
                <w:numId w:val="0"/>
              </w:numPr>
            </w:pPr>
            <w:r>
              <w:t>1979</w:t>
            </w:r>
          </w:p>
        </w:tc>
      </w:tr>
      <w:tr w:rsidR="00FE4E56" w14:paraId="61E025CC" w14:textId="6C450065" w:rsidTr="00071636">
        <w:tc>
          <w:tcPr>
            <w:tcW w:w="1632" w:type="dxa"/>
          </w:tcPr>
          <w:p w14:paraId="05210121" w14:textId="12060443" w:rsidR="00FE4E56" w:rsidRDefault="00FE4E56" w:rsidP="009B7215">
            <w:pPr>
              <w:pStyle w:val="Numbparas"/>
              <w:numPr>
                <w:ilvl w:val="0"/>
                <w:numId w:val="0"/>
              </w:numPr>
            </w:pPr>
            <w:r>
              <w:t>Total Adoptions</w:t>
            </w:r>
          </w:p>
        </w:tc>
        <w:tc>
          <w:tcPr>
            <w:tcW w:w="1359" w:type="dxa"/>
          </w:tcPr>
          <w:p w14:paraId="5E34EF22" w14:textId="4CB4AD72" w:rsidR="00FE4E56" w:rsidRDefault="00FE4E56" w:rsidP="009B7215">
            <w:pPr>
              <w:pStyle w:val="Numbparas"/>
              <w:numPr>
                <w:ilvl w:val="0"/>
                <w:numId w:val="0"/>
              </w:numPr>
            </w:pPr>
            <w:r>
              <w:rPr>
                <w:rFonts w:ascii="Degular-Regular" w:hAnsi="Degular-Regular" w:cs="Degular-Regular"/>
                <w:color w:val="auto"/>
              </w:rPr>
              <w:t xml:space="preserve">577 </w:t>
            </w:r>
          </w:p>
        </w:tc>
        <w:tc>
          <w:tcPr>
            <w:tcW w:w="1357" w:type="dxa"/>
          </w:tcPr>
          <w:p w14:paraId="2FC6C245" w14:textId="4A6EC7CE" w:rsidR="00FE4E56" w:rsidRDefault="00FE4E56" w:rsidP="009B7215">
            <w:pPr>
              <w:pStyle w:val="Numbparas"/>
              <w:numPr>
                <w:ilvl w:val="0"/>
                <w:numId w:val="0"/>
              </w:numPr>
            </w:pPr>
            <w:r>
              <w:rPr>
                <w:rFonts w:ascii="Degular-Regular" w:hAnsi="Degular-Regular" w:cs="Degular-Regular"/>
                <w:color w:val="auto"/>
              </w:rPr>
              <w:t>1,313</w:t>
            </w:r>
          </w:p>
        </w:tc>
        <w:tc>
          <w:tcPr>
            <w:tcW w:w="1357" w:type="dxa"/>
          </w:tcPr>
          <w:p w14:paraId="77179F83" w14:textId="2CC2EAED" w:rsidR="00FE4E56" w:rsidRDefault="00FE4E56" w:rsidP="009B7215">
            <w:pPr>
              <w:pStyle w:val="Numbparas"/>
              <w:numPr>
                <w:ilvl w:val="0"/>
                <w:numId w:val="0"/>
              </w:numPr>
            </w:pPr>
            <w:r>
              <w:rPr>
                <w:rFonts w:ascii="Degular-Regular" w:hAnsi="Degular-Regular" w:cs="Degular-Regular"/>
                <w:color w:val="auto"/>
              </w:rPr>
              <w:t>1,191</w:t>
            </w:r>
          </w:p>
        </w:tc>
        <w:tc>
          <w:tcPr>
            <w:tcW w:w="1163" w:type="dxa"/>
          </w:tcPr>
          <w:p w14:paraId="604F6B9C" w14:textId="2E5F30CE" w:rsidR="00FE4E56" w:rsidRDefault="00FE4E56" w:rsidP="009B7215">
            <w:pPr>
              <w:pStyle w:val="Numbparas"/>
              <w:numPr>
                <w:ilvl w:val="0"/>
                <w:numId w:val="0"/>
              </w:numPr>
            </w:pPr>
            <w:r>
              <w:rPr>
                <w:rFonts w:ascii="Degular-Regular" w:hAnsi="Degular-Regular" w:cs="Degular-Regular"/>
                <w:color w:val="auto"/>
              </w:rPr>
              <w:t>1,455</w:t>
            </w:r>
          </w:p>
        </w:tc>
        <w:tc>
          <w:tcPr>
            <w:tcW w:w="828" w:type="dxa"/>
          </w:tcPr>
          <w:p w14:paraId="4D001AA2" w14:textId="1B098380" w:rsidR="00FE4E56" w:rsidRDefault="00FE4E56" w:rsidP="009B7215">
            <w:pPr>
              <w:pStyle w:val="Numbparas"/>
              <w:numPr>
                <w:ilvl w:val="0"/>
                <w:numId w:val="0"/>
              </w:numPr>
            </w:pPr>
            <w:r>
              <w:rPr>
                <w:rFonts w:ascii="Degular-Regular" w:hAnsi="Degular-Regular" w:cs="Degular-Regular"/>
                <w:color w:val="auto"/>
              </w:rPr>
              <w:t xml:space="preserve">1,880  </w:t>
            </w:r>
          </w:p>
        </w:tc>
        <w:tc>
          <w:tcPr>
            <w:tcW w:w="828" w:type="dxa"/>
          </w:tcPr>
          <w:p w14:paraId="5CB877DF" w14:textId="22192A85" w:rsidR="00FE4E56" w:rsidRDefault="00FE4E56" w:rsidP="009B7215">
            <w:pPr>
              <w:pStyle w:val="Numbparas"/>
              <w:numPr>
                <w:ilvl w:val="0"/>
                <w:numId w:val="0"/>
              </w:numPr>
            </w:pPr>
            <w:r>
              <w:rPr>
                <w:rFonts w:ascii="Degular-Regular" w:hAnsi="Degular-Regular" w:cs="Degular-Regular"/>
                <w:color w:val="auto"/>
              </w:rPr>
              <w:t>3,088</w:t>
            </w:r>
          </w:p>
        </w:tc>
        <w:tc>
          <w:tcPr>
            <w:tcW w:w="828" w:type="dxa"/>
          </w:tcPr>
          <w:p w14:paraId="5627F243" w14:textId="7239B674" w:rsidR="00FE4E56" w:rsidRDefault="00FE4E56" w:rsidP="009B7215">
            <w:pPr>
              <w:pStyle w:val="Numbparas"/>
              <w:numPr>
                <w:ilvl w:val="0"/>
                <w:numId w:val="0"/>
              </w:numPr>
            </w:pPr>
            <w:r>
              <w:rPr>
                <w:rFonts w:ascii="Degular-Regular" w:hAnsi="Degular-Regular" w:cs="Degular-Regular"/>
                <w:color w:val="auto"/>
              </w:rPr>
              <w:t>3,837</w:t>
            </w:r>
          </w:p>
        </w:tc>
        <w:tc>
          <w:tcPr>
            <w:tcW w:w="828" w:type="dxa"/>
          </w:tcPr>
          <w:p w14:paraId="454900D7" w14:textId="2C48C386" w:rsidR="00FE4E56" w:rsidRDefault="00FE4E56" w:rsidP="009B7215">
            <w:pPr>
              <w:pStyle w:val="Numbparas"/>
              <w:numPr>
                <w:ilvl w:val="0"/>
                <w:numId w:val="0"/>
              </w:numPr>
            </w:pPr>
            <w:r>
              <w:rPr>
                <w:rFonts w:ascii="Degular-Regular" w:hAnsi="Degular-Regular" w:cs="Degular-Regular"/>
                <w:color w:val="auto"/>
              </w:rPr>
              <w:t>3,976</w:t>
            </w:r>
          </w:p>
        </w:tc>
        <w:tc>
          <w:tcPr>
            <w:tcW w:w="828" w:type="dxa"/>
          </w:tcPr>
          <w:p w14:paraId="72B32B6C" w14:textId="65F39A2E" w:rsidR="00FE4E56" w:rsidRDefault="00FE4E56" w:rsidP="009B7215">
            <w:pPr>
              <w:pStyle w:val="Numbparas"/>
              <w:numPr>
                <w:ilvl w:val="0"/>
                <w:numId w:val="0"/>
              </w:numPr>
            </w:pPr>
            <w:r>
              <w:rPr>
                <w:rFonts w:ascii="Degular-Regular" w:hAnsi="Degular-Regular" w:cs="Degular-Regular"/>
                <w:color w:val="auto"/>
              </w:rPr>
              <w:t>3,642</w:t>
            </w:r>
          </w:p>
        </w:tc>
        <w:tc>
          <w:tcPr>
            <w:tcW w:w="828" w:type="dxa"/>
          </w:tcPr>
          <w:p w14:paraId="3FF824AE" w14:textId="6B211C24" w:rsidR="00FE4E56" w:rsidRDefault="00FE4E56" w:rsidP="009B7215">
            <w:pPr>
              <w:pStyle w:val="Numbparas"/>
              <w:numPr>
                <w:ilvl w:val="0"/>
                <w:numId w:val="0"/>
              </w:numPr>
            </w:pPr>
            <w:r>
              <w:rPr>
                <w:rFonts w:ascii="Degular-Regular" w:hAnsi="Degular-Regular" w:cs="Degular-Regular"/>
                <w:color w:val="auto"/>
              </w:rPr>
              <w:t>3,366</w:t>
            </w:r>
          </w:p>
        </w:tc>
        <w:tc>
          <w:tcPr>
            <w:tcW w:w="828" w:type="dxa"/>
          </w:tcPr>
          <w:p w14:paraId="2E2D1628" w14:textId="57068D21" w:rsidR="00FE4E56" w:rsidRDefault="00FE4E56" w:rsidP="009B7215">
            <w:pPr>
              <w:pStyle w:val="Numbparas"/>
              <w:numPr>
                <w:ilvl w:val="0"/>
                <w:numId w:val="0"/>
              </w:numPr>
            </w:pPr>
            <w:r>
              <w:rPr>
                <w:rFonts w:ascii="Degular-Regular" w:hAnsi="Degular-Regular" w:cs="Degular-Regular"/>
                <w:color w:val="auto"/>
              </w:rPr>
              <w:t>2,200</w:t>
            </w:r>
          </w:p>
        </w:tc>
      </w:tr>
      <w:tr w:rsidR="00FE4E56" w14:paraId="51165F92" w14:textId="12B7D2ED" w:rsidTr="00071636">
        <w:tc>
          <w:tcPr>
            <w:tcW w:w="1632" w:type="dxa"/>
          </w:tcPr>
          <w:p w14:paraId="6F16F30D" w14:textId="6926015E" w:rsidR="00FE4E56" w:rsidRDefault="00FE4E56" w:rsidP="009B7215">
            <w:pPr>
              <w:pStyle w:val="Numbparas"/>
              <w:numPr>
                <w:ilvl w:val="0"/>
                <w:numId w:val="0"/>
              </w:numPr>
            </w:pPr>
            <w:r>
              <w:rPr>
                <w:rFonts w:ascii="Degular-Regular" w:hAnsi="Degular-Regular" w:cs="Degular-Regular"/>
                <w:color w:val="auto"/>
              </w:rPr>
              <w:t xml:space="preserve">Adoptions as % of live births </w:t>
            </w:r>
          </w:p>
        </w:tc>
        <w:tc>
          <w:tcPr>
            <w:tcW w:w="1359" w:type="dxa"/>
          </w:tcPr>
          <w:p w14:paraId="5E7721CC" w14:textId="3E5FB972" w:rsidR="00FE4E56" w:rsidRDefault="00FE4E56" w:rsidP="00071636">
            <w:pPr>
              <w:pStyle w:val="Numbparas"/>
              <w:numPr>
                <w:ilvl w:val="0"/>
                <w:numId w:val="0"/>
              </w:numPr>
              <w:jc w:val="right"/>
            </w:pPr>
            <w:r>
              <w:rPr>
                <w:rFonts w:ascii="Degular-Regular" w:hAnsi="Degular-Regular" w:cs="Degular-Regular"/>
                <w:color w:val="auto"/>
              </w:rPr>
              <w:t xml:space="preserve">1.9% </w:t>
            </w:r>
          </w:p>
        </w:tc>
        <w:tc>
          <w:tcPr>
            <w:tcW w:w="1357" w:type="dxa"/>
          </w:tcPr>
          <w:p w14:paraId="1B58747D" w14:textId="2E962AD3" w:rsidR="00FE4E56" w:rsidRDefault="00FE4E56" w:rsidP="00071636">
            <w:pPr>
              <w:pStyle w:val="Numbparas"/>
              <w:numPr>
                <w:ilvl w:val="0"/>
                <w:numId w:val="0"/>
              </w:numPr>
              <w:jc w:val="right"/>
            </w:pPr>
            <w:r>
              <w:rPr>
                <w:rFonts w:ascii="Degular-Regular" w:hAnsi="Degular-Regular" w:cs="Degular-Regular"/>
                <w:color w:val="auto"/>
              </w:rPr>
              <w:t xml:space="preserve">3.91% </w:t>
            </w:r>
          </w:p>
        </w:tc>
        <w:tc>
          <w:tcPr>
            <w:tcW w:w="1357" w:type="dxa"/>
          </w:tcPr>
          <w:p w14:paraId="2B79B009" w14:textId="49A7CCC8" w:rsidR="00FE4E56" w:rsidRDefault="00FE4E56" w:rsidP="00071636">
            <w:pPr>
              <w:pStyle w:val="Numbparas"/>
              <w:numPr>
                <w:ilvl w:val="0"/>
                <w:numId w:val="0"/>
              </w:numPr>
              <w:jc w:val="right"/>
            </w:pPr>
            <w:r>
              <w:rPr>
                <w:rFonts w:ascii="Degular-Regular" w:hAnsi="Degular-Regular" w:cs="Degular-Regular"/>
                <w:color w:val="auto"/>
              </w:rPr>
              <w:t xml:space="preserve">3.22% </w:t>
            </w:r>
          </w:p>
        </w:tc>
        <w:tc>
          <w:tcPr>
            <w:tcW w:w="1163" w:type="dxa"/>
          </w:tcPr>
          <w:p w14:paraId="76630DD3" w14:textId="4567DF5C" w:rsidR="00FE4E56" w:rsidRDefault="00FE4E56" w:rsidP="00071636">
            <w:pPr>
              <w:pStyle w:val="Numbparas"/>
              <w:numPr>
                <w:ilvl w:val="0"/>
                <w:numId w:val="0"/>
              </w:numPr>
              <w:jc w:val="right"/>
            </w:pPr>
            <w:r>
              <w:rPr>
                <w:rFonts w:ascii="Degular-Regular" w:hAnsi="Degular-Regular" w:cs="Degular-Regular"/>
                <w:color w:val="auto"/>
              </w:rPr>
              <w:t>2.92%</w:t>
            </w:r>
          </w:p>
        </w:tc>
        <w:tc>
          <w:tcPr>
            <w:tcW w:w="828" w:type="dxa"/>
          </w:tcPr>
          <w:p w14:paraId="6956DA36" w14:textId="7434E883"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3.39% </w:t>
            </w:r>
          </w:p>
        </w:tc>
        <w:tc>
          <w:tcPr>
            <w:tcW w:w="828" w:type="dxa"/>
          </w:tcPr>
          <w:p w14:paraId="1F853734" w14:textId="2CC8D45D"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5.14%</w:t>
            </w:r>
          </w:p>
        </w:tc>
        <w:tc>
          <w:tcPr>
            <w:tcW w:w="828" w:type="dxa"/>
          </w:tcPr>
          <w:p w14:paraId="0D1AA028" w14:textId="38DBE7D4"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6.18%</w:t>
            </w:r>
          </w:p>
        </w:tc>
        <w:tc>
          <w:tcPr>
            <w:tcW w:w="828" w:type="dxa"/>
          </w:tcPr>
          <w:p w14:paraId="7502D29F" w14:textId="00562448"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6.17%</w:t>
            </w:r>
          </w:p>
        </w:tc>
        <w:tc>
          <w:tcPr>
            <w:tcW w:w="828" w:type="dxa"/>
          </w:tcPr>
          <w:p w14:paraId="30EA355E" w14:textId="5FF09D87"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5.75%</w:t>
            </w:r>
          </w:p>
        </w:tc>
        <w:tc>
          <w:tcPr>
            <w:tcW w:w="828" w:type="dxa"/>
          </w:tcPr>
          <w:p w14:paraId="04930663" w14:textId="6BBC0A0B"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5.67%</w:t>
            </w:r>
          </w:p>
        </w:tc>
        <w:tc>
          <w:tcPr>
            <w:tcW w:w="828" w:type="dxa"/>
          </w:tcPr>
          <w:p w14:paraId="31239222" w14:textId="17A468D7"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4.21%</w:t>
            </w:r>
          </w:p>
        </w:tc>
      </w:tr>
      <w:tr w:rsidR="00FE4E56" w14:paraId="7D50626D" w14:textId="3CA9F97E" w:rsidTr="00071636">
        <w:tc>
          <w:tcPr>
            <w:tcW w:w="1632" w:type="dxa"/>
          </w:tcPr>
          <w:p w14:paraId="46E40D73" w14:textId="77777777" w:rsidR="00FE4E56" w:rsidRDefault="00FE4E56" w:rsidP="004D37B9">
            <w:pPr>
              <w:keepLines w:val="0"/>
              <w:autoSpaceDE w:val="0"/>
              <w:autoSpaceDN w:val="0"/>
              <w:adjustRightInd w:val="0"/>
              <w:spacing w:before="0" w:after="0"/>
              <w:rPr>
                <w:rFonts w:ascii="Degular-Regular" w:hAnsi="Degular-Regular" w:cs="Degular-Regular"/>
                <w:lang w:eastAsia="en-NZ"/>
              </w:rPr>
            </w:pPr>
            <w:r>
              <w:rPr>
                <w:rFonts w:ascii="Degular-Regular" w:hAnsi="Degular-Regular" w:cs="Degular-Regular"/>
                <w:lang w:eastAsia="en-NZ"/>
              </w:rPr>
              <w:t>Adoptions known to Child Welfare</w:t>
            </w:r>
          </w:p>
          <w:p w14:paraId="35E4D6C9" w14:textId="77777777" w:rsidR="00FE4E56" w:rsidRDefault="00FE4E56" w:rsidP="004D37B9">
            <w:pPr>
              <w:keepLines w:val="0"/>
              <w:autoSpaceDE w:val="0"/>
              <w:autoSpaceDN w:val="0"/>
              <w:adjustRightInd w:val="0"/>
              <w:spacing w:before="0" w:after="0"/>
              <w:rPr>
                <w:rFonts w:ascii="Degular-Regular" w:hAnsi="Degular-Regular" w:cs="Degular-Regular"/>
                <w:lang w:eastAsia="en-NZ"/>
              </w:rPr>
            </w:pPr>
            <w:r>
              <w:rPr>
                <w:rFonts w:ascii="Degular-Regular" w:hAnsi="Degular-Regular" w:cs="Degular-Regular"/>
                <w:lang w:eastAsia="en-NZ"/>
              </w:rPr>
              <w:t>Divisions/DSW</w:t>
            </w:r>
          </w:p>
          <w:p w14:paraId="625D510F" w14:textId="603250B0" w:rsidR="00FE4E56" w:rsidRDefault="00FE4E56" w:rsidP="004D37B9">
            <w:pPr>
              <w:pStyle w:val="Numbparas"/>
              <w:numPr>
                <w:ilvl w:val="0"/>
                <w:numId w:val="0"/>
              </w:numPr>
            </w:pPr>
          </w:p>
        </w:tc>
        <w:tc>
          <w:tcPr>
            <w:tcW w:w="1359" w:type="dxa"/>
          </w:tcPr>
          <w:p w14:paraId="30FB914E" w14:textId="51595AB9" w:rsidR="00FE4E56" w:rsidRDefault="00FE4E56" w:rsidP="009B7215">
            <w:pPr>
              <w:pStyle w:val="Numbparas"/>
              <w:numPr>
                <w:ilvl w:val="0"/>
                <w:numId w:val="0"/>
              </w:numPr>
            </w:pPr>
            <w:r>
              <w:t>Not available</w:t>
            </w:r>
          </w:p>
        </w:tc>
        <w:tc>
          <w:tcPr>
            <w:tcW w:w="1357" w:type="dxa"/>
          </w:tcPr>
          <w:p w14:paraId="3E02238B" w14:textId="0C2A6661" w:rsidR="00FE4E56" w:rsidRDefault="00FE4E56" w:rsidP="00071636">
            <w:pPr>
              <w:pStyle w:val="Numbparas"/>
              <w:numPr>
                <w:ilvl w:val="0"/>
                <w:numId w:val="0"/>
              </w:numPr>
              <w:jc w:val="right"/>
            </w:pPr>
            <w:r>
              <w:rPr>
                <w:rFonts w:ascii="Degular-Regular" w:hAnsi="Degular-Regular" w:cs="Degular-Regular"/>
                <w:color w:val="auto"/>
              </w:rPr>
              <w:t xml:space="preserve">1,065 </w:t>
            </w:r>
          </w:p>
        </w:tc>
        <w:tc>
          <w:tcPr>
            <w:tcW w:w="1357" w:type="dxa"/>
          </w:tcPr>
          <w:p w14:paraId="731A6CE6" w14:textId="32792462" w:rsidR="00FE4E56" w:rsidRDefault="00FE4E56" w:rsidP="00071636">
            <w:pPr>
              <w:pStyle w:val="Numbparas"/>
              <w:numPr>
                <w:ilvl w:val="0"/>
                <w:numId w:val="0"/>
              </w:numPr>
              <w:jc w:val="right"/>
            </w:pPr>
            <w:r>
              <w:rPr>
                <w:rFonts w:ascii="Degular-Regular" w:hAnsi="Degular-Regular" w:cs="Degular-Regular"/>
                <w:color w:val="auto"/>
              </w:rPr>
              <w:t xml:space="preserve">1,151 </w:t>
            </w:r>
          </w:p>
        </w:tc>
        <w:tc>
          <w:tcPr>
            <w:tcW w:w="1163" w:type="dxa"/>
          </w:tcPr>
          <w:p w14:paraId="57D0B8DA" w14:textId="6C759E1D" w:rsidR="00FE4E56" w:rsidRDefault="00FE4E56" w:rsidP="00071636">
            <w:pPr>
              <w:pStyle w:val="Numbparas"/>
              <w:numPr>
                <w:ilvl w:val="0"/>
                <w:numId w:val="0"/>
              </w:numPr>
              <w:jc w:val="right"/>
            </w:pPr>
            <w:r>
              <w:rPr>
                <w:rFonts w:ascii="Degular-Regular" w:hAnsi="Degular-Regular" w:cs="Degular-Regular"/>
                <w:color w:val="auto"/>
              </w:rPr>
              <w:t>1,366</w:t>
            </w:r>
          </w:p>
        </w:tc>
        <w:tc>
          <w:tcPr>
            <w:tcW w:w="828" w:type="dxa"/>
          </w:tcPr>
          <w:p w14:paraId="0AC22D3A" w14:textId="74541514"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1,796 </w:t>
            </w:r>
          </w:p>
        </w:tc>
        <w:tc>
          <w:tcPr>
            <w:tcW w:w="828" w:type="dxa"/>
          </w:tcPr>
          <w:p w14:paraId="23000872" w14:textId="0D8307D7"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2,835</w:t>
            </w:r>
          </w:p>
        </w:tc>
        <w:tc>
          <w:tcPr>
            <w:tcW w:w="828" w:type="dxa"/>
          </w:tcPr>
          <w:p w14:paraId="0ABB57D9" w14:textId="6FCBDF75"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3,362</w:t>
            </w:r>
          </w:p>
        </w:tc>
        <w:tc>
          <w:tcPr>
            <w:tcW w:w="828" w:type="dxa"/>
          </w:tcPr>
          <w:p w14:paraId="0D2BCC43" w14:textId="78073D8E"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3,231 </w:t>
            </w:r>
          </w:p>
        </w:tc>
        <w:tc>
          <w:tcPr>
            <w:tcW w:w="828" w:type="dxa"/>
          </w:tcPr>
          <w:p w14:paraId="4F494DC8" w14:textId="71666253"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3,280 </w:t>
            </w:r>
          </w:p>
        </w:tc>
        <w:tc>
          <w:tcPr>
            <w:tcW w:w="828" w:type="dxa"/>
          </w:tcPr>
          <w:p w14:paraId="25A8CEDD" w14:textId="51480212"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3,366 </w:t>
            </w:r>
          </w:p>
        </w:tc>
        <w:tc>
          <w:tcPr>
            <w:tcW w:w="828" w:type="dxa"/>
          </w:tcPr>
          <w:p w14:paraId="5FD53A20" w14:textId="5284404F"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2,200</w:t>
            </w:r>
          </w:p>
        </w:tc>
      </w:tr>
      <w:tr w:rsidR="00FE4E56" w14:paraId="610827FB" w14:textId="1223D849" w:rsidTr="00071636">
        <w:tc>
          <w:tcPr>
            <w:tcW w:w="1632" w:type="dxa"/>
          </w:tcPr>
          <w:p w14:paraId="0FDCEAA2" w14:textId="0898213F" w:rsidR="00FE4E56" w:rsidRDefault="00FE4E56" w:rsidP="009B7215">
            <w:pPr>
              <w:pStyle w:val="Numbparas"/>
              <w:numPr>
                <w:ilvl w:val="0"/>
                <w:numId w:val="0"/>
              </w:numPr>
            </w:pPr>
            <w:r>
              <w:rPr>
                <w:rFonts w:ascii="Degular-Regular" w:hAnsi="Degular-Regular" w:cs="Degular-Regular"/>
                <w:color w:val="auto"/>
              </w:rPr>
              <w:t>Adoptions involving ex</w:t>
            </w:r>
            <w:r>
              <w:rPr>
                <w:rFonts w:ascii="Cambria Math" w:hAnsi="Cambria Math" w:cs="Cambria Math"/>
                <w:color w:val="auto"/>
              </w:rPr>
              <w:t>‑</w:t>
            </w:r>
            <w:r>
              <w:rPr>
                <w:rFonts w:ascii="Degular-Regular" w:hAnsi="Degular-Regular" w:cs="Degular-Regular"/>
                <w:color w:val="auto"/>
              </w:rPr>
              <w:t xml:space="preserve">nuptial births </w:t>
            </w:r>
          </w:p>
        </w:tc>
        <w:tc>
          <w:tcPr>
            <w:tcW w:w="1359" w:type="dxa"/>
          </w:tcPr>
          <w:p w14:paraId="29220638" w14:textId="0AAE0743" w:rsidR="00FE4E56" w:rsidRDefault="00FE4E56" w:rsidP="009B7215">
            <w:pPr>
              <w:pStyle w:val="Numbparas"/>
              <w:numPr>
                <w:ilvl w:val="0"/>
                <w:numId w:val="0"/>
              </w:numPr>
            </w:pPr>
            <w:r>
              <w:t>Not available</w:t>
            </w:r>
          </w:p>
        </w:tc>
        <w:tc>
          <w:tcPr>
            <w:tcW w:w="1357" w:type="dxa"/>
          </w:tcPr>
          <w:p w14:paraId="1955631E" w14:textId="03A5D50A" w:rsidR="00FE4E56" w:rsidRDefault="00FE4E56" w:rsidP="00071636">
            <w:pPr>
              <w:pStyle w:val="Numbparas"/>
              <w:numPr>
                <w:ilvl w:val="0"/>
                <w:numId w:val="0"/>
              </w:numPr>
              <w:jc w:val="right"/>
            </w:pPr>
            <w:r>
              <w:rPr>
                <w:rFonts w:ascii="Degular-Regular" w:hAnsi="Degular-Regular" w:cs="Degular-Regular"/>
                <w:color w:val="auto"/>
              </w:rPr>
              <w:t xml:space="preserve">903 </w:t>
            </w:r>
          </w:p>
        </w:tc>
        <w:tc>
          <w:tcPr>
            <w:tcW w:w="1357" w:type="dxa"/>
          </w:tcPr>
          <w:p w14:paraId="7BC84864" w14:textId="7DCE9467" w:rsidR="00FE4E56" w:rsidRDefault="00FE4E56" w:rsidP="00071636">
            <w:pPr>
              <w:pStyle w:val="Numbparas"/>
              <w:numPr>
                <w:ilvl w:val="0"/>
                <w:numId w:val="0"/>
              </w:numPr>
              <w:jc w:val="right"/>
            </w:pPr>
            <w:r>
              <w:rPr>
                <w:rFonts w:ascii="Degular-Regular" w:hAnsi="Degular-Regular" w:cs="Degular-Regular"/>
                <w:color w:val="auto"/>
              </w:rPr>
              <w:t xml:space="preserve">973 </w:t>
            </w:r>
          </w:p>
        </w:tc>
        <w:tc>
          <w:tcPr>
            <w:tcW w:w="1163" w:type="dxa"/>
          </w:tcPr>
          <w:p w14:paraId="4D8E2401" w14:textId="79202861" w:rsidR="00FE4E56" w:rsidRDefault="00FE4E56" w:rsidP="00071636">
            <w:pPr>
              <w:pStyle w:val="Numbparas"/>
              <w:numPr>
                <w:ilvl w:val="0"/>
                <w:numId w:val="0"/>
              </w:numPr>
              <w:jc w:val="right"/>
            </w:pPr>
            <w:r>
              <w:rPr>
                <w:rFonts w:ascii="Degular-Regular" w:hAnsi="Degular-Regular" w:cs="Degular-Regular"/>
                <w:color w:val="auto"/>
              </w:rPr>
              <w:t>1,062</w:t>
            </w:r>
          </w:p>
        </w:tc>
        <w:tc>
          <w:tcPr>
            <w:tcW w:w="828" w:type="dxa"/>
          </w:tcPr>
          <w:p w14:paraId="00256D42" w14:textId="6A0C2B97" w:rsidR="00FE4E56" w:rsidRDefault="00FE4E56" w:rsidP="00071636">
            <w:pPr>
              <w:pStyle w:val="Numbparas"/>
              <w:numPr>
                <w:ilvl w:val="0"/>
                <w:numId w:val="0"/>
              </w:numPr>
              <w:tabs>
                <w:tab w:val="left" w:pos="220"/>
              </w:tabs>
              <w:rPr>
                <w:rFonts w:ascii="Degular-Regular" w:hAnsi="Degular-Regular" w:cs="Degular-Regular"/>
                <w:color w:val="auto"/>
              </w:rPr>
            </w:pPr>
            <w:r>
              <w:rPr>
                <w:rFonts w:ascii="Degular-Regular" w:hAnsi="Degular-Regular" w:cs="Degular-Regular"/>
                <w:color w:val="auto"/>
              </w:rPr>
              <w:t>1,377</w:t>
            </w:r>
            <w:r>
              <w:rPr>
                <w:rFonts w:ascii="Degular-Regular" w:hAnsi="Degular-Regular" w:cs="Degular-Regular"/>
                <w:color w:val="auto"/>
              </w:rPr>
              <w:tab/>
            </w:r>
          </w:p>
        </w:tc>
        <w:tc>
          <w:tcPr>
            <w:tcW w:w="828" w:type="dxa"/>
          </w:tcPr>
          <w:p w14:paraId="5C64EC8E" w14:textId="2CC6078B"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2,429 </w:t>
            </w:r>
          </w:p>
        </w:tc>
        <w:tc>
          <w:tcPr>
            <w:tcW w:w="828" w:type="dxa"/>
          </w:tcPr>
          <w:p w14:paraId="5786FF98" w14:textId="1D35B462"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2,831 </w:t>
            </w:r>
          </w:p>
        </w:tc>
        <w:tc>
          <w:tcPr>
            <w:tcW w:w="828" w:type="dxa"/>
          </w:tcPr>
          <w:p w14:paraId="349E4B89" w14:textId="6C5577C3"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2,674 </w:t>
            </w:r>
          </w:p>
        </w:tc>
        <w:tc>
          <w:tcPr>
            <w:tcW w:w="828" w:type="dxa"/>
          </w:tcPr>
          <w:p w14:paraId="252F8519" w14:textId="0ED43A69"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2,713 </w:t>
            </w:r>
          </w:p>
        </w:tc>
        <w:tc>
          <w:tcPr>
            <w:tcW w:w="828" w:type="dxa"/>
          </w:tcPr>
          <w:p w14:paraId="308DBACD" w14:textId="6E8C6619"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 xml:space="preserve">2,391 </w:t>
            </w:r>
          </w:p>
        </w:tc>
        <w:tc>
          <w:tcPr>
            <w:tcW w:w="828" w:type="dxa"/>
          </w:tcPr>
          <w:p w14:paraId="042D2943" w14:textId="1B35CD70" w:rsidR="00FE4E56" w:rsidRDefault="00FE4E56" w:rsidP="00785D6F">
            <w:pPr>
              <w:pStyle w:val="Numbparas"/>
              <w:numPr>
                <w:ilvl w:val="0"/>
                <w:numId w:val="0"/>
              </w:numPr>
              <w:jc w:val="right"/>
              <w:rPr>
                <w:rFonts w:ascii="Degular-Regular" w:hAnsi="Degular-Regular" w:cs="Degular-Regular"/>
                <w:color w:val="auto"/>
              </w:rPr>
            </w:pPr>
            <w:r>
              <w:rPr>
                <w:rFonts w:ascii="Degular-Regular" w:hAnsi="Degular-Regular" w:cs="Degular-Regular"/>
                <w:color w:val="auto"/>
              </w:rPr>
              <w:t>1,375</w:t>
            </w:r>
          </w:p>
        </w:tc>
      </w:tr>
      <w:tr w:rsidR="00FE4E56" w14:paraId="12716A41" w14:textId="5394A06B" w:rsidTr="00071636">
        <w:tc>
          <w:tcPr>
            <w:tcW w:w="1632" w:type="dxa"/>
          </w:tcPr>
          <w:p w14:paraId="10F2BE6C" w14:textId="3317F540" w:rsidR="00FE4E56" w:rsidRDefault="00FE4E56" w:rsidP="00785D6F">
            <w:pPr>
              <w:pStyle w:val="Numbparas"/>
              <w:numPr>
                <w:ilvl w:val="0"/>
                <w:numId w:val="0"/>
              </w:numPr>
            </w:pPr>
            <w:r>
              <w:rPr>
                <w:rFonts w:ascii="Degular-Regular" w:hAnsi="Degular-Regular" w:cs="Degular-Regular"/>
                <w:color w:val="auto"/>
              </w:rPr>
              <w:t xml:space="preserve">Adoptions by strangers </w:t>
            </w:r>
          </w:p>
        </w:tc>
        <w:tc>
          <w:tcPr>
            <w:tcW w:w="1359" w:type="dxa"/>
          </w:tcPr>
          <w:p w14:paraId="4B8000D6" w14:textId="308501B3" w:rsidR="00FE4E56" w:rsidRDefault="00FE4E56" w:rsidP="00785D6F">
            <w:pPr>
              <w:pStyle w:val="Numbparas"/>
              <w:numPr>
                <w:ilvl w:val="0"/>
                <w:numId w:val="0"/>
              </w:numPr>
            </w:pPr>
            <w:r w:rsidRPr="00764E09">
              <w:t>Not available</w:t>
            </w:r>
          </w:p>
        </w:tc>
        <w:tc>
          <w:tcPr>
            <w:tcW w:w="1357" w:type="dxa"/>
          </w:tcPr>
          <w:p w14:paraId="08ACF626" w14:textId="799EF75B" w:rsidR="00FE4E56" w:rsidRDefault="00FE4E56" w:rsidP="00785D6F">
            <w:pPr>
              <w:pStyle w:val="Numbparas"/>
              <w:numPr>
                <w:ilvl w:val="0"/>
                <w:numId w:val="0"/>
              </w:numPr>
            </w:pPr>
            <w:r w:rsidRPr="00764E09">
              <w:t>Not available</w:t>
            </w:r>
          </w:p>
        </w:tc>
        <w:tc>
          <w:tcPr>
            <w:tcW w:w="1357" w:type="dxa"/>
          </w:tcPr>
          <w:p w14:paraId="6E6BD290" w14:textId="62845B43" w:rsidR="00FE4E56" w:rsidRDefault="00FE4E56" w:rsidP="00785D6F">
            <w:pPr>
              <w:pStyle w:val="Numbparas"/>
              <w:numPr>
                <w:ilvl w:val="0"/>
                <w:numId w:val="0"/>
              </w:numPr>
            </w:pPr>
            <w:r w:rsidRPr="00764E09">
              <w:t>Not available</w:t>
            </w:r>
          </w:p>
        </w:tc>
        <w:tc>
          <w:tcPr>
            <w:tcW w:w="1163" w:type="dxa"/>
          </w:tcPr>
          <w:p w14:paraId="3979D872" w14:textId="392876CF" w:rsidR="00FE4E56" w:rsidRDefault="00FE4E56" w:rsidP="00785D6F">
            <w:pPr>
              <w:pStyle w:val="Numbparas"/>
              <w:numPr>
                <w:ilvl w:val="0"/>
                <w:numId w:val="0"/>
              </w:numPr>
            </w:pPr>
            <w:r>
              <w:rPr>
                <w:rFonts w:ascii="Degular-Regular" w:hAnsi="Degular-Regular" w:cs="Degular-Regular"/>
                <w:color w:val="auto"/>
              </w:rPr>
              <w:t>984</w:t>
            </w:r>
          </w:p>
        </w:tc>
        <w:tc>
          <w:tcPr>
            <w:tcW w:w="828" w:type="dxa"/>
          </w:tcPr>
          <w:p w14:paraId="5F3F5C50" w14:textId="3307453D"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1,327</w:t>
            </w:r>
          </w:p>
        </w:tc>
        <w:tc>
          <w:tcPr>
            <w:tcW w:w="828" w:type="dxa"/>
          </w:tcPr>
          <w:p w14:paraId="2B803223" w14:textId="72F4792C"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2,162 </w:t>
            </w:r>
          </w:p>
        </w:tc>
        <w:tc>
          <w:tcPr>
            <w:tcW w:w="828" w:type="dxa"/>
          </w:tcPr>
          <w:p w14:paraId="647B4CE1" w14:textId="398355DA"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2,286 </w:t>
            </w:r>
          </w:p>
        </w:tc>
        <w:tc>
          <w:tcPr>
            <w:tcW w:w="828" w:type="dxa"/>
          </w:tcPr>
          <w:p w14:paraId="0E1E692A" w14:textId="0EE02411"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2,176 </w:t>
            </w:r>
          </w:p>
        </w:tc>
        <w:tc>
          <w:tcPr>
            <w:tcW w:w="828" w:type="dxa"/>
          </w:tcPr>
          <w:p w14:paraId="64A4A9D1" w14:textId="41D65434"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2,136 </w:t>
            </w:r>
          </w:p>
        </w:tc>
        <w:tc>
          <w:tcPr>
            <w:tcW w:w="828" w:type="dxa"/>
          </w:tcPr>
          <w:p w14:paraId="74B41676" w14:textId="2A8171DF"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1,821 </w:t>
            </w:r>
          </w:p>
        </w:tc>
        <w:tc>
          <w:tcPr>
            <w:tcW w:w="828" w:type="dxa"/>
          </w:tcPr>
          <w:p w14:paraId="07DB01BD" w14:textId="42FA4629"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845</w:t>
            </w:r>
          </w:p>
        </w:tc>
      </w:tr>
      <w:tr w:rsidR="00FE4E56" w14:paraId="48D0D3B8" w14:textId="77DE7378" w:rsidTr="00071636">
        <w:tc>
          <w:tcPr>
            <w:tcW w:w="1632" w:type="dxa"/>
          </w:tcPr>
          <w:p w14:paraId="2405F51D" w14:textId="2835B4B9" w:rsidR="00FE4E56" w:rsidRDefault="00FE4E56" w:rsidP="00785D6F">
            <w:pPr>
              <w:pStyle w:val="Numbparas"/>
              <w:numPr>
                <w:ilvl w:val="0"/>
                <w:numId w:val="0"/>
              </w:numPr>
            </w:pPr>
            <w:r>
              <w:rPr>
                <w:rFonts w:ascii="Degular-Regular" w:hAnsi="Degular-Regular" w:cs="Degular-Regular"/>
                <w:color w:val="auto"/>
              </w:rPr>
              <w:t xml:space="preserve">Adoptions of children under 1 year old </w:t>
            </w:r>
          </w:p>
        </w:tc>
        <w:tc>
          <w:tcPr>
            <w:tcW w:w="1359" w:type="dxa"/>
          </w:tcPr>
          <w:p w14:paraId="1399278A" w14:textId="49BF64C7" w:rsidR="00FE4E56" w:rsidRDefault="00FE4E56" w:rsidP="00785D6F">
            <w:pPr>
              <w:pStyle w:val="Numbparas"/>
              <w:numPr>
                <w:ilvl w:val="0"/>
                <w:numId w:val="0"/>
              </w:numPr>
            </w:pPr>
            <w:r>
              <w:t>Not available</w:t>
            </w:r>
          </w:p>
        </w:tc>
        <w:tc>
          <w:tcPr>
            <w:tcW w:w="1357" w:type="dxa"/>
          </w:tcPr>
          <w:p w14:paraId="758E8FFA" w14:textId="7DACE2F9" w:rsidR="00FE4E56" w:rsidRDefault="00FE4E56" w:rsidP="00785D6F">
            <w:pPr>
              <w:pStyle w:val="Numbparas"/>
              <w:numPr>
                <w:ilvl w:val="0"/>
                <w:numId w:val="0"/>
              </w:numPr>
            </w:pPr>
            <w:r w:rsidRPr="001370BC">
              <w:t>Not available</w:t>
            </w:r>
          </w:p>
        </w:tc>
        <w:tc>
          <w:tcPr>
            <w:tcW w:w="1357" w:type="dxa"/>
          </w:tcPr>
          <w:p w14:paraId="79366885" w14:textId="6C8C6257" w:rsidR="00FE4E56" w:rsidRDefault="00FE4E56" w:rsidP="00785D6F">
            <w:pPr>
              <w:pStyle w:val="Numbparas"/>
              <w:numPr>
                <w:ilvl w:val="0"/>
                <w:numId w:val="0"/>
              </w:numPr>
            </w:pPr>
            <w:r w:rsidRPr="001370BC">
              <w:t>Not available</w:t>
            </w:r>
          </w:p>
        </w:tc>
        <w:tc>
          <w:tcPr>
            <w:tcW w:w="1163" w:type="dxa"/>
          </w:tcPr>
          <w:p w14:paraId="3754BC84" w14:textId="2F62EF8E" w:rsidR="00FE4E56" w:rsidRDefault="00FE4E56" w:rsidP="00785D6F">
            <w:pPr>
              <w:pStyle w:val="Numbparas"/>
              <w:numPr>
                <w:ilvl w:val="0"/>
                <w:numId w:val="0"/>
              </w:numPr>
            </w:pPr>
            <w:r>
              <w:rPr>
                <w:rFonts w:ascii="Degular-Regular" w:hAnsi="Degular-Regular" w:cs="Degular-Regular"/>
                <w:color w:val="auto"/>
              </w:rPr>
              <w:t>849</w:t>
            </w:r>
          </w:p>
        </w:tc>
        <w:tc>
          <w:tcPr>
            <w:tcW w:w="828" w:type="dxa"/>
          </w:tcPr>
          <w:p w14:paraId="5767E0CB" w14:textId="6130453A"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1,321 </w:t>
            </w:r>
          </w:p>
        </w:tc>
        <w:tc>
          <w:tcPr>
            <w:tcW w:w="828" w:type="dxa"/>
          </w:tcPr>
          <w:p w14:paraId="3A99B5F9" w14:textId="312DCA49"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2,503 </w:t>
            </w:r>
          </w:p>
        </w:tc>
        <w:tc>
          <w:tcPr>
            <w:tcW w:w="828" w:type="dxa"/>
          </w:tcPr>
          <w:p w14:paraId="07023B79" w14:textId="4B2DA85D"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2,969 </w:t>
            </w:r>
          </w:p>
        </w:tc>
        <w:tc>
          <w:tcPr>
            <w:tcW w:w="828" w:type="dxa"/>
          </w:tcPr>
          <w:p w14:paraId="253C7D0C" w14:textId="7D6D7769"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2,872 </w:t>
            </w:r>
          </w:p>
        </w:tc>
        <w:tc>
          <w:tcPr>
            <w:tcW w:w="828" w:type="dxa"/>
          </w:tcPr>
          <w:p w14:paraId="37ADC978" w14:textId="05E1EBC3"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2,892 </w:t>
            </w:r>
          </w:p>
        </w:tc>
        <w:tc>
          <w:tcPr>
            <w:tcW w:w="828" w:type="dxa"/>
          </w:tcPr>
          <w:p w14:paraId="02932023" w14:textId="2B3CEA74"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 xml:space="preserve">2,474 </w:t>
            </w:r>
          </w:p>
        </w:tc>
        <w:tc>
          <w:tcPr>
            <w:tcW w:w="828" w:type="dxa"/>
          </w:tcPr>
          <w:p w14:paraId="2C00AB32" w14:textId="5AFB269A" w:rsidR="00FE4E56" w:rsidRDefault="00FE4E56" w:rsidP="00785D6F">
            <w:pPr>
              <w:pStyle w:val="Numbparas"/>
              <w:numPr>
                <w:ilvl w:val="0"/>
                <w:numId w:val="0"/>
              </w:numPr>
              <w:rPr>
                <w:rFonts w:ascii="Degular-Regular" w:hAnsi="Degular-Regular" w:cs="Degular-Regular"/>
                <w:color w:val="auto"/>
              </w:rPr>
            </w:pPr>
            <w:r>
              <w:rPr>
                <w:rFonts w:ascii="Degular-Regular" w:hAnsi="Degular-Regular" w:cs="Degular-Regular"/>
                <w:color w:val="auto"/>
              </w:rPr>
              <w:t>1,258</w:t>
            </w:r>
          </w:p>
        </w:tc>
      </w:tr>
    </w:tbl>
    <w:p w14:paraId="53451087" w14:textId="77777777" w:rsidR="003B3E8E" w:rsidRDefault="003B3E8E" w:rsidP="009B7215">
      <w:pPr>
        <w:pStyle w:val="Numbparas"/>
        <w:numPr>
          <w:ilvl w:val="0"/>
          <w:numId w:val="0"/>
        </w:numPr>
        <w:ind w:left="851"/>
        <w:sectPr w:rsidR="003B3E8E" w:rsidSect="003B3E8E">
          <w:endnotePr>
            <w:numFmt w:val="decimal"/>
          </w:endnotePr>
          <w:pgSz w:w="16838" w:h="11906" w:orient="landscape" w:code="9"/>
          <w:pgMar w:top="1440" w:right="1440" w:bottom="1440" w:left="1440" w:header="425" w:footer="213" w:gutter="0"/>
          <w:cols w:space="708"/>
          <w:docGrid w:linePitch="360"/>
        </w:sectPr>
      </w:pPr>
    </w:p>
    <w:p w14:paraId="44D4C680" w14:textId="27EF3EBF" w:rsidR="00FE4E56" w:rsidRPr="004A0212" w:rsidRDefault="00FE4E56" w:rsidP="00841AB5">
      <w:pPr>
        <w:pStyle w:val="Heading3"/>
      </w:pPr>
      <w:bookmarkStart w:id="648" w:name="_Toc1906316380"/>
      <w:bookmarkStart w:id="649" w:name="_Toc181084972"/>
      <w:r>
        <w:lastRenderedPageBreak/>
        <w:t xml:space="preserve">Te </w:t>
      </w:r>
      <w:r w:rsidRPr="700D4309">
        <w:t>Ture Whāngai 1955, te whāngai Māori me te whāngai</w:t>
      </w:r>
      <w:bookmarkEnd w:id="648"/>
      <w:bookmarkEnd w:id="649"/>
      <w:r w:rsidRPr="700D4309">
        <w:t xml:space="preserve"> </w:t>
      </w:r>
    </w:p>
    <w:p w14:paraId="31CFF1EB" w14:textId="322D1D25" w:rsidR="00FE4E56" w:rsidRPr="004A0212" w:rsidRDefault="00FE4E56" w:rsidP="00841AB5">
      <w:pPr>
        <w:pStyle w:val="Heading3"/>
      </w:pPr>
      <w:bookmarkStart w:id="650" w:name="_Toc1971198160"/>
      <w:bookmarkStart w:id="651" w:name="_Toc181084973"/>
      <w:r w:rsidRPr="700D4309">
        <w:t>The Adoption Act 1955 and Māori whāngai and adoptions</w:t>
      </w:r>
      <w:bookmarkEnd w:id="650"/>
      <w:bookmarkEnd w:id="651"/>
    </w:p>
    <w:p w14:paraId="1180A0E9" w14:textId="4949AC1B" w:rsidR="00FE4E56" w:rsidRPr="004A0212" w:rsidRDefault="00FE4E56" w:rsidP="0062717F">
      <w:pPr>
        <w:pStyle w:val="Numbparas"/>
      </w:pPr>
      <w:r w:rsidRPr="004A0212">
        <w:t>Māori traditionally had a system of caring for children among wider whānau and had common and accepted practices such as whāngai or atawhai, which involved tamariki Māori being raised by whānau members.</w:t>
      </w:r>
      <w:r w:rsidRPr="004A0212">
        <w:rPr>
          <w:rStyle w:val="StyleFootnoteReferenceFagoFunotenzeichenFagoFunotenzeichen"/>
        </w:rPr>
        <w:endnoteReference w:id="607"/>
      </w:r>
      <w:r w:rsidRPr="004A0212">
        <w:t xml:space="preserve"> Whāngai also enabled tamariki Māori to maintain connection with their birth whānau and their whāngai whānau and meant the child’s and hapū rights and privileges remained protected.</w:t>
      </w:r>
      <w:r w:rsidRPr="004A0212">
        <w:rPr>
          <w:rStyle w:val="StyleFootnoteReferenceFagoFunotenzeichenFagoFunotenzeichen"/>
        </w:rPr>
        <w:endnoteReference w:id="608"/>
      </w:r>
      <w:r w:rsidRPr="004A0212">
        <w:t xml:space="preserve"> </w:t>
      </w:r>
    </w:p>
    <w:p w14:paraId="0EA9CAA3" w14:textId="59DBA0B2" w:rsidR="00FE4E56" w:rsidRPr="004A0212" w:rsidRDefault="00FE4E56" w:rsidP="0062717F">
      <w:pPr>
        <w:pStyle w:val="Numbparas"/>
      </w:pPr>
      <w:r w:rsidRPr="004A0212">
        <w:t>From the 1900s Māori adoptions and whāngai became increasingly controlled and regulated by the State. In 1901, Māori adoptions and whāngai were not recognised legally unless they were registered in the Native Land Court, where they had to be approved by a judge.</w:t>
      </w:r>
      <w:r w:rsidRPr="004A0212">
        <w:rPr>
          <w:rStyle w:val="StyleFootnoteReferenceFagoFunotenzeichenFagoFunotenzeichen"/>
        </w:rPr>
        <w:endnoteReference w:id="609"/>
      </w:r>
      <w:r w:rsidRPr="004A0212">
        <w:t xml:space="preserve"> In 1909, it became illegal for Māori to adopt non-Māori. Māori rates of adoption and whāngai were not recorded during this time. </w:t>
      </w:r>
    </w:p>
    <w:p w14:paraId="22CF8757" w14:textId="77777777" w:rsidR="00FE4E56" w:rsidRPr="004A0212" w:rsidRDefault="00FE4E56" w:rsidP="0062717F">
      <w:pPr>
        <w:pStyle w:val="Numbparas"/>
      </w:pPr>
      <w:r w:rsidRPr="004A0212">
        <w:t>The 1955 Act removed the ban on Māori adopting non-Māori, and Māori adoptions were also brought under almost the same rules as adoption. As such, the Act did not recognise Māori whāngai practices.</w:t>
      </w:r>
      <w:r w:rsidRPr="004A0212">
        <w:rPr>
          <w:rStyle w:val="StyleFootnoteReferenceFagoFunotenzeichenFagoFunotenzeichen"/>
        </w:rPr>
        <w:endnoteReference w:id="610"/>
      </w:r>
      <w:r w:rsidRPr="004A0212">
        <w:t xml:space="preserve"> </w:t>
      </w:r>
    </w:p>
    <w:p w14:paraId="0E87C9F5" w14:textId="77777777" w:rsidR="00FE4E56" w:rsidRPr="004A0212" w:rsidRDefault="00FE4E56" w:rsidP="0062717F">
      <w:pPr>
        <w:pStyle w:val="Numbparas"/>
      </w:pPr>
      <w:r w:rsidRPr="004A0212">
        <w:t>A 1962 amendment transferred Māori adoption hearings from the (open) Māori Land Courts to the (closed) Magistrates Courts. Financial costs and questioning of applicants’ personal circumstances disadvantaged whānau Māori.</w:t>
      </w:r>
      <w:r w:rsidRPr="004A0212">
        <w:rPr>
          <w:rStyle w:val="StyleFootnoteReferenceFagoFunotenzeichenFagoFunotenzeichen"/>
        </w:rPr>
        <w:endnoteReference w:id="611"/>
      </w:r>
      <w:r w:rsidRPr="004A0212">
        <w:t xml:space="preserve"> This reduced the number of potential Māori adoptive parents and increased the likelihood of pēpē and tamariki Māori being placed in foster care or being adopted by Pākehā parents.</w:t>
      </w:r>
      <w:r w:rsidRPr="004A0212">
        <w:rPr>
          <w:rStyle w:val="StyleFootnoteReferenceFagoFunotenzeichenFagoFunotenzeichen"/>
        </w:rPr>
        <w:endnoteReference w:id="612"/>
      </w:r>
    </w:p>
    <w:p w14:paraId="0A5B7C12" w14:textId="77777777" w:rsidR="00FE4E56" w:rsidRPr="004A0212" w:rsidRDefault="00FE4E56" w:rsidP="0062717F">
      <w:pPr>
        <w:pStyle w:val="Numbparas"/>
      </w:pPr>
      <w:r w:rsidRPr="004A0212">
        <w:t>Some pēpē and tamariki Māori adopted out through this closed process lost knowledge of their whakapapa or were even unaware that they were Māori.</w:t>
      </w:r>
      <w:r w:rsidRPr="004A0212">
        <w:rPr>
          <w:rStyle w:val="StyleFootnoteReferenceFagoFunotenzeichenFagoFunotenzeichen"/>
        </w:rPr>
        <w:endnoteReference w:id="613"/>
      </w:r>
      <w:r w:rsidRPr="004A0212">
        <w:t xml:space="preserve"> For tamariki Māori who were adopted out, their iwi were rarely recorded, and their ethnicity was often incorrectly recorded.</w:t>
      </w:r>
    </w:p>
    <w:p w14:paraId="72B37DA0" w14:textId="5AAC746D" w:rsidR="00FE4E56" w:rsidRPr="004A0212" w:rsidRDefault="00FE4E56" w:rsidP="0062717F">
      <w:pPr>
        <w:pStyle w:val="Numbparas"/>
      </w:pPr>
      <w:r w:rsidRPr="004A0212">
        <w:t>This was particularly the case where the mother was Pākehā and the father was Māori. Pākehā women increasingly gave their pēpē up for adoption to avoid racial and social discrimination and prejudice, often omitting the name of the Māori fathers on birth certificates.</w:t>
      </w:r>
      <w:r w:rsidRPr="004A0212">
        <w:rPr>
          <w:rStyle w:val="StyleFootnoteReferenceFagoFunotenzeichenFagoFunotenzeichen"/>
        </w:rPr>
        <w:endnoteReference w:id="614"/>
      </w:r>
      <w:r w:rsidRPr="004A0212">
        <w:t xml:space="preserve"> Dr Anne Else told the Inquiry that any claims from the father or wider whānau were often not recognised:</w:t>
      </w:r>
    </w:p>
    <w:p w14:paraId="6AE76114" w14:textId="77777777" w:rsidR="00FE4E56" w:rsidRPr="004A0212" w:rsidRDefault="00FE4E56" w:rsidP="0062717F">
      <w:pPr>
        <w:pStyle w:val="AllQuotes"/>
      </w:pPr>
      <w:r w:rsidRPr="004A0212">
        <w:t>“This aspect of the law proved highly significant in cases where the birth mother was Pākehā and the father was of Māori heritage. Māori social workers recalled many cases where the birth father’s family, especially the grandparents, wanted to adopt the child, but had no standing and were not permitted to do so.”</w:t>
      </w:r>
      <w:r w:rsidRPr="004A0212">
        <w:rPr>
          <w:rStyle w:val="StyleFootnoteReferenceFagoFunotenzeichenFagoFunotenzeichen"/>
        </w:rPr>
        <w:endnoteReference w:id="615"/>
      </w:r>
      <w:r w:rsidRPr="004A0212">
        <w:t xml:space="preserve"> </w:t>
      </w:r>
    </w:p>
    <w:p w14:paraId="6D45050D" w14:textId="3B5E508B" w:rsidR="00FE4E56" w:rsidRPr="00B25361" w:rsidRDefault="00FE4E56" w:rsidP="0062717F">
      <w:pPr>
        <w:pStyle w:val="Numbparas"/>
      </w:pPr>
      <w:r w:rsidRPr="004A0212">
        <w:t>Māori researchers and experts have noted closed adoption policies were part of a wider context of State policies “oriented towards the nuclear family, domesticity and producing ‘ideal citizens’”, and supported the prevailing assimilationist agenda.</w:t>
      </w:r>
      <w:r w:rsidRPr="004A0212">
        <w:rPr>
          <w:rStyle w:val="StyleFootnoteReferenceFagoFunotenzeichenFagoFunotenzeichen"/>
        </w:rPr>
        <w:endnoteReference w:id="616"/>
      </w:r>
      <w:r w:rsidRPr="004A0212">
        <w:t xml:space="preserve"> </w:t>
      </w:r>
    </w:p>
    <w:p w14:paraId="149BC2D3" w14:textId="77777777" w:rsidR="00AA20A9" w:rsidRDefault="00AA20A9">
      <w:pPr>
        <w:keepLines w:val="0"/>
        <w:rPr>
          <w:rFonts w:ascii="Arial" w:hAnsi="Arial" w:cs="Helvetica"/>
          <w:b/>
          <w:bCs/>
          <w:color w:val="3B5D1E" w:themeColor="accent4" w:themeShade="BF"/>
          <w:sz w:val="28"/>
          <w:szCs w:val="28"/>
        </w:rPr>
      </w:pPr>
      <w:bookmarkStart w:id="652" w:name="_Toc825792792"/>
      <w:r>
        <w:br w:type="page"/>
      </w:r>
    </w:p>
    <w:p w14:paraId="074ACF02" w14:textId="3B38FF02" w:rsidR="00FE4E56" w:rsidRDefault="00FE4E56" w:rsidP="00282055">
      <w:pPr>
        <w:pStyle w:val="Heading2"/>
      </w:pPr>
      <w:bookmarkStart w:id="653" w:name="_Toc181084974"/>
      <w:r w:rsidRPr="004A0212">
        <w:lastRenderedPageBreak/>
        <w:t>Whakaritenga whakawhiti, whakaū ture hoki</w:t>
      </w:r>
      <w:bookmarkEnd w:id="653"/>
      <w:r w:rsidRPr="004A0212">
        <w:t xml:space="preserve"> </w:t>
      </w:r>
    </w:p>
    <w:p w14:paraId="0BDFAFEC" w14:textId="74FC1F54" w:rsidR="00FE4E56" w:rsidRPr="004A0212" w:rsidRDefault="00FE4E56" w:rsidP="00282055">
      <w:pPr>
        <w:pStyle w:val="Heading2"/>
      </w:pPr>
      <w:bookmarkStart w:id="654" w:name="_Toc181084975"/>
      <w:r w:rsidRPr="004A0212">
        <w:t>Transitional and law enforcement settings</w:t>
      </w:r>
      <w:bookmarkEnd w:id="652"/>
      <w:bookmarkEnd w:id="654"/>
    </w:p>
    <w:p w14:paraId="1F6CAF4D" w14:textId="59B0B783" w:rsidR="00FE4E56" w:rsidRPr="004A0212" w:rsidRDefault="00FE4E56" w:rsidP="0062717F">
      <w:pPr>
        <w:pStyle w:val="AllNumbparas"/>
      </w:pPr>
      <w:r w:rsidRPr="004A0212">
        <w:t>NZ Police also had children, young people and adults in their care. Children, young people and adults in care for disability or mental distress who were picked up by police officers or were being processed for sentencing or placement in another care setting could find themselves temporarily in police cells, police custody, court cells and transfers to, between, or out of State care residences. Police cells were also used sometimes when there were no beds available in other facilities.</w:t>
      </w:r>
      <w:r w:rsidRPr="004A0212">
        <w:rPr>
          <w:rStyle w:val="StyleFootnoteReferenceFagoFunotenzeichenFagoFunotenzeichen"/>
        </w:rPr>
        <w:endnoteReference w:id="617"/>
      </w:r>
    </w:p>
    <w:p w14:paraId="278DEA27" w14:textId="77777777" w:rsidR="00FE4E56" w:rsidRPr="004A0212" w:rsidRDefault="00FE4E56" w:rsidP="0062717F">
      <w:pPr>
        <w:pStyle w:val="AllNumbparas"/>
      </w:pPr>
      <w:r w:rsidRPr="004A0212">
        <w:t>Police cells were established as penal institutions under the Penal Institution Act 1954 for holding a person on remand or for short-term sentences.</w:t>
      </w:r>
      <w:r w:rsidRPr="004A0212">
        <w:rPr>
          <w:rStyle w:val="StyleFootnoteReferenceFagoFunotenzeichenFagoFunotenzeichen"/>
        </w:rPr>
        <w:endnoteReference w:id="618"/>
      </w:r>
      <w:r w:rsidRPr="004A0212">
        <w:t xml:space="preserve"> Under the Criminal Justice Act 1954, young people could be sentenced to imprisonment in an adult prison if the judge thought it was appropriate.</w:t>
      </w:r>
      <w:r w:rsidRPr="004A0212">
        <w:rPr>
          <w:rStyle w:val="StyleFootnoteReferenceFagoFunotenzeichenFagoFunotenzeichen"/>
        </w:rPr>
        <w:endnoteReference w:id="619"/>
      </w:r>
    </w:p>
    <w:p w14:paraId="0A5C9118" w14:textId="6B7CF72D" w:rsidR="00FE4E56" w:rsidRPr="004A0212" w:rsidRDefault="00FE4E56" w:rsidP="0062717F">
      <w:pPr>
        <w:pStyle w:val="AllNumbparas"/>
      </w:pPr>
      <w:r w:rsidRPr="004A0212">
        <w:t>The role of NZ Police in relation to care was often carried out alongside social workers. Children and young people came to the attention of police officers for a variety of reasons, from perceived antisocial behaviour to notifications and referrals from other agencies.</w:t>
      </w:r>
    </w:p>
    <w:p w14:paraId="1C36FEAB" w14:textId="62DB022F" w:rsidR="00FE4E56" w:rsidRPr="004A0212" w:rsidRDefault="00FE4E56" w:rsidP="0062717F">
      <w:pPr>
        <w:pStyle w:val="AllNumbparas"/>
      </w:pPr>
      <w:r w:rsidRPr="004A0212">
        <w:t>The Child and Young Persons Act 1974 detailed the broad powers of police officers to pick up unaccompanied children in public places if they were in an environment ‘which is detrimental to his physical or moral well-being'.</w:t>
      </w:r>
      <w:r w:rsidRPr="004A0212">
        <w:rPr>
          <w:rStyle w:val="StyleFootnoteReferenceFagoFunotenzeichenFagoFunotenzeichen"/>
        </w:rPr>
        <w:endnoteReference w:id="620"/>
      </w:r>
      <w:r w:rsidRPr="004A0212">
        <w:t xml:space="preserve"> Police officers ultimately had discretion to determine whether a situation was harmful to the child or young person’s well-being. If a parent or guardian could not be found, police officers could deliver the child or young person to the custody of the Director-General of Social Welfare.</w:t>
      </w:r>
      <w:r w:rsidRPr="004A0212">
        <w:rPr>
          <w:rStyle w:val="StyleFootnoteReferenceFagoFunotenzeichenFagoFunotenzeichen"/>
        </w:rPr>
        <w:endnoteReference w:id="621"/>
      </w:r>
    </w:p>
    <w:p w14:paraId="04D49B66" w14:textId="34236A57" w:rsidR="00FE4E56" w:rsidRPr="004A0212" w:rsidRDefault="00FE4E56" w:rsidP="0062717F">
      <w:pPr>
        <w:pStyle w:val="AllNumbparas"/>
      </w:pPr>
      <w:r w:rsidRPr="004A0212">
        <w:t>The Children, Young Persons, and Their Families Act 1989 outlined principles for dealing with young offenders, emphasising that criminal proceedings should be a last resort,</w:t>
      </w:r>
      <w:r w:rsidRPr="004A0212">
        <w:rPr>
          <w:rStyle w:val="StyleFootnoteReferenceFagoFunotenzeichenFagoFunotenzeichen"/>
        </w:rPr>
        <w:endnoteReference w:id="622"/>
      </w:r>
      <w:r w:rsidRPr="004A0212">
        <w:t xml:space="preserve"> not initiated solely for welfare assistance, and designed to strengthen the family group’s ability to address offences.</w:t>
      </w:r>
      <w:r w:rsidRPr="004A0212">
        <w:rPr>
          <w:rStyle w:val="StyleFootnoteReferenceFagoFunotenzeichenFagoFunotenzeichen"/>
        </w:rPr>
        <w:endnoteReference w:id="623"/>
      </w:r>
      <w:r w:rsidRPr="004A0212">
        <w:t xml:space="preserve"> Police officers had to consider alternatives such as warnings or formal cautions, with recommendations from family group conferences.</w:t>
      </w:r>
      <w:r w:rsidRPr="004A0212">
        <w:rPr>
          <w:rStyle w:val="StyleFootnoteReferenceFagoFunotenzeichenFagoFunotenzeichen"/>
        </w:rPr>
        <w:endnoteReference w:id="624"/>
      </w:r>
    </w:p>
    <w:p w14:paraId="6B5A5126" w14:textId="6AA3F2ED" w:rsidR="00FE4E56" w:rsidRPr="004A0212" w:rsidRDefault="00FE4E56" w:rsidP="0062717F">
      <w:pPr>
        <w:pStyle w:val="AllNumbparas"/>
      </w:pPr>
      <w:r w:rsidRPr="004A0212">
        <w:t>Family group conferences offered an opportunity for families to respond to issues involving their young people before matters reached the courts.</w:t>
      </w:r>
      <w:r w:rsidRPr="004A0212">
        <w:rPr>
          <w:rStyle w:val="StyleFootnoteReferenceFagoFunotenzeichenFagoFunotenzeichen"/>
        </w:rPr>
        <w:endnoteReference w:id="625"/>
      </w:r>
      <w:r w:rsidRPr="004A0212">
        <w:t xml:space="preserve"> From the 1990s, family group conferences became the primary means of dealing with young offenders. Of nearly 6,000 family group conferences held in 1990 / 1991, only 300 cases were referred on to the Youth Court for resolution.</w:t>
      </w:r>
      <w:r w:rsidRPr="004A0212">
        <w:rPr>
          <w:rStyle w:val="StyleFootnoteReferenceFagoFunotenzeichenFagoFunotenzeichen"/>
        </w:rPr>
        <w:endnoteReference w:id="626"/>
      </w:r>
      <w:r w:rsidRPr="004A0212">
        <w:t xml:space="preserve"> </w:t>
      </w:r>
    </w:p>
    <w:p w14:paraId="5FB17E04" w14:textId="77777777" w:rsidR="00AA20A9" w:rsidRDefault="00AA20A9">
      <w:pPr>
        <w:keepLines w:val="0"/>
        <w:rPr>
          <w:rFonts w:ascii="Arial" w:eastAsia="Calibri" w:hAnsi="Arial" w:cs="Arial"/>
          <w:bCs/>
          <w:color w:val="222222"/>
          <w:sz w:val="22"/>
          <w:szCs w:val="22"/>
          <w:shd w:val="clear" w:color="auto" w:fill="FFFFFF"/>
        </w:rPr>
      </w:pPr>
      <w:r>
        <w:br w:type="page"/>
      </w:r>
    </w:p>
    <w:p w14:paraId="02E80862" w14:textId="3860412F" w:rsidR="00FE4E56" w:rsidRPr="004A0212" w:rsidRDefault="00FE4E56" w:rsidP="0062717F">
      <w:pPr>
        <w:pStyle w:val="AllNumbparas"/>
      </w:pPr>
      <w:r w:rsidRPr="004A0212">
        <w:lastRenderedPageBreak/>
        <w:t>Police officers could arrest a child or young person without a warrant for purely indictable (requiring a prison term) offences in the public interest or in specific situations.</w:t>
      </w:r>
      <w:r w:rsidRPr="004A0212">
        <w:rPr>
          <w:rStyle w:val="StyleFootnoteReferenceFagoFunotenzeichenFagoFunotenzeichen"/>
        </w:rPr>
        <w:endnoteReference w:id="627"/>
      </w:r>
      <w:r w:rsidRPr="004A0212">
        <w:t xml:space="preserve"> After arrest, with their agreement, the child or young person could be delivered to an iwi or cultural authority, the director-general, or placed in custody, depending on the circumstances.</w:t>
      </w:r>
      <w:r w:rsidRPr="004A0212">
        <w:rPr>
          <w:rStyle w:val="StyleFootnoteReferenceFagoFunotenzeichenFagoFunotenzeichen"/>
        </w:rPr>
        <w:endnoteReference w:id="628"/>
      </w:r>
      <w:r w:rsidRPr="004A0212">
        <w:t xml:space="preserve"> This could also be done without their agreement, but had to happen within 24 hours</w:t>
      </w:r>
      <w:r w:rsidRPr="004A0212">
        <w:rPr>
          <w:rStyle w:val="StyleFootnoteReferenceFagoFunotenzeichenFagoFunotenzeichen"/>
        </w:rPr>
        <w:endnoteReference w:id="629"/>
      </w:r>
      <w:r w:rsidRPr="004A0212">
        <w:t xml:space="preserve"> unless a senior social worker and member of the police agreed the child or young person was likely to run away or be violent and social welfare did not have suitable facilities for them.</w:t>
      </w:r>
      <w:r w:rsidRPr="004A0212">
        <w:rPr>
          <w:rStyle w:val="StyleFootnoteReferenceFagoFunotenzeichenFagoFunotenzeichen"/>
        </w:rPr>
        <w:endnoteReference w:id="630"/>
      </w:r>
      <w:r w:rsidRPr="004A0212">
        <w:t xml:space="preserve"> In these circumstances, the young person could be detained in police custody until appearing in Court.</w:t>
      </w:r>
      <w:r w:rsidRPr="004A0212">
        <w:rPr>
          <w:rStyle w:val="StyleFootnoteReferenceFagoFunotenzeichenFagoFunotenzeichen"/>
        </w:rPr>
        <w:endnoteReference w:id="631"/>
      </w:r>
    </w:p>
    <w:p w14:paraId="136AE4D2" w14:textId="2B551048" w:rsidR="00FE4E56" w:rsidRDefault="00FE4E56" w:rsidP="00282055">
      <w:pPr>
        <w:pStyle w:val="Heading2"/>
      </w:pPr>
      <w:bookmarkStart w:id="655" w:name="_Toc139664363"/>
      <w:bookmarkStart w:id="656" w:name="_Toc181084976"/>
      <w:r w:rsidRPr="004A0212">
        <w:t>Te manatika taiohi</w:t>
      </w:r>
      <w:bookmarkEnd w:id="656"/>
    </w:p>
    <w:p w14:paraId="1A964888" w14:textId="68717691" w:rsidR="00FE4E56" w:rsidRPr="004A0212" w:rsidRDefault="00FE4E56" w:rsidP="00282055">
      <w:pPr>
        <w:pStyle w:val="Heading2"/>
      </w:pPr>
      <w:bookmarkStart w:id="657" w:name="_Toc181084977"/>
      <w:r w:rsidRPr="004A0212">
        <w:t>Youth justice</w:t>
      </w:r>
      <w:bookmarkEnd w:id="655"/>
      <w:bookmarkEnd w:id="657"/>
    </w:p>
    <w:p w14:paraId="12695457" w14:textId="77777777" w:rsidR="00FE4E56" w:rsidRPr="004A0212" w:rsidRDefault="00FE4E56" w:rsidP="0062717F">
      <w:pPr>
        <w:pStyle w:val="AllNumbparas"/>
      </w:pPr>
      <w:r w:rsidRPr="004A0212">
        <w:t xml:space="preserve">From the 1950s to the late 1990s, Aotearoa New Zealand had several types of settings for young people considered to be in need of youth justice care or corrective training. These included borstals, detention centres and youth prisons. Some social welfare residences also had a corrective or training element to them intended to address perceived behavioural issues with children and young people – this included residences such as Hokio, Kohitere and Epuni.  </w:t>
      </w:r>
    </w:p>
    <w:p w14:paraId="6DD54A4B" w14:textId="77777777" w:rsidR="00FE4E56" w:rsidRPr="004A0212" w:rsidRDefault="00FE4E56" w:rsidP="0062717F">
      <w:pPr>
        <w:pStyle w:val="AllNumbparas"/>
      </w:pPr>
      <w:r w:rsidRPr="004A0212">
        <w:t>Up until 1995 when the Department of Corrections was formed, the Department of Justice was responsible for overseeing young people in these facilities.</w:t>
      </w:r>
      <w:r w:rsidRPr="004A0212">
        <w:rPr>
          <w:rStyle w:val="StyleFootnoteReferenceFagoFunotenzeichenFagoFunotenzeichen"/>
        </w:rPr>
        <w:endnoteReference w:id="632"/>
      </w:r>
      <w:r w:rsidRPr="004A0212">
        <w:t xml:space="preserve"> If the Department of Social Welfare was transferring a young person from a social welfare residence to a borstal, they were no longer responsible for the young person once the transfer was complete.</w:t>
      </w:r>
      <w:r w:rsidRPr="004A0212">
        <w:rPr>
          <w:rStyle w:val="StyleFootnoteReferenceFagoFunotenzeichenFagoFunotenzeichen"/>
        </w:rPr>
        <w:endnoteReference w:id="633"/>
      </w:r>
      <w:r w:rsidRPr="004A0212">
        <w:t xml:space="preserve"> </w:t>
      </w:r>
    </w:p>
    <w:p w14:paraId="2A902465" w14:textId="77777777" w:rsidR="00FE4E56" w:rsidRPr="004A0212" w:rsidRDefault="00FE4E56" w:rsidP="0062717F">
      <w:pPr>
        <w:pStyle w:val="AllNumbparas"/>
      </w:pPr>
      <w:r w:rsidRPr="004A0212">
        <w:t>Borstals were introduced in 1924 with the Prevention of Crime (Borstal Institutions Establishment) Act 1924. Young offenders between 15 and 21 years of age</w:t>
      </w:r>
      <w:r w:rsidRPr="004A0212">
        <w:rPr>
          <w:rStyle w:val="StyleFootnoteReferenceFagoFunotenzeichenFagoFunotenzeichen"/>
        </w:rPr>
        <w:endnoteReference w:id="634"/>
      </w:r>
      <w:r w:rsidRPr="004A0212">
        <w:t xml:space="preserve"> could be sentenced to undergo borstal training for a period of up to three years</w:t>
      </w:r>
      <w:r w:rsidRPr="004A0212">
        <w:rPr>
          <w:rStyle w:val="StyleFootnoteReferenceFagoFunotenzeichenFagoFunotenzeichen"/>
        </w:rPr>
        <w:endnoteReference w:id="635"/>
      </w:r>
      <w:r w:rsidRPr="004A0212">
        <w:t xml:space="preserve"> if they had been convicted of an offence punishable by imprisonment.</w:t>
      </w:r>
      <w:r w:rsidRPr="004A0212">
        <w:rPr>
          <w:rStyle w:val="StyleFootnoteReferenceFagoFunotenzeichenFagoFunotenzeichen"/>
        </w:rPr>
        <w:endnoteReference w:id="636"/>
      </w:r>
      <w:r w:rsidRPr="004A0212">
        <w:t xml:space="preserve"> </w:t>
      </w:r>
    </w:p>
    <w:p w14:paraId="76D107FC" w14:textId="77777777" w:rsidR="00FE4E56" w:rsidRPr="004A0212" w:rsidRDefault="00FE4E56" w:rsidP="0062717F">
      <w:pPr>
        <w:pStyle w:val="AllNumbparas"/>
      </w:pPr>
      <w:r w:rsidRPr="004A0212">
        <w:t>The purpose of the borstals was to reform young offenders with the goal of diverting them from becoming habitual criminals.</w:t>
      </w:r>
      <w:r w:rsidRPr="004A0212">
        <w:rPr>
          <w:rStyle w:val="StyleFootnoteReferenceFagoFunotenzeichenFagoFunotenzeichen"/>
        </w:rPr>
        <w:endnoteReference w:id="637"/>
      </w:r>
      <w:r w:rsidRPr="004A0212">
        <w:t xml:space="preserve"> A 1969 review of Aotearoa New Zealand Borstals stated that borstals aimed to:</w:t>
      </w:r>
    </w:p>
    <w:p w14:paraId="4C2C51D2" w14:textId="77777777" w:rsidR="00FE4E56" w:rsidRPr="004A0212" w:rsidRDefault="00FE4E56" w:rsidP="0062717F">
      <w:pPr>
        <w:pStyle w:val="Bulletpoints"/>
      </w:pPr>
      <w:r w:rsidRPr="004A0212">
        <w:t xml:space="preserve">“keep youths from further offending during a difficult period of their lives” </w:t>
      </w:r>
    </w:p>
    <w:p w14:paraId="5B4BC81E" w14:textId="77777777" w:rsidR="00FE4E56" w:rsidRPr="004A0212" w:rsidRDefault="00FE4E56" w:rsidP="0062717F">
      <w:pPr>
        <w:pStyle w:val="Bulletpoints"/>
      </w:pPr>
      <w:r w:rsidRPr="004A0212">
        <w:t xml:space="preserve">“develop moral standards, good work habits, vocational skills, and personal hygiene” </w:t>
      </w:r>
    </w:p>
    <w:p w14:paraId="05491725" w14:textId="77777777" w:rsidR="00FE4E56" w:rsidRPr="004A0212" w:rsidRDefault="00FE4E56" w:rsidP="0062717F">
      <w:pPr>
        <w:pStyle w:val="Bulletpoints"/>
      </w:pPr>
      <w:r w:rsidRPr="004A0212">
        <w:t>“train youths to live responsibly as citizens in the community.”</w:t>
      </w:r>
      <w:r w:rsidRPr="004A0212">
        <w:rPr>
          <w:rStyle w:val="StyleFootnoteReferenceFagoFunotenzeichenFagoFunotenzeichen"/>
        </w:rPr>
        <w:endnoteReference w:id="638"/>
      </w:r>
      <w:r w:rsidRPr="004A0212">
        <w:t xml:space="preserve"> </w:t>
      </w:r>
    </w:p>
    <w:p w14:paraId="60099DA9" w14:textId="77777777" w:rsidR="00FE4E56" w:rsidRPr="004A0212" w:rsidRDefault="00FE4E56" w:rsidP="0062717F">
      <w:pPr>
        <w:pStyle w:val="AllNumbparas"/>
      </w:pPr>
      <w:r w:rsidRPr="004A0212">
        <w:t>As their sentence progressed, borstal trainees were gradually awarded privileges, freedoms and responsibilities during their stay to rehabilitate them for life on the outside.</w:t>
      </w:r>
      <w:r w:rsidRPr="004A0212">
        <w:rPr>
          <w:rStyle w:val="StyleFootnoteReferenceFagoFunotenzeichenFagoFunotenzeichen"/>
        </w:rPr>
        <w:endnoteReference w:id="639"/>
      </w:r>
      <w:r w:rsidRPr="004A0212">
        <w:t xml:space="preserve"> However, borstal trainees often had a high rate of reoffending.</w:t>
      </w:r>
      <w:r w:rsidRPr="004A0212">
        <w:rPr>
          <w:rStyle w:val="StyleFootnoteReferenceFagoFunotenzeichenFagoFunotenzeichen"/>
        </w:rPr>
        <w:endnoteReference w:id="640"/>
      </w:r>
    </w:p>
    <w:p w14:paraId="50BBF652" w14:textId="77777777" w:rsidR="00FE4E56" w:rsidRDefault="00FE4E56">
      <w:pPr>
        <w:keepLines w:val="0"/>
        <w:rPr>
          <w:rFonts w:ascii="Arial" w:eastAsia="Calibri" w:hAnsi="Arial" w:cs="Arial"/>
          <w:bCs/>
          <w:color w:val="222222"/>
          <w:sz w:val="22"/>
          <w:szCs w:val="22"/>
          <w:shd w:val="clear" w:color="auto" w:fill="FFFFFF"/>
        </w:rPr>
      </w:pPr>
      <w:r>
        <w:br w:type="page"/>
      </w:r>
    </w:p>
    <w:p w14:paraId="6BF25793" w14:textId="32BE7C86" w:rsidR="00FE4E56" w:rsidRPr="004A0212" w:rsidRDefault="00FE4E56" w:rsidP="0062717F">
      <w:pPr>
        <w:pStyle w:val="AllNumbparas"/>
      </w:pPr>
      <w:r w:rsidRPr="004A0212">
        <w:lastRenderedPageBreak/>
        <w:t>There was also the option to send young people that had been convicted of an offence punishable by imprisonment to a detention centre for short-term corrective training. At the beginning of the Inquiry period young people between the age of 17 and 23 years could be sent to a detention centre for corrective training for a period of four months.</w:t>
      </w:r>
      <w:r w:rsidRPr="004A0212">
        <w:rPr>
          <w:rStyle w:val="StyleFootnoteReferenceFagoFunotenzeichenFagoFunotenzeichen"/>
        </w:rPr>
        <w:endnoteReference w:id="641"/>
      </w:r>
      <w:r w:rsidRPr="004A0212">
        <w:t xml:space="preserve"> In 1961 the age range was lowered to between 16 and 21 and the length of the programme was reduced to three months.</w:t>
      </w:r>
      <w:r w:rsidRPr="004A0212">
        <w:rPr>
          <w:rStyle w:val="StyleFootnoteReferenceFagoFunotenzeichenFagoFunotenzeichen"/>
        </w:rPr>
        <w:endnoteReference w:id="642"/>
      </w:r>
    </w:p>
    <w:p w14:paraId="4B1693EB" w14:textId="77777777" w:rsidR="00FE4E56" w:rsidRPr="004A0212" w:rsidRDefault="00FE4E56" w:rsidP="0062717F">
      <w:pPr>
        <w:pStyle w:val="AllNumbparas"/>
      </w:pPr>
      <w:r w:rsidRPr="004A0212">
        <w:t>Borstals and detention centres were abolished by the Criminal Justice Amendment Act 1975, though this did not come into force until 1981.</w:t>
      </w:r>
      <w:r w:rsidRPr="004A0212">
        <w:rPr>
          <w:rStyle w:val="StyleFootnoteReferenceFagoFunotenzeichenFagoFunotenzeichen"/>
        </w:rPr>
        <w:endnoteReference w:id="643"/>
      </w:r>
      <w:r w:rsidRPr="004A0212">
        <w:t xml:space="preserve"> Though the borstal programme was finished, under the Penal Institutions Amendment Act 1980, some borstals transitioned into youth prisons and became known as Youth Institutions from April 1981.</w:t>
      </w:r>
      <w:r w:rsidRPr="004A0212">
        <w:rPr>
          <w:rStyle w:val="StyleFootnoteReferenceFagoFunotenzeichenFagoFunotenzeichen"/>
        </w:rPr>
        <w:endnoteReference w:id="644"/>
      </w:r>
    </w:p>
    <w:p w14:paraId="3C357F67" w14:textId="3F882A31" w:rsidR="00FE4E56" w:rsidRPr="004A0212" w:rsidRDefault="00FE4E56" w:rsidP="0062717F">
      <w:pPr>
        <w:pStyle w:val="AllNumbparas"/>
      </w:pPr>
      <w:r w:rsidRPr="004A0212">
        <w:t>Under the Criminal Justice Act 1954, young people could also be sentenced to imprisonment in an adult prison, if the judge believed that it was appropriate.</w:t>
      </w:r>
      <w:r w:rsidRPr="004A0212">
        <w:rPr>
          <w:rStyle w:val="StyleFootnoteReferenceFagoFunotenzeichenFagoFunotenzeichen"/>
        </w:rPr>
        <w:endnoteReference w:id="645"/>
      </w:r>
      <w:r w:rsidRPr="004A0212">
        <w:t xml:space="preserve"> Children and young people were sometimes held in adult prisons on remand or awaiting court when other facilities were full.</w:t>
      </w:r>
      <w:r w:rsidRPr="004A0212">
        <w:rPr>
          <w:rStyle w:val="StyleFootnoteReferenceFagoFunotenzeichenFagoFunotenzeichen"/>
        </w:rPr>
        <w:endnoteReference w:id="646"/>
      </w:r>
    </w:p>
    <w:p w14:paraId="6B6574DF" w14:textId="3D430C11" w:rsidR="00FE4E56" w:rsidRPr="004A0212" w:rsidRDefault="00FE4E56" w:rsidP="0062717F">
      <w:pPr>
        <w:pStyle w:val="AllNumbparas"/>
      </w:pPr>
      <w:r w:rsidRPr="004A0212">
        <w:t>There was one borstal for girls, Arohata, which was attached to the women’s prison in Te Whanganui-</w:t>
      </w:r>
      <w:r w:rsidRPr="008F1FC0">
        <w:t>ā</w:t>
      </w:r>
      <w:r w:rsidRPr="004A0212">
        <w:t xml:space="preserve">-Tara Wellington. It opened in 1944 and closed in 1981. There were five borstals for boys, two in the South Island – Waihōpai Invercargill and Waipiata – and three in the North Island, at Kaitoke, Tongariro and Waikeria. All were closed by 1981. </w:t>
      </w:r>
    </w:p>
    <w:p w14:paraId="2E4182C7" w14:textId="77777777" w:rsidR="00FE4E56" w:rsidRPr="004A0212" w:rsidRDefault="00FE4E56" w:rsidP="0062717F">
      <w:pPr>
        <w:pStyle w:val="AllNumbparas"/>
      </w:pPr>
      <w:r w:rsidRPr="004A0212">
        <w:t xml:space="preserve">There were also four detention centres, the first of which opened in Waikeria in 1961. The other three were Rangipo and Hautu, both near Tūrangi, and Rolleston in Waitaha Canterbury. By the late 1980s these had also closed. </w:t>
      </w:r>
    </w:p>
    <w:p w14:paraId="2242D833" w14:textId="77777777" w:rsidR="00FE4E56" w:rsidRPr="004A0212" w:rsidRDefault="00FE4E56" w:rsidP="0062717F">
      <w:pPr>
        <w:pStyle w:val="AllNumbparas"/>
        <w:rPr>
          <w:rStyle w:val="eop"/>
        </w:rPr>
      </w:pPr>
      <w:r w:rsidRPr="004A0212">
        <w:t xml:space="preserve">The Children, Young Persons, and Their Families Act 1989 established mixed purpose residences with both youth justice and care and protection, although the two groups were generally cared for separately. </w:t>
      </w:r>
    </w:p>
    <w:p w14:paraId="796CD013" w14:textId="5032AE88" w:rsidR="00FE4E56" w:rsidRPr="004A0212" w:rsidRDefault="00FE4E56" w:rsidP="0062717F">
      <w:pPr>
        <w:pStyle w:val="AllNumbparas"/>
      </w:pPr>
      <w:r w:rsidRPr="004A0212">
        <w:t>Some of the former social welfare residences were adapted to these new mixed purpose residences. These included Kingslea Residential Centre in Ōtautahi Christchurch, Puketai in Ōtepoti Dunedin, Epuni in Te Whanganui-ā-Tara Wellington, Dey Street in Kirikiriroa Hamilton and Northern Residential Centre in Tāmaki Makaurau Auckland (formerly Weymouth). From the mid-1990s there was concern about the mixing of care and protection and youth justice groups</w:t>
      </w:r>
      <w:r w:rsidRPr="004A0212">
        <w:rPr>
          <w:rStyle w:val="StyleFootnoteReferenceFagoFunotenzeichenFagoFunotenzeichen"/>
        </w:rPr>
        <w:endnoteReference w:id="647"/>
      </w:r>
      <w:r w:rsidRPr="004A0212">
        <w:t xml:space="preserve"> and a youth justice-only facility was opened in </w:t>
      </w:r>
      <w:bookmarkStart w:id="658" w:name="_Hlk178258781"/>
      <w:r w:rsidRPr="004A0212">
        <w:t xml:space="preserve">Te Papaioea Palmerston North </w:t>
      </w:r>
      <w:bookmarkEnd w:id="658"/>
      <w:r w:rsidRPr="004A0212">
        <w:t xml:space="preserve">in 1997.  </w:t>
      </w:r>
    </w:p>
    <w:p w14:paraId="5E7767E7" w14:textId="55E5993B" w:rsidR="00FE4E56" w:rsidRPr="004A0212" w:rsidRDefault="00FE4E56" w:rsidP="0062717F">
      <w:pPr>
        <w:pStyle w:val="AllNumbparas"/>
      </w:pPr>
      <w:r w:rsidRPr="004A0212">
        <w:t xml:space="preserve">From the 1990s children and young people charged through the courts could also be sent to third-party providers contracted under section 396 of the Children, Young Persons, and Their Families Act 1989. The main ones which took young offenders in the 1990s were </w:t>
      </w:r>
      <w:bookmarkStart w:id="659" w:name="_Hlk178258789"/>
      <w:r w:rsidRPr="004A0212">
        <w:t xml:space="preserve">Moerangi Treks in Te Urewera </w:t>
      </w:r>
      <w:bookmarkEnd w:id="659"/>
      <w:r w:rsidRPr="004A0212">
        <w:t xml:space="preserve">and Whakapakari on Aotea Great Barrier Island. From 1999 the State also funded a residence in Ōtautahi Christchurch, managed by Barnados, for adolescent sex offenders. </w:t>
      </w:r>
    </w:p>
    <w:p w14:paraId="3411D037" w14:textId="77777777" w:rsidR="00AA20A9" w:rsidRDefault="00AA20A9">
      <w:pPr>
        <w:keepLines w:val="0"/>
        <w:rPr>
          <w:rFonts w:ascii="Arial" w:hAnsi="Arial" w:cs="Helvetica"/>
          <w:b/>
          <w:bCs/>
          <w:color w:val="3B5D1E" w:themeColor="accent4" w:themeShade="BF"/>
          <w:sz w:val="28"/>
          <w:szCs w:val="28"/>
        </w:rPr>
      </w:pPr>
      <w:bookmarkStart w:id="660" w:name="_Toc1456329293"/>
      <w:r>
        <w:br w:type="page"/>
      </w:r>
    </w:p>
    <w:p w14:paraId="41869F84" w14:textId="525F7B80" w:rsidR="00FE4E56" w:rsidRDefault="00FE4E56" w:rsidP="00282055">
      <w:pPr>
        <w:pStyle w:val="Heading2"/>
      </w:pPr>
      <w:bookmarkStart w:id="661" w:name="_Toc181084978"/>
      <w:r w:rsidRPr="004A0212">
        <w:lastRenderedPageBreak/>
        <w:t>Te whaikahatanga me te whaioratanga</w:t>
      </w:r>
      <w:bookmarkEnd w:id="661"/>
    </w:p>
    <w:p w14:paraId="37F043B2" w14:textId="63DE761C" w:rsidR="00FE4E56" w:rsidRPr="004A0212" w:rsidRDefault="00FE4E56" w:rsidP="00282055">
      <w:pPr>
        <w:pStyle w:val="Heading2"/>
      </w:pPr>
      <w:bookmarkStart w:id="662" w:name="_Toc181084979"/>
      <w:r w:rsidRPr="004A0212">
        <w:t>Disability and Mental Health</w:t>
      </w:r>
      <w:bookmarkEnd w:id="660"/>
      <w:bookmarkEnd w:id="662"/>
      <w:r w:rsidRPr="004A0212">
        <w:t xml:space="preserve"> </w:t>
      </w:r>
    </w:p>
    <w:p w14:paraId="1D39D50B" w14:textId="788E47BF" w:rsidR="00FE4E56" w:rsidRPr="004A0212" w:rsidRDefault="00FE4E56" w:rsidP="0062717F">
      <w:pPr>
        <w:pStyle w:val="Heading3"/>
      </w:pPr>
      <w:bookmarkStart w:id="663" w:name="_Toc1832445429"/>
      <w:bookmarkStart w:id="664" w:name="_Toc181084980"/>
      <w:r w:rsidRPr="004A0212">
        <w:rPr>
          <w:lang w:val="en-US"/>
        </w:rPr>
        <w:t>I te Tari Hauora me ngā poari hohipera te haepapa matua</w:t>
      </w:r>
      <w:bookmarkEnd w:id="663"/>
      <w:bookmarkEnd w:id="664"/>
      <w:r w:rsidRPr="004A0212">
        <w:rPr>
          <w:lang w:val="en-US"/>
        </w:rPr>
        <w:t xml:space="preserve"> </w:t>
      </w:r>
    </w:p>
    <w:p w14:paraId="4EAEBFDE" w14:textId="77777777" w:rsidR="00FE4E56" w:rsidRPr="004A0212" w:rsidRDefault="00FE4E56" w:rsidP="0062717F">
      <w:pPr>
        <w:pStyle w:val="Heading3"/>
      </w:pPr>
      <w:bookmarkStart w:id="665" w:name="_Toc1493310085"/>
      <w:bookmarkStart w:id="666" w:name="_Toc181084981"/>
      <w:r w:rsidRPr="004A0212">
        <w:t>Department of Health and Hospital Boards had overall responsibility</w:t>
      </w:r>
      <w:bookmarkEnd w:id="665"/>
      <w:bookmarkEnd w:id="666"/>
    </w:p>
    <w:p w14:paraId="21037C52" w14:textId="77777777" w:rsidR="00FE4E56" w:rsidRPr="004A0212" w:rsidRDefault="00FE4E56" w:rsidP="0062717F">
      <w:pPr>
        <w:pStyle w:val="Numbparas"/>
      </w:pPr>
      <w:r w:rsidRPr="004A0212">
        <w:t>Decisions about how the disability and mental health care system operated were usually made at a national level by the Minister of Health, the Director-General of Health or the Department of Health.</w:t>
      </w:r>
      <w:r w:rsidRPr="004A0212">
        <w:rPr>
          <w:rStyle w:val="StyleFootnoteReferenceFagoFunotenzeichenFagoFunotenzeichen"/>
        </w:rPr>
        <w:endnoteReference w:id="648"/>
      </w:r>
    </w:p>
    <w:p w14:paraId="1DC51302" w14:textId="77777777" w:rsidR="00FE4E56" w:rsidRPr="004A0212" w:rsidRDefault="00FE4E56" w:rsidP="0062717F">
      <w:pPr>
        <w:pStyle w:val="Numbparas"/>
        <w:rPr>
          <w:rFonts w:ascii="Calibri" w:hAnsi="Calibri" w:cs="Calibri"/>
          <w:color w:val="000000" w:themeColor="text1"/>
        </w:rPr>
      </w:pPr>
      <w:r w:rsidRPr="004A0212">
        <w:t>Ultimate accountability for the disability and mental health care system sat with the Minister of Health</w:t>
      </w:r>
      <w:r w:rsidRPr="004A0212">
        <w:rPr>
          <w:rFonts w:ascii="Calibri" w:hAnsi="Calibri" w:cs="Calibri"/>
          <w:color w:val="000000" w:themeColor="text1"/>
        </w:rPr>
        <w:t xml:space="preserve">, </w:t>
      </w:r>
      <w:r w:rsidRPr="004A0212">
        <w:t>who provided overall direction, oversight and control over the system.</w:t>
      </w:r>
      <w:r w:rsidRPr="004A0212">
        <w:rPr>
          <w:rStyle w:val="StyleFootnoteReferenceFagoFunotenzeichenFagoFunotenzeichen"/>
        </w:rPr>
        <w:endnoteReference w:id="649"/>
      </w:r>
    </w:p>
    <w:p w14:paraId="2C76F690" w14:textId="77777777" w:rsidR="00FE4E56" w:rsidRPr="004A0212" w:rsidRDefault="00FE4E56" w:rsidP="0062717F">
      <w:pPr>
        <w:pStyle w:val="Numbparas"/>
      </w:pPr>
      <w:r w:rsidRPr="004A0212">
        <w:t>During the Inquiry period decisions about what disability and mental health care should look like and how it should be delivered and funded sat variously with the Department of Health (followed by the Ministry of Health from 1993 onwards) and Division of Mental Health / Mental Hygiene, the Director-General of Health and the Director of Mental Hygiene / Mental Health, and a range of devolved decision-makers including Area Health Boards and Crown Health Enterprises.</w:t>
      </w:r>
      <w:r w:rsidRPr="004A0212">
        <w:rPr>
          <w:rStyle w:val="StyleFootnoteReferenceFagoFunotenzeichenFagoFunotenzeichen"/>
        </w:rPr>
        <w:endnoteReference w:id="650"/>
      </w:r>
    </w:p>
    <w:p w14:paraId="6ADDCD0C" w14:textId="2435DC3B" w:rsidR="00FE4E56" w:rsidRPr="004A0212" w:rsidRDefault="00FE4E56" w:rsidP="0062717F">
      <w:pPr>
        <w:pStyle w:val="Numbparas"/>
        <w:rPr>
          <w:rFonts w:ascii="Calibri" w:hAnsi="Calibri" w:cs="Calibri"/>
          <w:color w:val="000000" w:themeColor="text1"/>
        </w:rPr>
      </w:pPr>
      <w:r w:rsidRPr="004A0212">
        <w:t>The Director-General of Health was the chief administrative officer of the department, and the Ministry of Health from 1993. Reporting to the Director-General was the Director of Mental Hygiene, later Director of Mental Health, who had specific legislative obligations relating to people in disability and mental health care</w:t>
      </w:r>
      <w:r w:rsidRPr="004A0212">
        <w:rPr>
          <w:rFonts w:ascii="Calibri" w:hAnsi="Calibri" w:cs="Calibri"/>
          <w:color w:val="000000" w:themeColor="text1"/>
        </w:rPr>
        <w:t>.</w:t>
      </w:r>
      <w:r w:rsidRPr="004A0212">
        <w:rPr>
          <w:rStyle w:val="StyleFootnoteReferenceFagoFunotenzeichenFagoFunotenzeichen"/>
        </w:rPr>
        <w:endnoteReference w:id="651"/>
      </w:r>
      <w:r w:rsidRPr="004A0212">
        <w:rPr>
          <w:rFonts w:ascii="Calibri" w:hAnsi="Calibri" w:cs="Calibri"/>
          <w:color w:val="000000" w:themeColor="text1"/>
        </w:rPr>
        <w:t xml:space="preserve"> </w:t>
      </w:r>
    </w:p>
    <w:p w14:paraId="5A104449" w14:textId="77777777" w:rsidR="00FE4E56" w:rsidRPr="004A0212" w:rsidRDefault="00FE4E56" w:rsidP="0062717F">
      <w:pPr>
        <w:pStyle w:val="Numbparas"/>
      </w:pPr>
      <w:r w:rsidRPr="004A0212">
        <w:t>Until 1983, hospital services were provided by District Health Offices and Hospital Boards. From 1983 to 1993 there was a decentralisation of purchasing and provision of health care away from the Department of Health to Area Health Boards, and with further reform this changed again to Regional Health Authorities and Crown Health Enterprises and the establishment of Needs Assessment and Service Coordination agencies. In 1998, further reform created the Health Funding Authority and Hospital and Health Services</w:t>
      </w:r>
      <w:r w:rsidRPr="004A0212">
        <w:rPr>
          <w:rFonts w:ascii="Calibri" w:hAnsi="Calibri" w:cs="Calibri"/>
          <w:color w:val="000000" w:themeColor="text1"/>
        </w:rPr>
        <w:t>.</w:t>
      </w:r>
      <w:r w:rsidRPr="004A0212">
        <w:rPr>
          <w:rStyle w:val="StyleFootnoteReferenceFagoFunotenzeichenFagoFunotenzeichen"/>
        </w:rPr>
        <w:endnoteReference w:id="652"/>
      </w:r>
      <w:r w:rsidRPr="004A0212">
        <w:rPr>
          <w:rFonts w:ascii="Calibri" w:hAnsi="Calibri" w:cs="Calibri"/>
          <w:color w:val="000000" w:themeColor="text1"/>
        </w:rPr>
        <w:t xml:space="preserve"> </w:t>
      </w:r>
    </w:p>
    <w:p w14:paraId="3D189955" w14:textId="7020C28A" w:rsidR="00FE4E56" w:rsidRPr="004A0212" w:rsidRDefault="00FE4E56" w:rsidP="0062717F">
      <w:pPr>
        <w:pStyle w:val="Numbparas"/>
      </w:pPr>
      <w:r w:rsidRPr="004A0212">
        <w:t>More localised decisions about how specific institutions or third-party providers should be run were made by individuals such as superintendents or medical officers, or devolved decision-makers such as Area Health Boards and Crown Health Enterprises.</w:t>
      </w:r>
    </w:p>
    <w:p w14:paraId="73BF3289" w14:textId="77777777" w:rsidR="00FE4E56" w:rsidRPr="004A0212" w:rsidRDefault="00FE4E56" w:rsidP="0062717F">
      <w:pPr>
        <w:pStyle w:val="Numbparas"/>
      </w:pPr>
      <w:r w:rsidRPr="004A0212">
        <w:t>In 1992 the Needs Assessment and Service Coordination system was set up after a review of the existing disability support services.</w:t>
      </w:r>
      <w:r w:rsidRPr="004A0212">
        <w:rPr>
          <w:rStyle w:val="StyleFootnoteReferenceFagoFunotenzeichenFagoFunotenzeichen"/>
        </w:rPr>
        <w:endnoteReference w:id="653"/>
      </w:r>
      <w:r w:rsidRPr="004A0212">
        <w:t xml:space="preserve"> The funding and delivery of existing support services were redistributed across the four Regional Health Authorities.</w:t>
      </w:r>
      <w:r w:rsidRPr="004A0212">
        <w:rPr>
          <w:rStyle w:val="StyleFootnoteReferenceFagoFunotenzeichenFagoFunotenzeichen"/>
        </w:rPr>
        <w:endnoteReference w:id="654"/>
      </w:r>
      <w:r w:rsidRPr="004A0212">
        <w:t xml:space="preserve"> </w:t>
      </w:r>
    </w:p>
    <w:p w14:paraId="090297C0" w14:textId="77777777" w:rsidR="00FE4E56" w:rsidRPr="004A0212" w:rsidRDefault="00FE4E56" w:rsidP="0062717F">
      <w:pPr>
        <w:pStyle w:val="Numbparas"/>
      </w:pPr>
      <w:r w:rsidRPr="004A0212">
        <w:t>Under this system, disabled people needed to be assessed to see what funding they were eligible for. This funding then determined the support and resources they could access.</w:t>
      </w:r>
      <w:r w:rsidRPr="004A0212">
        <w:rPr>
          <w:rStyle w:val="StyleFootnoteReferenceFagoFunotenzeichenFagoFunotenzeichen"/>
        </w:rPr>
        <w:endnoteReference w:id="655"/>
      </w:r>
      <w:r w:rsidRPr="004A0212">
        <w:rPr>
          <w:rStyle w:val="EndnoteReference"/>
        </w:rPr>
        <w:t xml:space="preserve"> </w:t>
      </w:r>
    </w:p>
    <w:p w14:paraId="4C530EE2" w14:textId="77777777" w:rsidR="00AA20A9" w:rsidRDefault="00AA20A9">
      <w:pPr>
        <w:keepLines w:val="0"/>
        <w:rPr>
          <w:rFonts w:ascii="Arial" w:hAnsi="Arial" w:cs="Helvetica"/>
          <w:color w:val="3B5D1E" w:themeColor="accent4" w:themeShade="BF"/>
          <w:szCs w:val="26"/>
          <w:lang w:val="en-US"/>
        </w:rPr>
      </w:pPr>
      <w:bookmarkStart w:id="667" w:name="_Toc476517292"/>
      <w:r>
        <w:rPr>
          <w:lang w:val="en-US"/>
        </w:rPr>
        <w:br w:type="page"/>
      </w:r>
    </w:p>
    <w:p w14:paraId="43845C78" w14:textId="2A6DAB58" w:rsidR="00FE4E56" w:rsidRPr="004A0212" w:rsidRDefault="00FE4E56" w:rsidP="0062717F">
      <w:pPr>
        <w:pStyle w:val="Heading3"/>
      </w:pPr>
      <w:bookmarkStart w:id="668" w:name="_Toc181084982"/>
      <w:r w:rsidRPr="004A0212">
        <w:rPr>
          <w:lang w:val="en-US"/>
        </w:rPr>
        <w:lastRenderedPageBreak/>
        <w:t>Ngā ngaio hauora me ētahi atu kaimahi taurima</w:t>
      </w:r>
      <w:bookmarkEnd w:id="667"/>
      <w:bookmarkEnd w:id="668"/>
      <w:r w:rsidRPr="004A0212">
        <w:rPr>
          <w:lang w:val="en-US"/>
        </w:rPr>
        <w:t xml:space="preserve"> </w:t>
      </w:r>
    </w:p>
    <w:p w14:paraId="47DC3884" w14:textId="77777777" w:rsidR="00FE4E56" w:rsidRPr="004A0212" w:rsidRDefault="00FE4E56" w:rsidP="0062717F">
      <w:pPr>
        <w:pStyle w:val="Heading3"/>
      </w:pPr>
      <w:bookmarkStart w:id="669" w:name="_Toc1725855857"/>
      <w:bookmarkStart w:id="670" w:name="_Toc181084983"/>
      <w:r w:rsidRPr="004A0212">
        <w:t>Health professionals and other care workers</w:t>
      </w:r>
      <w:bookmarkEnd w:id="669"/>
      <w:bookmarkEnd w:id="670"/>
      <w:r w:rsidRPr="004A0212">
        <w:t xml:space="preserve"> </w:t>
      </w:r>
    </w:p>
    <w:p w14:paraId="66710062" w14:textId="77777777" w:rsidR="00FE4E56" w:rsidRPr="004A0212" w:rsidRDefault="00FE4E56" w:rsidP="0062717F">
      <w:pPr>
        <w:pStyle w:val="Numbparas"/>
      </w:pPr>
      <w:r w:rsidRPr="004A0212">
        <w:t>Most immediate to people in health settings were medical professionals and other health care workers who made decisions about individual treatment, care and other daily activities. Decision-making about how care and treatment was provided both generally and in specific instances by medical professionals and health care workers, including doctors, psychiatrists, nurses and other health care workers.</w:t>
      </w:r>
    </w:p>
    <w:p w14:paraId="4B4DE528" w14:textId="1514D667" w:rsidR="00FE4E56" w:rsidRPr="004A0212" w:rsidRDefault="00FE4E56" w:rsidP="02397200">
      <w:pPr>
        <w:pStyle w:val="Heading3"/>
      </w:pPr>
      <w:bookmarkStart w:id="671" w:name="_Toc181084984"/>
      <w:r w:rsidRPr="004A0212">
        <w:t>Ngā ture mō te whaikaha me te hauora hinengaro</w:t>
      </w:r>
      <w:bookmarkEnd w:id="671"/>
    </w:p>
    <w:p w14:paraId="1828A70A" w14:textId="77777777" w:rsidR="00FE4E56" w:rsidRPr="004A0212" w:rsidRDefault="00FE4E56" w:rsidP="0062717F">
      <w:pPr>
        <w:pStyle w:val="Heading3"/>
      </w:pPr>
      <w:bookmarkStart w:id="672" w:name="_Toc365012789"/>
      <w:bookmarkStart w:id="673" w:name="_Toc181084985"/>
      <w:r w:rsidRPr="004A0212">
        <w:t>Disability and mental health legislation</w:t>
      </w:r>
      <w:bookmarkEnd w:id="672"/>
      <w:bookmarkEnd w:id="673"/>
    </w:p>
    <w:p w14:paraId="6A9CF2A3" w14:textId="77777777" w:rsidR="00FE4E56" w:rsidRPr="004A0212" w:rsidRDefault="00FE4E56" w:rsidP="0062717F">
      <w:pPr>
        <w:pStyle w:val="Numbparas"/>
      </w:pPr>
      <w:r w:rsidRPr="004A0212">
        <w:t>The Mental Defectives Act 1911 set out the conditions for admission into disability and mental health institutions until it was replaced by the Mental Health Act 1969. The Mental Defectives Act 1911 was the first legislation in Aotearoa New Zealand to categorise types of disability, long-term health conditions and mental distress. The Act arranged ‘mental defectives’ into six categories: persons of unsound mind, mentally infirm, idiots, imbeciles, feeble-minded and epileptics.</w:t>
      </w:r>
      <w:r w:rsidRPr="004A0212">
        <w:rPr>
          <w:rStyle w:val="EndnoteReference"/>
        </w:rPr>
        <w:t xml:space="preserve"> </w:t>
      </w:r>
      <w:r w:rsidRPr="004A0212">
        <w:rPr>
          <w:rStyle w:val="StyleFootnoteReferenceFagoFunotenzeichenFagoFunotenzeichen"/>
        </w:rPr>
        <w:endnoteReference w:id="656"/>
      </w:r>
      <w:r w:rsidRPr="004A0212">
        <w:t xml:space="preserve"> </w:t>
      </w:r>
    </w:p>
    <w:p w14:paraId="22154669" w14:textId="77777777" w:rsidR="00FE4E56" w:rsidRPr="004A0212" w:rsidRDefault="00FE4E56" w:rsidP="0062717F">
      <w:pPr>
        <w:pStyle w:val="Numbparas"/>
      </w:pPr>
      <w:r w:rsidRPr="004A0212">
        <w:t>This was extended by the Mental Defectives Amendment Act 1928 to include a seventh category: persons socially defective (defined as anti-social behaviour requiring supervision).</w:t>
      </w:r>
      <w:r w:rsidRPr="004A0212">
        <w:rPr>
          <w:rStyle w:val="StyleFootnoteReferenceFagoFunotenzeichenFagoFunotenzeichen"/>
        </w:rPr>
        <w:endnoteReference w:id="657"/>
      </w:r>
      <w:r w:rsidRPr="004A0212">
        <w:t xml:space="preserve"> </w:t>
      </w:r>
    </w:p>
    <w:p w14:paraId="253AF2E7" w14:textId="3328B043" w:rsidR="00FE4E56" w:rsidRPr="004A0212" w:rsidRDefault="00FE4E56" w:rsidP="0062717F">
      <w:pPr>
        <w:pStyle w:val="Numbparas"/>
      </w:pPr>
      <w:r w:rsidRPr="004A0212">
        <w:t>The Mental Health Act 1969 replaced the Mental Health Act 1911 and its amendments but continued the same basic approach. Under the Mental Health Act 1969 anyone who met the definition of ‘mentally disordered’ in the Act, including those suffering from mental illness or deemed ‘mentally infirm’ or ‘mentally subnormal’ could be required to undergo treatment through a compulsory treatment order.</w:t>
      </w:r>
      <w:r w:rsidRPr="004A0212">
        <w:rPr>
          <w:rStyle w:val="EndnoteReference"/>
        </w:rPr>
        <w:endnoteReference w:id="658"/>
      </w:r>
      <w:r w:rsidRPr="004A0212">
        <w:t xml:space="preserve"> The 1969 Act was replaced by the Mental Health (Compulsory Assessment and Treatment) Act 1992.</w:t>
      </w:r>
    </w:p>
    <w:p w14:paraId="1D03FA45" w14:textId="77777777" w:rsidR="00FE4E56" w:rsidRDefault="00FE4E56" w:rsidP="0062717F">
      <w:pPr>
        <w:pStyle w:val="Heading3"/>
      </w:pPr>
      <w:bookmarkStart w:id="674" w:name="_Toc1546343378"/>
      <w:bookmarkStart w:id="675" w:name="_Toc181084986"/>
      <w:r w:rsidRPr="004A0212">
        <w:t>Whare hauora hinengaro</w:t>
      </w:r>
      <w:bookmarkEnd w:id="675"/>
    </w:p>
    <w:p w14:paraId="618549B4" w14:textId="6865FD6A" w:rsidR="00FE4E56" w:rsidRPr="004A0212" w:rsidRDefault="00FE4E56" w:rsidP="0062717F">
      <w:pPr>
        <w:pStyle w:val="Heading3"/>
      </w:pPr>
      <w:bookmarkStart w:id="676" w:name="_Toc181084987"/>
      <w:r w:rsidRPr="004A0212">
        <w:t>Psychiatric hospitals</w:t>
      </w:r>
      <w:bookmarkEnd w:id="674"/>
      <w:bookmarkEnd w:id="676"/>
    </w:p>
    <w:p w14:paraId="51696AA9" w14:textId="77777777" w:rsidR="00FE4E56" w:rsidRPr="004A0212" w:rsidRDefault="00FE4E56" w:rsidP="0062717F">
      <w:pPr>
        <w:pStyle w:val="Numbparas"/>
      </w:pPr>
      <w:r w:rsidRPr="004A0212">
        <w:t xml:space="preserve">For people who experienced mental distress during the Inquiry period, placement in psychiatric settings was often compulsory. It was not until the enactment of the Mental Health (Compulsory Assessment and Treatment) Act 1992 that the focus shifted to upholding the rights of those under compulsory treatment. </w:t>
      </w:r>
    </w:p>
    <w:p w14:paraId="542DC14A" w14:textId="77777777" w:rsidR="00FE4E56" w:rsidRPr="004A0212" w:rsidRDefault="00FE4E56" w:rsidP="0062717F">
      <w:pPr>
        <w:pStyle w:val="Numbparas"/>
      </w:pPr>
      <w:r w:rsidRPr="004A0212">
        <w:t>People who experienced mental distress were placed in psychiatric settings by order of the court, on an emergency basis, or through the criminal justice system. Sometimes people entered mental health settings voluntarily or on the advice of their family or clinician.</w:t>
      </w:r>
      <w:r w:rsidRPr="004A0212">
        <w:rPr>
          <w:rStyle w:val="StyleFootnoteReferenceFagoFunotenzeichenFagoFunotenzeichen"/>
        </w:rPr>
        <w:endnoteReference w:id="659"/>
      </w:r>
      <w:r w:rsidRPr="004A0212">
        <w:t xml:space="preserve"> </w:t>
      </w:r>
    </w:p>
    <w:p w14:paraId="7A5D234C" w14:textId="77777777" w:rsidR="00FE4E56" w:rsidRPr="004A0212" w:rsidRDefault="00FE4E56" w:rsidP="0062717F">
      <w:pPr>
        <w:pStyle w:val="Numbparas"/>
      </w:pPr>
      <w:r w:rsidRPr="004A0212">
        <w:t>The Mental Health (Compulsory Assessment and Treatment) Act 1992 led to substantial changes in New Zealand’s mental health system. It put more importance on the rights of patients, recognising the role of cultural factors in diagnosis and treatment and the right to appeal treatment.</w:t>
      </w:r>
      <w:r w:rsidRPr="004A0212">
        <w:rPr>
          <w:rStyle w:val="StyleFootnoteReferenceFagoFunotenzeichenFagoFunotenzeichen"/>
        </w:rPr>
        <w:endnoteReference w:id="660"/>
      </w:r>
      <w:r w:rsidRPr="004A0212">
        <w:t xml:space="preserve"> </w:t>
      </w:r>
    </w:p>
    <w:p w14:paraId="62201EA2" w14:textId="77777777" w:rsidR="00FE4E56" w:rsidRPr="004A0212" w:rsidRDefault="00FE4E56" w:rsidP="0062717F">
      <w:pPr>
        <w:pStyle w:val="Numbparas"/>
      </w:pPr>
      <w:r w:rsidRPr="004A0212">
        <w:lastRenderedPageBreak/>
        <w:t>The 1992 Act still enabled compulsory mental health assessment or treatment, if someone was judged to be a serious danger to themselves or others, or unable to take care of themselves.</w:t>
      </w:r>
      <w:r w:rsidRPr="004A0212">
        <w:rPr>
          <w:rStyle w:val="StyleFootnoteReferenceFagoFunotenzeichenFagoFunotenzeichen"/>
        </w:rPr>
        <w:endnoteReference w:id="661"/>
      </w:r>
      <w:r w:rsidRPr="004A0212">
        <w:t xml:space="preserve"> People experiencing mental distress could also be compulsorily assessed and treated in the community. </w:t>
      </w:r>
    </w:p>
    <w:p w14:paraId="054408CB" w14:textId="77777777" w:rsidR="00FE4E56" w:rsidRPr="004A0212" w:rsidRDefault="00FE4E56" w:rsidP="0062717F">
      <w:pPr>
        <w:pStyle w:val="Numbparas"/>
      </w:pPr>
      <w:r w:rsidRPr="004A0212">
        <w:t>The Director of Mental Health became responsible for administration of the Mental Health (Compulsory Assessment and Treatment) Act 1992.</w:t>
      </w:r>
      <w:r w:rsidRPr="004A0212">
        <w:rPr>
          <w:rStyle w:val="StyleFootnoteReferenceFagoFunotenzeichenFagoFunotenzeichen"/>
        </w:rPr>
        <w:endnoteReference w:id="662"/>
      </w:r>
      <w:r w:rsidRPr="004A0212">
        <w:t xml:space="preserve"> The Director-General of Health could also appoint a director of area mental health services for each region, to lead the mental health workforce for their area.</w:t>
      </w:r>
      <w:r w:rsidRPr="004A0212">
        <w:rPr>
          <w:rStyle w:val="StyleFootnoteReferenceFagoFunotenzeichenFagoFunotenzeichen"/>
        </w:rPr>
        <w:endnoteReference w:id="663"/>
      </w:r>
    </w:p>
    <w:p w14:paraId="1E12025B" w14:textId="77777777" w:rsidR="00FE4E56" w:rsidRPr="004A0212" w:rsidRDefault="00FE4E56" w:rsidP="0062717F">
      <w:pPr>
        <w:pStyle w:val="AllNumbparas"/>
      </w:pPr>
      <w:r w:rsidRPr="004A0212">
        <w:t>By 1911, Aotearoa New Zealand had six asylums – Tāmaki Makaurau Auckland, Porirua, Whakatū Nelson, Sunnyside (Waitaha Canterbury), Seaview (South Island West Coast) and Seacliff (Ōtepoti Dunedin) – with a combined total of 3,913 patients.</w:t>
      </w:r>
      <w:r w:rsidRPr="004A0212">
        <w:rPr>
          <w:rStyle w:val="StyleFootnoteReferenceFagoFunotenzeichenFagoFunotenzeichen"/>
        </w:rPr>
        <w:endnoteReference w:id="664"/>
      </w:r>
      <w:r w:rsidRPr="004A0212">
        <w:t xml:space="preserve"> As the 20</w:t>
      </w:r>
      <w:r w:rsidRPr="004A0212">
        <w:rPr>
          <w:vertAlign w:val="superscript"/>
        </w:rPr>
        <w:t>th</w:t>
      </w:r>
      <w:r w:rsidRPr="004A0212">
        <w:t xml:space="preserve"> century progressed, these buildings were replaced by villa-type residences, usually located in more rural areas.</w:t>
      </w:r>
      <w:r w:rsidRPr="004A0212">
        <w:rPr>
          <w:rStyle w:val="StyleFootnoteReferenceFagoFunotenzeichenFagoFunotenzeichen"/>
        </w:rPr>
        <w:endnoteReference w:id="665"/>
      </w:r>
    </w:p>
    <w:p w14:paraId="33F10FC9" w14:textId="77777777" w:rsidR="00FE4E56" w:rsidRPr="004A0212" w:rsidRDefault="00FE4E56" w:rsidP="0062717F">
      <w:pPr>
        <w:pStyle w:val="AllNumbparas"/>
      </w:pPr>
      <w:r w:rsidRPr="004A0212">
        <w:t>Psychiatric settings continued to grow as Kingseat (Tāmaki Makaurau Auckland), Tokanui (Te Awamutu), Cherry Farm (Ōtepoti Dunedin) and various inpatient units attached to hospitals were established. By 1996, almost all the large psychiatric hospitals had closed.</w:t>
      </w:r>
      <w:r w:rsidRPr="004A0212">
        <w:rPr>
          <w:rStyle w:val="StyleFootnoteReferenceFagoFunotenzeichenFagoFunotenzeichen"/>
        </w:rPr>
        <w:endnoteReference w:id="666"/>
      </w:r>
    </w:p>
    <w:p w14:paraId="7DF7884B" w14:textId="77777777" w:rsidR="00FE4E56" w:rsidRDefault="00FE4E56" w:rsidP="00926E67">
      <w:pPr>
        <w:pStyle w:val="Numbparas"/>
        <w:numPr>
          <w:ilvl w:val="0"/>
          <w:numId w:val="0"/>
        </w:numPr>
        <w:ind w:left="851"/>
        <w:rPr>
          <w:rStyle w:val="normaltextrun"/>
        </w:rPr>
      </w:pPr>
      <w:bookmarkStart w:id="677" w:name="_Toc82243946"/>
    </w:p>
    <w:p w14:paraId="72233208" w14:textId="2A7275EB" w:rsidR="00FE4E56" w:rsidRPr="00FB6DE5" w:rsidRDefault="00335F74" w:rsidP="0063357F">
      <w:pPr>
        <w:pStyle w:val="Numbparas"/>
        <w:numPr>
          <w:ilvl w:val="0"/>
          <w:numId w:val="0"/>
        </w:numPr>
        <w:ind w:left="1701"/>
        <w:rPr>
          <w:rStyle w:val="normaltextrun"/>
        </w:rPr>
      </w:pPr>
      <w:r>
        <w:rPr>
          <w:rStyle w:val="normaltextrun"/>
        </w:rPr>
        <w:tab/>
      </w:r>
      <w:r>
        <w:rPr>
          <w:rStyle w:val="normaltextrun"/>
        </w:rPr>
        <w:tab/>
      </w:r>
      <w:r>
        <w:rPr>
          <w:rStyle w:val="normaltextrun"/>
        </w:rPr>
        <w:tab/>
      </w:r>
      <w:r w:rsidR="00FE4E56" w:rsidRPr="00FB6DE5">
        <w:rPr>
          <w:rStyle w:val="normaltextrun"/>
        </w:rPr>
        <w:t>[Survivor quote]</w:t>
      </w:r>
    </w:p>
    <w:p w14:paraId="4B43455B" w14:textId="77777777" w:rsidR="00FE4E56" w:rsidRPr="0063357F" w:rsidRDefault="00FE4E56" w:rsidP="0063357F">
      <w:pPr>
        <w:pStyle w:val="AllQuotes"/>
        <w:rPr>
          <w:rFonts w:eastAsia="Arial" w:cs="Arial"/>
          <w:b/>
          <w:bCs/>
          <w:szCs w:val="22"/>
        </w:rPr>
      </w:pPr>
      <w:r w:rsidRPr="0063357F">
        <w:rPr>
          <w:rFonts w:eastAsia="Arial" w:cs="Arial"/>
          <w:b/>
          <w:bCs/>
          <w:szCs w:val="22"/>
        </w:rPr>
        <w:t>“I did complain once about how I was treated but I guess they didn’t believe me because nothing was done, except I got a hiding when they left.”</w:t>
      </w:r>
    </w:p>
    <w:p w14:paraId="6EC895FD" w14:textId="77777777" w:rsidR="00FE4E56" w:rsidRPr="0063357F" w:rsidRDefault="00FE4E56" w:rsidP="0063357F">
      <w:pPr>
        <w:pStyle w:val="AllQuotes"/>
        <w:rPr>
          <w:rFonts w:eastAsia="Arial" w:cs="Arial"/>
          <w:b/>
          <w:bCs/>
          <w:szCs w:val="22"/>
        </w:rPr>
      </w:pPr>
      <w:r w:rsidRPr="0063357F">
        <w:rPr>
          <w:rFonts w:eastAsia="Arial" w:cs="Arial"/>
          <w:b/>
          <w:bCs/>
          <w:szCs w:val="22"/>
        </w:rPr>
        <w:t>Peter Evaroa</w:t>
      </w:r>
    </w:p>
    <w:p w14:paraId="0F3A54C0" w14:textId="77777777" w:rsidR="00FE4E56" w:rsidRPr="0063357F" w:rsidRDefault="00FE4E56" w:rsidP="0063357F">
      <w:pPr>
        <w:pStyle w:val="AllQuotes"/>
        <w:rPr>
          <w:rFonts w:eastAsia="Arial" w:cs="Arial"/>
          <w:b/>
          <w:bCs/>
          <w:szCs w:val="22"/>
        </w:rPr>
      </w:pPr>
      <w:r w:rsidRPr="0063357F">
        <w:rPr>
          <w:rFonts w:eastAsia="Arial" w:cs="Arial"/>
          <w:b/>
          <w:bCs/>
          <w:szCs w:val="22"/>
        </w:rPr>
        <w:t xml:space="preserve">Rarotongan and Pākehā </w:t>
      </w:r>
    </w:p>
    <w:p w14:paraId="236486FA" w14:textId="4BD2070A" w:rsidR="00FE4E56" w:rsidRDefault="00FE4E56" w:rsidP="00926E67">
      <w:pPr>
        <w:pStyle w:val="Heading3"/>
      </w:pPr>
      <w:bookmarkStart w:id="678" w:name="_Toc181084988"/>
      <w:r w:rsidRPr="004A0212">
        <w:t>Whare hauora hinengaro tamariki</w:t>
      </w:r>
      <w:bookmarkEnd w:id="678"/>
    </w:p>
    <w:p w14:paraId="41F76ABC" w14:textId="2BB7C545" w:rsidR="00FE4E56" w:rsidRPr="004A0212" w:rsidRDefault="00FE4E56" w:rsidP="0062717F">
      <w:pPr>
        <w:pStyle w:val="Heading3"/>
      </w:pPr>
      <w:bookmarkStart w:id="679" w:name="_Toc181084989"/>
      <w:r w:rsidRPr="004A0212">
        <w:t>Psychopaedic hospitals</w:t>
      </w:r>
      <w:bookmarkEnd w:id="677"/>
      <w:bookmarkEnd w:id="679"/>
    </w:p>
    <w:p w14:paraId="4BC68A89" w14:textId="77777777" w:rsidR="00FE4E56" w:rsidRPr="004A0212" w:rsidRDefault="00FE4E56" w:rsidP="0062717F">
      <w:pPr>
        <w:pStyle w:val="AllNumbparas"/>
      </w:pPr>
      <w:r w:rsidRPr="004A0212">
        <w:t>Psychopaedic was a 20</w:t>
      </w:r>
      <w:r w:rsidRPr="004A0212">
        <w:rPr>
          <w:vertAlign w:val="superscript"/>
        </w:rPr>
        <w:t>th</w:t>
      </w:r>
      <w:r w:rsidRPr="004A0212">
        <w:t xml:space="preserve"> century Aotearoa New Zealand term to distinguish children, young people and adults with a learning disability from people who experienced mental distress. The main psychopaedic institutions were Templeton (Waitaha Canterbury), Kimberley (Taitoko Levin), Braemar (Whakatū Nelson) and Mangere (Tāmaki Makaurau Auckland).</w:t>
      </w:r>
      <w:r w:rsidRPr="004A0212">
        <w:rPr>
          <w:rStyle w:val="StyleFootnoteReferenceFagoFunotenzeichenFagoFunotenzeichen"/>
        </w:rPr>
        <w:endnoteReference w:id="667"/>
      </w:r>
      <w:r w:rsidRPr="004A0212">
        <w:t xml:space="preserve"> Some psychiatric hospitals such as Tokanui had psychopaedic wards.</w:t>
      </w:r>
    </w:p>
    <w:p w14:paraId="1ABD7440" w14:textId="77777777" w:rsidR="00FE4E56" w:rsidRPr="004A0212" w:rsidRDefault="00FE4E56" w:rsidP="0062717F">
      <w:pPr>
        <w:pStyle w:val="AllNumbparas"/>
      </w:pPr>
      <w:r w:rsidRPr="004A0212">
        <w:t>Families could voluntarily place their disabled family member into one of these hospitals, often because a lack of other supports in the community meant they had no other real options. Authorities such as medical staff often recommended psychopaedic care as the best choice.</w:t>
      </w:r>
    </w:p>
    <w:p w14:paraId="712183DA" w14:textId="77777777" w:rsidR="00FE4E56" w:rsidRPr="004A0212" w:rsidRDefault="00FE4E56" w:rsidP="0062717F">
      <w:pPr>
        <w:pStyle w:val="AllNumbparas"/>
      </w:pPr>
      <w:r w:rsidRPr="004A0212">
        <w:t>The large institutions began to close in the 1990s and were replaced with smaller group residential homes. These were mainly run by voluntary organisations contracted by the State, such as the IHC and trusts.</w:t>
      </w:r>
      <w:r w:rsidRPr="004A0212">
        <w:rPr>
          <w:rStyle w:val="EndnoteReference"/>
        </w:rPr>
        <w:endnoteReference w:id="668"/>
      </w:r>
    </w:p>
    <w:p w14:paraId="2A4EEDED" w14:textId="77777777" w:rsidR="00E161C1" w:rsidRDefault="00E161C1">
      <w:pPr>
        <w:keepLines w:val="0"/>
        <w:rPr>
          <w:rFonts w:ascii="Arial" w:hAnsi="Arial" w:cs="Helvetica"/>
          <w:color w:val="3B5D1E" w:themeColor="accent4" w:themeShade="BF"/>
          <w:szCs w:val="26"/>
        </w:rPr>
      </w:pPr>
      <w:bookmarkStart w:id="680" w:name="_Toc1637190099"/>
      <w:r>
        <w:br w:type="page"/>
      </w:r>
    </w:p>
    <w:p w14:paraId="2276C947" w14:textId="67F482E8" w:rsidR="00FE4E56" w:rsidRDefault="00FE4E56" w:rsidP="0062717F">
      <w:pPr>
        <w:pStyle w:val="Heading3"/>
      </w:pPr>
      <w:bookmarkStart w:id="681" w:name="_Toc181084990"/>
      <w:r w:rsidRPr="004A0212">
        <w:lastRenderedPageBreak/>
        <w:t>Kāinga mō te hunga whaikaha ā-tinana</w:t>
      </w:r>
      <w:bookmarkEnd w:id="681"/>
    </w:p>
    <w:p w14:paraId="2DCC42C6" w14:textId="4417A1E9" w:rsidR="00FE4E56" w:rsidRPr="004A0212" w:rsidRDefault="00FE4E56" w:rsidP="0062717F">
      <w:pPr>
        <w:pStyle w:val="Heading3"/>
      </w:pPr>
      <w:bookmarkStart w:id="682" w:name="_Toc181084991"/>
      <w:r w:rsidRPr="004A0212">
        <w:t>Homes for physically disabled people</w:t>
      </w:r>
      <w:bookmarkEnd w:id="680"/>
      <w:bookmarkEnd w:id="682"/>
    </w:p>
    <w:p w14:paraId="102A7415" w14:textId="77777777" w:rsidR="00FE4E56" w:rsidRPr="004A0212" w:rsidRDefault="00FE4E56" w:rsidP="0062717F">
      <w:pPr>
        <w:pStyle w:val="AllNumbparas"/>
      </w:pPr>
      <w:r w:rsidRPr="004A0212">
        <w:t>For disabled people with no family support, limited care options existed until the establishment of some group homes in the early 20</w:t>
      </w:r>
      <w:r w:rsidRPr="004A0212">
        <w:rPr>
          <w:vertAlign w:val="superscript"/>
        </w:rPr>
        <w:t>th</w:t>
      </w:r>
      <w:r w:rsidRPr="004A0212">
        <w:t xml:space="preserve"> century. In 1914, the Elizabeth Knox Home and Hospital opened in Tāmaki Makaurau Auckland, with the specific purpose of caring for disabled people with physical impairments.</w:t>
      </w:r>
      <w:r w:rsidRPr="004A0212">
        <w:rPr>
          <w:rStyle w:val="StyleFootnoteReferenceFagoFunotenzeichenFagoFunotenzeichen"/>
        </w:rPr>
        <w:endnoteReference w:id="669"/>
      </w:r>
    </w:p>
    <w:p w14:paraId="16AA948C" w14:textId="77777777" w:rsidR="00FE4E56" w:rsidRPr="00A91A97" w:rsidRDefault="00FE4E56" w:rsidP="0062717F">
      <w:pPr>
        <w:pStyle w:val="AllNumbparas"/>
        <w:rPr>
          <w:color w:val="3B5D1E" w:themeColor="accent4" w:themeShade="BF"/>
          <w:szCs w:val="26"/>
        </w:rPr>
      </w:pPr>
      <w:r w:rsidRPr="004A0212">
        <w:t>Pukeora, an institution for children and young adults with physical impairments, was founded near Dannevirke in the late 1950s.</w:t>
      </w:r>
      <w:r w:rsidRPr="004A0212">
        <w:rPr>
          <w:rStyle w:val="StyleFootnoteReferenceFagoFunotenzeichenFagoFunotenzeichen"/>
        </w:rPr>
        <w:endnoteReference w:id="670"/>
      </w:r>
    </w:p>
    <w:p w14:paraId="7DBB2C7E" w14:textId="77777777" w:rsidR="00FE4E56" w:rsidRDefault="00FE4E56" w:rsidP="0062717F">
      <w:pPr>
        <w:pStyle w:val="Heading3"/>
      </w:pPr>
      <w:bookmarkStart w:id="683" w:name="_Toc698592186"/>
      <w:bookmarkStart w:id="684" w:name="_Toc181084992"/>
      <w:r w:rsidRPr="004A0212">
        <w:t>Wāhi mahi āhuru</w:t>
      </w:r>
      <w:bookmarkEnd w:id="684"/>
    </w:p>
    <w:p w14:paraId="6199C89B" w14:textId="59AB4A2D" w:rsidR="00FE4E56" w:rsidRPr="004A0212" w:rsidRDefault="00FE4E56" w:rsidP="0062717F">
      <w:pPr>
        <w:pStyle w:val="Heading3"/>
      </w:pPr>
      <w:bookmarkStart w:id="685" w:name="_Toc181084993"/>
      <w:r w:rsidRPr="004A0212">
        <w:t>Sheltered workshops</w:t>
      </w:r>
      <w:bookmarkEnd w:id="683"/>
      <w:bookmarkEnd w:id="685"/>
    </w:p>
    <w:p w14:paraId="63B1C2D0" w14:textId="77777777" w:rsidR="00FE4E56" w:rsidRPr="004A0212" w:rsidRDefault="00FE4E56" w:rsidP="0062717F">
      <w:pPr>
        <w:pStyle w:val="AllNumbparas"/>
      </w:pPr>
      <w:r w:rsidRPr="004A0212">
        <w:t>From the early part of the 20</w:t>
      </w:r>
      <w:r w:rsidRPr="004A0212">
        <w:rPr>
          <w:vertAlign w:val="superscript"/>
        </w:rPr>
        <w:t>th</w:t>
      </w:r>
      <w:r w:rsidRPr="004A0212">
        <w:t xml:space="preserve"> century, sheltered workshops provided employment and training for wounded war veterans, or disabled civilians with learning or physical impairments.</w:t>
      </w:r>
      <w:r w:rsidRPr="004A0212">
        <w:rPr>
          <w:rStyle w:val="StyleFootnoteReferenceFagoFunotenzeichenFagoFunotenzeichen"/>
        </w:rPr>
        <w:endnoteReference w:id="671"/>
      </w:r>
      <w:r w:rsidRPr="004A0212">
        <w:t xml:space="preserve"> The work was menial and repetitive, and payment was tokenistic. However, the workshops became the main source of occupation for many disabled people.</w:t>
      </w:r>
    </w:p>
    <w:p w14:paraId="358BA3F8" w14:textId="77777777" w:rsidR="00FE4E56" w:rsidRPr="004A0212" w:rsidRDefault="00FE4E56" w:rsidP="0062717F">
      <w:pPr>
        <w:pStyle w:val="AllNumbparas"/>
      </w:pPr>
      <w:r w:rsidRPr="004A0212">
        <w:t>In 1956, the responsibility for the Occupational Centres, originally founded by the Intellectually Handicapped Children’s Parents Association, was transferred to the control of regional Education Boards. These centres became Day Special Schools under the management of the State. Children who had attended day programmes run by voluntary groups could transfer to the special schools. Government funding was provided to the IHC Occupation Workshops catering for the needs of adults with learning disability.</w:t>
      </w:r>
      <w:r w:rsidRPr="004A0212">
        <w:rPr>
          <w:rStyle w:val="StyleFootnoteReferenceFagoFunotenzeichenFagoFunotenzeichen"/>
        </w:rPr>
        <w:endnoteReference w:id="672"/>
      </w:r>
    </w:p>
    <w:p w14:paraId="491E24FB" w14:textId="77777777" w:rsidR="00FE4E56" w:rsidRPr="004A0212" w:rsidRDefault="00FE4E56" w:rsidP="0062717F">
      <w:pPr>
        <w:pStyle w:val="AllNumbparas"/>
      </w:pPr>
      <w:r w:rsidRPr="004A0212">
        <w:t>Disabled people who worked in sheltered workshops were not given the same rights as other employees and were exempt from legislation designed to protect employees throughout the Inquiry period.</w:t>
      </w:r>
      <w:r w:rsidRPr="004A0212">
        <w:rPr>
          <w:rStyle w:val="StyleFootnoteReferenceFagoFunotenzeichenFagoFunotenzeichen"/>
        </w:rPr>
        <w:endnoteReference w:id="673"/>
      </w:r>
    </w:p>
    <w:p w14:paraId="7E87E94E" w14:textId="77777777" w:rsidR="00FE4E56" w:rsidRDefault="00FE4E56" w:rsidP="0062717F">
      <w:pPr>
        <w:pStyle w:val="Heading3"/>
      </w:pPr>
      <w:bookmarkStart w:id="686" w:name="_Toc1433933393"/>
      <w:bookmarkStart w:id="687" w:name="_Toc181084994"/>
      <w:r w:rsidRPr="004A0212">
        <w:t>Hōpuni hauora</w:t>
      </w:r>
      <w:bookmarkEnd w:id="687"/>
    </w:p>
    <w:p w14:paraId="247D7A64" w14:textId="1B4974B8" w:rsidR="00FE4E56" w:rsidRPr="004A0212" w:rsidRDefault="00FE4E56" w:rsidP="0062717F">
      <w:pPr>
        <w:pStyle w:val="Heading3"/>
      </w:pPr>
      <w:bookmarkStart w:id="688" w:name="_Toc181084995"/>
      <w:r w:rsidRPr="004A0212">
        <w:t>Health camps</w:t>
      </w:r>
      <w:bookmarkEnd w:id="686"/>
      <w:bookmarkEnd w:id="688"/>
    </w:p>
    <w:p w14:paraId="7CCD138F" w14:textId="264144FD" w:rsidR="00FE4E56" w:rsidRPr="004A0212" w:rsidRDefault="00FE4E56" w:rsidP="0062717F">
      <w:pPr>
        <w:pStyle w:val="Numbparas"/>
      </w:pPr>
      <w:r w:rsidRPr="004A0212">
        <w:t>Health camps were established in the early 20</w:t>
      </w:r>
      <w:r w:rsidRPr="004A0212">
        <w:rPr>
          <w:vertAlign w:val="superscript"/>
        </w:rPr>
        <w:t>th</w:t>
      </w:r>
      <w:r w:rsidRPr="004A0212">
        <w:t xml:space="preserve"> century and focused on physical health and nutrition for children and young people, such as recovering from tuberculosis, or to put on weight or increase fitness and learn healthy habits.</w:t>
      </w:r>
      <w:r w:rsidRPr="004A0212">
        <w:rPr>
          <w:rStyle w:val="StyleFootnoteReferenceFagoFunotenzeichenFagoFunotenzeichen"/>
        </w:rPr>
        <w:endnoteReference w:id="674"/>
      </w:r>
      <w:r w:rsidRPr="004A0212">
        <w:t xml:space="preserve"> Responsibility for health camps was shared between the Department of Health and the Department of Education.</w:t>
      </w:r>
      <w:r w:rsidRPr="004A0212">
        <w:rPr>
          <w:rStyle w:val="StyleFootnoteReferenceFagoFunotenzeichenFagoFunotenzeichen"/>
        </w:rPr>
        <w:endnoteReference w:id="675"/>
      </w:r>
      <w:r w:rsidRPr="004A0212">
        <w:t xml:space="preserve"> Health camps were administered by a board and had their own legislation – the King George V Memorial Fund Act 1938 and the Children’s Health Camp Act 1972.</w:t>
      </w:r>
      <w:r w:rsidRPr="004A0212">
        <w:rPr>
          <w:rStyle w:val="StyleFootnoteReferenceFagoFunotenzeichenFagoFunotenzeichen"/>
        </w:rPr>
        <w:endnoteReference w:id="676"/>
      </w:r>
      <w:r w:rsidRPr="004A0212">
        <w:t xml:space="preserve"> </w:t>
      </w:r>
    </w:p>
    <w:p w14:paraId="62744EDB" w14:textId="31006731" w:rsidR="00FE4E56" w:rsidRPr="004A0212" w:rsidRDefault="00FE4E56" w:rsidP="0062717F">
      <w:pPr>
        <w:pStyle w:val="Numbparas"/>
      </w:pPr>
      <w:r w:rsidRPr="004A0212">
        <w:t>From the 1960s onwards, the focus turned to children with emotional or behavioural difficulties. Health camps provided respite care, particularly those with difficult home lives. This was in line with the better understanding of children and child psychology emerging at the time.</w:t>
      </w:r>
    </w:p>
    <w:p w14:paraId="230215C8" w14:textId="77777777" w:rsidR="00FE4E56" w:rsidRPr="004A0212" w:rsidRDefault="00FE4E56" w:rsidP="0062717F">
      <w:pPr>
        <w:pStyle w:val="AllNumbparas"/>
      </w:pPr>
      <w:r w:rsidRPr="004A0212">
        <w:lastRenderedPageBreak/>
        <w:t xml:space="preserve">By the 1950s, permanent health camps had been established in Whangarei, Pakuranga, Tairāwhiti Gisborne, Ōtaki, Whakatū Nelson, Ōtautahi Christchurch (Glenelg) and Roxburgh (Ōtākou Otago). Children were referred to them through </w:t>
      </w:r>
      <w:r w:rsidRPr="004A0212">
        <w:rPr>
          <w:color w:val="000000"/>
        </w:rPr>
        <w:t>school nurses, teachers or their family doctor.</w:t>
      </w:r>
      <w:r w:rsidRPr="004A0212">
        <w:rPr>
          <w:rStyle w:val="EndnoteReference"/>
          <w:color w:val="000000"/>
        </w:rPr>
        <w:endnoteReference w:id="677"/>
      </w:r>
    </w:p>
    <w:p w14:paraId="220A548D" w14:textId="0D11E8CA" w:rsidR="00FE4E56" w:rsidRPr="004A0212" w:rsidRDefault="00FE4E56" w:rsidP="0062717F">
      <w:pPr>
        <w:pStyle w:val="AllNumbparas"/>
      </w:pPr>
      <w:r w:rsidRPr="004A0212">
        <w:t>By the 1980s all the camps were still in use, other than the camp at Whakatū Nelson. In 1983 the Princess of Wales Children’s Health Camp was opened in Rotorua. In the late 1990s some of these health camps began to close. In 1999 responsibility for remaining health camps and their liabilities was transferred to a charitable trust, Stand Tu Māia.</w:t>
      </w:r>
      <w:r w:rsidRPr="004A0212">
        <w:rPr>
          <w:rStyle w:val="StyleFootnoteReferenceFagoFunotenzeichenFagoFunotenzeichen"/>
        </w:rPr>
        <w:endnoteReference w:id="678"/>
      </w:r>
    </w:p>
    <w:p w14:paraId="71B1EC85" w14:textId="77777777" w:rsidR="00FE4E56" w:rsidRDefault="00FE4E56" w:rsidP="00282055">
      <w:pPr>
        <w:pStyle w:val="Heading2"/>
      </w:pPr>
      <w:bookmarkStart w:id="689" w:name="_Toc1334496812"/>
      <w:bookmarkStart w:id="690" w:name="_Toc181084996"/>
      <w:r w:rsidRPr="004A0212">
        <w:t>Mātauranga</w:t>
      </w:r>
      <w:bookmarkEnd w:id="690"/>
    </w:p>
    <w:p w14:paraId="015A7639" w14:textId="6C0F7E8C" w:rsidR="00FE4E56" w:rsidRPr="004A0212" w:rsidRDefault="00FE4E56" w:rsidP="00282055">
      <w:pPr>
        <w:pStyle w:val="Heading2"/>
      </w:pPr>
      <w:bookmarkStart w:id="691" w:name="_Toc181084997"/>
      <w:r w:rsidRPr="004A0212">
        <w:t>Education</w:t>
      </w:r>
      <w:bookmarkEnd w:id="689"/>
      <w:bookmarkEnd w:id="691"/>
    </w:p>
    <w:p w14:paraId="067629C0" w14:textId="77777777" w:rsidR="00FE4E56" w:rsidRPr="004A0212" w:rsidRDefault="00FE4E56" w:rsidP="0062717F">
      <w:pPr>
        <w:pStyle w:val="Heading3"/>
      </w:pPr>
      <w:bookmarkStart w:id="692" w:name="_Toc1603441475"/>
      <w:bookmarkStart w:id="693" w:name="_Toc181084998"/>
      <w:r w:rsidRPr="004A0212">
        <w:rPr>
          <w:lang w:val="en-US"/>
        </w:rPr>
        <w:t>Te Ture Mātauranga me Te Tari Mātauranga</w:t>
      </w:r>
      <w:bookmarkEnd w:id="692"/>
      <w:bookmarkEnd w:id="693"/>
      <w:r w:rsidRPr="004A0212">
        <w:rPr>
          <w:lang w:val="en-US"/>
        </w:rPr>
        <w:t xml:space="preserve"> </w:t>
      </w:r>
    </w:p>
    <w:p w14:paraId="7E2C5156" w14:textId="77777777" w:rsidR="00FE4E56" w:rsidRPr="004053E9" w:rsidRDefault="00FE4E56" w:rsidP="004053E9">
      <w:pPr>
        <w:pStyle w:val="Heading3"/>
      </w:pPr>
      <w:bookmarkStart w:id="694" w:name="_Toc1790843507"/>
      <w:bookmarkStart w:id="695" w:name="_Toc181084999"/>
      <w:r w:rsidRPr="004053E9">
        <w:t>Education legislation and the Department of Education</w:t>
      </w:r>
      <w:bookmarkEnd w:id="694"/>
      <w:bookmarkEnd w:id="695"/>
    </w:p>
    <w:p w14:paraId="05394A7D" w14:textId="1C644A72" w:rsidR="00FE4E56" w:rsidRPr="004A0212" w:rsidRDefault="00FE4E56" w:rsidP="0062717F">
      <w:pPr>
        <w:pStyle w:val="Numbparas"/>
      </w:pPr>
      <w:r w:rsidRPr="004A0212">
        <w:t>Up until 1989, the Director-General of Education oversaw the administration of</w:t>
      </w:r>
      <w:r w:rsidRPr="004A0212">
        <w:br/>
        <w:t>the education sector under the Education Acts 1877, 1914 and 1964, along with their amendments and regulations. The Department of Education had regional offices in Tāmaki Makaurau Auckland, Te Whanganui-</w:t>
      </w:r>
      <w:r w:rsidRPr="008F1FC0">
        <w:t>ā</w:t>
      </w:r>
      <w:r w:rsidRPr="004A0212">
        <w:t xml:space="preserve">-Tara Wellington, and </w:t>
      </w:r>
      <w:r w:rsidRPr="004A0212">
        <w:rPr>
          <w:rStyle w:val="normaltextrun"/>
        </w:rPr>
        <w:t>Ōtautahi</w:t>
      </w:r>
      <w:r w:rsidRPr="004A0212">
        <w:t xml:space="preserve"> Christchurch, each under the control of a superintendent.</w:t>
      </w:r>
      <w:r w:rsidRPr="004A0212">
        <w:rPr>
          <w:rStyle w:val="StyleFootnoteReferenceFagoFunotenzeichenFagoFunotenzeichen"/>
        </w:rPr>
        <w:endnoteReference w:id="679"/>
      </w:r>
    </w:p>
    <w:p w14:paraId="01EB4367" w14:textId="090362AB" w:rsidR="00FE4E56" w:rsidRPr="004A0212" w:rsidRDefault="00FE4E56" w:rsidP="0062717F">
      <w:pPr>
        <w:pStyle w:val="Numbparas"/>
      </w:pPr>
      <w:r w:rsidRPr="004A0212">
        <w:t>The Department inspected all schools (State, State integrated and private), organised the recruitment, training and assessment of teachers, and directly controlled departmental special schools, the Correspondence School, and the Psychological Service (a diagnostic, advisory, and counselling service for children whose academic or social progress was causing concern).</w:t>
      </w:r>
      <w:r w:rsidRPr="004A0212">
        <w:rPr>
          <w:rStyle w:val="StyleFootnoteReferenceFagoFunotenzeichenFagoFunotenzeichen"/>
        </w:rPr>
        <w:endnoteReference w:id="680"/>
      </w:r>
    </w:p>
    <w:p w14:paraId="39857D6B" w14:textId="77777777" w:rsidR="00FE4E56" w:rsidRPr="004A0212" w:rsidRDefault="00FE4E56" w:rsidP="0062717F">
      <w:pPr>
        <w:pStyle w:val="Numbparas"/>
      </w:pPr>
      <w:r w:rsidRPr="004A0212">
        <w:t>Ten regional education boards were responsible for the control and management of State primary schools. Each primary school also had a school committee whose main responsibilities were the maintenance of school buildings, grounds and equipment.</w:t>
      </w:r>
      <w:r w:rsidRPr="004A0212">
        <w:rPr>
          <w:rStyle w:val="StyleFootnoteReferenceFagoFunotenzeichenFagoFunotenzeichen"/>
        </w:rPr>
        <w:endnoteReference w:id="681"/>
      </w:r>
    </w:p>
    <w:p w14:paraId="512931C9" w14:textId="77777777" w:rsidR="00FE4E56" w:rsidRPr="004A0212" w:rsidRDefault="00FE4E56" w:rsidP="0062717F">
      <w:pPr>
        <w:pStyle w:val="Numbparas"/>
      </w:pPr>
      <w:r w:rsidRPr="004A0212">
        <w:t>State secondary schools were administered by boards of governors (made up of representatives of parents, members of the education board of the district, representatives of other local organisations, and a teacher), which was responsible for the management of the school, including the appointment of the principal and staff.</w:t>
      </w:r>
      <w:r w:rsidRPr="004A0212">
        <w:rPr>
          <w:rStyle w:val="StyleFootnoteReferenceFagoFunotenzeichenFagoFunotenzeichen"/>
        </w:rPr>
        <w:endnoteReference w:id="682"/>
      </w:r>
    </w:p>
    <w:p w14:paraId="3467DA8A" w14:textId="77777777" w:rsidR="00FE4E56" w:rsidRPr="004A0212" w:rsidRDefault="00FE4E56" w:rsidP="0062717F">
      <w:pPr>
        <w:pStyle w:val="Numbparas"/>
      </w:pPr>
      <w:r w:rsidRPr="004A0212">
        <w:t>The Education Act 1989 saw a major change in the education sector with the Tomorrow’s Schools reforms. These reforms changed the way schools and kura were governed. Decision-making moved away from central government agencies to school communities via self-managing and self-governing locally elected school boards of trustees. The Department of Education was abolished by the Education Act 1989 and replaced by the smaller Ministry of Education.</w:t>
      </w:r>
    </w:p>
    <w:p w14:paraId="77767E65" w14:textId="77777777" w:rsidR="00E161C1" w:rsidRDefault="00E161C1">
      <w:pPr>
        <w:keepLines w:val="0"/>
        <w:rPr>
          <w:rFonts w:ascii="Arial" w:eastAsia="Calibri" w:hAnsi="Arial" w:cs="Arial"/>
          <w:bCs/>
          <w:color w:val="222222"/>
          <w:sz w:val="22"/>
          <w:szCs w:val="22"/>
          <w:shd w:val="clear" w:color="auto" w:fill="FFFFFF"/>
        </w:rPr>
      </w:pPr>
      <w:r>
        <w:br w:type="page"/>
      </w:r>
    </w:p>
    <w:p w14:paraId="0F37B6E7" w14:textId="310A694D" w:rsidR="00FE4E56" w:rsidRDefault="00FE4E56" w:rsidP="0062717F">
      <w:pPr>
        <w:pStyle w:val="Numbparas"/>
      </w:pPr>
      <w:r w:rsidRPr="004A0212">
        <w:lastRenderedPageBreak/>
        <w:t>The Education Act 1989 brought in powers to allow the Secretary for Education to intervene in the control and management of schools in trouble, including in some circumstances dissolving the Board and appointing a Commissioner in its place.</w:t>
      </w:r>
      <w:r w:rsidRPr="004A0212">
        <w:rPr>
          <w:rStyle w:val="StyleFootnoteReferenceFagoFunotenzeichenFagoFunotenzeichen"/>
        </w:rPr>
        <w:endnoteReference w:id="683"/>
      </w:r>
      <w:r w:rsidRPr="004A0212">
        <w:t xml:space="preserve"> From 1990 the Secretary of Education had powers of entry and inspection of all registered schools. From 1998 they also had powers to enter private schools suspected of operating while unregistered.</w:t>
      </w:r>
      <w:r w:rsidRPr="004A0212">
        <w:rPr>
          <w:rStyle w:val="StyleFootnoteReferenceFagoFunotenzeichenFagoFunotenzeichen"/>
        </w:rPr>
        <w:endnoteReference w:id="684"/>
      </w:r>
    </w:p>
    <w:p w14:paraId="169588E1" w14:textId="77777777" w:rsidR="00FE4E56" w:rsidRDefault="00FE4E56" w:rsidP="00926E67">
      <w:pPr>
        <w:pStyle w:val="Numbparas"/>
        <w:numPr>
          <w:ilvl w:val="0"/>
          <w:numId w:val="0"/>
        </w:numPr>
        <w:ind w:left="851"/>
      </w:pPr>
    </w:p>
    <w:p w14:paraId="01B0ED4B" w14:textId="2E967198" w:rsidR="00FE4E56" w:rsidRDefault="00F9423D" w:rsidP="00926E67">
      <w:pPr>
        <w:pStyle w:val="Numbparas"/>
        <w:numPr>
          <w:ilvl w:val="0"/>
          <w:numId w:val="0"/>
        </w:numPr>
        <w:ind w:left="851"/>
        <w:rPr>
          <w:b/>
        </w:rPr>
      </w:pPr>
      <w:r>
        <w:tab/>
      </w:r>
      <w:r>
        <w:tab/>
      </w:r>
      <w:r w:rsidR="00FE4E56" w:rsidRPr="44ADDF6E">
        <w:t>[Quote]</w:t>
      </w:r>
    </w:p>
    <w:p w14:paraId="465AF003" w14:textId="77777777" w:rsidR="00FE4E56" w:rsidRPr="0035349A" w:rsidRDefault="00FE4E56" w:rsidP="0035349A">
      <w:pPr>
        <w:pStyle w:val="AllQuotes"/>
        <w:rPr>
          <w:rFonts w:eastAsia="Arial" w:cs="Arial"/>
          <w:b/>
          <w:bCs/>
          <w:szCs w:val="22"/>
        </w:rPr>
      </w:pPr>
      <w:r w:rsidRPr="0035349A">
        <w:rPr>
          <w:rFonts w:eastAsia="Arial" w:cs="Arial"/>
          <w:b/>
          <w:bCs/>
          <w:szCs w:val="22"/>
        </w:rPr>
        <w:t>“The institutionalisation of children and young people was not only an impact of being placed in social welfare institutions, but also a deliberate strategy to address perceived delinquency. Children and young people considered too difficult, old, or ‘unsocialised’ for foster care would often be placed in social welfare institutions to fix their behaviour.”</w:t>
      </w:r>
    </w:p>
    <w:p w14:paraId="29B6713E" w14:textId="4D1E5D5C" w:rsidR="00FE4E56" w:rsidRPr="0035349A" w:rsidRDefault="00D60EDD" w:rsidP="0035349A">
      <w:pPr>
        <w:pStyle w:val="AllQuotes"/>
        <w:rPr>
          <w:rFonts w:eastAsia="Arial" w:cs="Arial"/>
          <w:b/>
          <w:bCs/>
          <w:szCs w:val="22"/>
        </w:rPr>
      </w:pPr>
      <w:r>
        <w:rPr>
          <w:rFonts w:eastAsia="Arial" w:cs="Arial"/>
          <w:b/>
          <w:bCs/>
          <w:szCs w:val="22"/>
        </w:rPr>
        <w:t xml:space="preserve">Department of Education, Child Welfare Division </w:t>
      </w:r>
    </w:p>
    <w:p w14:paraId="57231C4E" w14:textId="77777777" w:rsidR="00FE4E56" w:rsidRPr="0035349A" w:rsidRDefault="00FE4E56" w:rsidP="0035349A">
      <w:pPr>
        <w:pStyle w:val="AllQuotes"/>
        <w:rPr>
          <w:rFonts w:eastAsia="Arial" w:cs="Arial"/>
          <w:b/>
          <w:bCs/>
          <w:szCs w:val="22"/>
        </w:rPr>
      </w:pPr>
      <w:r w:rsidRPr="0035349A">
        <w:rPr>
          <w:rFonts w:eastAsia="Arial" w:cs="Arial"/>
          <w:b/>
          <w:bCs/>
          <w:szCs w:val="22"/>
        </w:rPr>
        <w:t>Social worker’s case report recommending long</w:t>
      </w:r>
      <w:r w:rsidRPr="0035349A">
        <w:rPr>
          <w:rFonts w:ascii="Cambria Math" w:eastAsia="Arial" w:hAnsi="Cambria Math" w:cs="Cambria Math"/>
          <w:b/>
          <w:bCs/>
          <w:szCs w:val="22"/>
        </w:rPr>
        <w:t>‑</w:t>
      </w:r>
      <w:r w:rsidRPr="0035349A">
        <w:rPr>
          <w:rFonts w:eastAsia="Arial" w:cs="Arial"/>
          <w:b/>
          <w:bCs/>
          <w:szCs w:val="22"/>
        </w:rPr>
        <w:t>term institutional training.</w:t>
      </w:r>
    </w:p>
    <w:p w14:paraId="40B2633A" w14:textId="77777777" w:rsidR="00FE4E56" w:rsidRPr="004A0212" w:rsidRDefault="00FE4E56" w:rsidP="00926E67">
      <w:pPr>
        <w:pStyle w:val="Numbparas"/>
        <w:numPr>
          <w:ilvl w:val="0"/>
          <w:numId w:val="0"/>
        </w:numPr>
        <w:ind w:left="851"/>
      </w:pPr>
    </w:p>
    <w:p w14:paraId="71064153" w14:textId="77777777" w:rsidR="00FE4E56" w:rsidRDefault="00FE4E56" w:rsidP="004053E9">
      <w:pPr>
        <w:pStyle w:val="Heading4"/>
      </w:pPr>
      <w:bookmarkStart w:id="696" w:name="_Toc775853388"/>
      <w:r w:rsidRPr="700D4309">
        <w:t>Kura kōhure</w:t>
      </w:r>
    </w:p>
    <w:p w14:paraId="67707C6E" w14:textId="2976BA8B" w:rsidR="00FE4E56" w:rsidRPr="004A0212" w:rsidRDefault="00FE4E56" w:rsidP="004053E9">
      <w:pPr>
        <w:pStyle w:val="Heading4"/>
      </w:pPr>
      <w:r w:rsidRPr="700D4309">
        <w:t>Special schools</w:t>
      </w:r>
      <w:bookmarkEnd w:id="696"/>
    </w:p>
    <w:p w14:paraId="616270DC" w14:textId="77777777" w:rsidR="00FE4E56" w:rsidRPr="004A0212" w:rsidRDefault="00FE4E56" w:rsidP="0062717F">
      <w:pPr>
        <w:pStyle w:val="Numbparas"/>
      </w:pPr>
      <w:r w:rsidRPr="004A0212">
        <w:t>Before 1950 the government had established a number of State special schools, units and classrooms for children and young people who were Deaf, blind, had additional learning needs, or had “behavioural management challenges”.</w:t>
      </w:r>
      <w:r w:rsidRPr="004A0212">
        <w:rPr>
          <w:rStyle w:val="StyleFootnoteReferenceFagoFunotenzeichenFagoFunotenzeichen"/>
        </w:rPr>
        <w:endnoteReference w:id="685"/>
      </w:r>
      <w:r w:rsidRPr="004A0212">
        <w:t xml:space="preserve"> During the Inquiry period there were </w:t>
      </w:r>
      <w:r w:rsidRPr="004A0212">
        <w:rPr>
          <w:color w:val="auto"/>
        </w:rPr>
        <w:t>five</w:t>
      </w:r>
      <w:r w:rsidRPr="004A0212">
        <w:rPr>
          <w:color w:val="FF0000"/>
        </w:rPr>
        <w:t xml:space="preserve"> </w:t>
      </w:r>
      <w:r w:rsidRPr="004A0212">
        <w:t xml:space="preserve">residential special schools overseen by the Department of Education, as well as schools for Deaf, blind and Deafblind students. </w:t>
      </w:r>
    </w:p>
    <w:p w14:paraId="18908D27" w14:textId="77777777" w:rsidR="00FE4E56" w:rsidRPr="004A0212" w:rsidRDefault="00FE4E56" w:rsidP="0062717F">
      <w:pPr>
        <w:pStyle w:val="AllNumbparas"/>
      </w:pPr>
      <w:r w:rsidRPr="004A0212">
        <w:t>The first two special schools, Salisbury and Campbell Park, were opened in the 1900s. Campbell Park was located near Oamaru and had a maximum roll of 108. It was for boys aged 10 to 17 years old who were considered emotionally disturbed, ‘backward’ or aggressive.</w:t>
      </w:r>
      <w:r w:rsidRPr="004A0212">
        <w:rPr>
          <w:rStyle w:val="StyleFootnoteReferenceFagoFunotenzeichenFagoFunotenzeichen"/>
        </w:rPr>
        <w:endnoteReference w:id="686"/>
      </w:r>
      <w:r w:rsidRPr="004A0212">
        <w:t xml:space="preserve"> </w:t>
      </w:r>
    </w:p>
    <w:p w14:paraId="7C83D3DA" w14:textId="77777777" w:rsidR="00FE4E56" w:rsidRPr="004A0212" w:rsidRDefault="00FE4E56" w:rsidP="0062717F">
      <w:pPr>
        <w:pStyle w:val="AllNumbparas"/>
      </w:pPr>
      <w:r w:rsidRPr="004A0212">
        <w:t>Salisbury School in Whakatū Nelson could take up to 90 girls aged 8 to 18 years old who were seen as “educationally backward, delinquent or had personal or social problems.”</w:t>
      </w:r>
      <w:r w:rsidRPr="004A0212">
        <w:rPr>
          <w:rStyle w:val="StyleFootnoteReferenceFagoFunotenzeichenFagoFunotenzeichen"/>
        </w:rPr>
        <w:endnoteReference w:id="687"/>
      </w:r>
      <w:r w:rsidRPr="004A0212">
        <w:t xml:space="preserve"> Campbell Park and Salisbury took referrals through the Department of Education’s psychological service or the Child Welfare Division.</w:t>
      </w:r>
    </w:p>
    <w:p w14:paraId="6863455C" w14:textId="77777777" w:rsidR="00FE4E56" w:rsidRPr="004A0212" w:rsidRDefault="00FE4E56" w:rsidP="0062717F">
      <w:pPr>
        <w:pStyle w:val="AllNumbparas"/>
      </w:pPr>
      <w:r w:rsidRPr="004A0212">
        <w:t>Mount Wellington Residential School for Maladjusted Children opened in Tāmaki Makaurau Auckland in 1960, before moving to Bucklands Beach in 1980, when it was renamed Waimokoia. It was intended to cater for children with severe behavioural and social problems.</w:t>
      </w:r>
      <w:r w:rsidRPr="004A0212">
        <w:rPr>
          <w:rStyle w:val="StyleFootnoteReferenceFagoFunotenzeichenFagoFunotenzeichen"/>
        </w:rPr>
        <w:endnoteReference w:id="688"/>
      </w:r>
      <w:r w:rsidRPr="004A0212">
        <w:t xml:space="preserve"> </w:t>
      </w:r>
    </w:p>
    <w:p w14:paraId="54239C4F" w14:textId="77777777" w:rsidR="003948CE" w:rsidRDefault="003948CE">
      <w:pPr>
        <w:keepLines w:val="0"/>
        <w:rPr>
          <w:rFonts w:ascii="Arial" w:eastAsia="Calibri" w:hAnsi="Arial" w:cs="Arial"/>
          <w:bCs/>
          <w:color w:val="222222"/>
          <w:sz w:val="22"/>
          <w:szCs w:val="22"/>
          <w:shd w:val="clear" w:color="auto" w:fill="FFFFFF"/>
        </w:rPr>
      </w:pPr>
      <w:r>
        <w:br w:type="page"/>
      </w:r>
    </w:p>
    <w:p w14:paraId="4368BB4E" w14:textId="4A23A2A6" w:rsidR="00FE4E56" w:rsidRPr="004A0212" w:rsidRDefault="00FE4E56" w:rsidP="0062717F">
      <w:pPr>
        <w:pStyle w:val="AllNumbparas"/>
      </w:pPr>
      <w:r w:rsidRPr="004A0212">
        <w:lastRenderedPageBreak/>
        <w:t xml:space="preserve">McKenzie Residential School opened in </w:t>
      </w:r>
      <w:r w:rsidRPr="004A0212">
        <w:rPr>
          <w:rStyle w:val="normaltextrun"/>
        </w:rPr>
        <w:t>Ōtautahi</w:t>
      </w:r>
      <w:r w:rsidRPr="004A0212">
        <w:t xml:space="preserve"> Christchurch in 1971 for children with serious emotional difficulties.</w:t>
      </w:r>
      <w:r w:rsidRPr="004A0212">
        <w:rPr>
          <w:rStyle w:val="StyleFootnoteReferenceFagoFunotenzeichenFagoFunotenzeichen"/>
        </w:rPr>
        <w:endnoteReference w:id="689"/>
      </w:r>
      <w:r w:rsidRPr="004A0212">
        <w:t xml:space="preserve"> It could take up to 25 children from the ages of 7 to 14 years old.</w:t>
      </w:r>
      <w:r w:rsidRPr="004A0212">
        <w:rPr>
          <w:rStyle w:val="StyleFootnoteReferenceFagoFunotenzeichenFagoFunotenzeichen"/>
        </w:rPr>
        <w:endnoteReference w:id="690"/>
      </w:r>
    </w:p>
    <w:p w14:paraId="23E673DB" w14:textId="77777777" w:rsidR="00FE4E56" w:rsidRPr="004A0212" w:rsidRDefault="00FE4E56" w:rsidP="0062717F">
      <w:pPr>
        <w:pStyle w:val="AllNumbparas"/>
      </w:pPr>
      <w:r w:rsidRPr="004A0212">
        <w:t xml:space="preserve">Several schools were established for Deaf or blind children and young people. </w:t>
      </w:r>
    </w:p>
    <w:p w14:paraId="5AF76E33" w14:textId="64F92811" w:rsidR="00FE4E56" w:rsidRPr="004A0212" w:rsidRDefault="00FE4E56" w:rsidP="0062717F">
      <w:pPr>
        <w:pStyle w:val="Bulletpoints"/>
      </w:pPr>
      <w:r w:rsidRPr="004A0212">
        <w:t>Sumner Institution for the Deaf and Dumb, which opened in 1880 (then Van Asch College, combined with Kelston to become Ko Taku Reo: Deaf Education New Zealand in 2020)</w:t>
      </w:r>
    </w:p>
    <w:p w14:paraId="614B8BF8" w14:textId="77777777" w:rsidR="00FE4E56" w:rsidRPr="004A0212" w:rsidRDefault="00FE4E56" w:rsidP="0062717F">
      <w:pPr>
        <w:pStyle w:val="Bulletpoints"/>
      </w:pPr>
      <w:r w:rsidRPr="004A0212">
        <w:t>Kelston School for the Deaf, which opened in 1958</w:t>
      </w:r>
    </w:p>
    <w:p w14:paraId="2A458316" w14:textId="77777777" w:rsidR="00FE4E56" w:rsidRPr="004A0212" w:rsidRDefault="00FE4E56" w:rsidP="0062717F">
      <w:pPr>
        <w:pStyle w:val="Bulletpoints"/>
      </w:pPr>
      <w:r w:rsidRPr="004A0212">
        <w:t>Jubilee Institute, which opened in 1890 and offered the first educational services for blind children in Aotearoa New Zealand, as well as a residential programme and workshops for blind adults.</w:t>
      </w:r>
      <w:r w:rsidRPr="004A0212">
        <w:rPr>
          <w:rStyle w:val="StyleFootnoteReferenceFagoFunotenzeichenFagoFunotenzeichen"/>
        </w:rPr>
        <w:endnoteReference w:id="691"/>
      </w:r>
      <w:r w:rsidRPr="004A0212">
        <w:t xml:space="preserve"> It was opened by the Royal New Zealand Foundation for the Blind at Parnell</w:t>
      </w:r>
      <w:r w:rsidRPr="004A0212">
        <w:rPr>
          <w:rStyle w:val="StyleFootnoteReferenceFagoFunotenzeichenFagoFunotenzeichen"/>
        </w:rPr>
        <w:endnoteReference w:id="692"/>
      </w:r>
    </w:p>
    <w:p w14:paraId="47C29C3D" w14:textId="77777777" w:rsidR="00FE4E56" w:rsidRPr="004A0212" w:rsidRDefault="00FE4E56" w:rsidP="0062717F">
      <w:pPr>
        <w:pStyle w:val="Bulletpoints"/>
      </w:pPr>
      <w:r w:rsidRPr="004A0212">
        <w:t>Homai School for the Blind replaced Jubilee Institute for the Blind of New Zealand, opening in 1965. A facility for Deafblind students was added in 1968.</w:t>
      </w:r>
    </w:p>
    <w:p w14:paraId="0FF0A150" w14:textId="77777777" w:rsidR="00FE4E56" w:rsidRPr="004A0212" w:rsidRDefault="00FE4E56" w:rsidP="0062717F">
      <w:pPr>
        <w:pStyle w:val="AllNumbparas"/>
      </w:pPr>
      <w:r w:rsidRPr="004A0212">
        <w:t>Children could be admitted to schools for the Deaf as day pupils at the age of 3 years old and boarding pupils at 5 years old.</w:t>
      </w:r>
      <w:r w:rsidRPr="004A0212">
        <w:rPr>
          <w:rStyle w:val="StyleFootnoteReferenceFagoFunotenzeichenFagoFunotenzeichen"/>
        </w:rPr>
        <w:endnoteReference w:id="693"/>
      </w:r>
    </w:p>
    <w:p w14:paraId="1D6922AD" w14:textId="710A65E6" w:rsidR="00FE4E56" w:rsidRPr="004A0212" w:rsidRDefault="00FE4E56" w:rsidP="00093255">
      <w:pPr>
        <w:pStyle w:val="Numbparas"/>
      </w:pPr>
      <w:r w:rsidRPr="004A0212">
        <w:t>Under the Education Act 1964 the minister could establish “any special class, clinic or service” and outline conditions for compulsory enrolment of certain children.</w:t>
      </w:r>
      <w:r w:rsidRPr="004A0212">
        <w:rPr>
          <w:rStyle w:val="StyleFootnoteReferenceFagoFunotenzeichenFagoFunotenzeichen"/>
        </w:rPr>
        <w:endnoteReference w:id="694"/>
      </w:r>
      <w:r w:rsidRPr="004A0212">
        <w:rPr>
          <w:vertAlign w:val="superscript"/>
        </w:rPr>
        <w:t xml:space="preserve"> </w:t>
      </w:r>
      <w:r w:rsidRPr="004A0212">
        <w:t>For disabled children the Act provided alternative education pathways where a regular school may not have provided a suitable education to meet their needs. The Act provided for training teachers for special education purposes and regulations regarding funding and inspections.</w:t>
      </w:r>
      <w:r w:rsidRPr="004A0212">
        <w:rPr>
          <w:rStyle w:val="StyleFootnoteReferenceFagoFunotenzeichenFagoFunotenzeichen"/>
        </w:rPr>
        <w:endnoteReference w:id="695"/>
      </w:r>
      <w:r w:rsidRPr="004A0212">
        <w:t xml:space="preserve"> The Education Department employed educational psychologists, while regional Education Boards employed speech language therapists, to assist children with special education needs who were enrolled in regular schools</w:t>
      </w:r>
      <w:r w:rsidRPr="004A0212">
        <w:rPr>
          <w:color w:val="000000" w:themeColor="text1"/>
        </w:rPr>
        <w:t>.</w:t>
      </w:r>
      <w:r w:rsidRPr="004A0212">
        <w:rPr>
          <w:rStyle w:val="StyleFootnoteReferenceFagoFunotenzeichenFagoFunotenzeichen"/>
        </w:rPr>
        <w:t xml:space="preserve"> </w:t>
      </w:r>
      <w:r w:rsidRPr="004A0212">
        <w:rPr>
          <w:rStyle w:val="StyleFootnoteReferenceFagoFunotenzeichenFagoFunotenzeichen"/>
        </w:rPr>
        <w:endnoteReference w:id="696"/>
      </w:r>
    </w:p>
    <w:p w14:paraId="65640B8E" w14:textId="28E01F40" w:rsidR="00FE4E56" w:rsidRPr="004A0212" w:rsidRDefault="00FE4E56" w:rsidP="0062717F">
      <w:pPr>
        <w:pStyle w:val="AllNumbparas"/>
      </w:pPr>
      <w:r w:rsidRPr="004A0212">
        <w:t xml:space="preserve">The Department of Education was responsible for the education of all children, including disabled children in psychopaedic and psychiatric institutions. However only a small proportion of children in these settings went to a school and received an education.  The Department of Health trained and employed training officers in institutions that provided a minimal level of education to children, often focused on behaviour modification using aversion techniques, known during the </w:t>
      </w:r>
      <w:r>
        <w:t>I</w:t>
      </w:r>
      <w:r w:rsidRPr="004A0212">
        <w:t>nquiry period as aversion therapy.</w:t>
      </w:r>
      <w:r w:rsidRPr="004A0212">
        <w:rPr>
          <w:rStyle w:val="StyleFootnoteReferenceFagoFunotenzeichenFagoFunotenzeichen"/>
        </w:rPr>
        <w:endnoteReference w:id="697"/>
      </w:r>
    </w:p>
    <w:p w14:paraId="4A1C3614" w14:textId="77777777" w:rsidR="00FE4E56" w:rsidRPr="004A0212" w:rsidRDefault="00FE4E56" w:rsidP="0062717F">
      <w:pPr>
        <w:pStyle w:val="AllNumbparas"/>
      </w:pPr>
      <w:r w:rsidRPr="004A0212">
        <w:t xml:space="preserve">The growing trend towards mainstreaming the education of learning-disabled children led the rolls of the Department of Education’s special residential schools to shrink over the 1980s. </w:t>
      </w:r>
    </w:p>
    <w:p w14:paraId="375381E5" w14:textId="77777777" w:rsidR="00FE4E56" w:rsidRPr="004A0212" w:rsidRDefault="00FE4E56" w:rsidP="0062717F">
      <w:pPr>
        <w:pStyle w:val="AllNumbparas"/>
      </w:pPr>
      <w:r w:rsidRPr="004A0212">
        <w:t xml:space="preserve">Falling rolls led to some school closures. Campbell Park closed in 1987, and its remaining pupils were transferred to Hogben School (formerly Marylands) or placed into mainstream schools with learning support. </w:t>
      </w:r>
    </w:p>
    <w:p w14:paraId="19AB05DC" w14:textId="77777777" w:rsidR="00FE4E56" w:rsidRPr="004A0212" w:rsidRDefault="00FE4E56" w:rsidP="0062717F">
      <w:pPr>
        <w:pStyle w:val="AllNumbparas"/>
      </w:pPr>
      <w:r w:rsidRPr="004A0212">
        <w:t>The Education Act 1989 formalised the move away from special residential schools to the State education system by increasing provisions for disabled children in mainstream education.</w:t>
      </w:r>
    </w:p>
    <w:p w14:paraId="510C9054" w14:textId="77777777" w:rsidR="00FE4E56" w:rsidRPr="004A0212" w:rsidRDefault="00FE4E56" w:rsidP="0062717F">
      <w:pPr>
        <w:pStyle w:val="AllNumbparas"/>
        <w:rPr>
          <w:rFonts w:eastAsiaTheme="minorHAnsi"/>
          <w:color w:val="404040" w:themeColor="text1" w:themeTint="BF"/>
        </w:rPr>
      </w:pPr>
      <w:r w:rsidRPr="004A0212">
        <w:lastRenderedPageBreak/>
        <w:t xml:space="preserve">The Act signalled a move away from the previous model of segregation in residential institutions towards an inclusive educational environment that aimed to integrate the needs of all students. However, the Secretary of Education could still direct a disabled child to attend a special school or class. </w:t>
      </w:r>
    </w:p>
    <w:p w14:paraId="348F00F1" w14:textId="77777777" w:rsidR="00FE4E56" w:rsidRDefault="00FE4E56" w:rsidP="004053E9">
      <w:pPr>
        <w:pStyle w:val="Heading4"/>
      </w:pPr>
      <w:bookmarkStart w:id="697" w:name="_Toc1134220625"/>
      <w:r w:rsidRPr="700D4309">
        <w:t>Te Ratonga Hauora Hinengaro</w:t>
      </w:r>
    </w:p>
    <w:p w14:paraId="6A09C453" w14:textId="4ADF3FBC" w:rsidR="00FE4E56" w:rsidRPr="004A0212" w:rsidRDefault="00FE4E56" w:rsidP="004053E9">
      <w:pPr>
        <w:pStyle w:val="Heading4"/>
        <w:rPr>
          <w:color w:val="BFBFBF" w:themeColor="background1" w:themeShade="BF"/>
          <w:lang w:eastAsia="en-US"/>
        </w:rPr>
      </w:pPr>
      <w:r w:rsidRPr="700D4309">
        <w:t>The Psychological Service</w:t>
      </w:r>
      <w:bookmarkEnd w:id="697"/>
    </w:p>
    <w:p w14:paraId="13BD8DE1" w14:textId="77777777" w:rsidR="00FE4E56" w:rsidRPr="004A0212" w:rsidRDefault="00FE4E56" w:rsidP="0062717F">
      <w:pPr>
        <w:pStyle w:val="AllNumbparas"/>
      </w:pPr>
      <w:r w:rsidRPr="004A0212">
        <w:t>Established in 1945, the Department of Education’s Psychological Service was the main</w:t>
      </w:r>
      <w:r w:rsidRPr="004A0212">
        <w:rPr>
          <w:rFonts w:ascii="Roboto" w:hAnsi="Roboto"/>
        </w:rPr>
        <w:t xml:space="preserve"> </w:t>
      </w:r>
      <w:r w:rsidRPr="004A0212">
        <w:t>assessment and guidance service available to assist children from birth to their</w:t>
      </w:r>
      <w:r w:rsidRPr="004A0212">
        <w:rPr>
          <w:rFonts w:ascii="Roboto" w:hAnsi="Roboto"/>
        </w:rPr>
        <w:t xml:space="preserve"> </w:t>
      </w:r>
      <w:r w:rsidRPr="004A0212">
        <w:t>late adolescent years, their parents and their teachers. Schools, parents, child welfare officers, doctors, and government and voluntary agencies could refer children and young people to the service for assessment and advice.</w:t>
      </w:r>
      <w:r w:rsidRPr="004A0212">
        <w:rPr>
          <w:rStyle w:val="StyleFootnoteReferenceFagoFunotenzeichenFagoFunotenzeichen"/>
        </w:rPr>
        <w:endnoteReference w:id="698"/>
      </w:r>
      <w:r w:rsidRPr="004A0212">
        <w:t xml:space="preserve"> After 1989 a new crown entity, the Special Education Service, was created to provide specialist support and interventions to students with special educational needs.</w:t>
      </w:r>
      <w:r w:rsidRPr="004A0212">
        <w:rPr>
          <w:rFonts w:ascii="Calibri" w:hAnsi="Calibri" w:cs="Calibri"/>
        </w:rPr>
        <w:t xml:space="preserve"> </w:t>
      </w:r>
    </w:p>
    <w:p w14:paraId="655E151A" w14:textId="293C3843" w:rsidR="00FE4E56" w:rsidRDefault="00FE4E56" w:rsidP="004053E9">
      <w:pPr>
        <w:pStyle w:val="Heading4"/>
      </w:pPr>
      <w:bookmarkStart w:id="698" w:name="_Toc670420893"/>
      <w:r w:rsidRPr="700D4309">
        <w:t>He hononga tō ngā kura ki te tokoora pāpori me ngā kāinga tika rangatahi</w:t>
      </w:r>
    </w:p>
    <w:p w14:paraId="69F8AF87" w14:textId="719CF5F2" w:rsidR="00FE4E56" w:rsidRPr="004A0212" w:rsidRDefault="00FE4E56" w:rsidP="004053E9">
      <w:pPr>
        <w:pStyle w:val="Heading4"/>
      </w:pPr>
      <w:r w:rsidRPr="700D4309">
        <w:t>Schools attached to child welfare and youth justice residences</w:t>
      </w:r>
      <w:bookmarkEnd w:id="698"/>
      <w:r w:rsidRPr="700D4309">
        <w:t xml:space="preserve">  </w:t>
      </w:r>
    </w:p>
    <w:p w14:paraId="0472B021" w14:textId="36F40F6F" w:rsidR="00FE4E56" w:rsidRPr="004A0212" w:rsidRDefault="00FE4E56" w:rsidP="0062717F">
      <w:pPr>
        <w:pStyle w:val="AllNumbparas"/>
      </w:pPr>
      <w:r w:rsidRPr="004A0212">
        <w:t>Many social welfare and youth justice residences had schools onsite, with teachers supplied by the Department of Education. After 1989 these onsite schools were staffed by either staff supplied by the Ministry of Education, or third-party providers contracted to provide education services.</w:t>
      </w:r>
      <w:r w:rsidRPr="004A0212">
        <w:rPr>
          <w:rStyle w:val="StyleFootnoteReferenceFagoFunotenzeichenFagoFunotenzeichen"/>
        </w:rPr>
        <w:endnoteReference w:id="699"/>
      </w:r>
      <w:r w:rsidRPr="004A0212">
        <w:t xml:space="preserve"> They were classified as special schools and provided a mix of primary and secondary education depending on the age mix at the social welfare residence they were attached to.</w:t>
      </w:r>
      <w:r w:rsidRPr="004A0212">
        <w:rPr>
          <w:rStyle w:val="StyleFootnoteReferenceFagoFunotenzeichenFagoFunotenzeichen"/>
        </w:rPr>
        <w:endnoteReference w:id="700"/>
      </w:r>
      <w:r w:rsidRPr="004A0212">
        <w:t xml:space="preserve"> Social welfare staff at the residences were expected to work collaboratively with the onsite teachers to support student learning.</w:t>
      </w:r>
      <w:r w:rsidRPr="004A0212">
        <w:rPr>
          <w:rStyle w:val="StyleFootnoteReferenceFagoFunotenzeichenFagoFunotenzeichen"/>
        </w:rPr>
        <w:endnoteReference w:id="701"/>
      </w:r>
      <w:r w:rsidRPr="004A0212">
        <w:t xml:space="preserve"> </w:t>
      </w:r>
    </w:p>
    <w:p w14:paraId="2427CFC1" w14:textId="77777777" w:rsidR="00FE4E56" w:rsidRDefault="00FE4E56" w:rsidP="004053E9">
      <w:pPr>
        <w:pStyle w:val="Heading4"/>
      </w:pPr>
      <w:bookmarkStart w:id="699" w:name="_Toc1455429355"/>
      <w:r w:rsidRPr="700D4309">
        <w:t>Te Tari Arotake Mātauranga</w:t>
      </w:r>
    </w:p>
    <w:p w14:paraId="3EDB8C8C" w14:textId="2D943F46" w:rsidR="00FE4E56" w:rsidRPr="000C0692" w:rsidRDefault="00FE4E56" w:rsidP="004053E9">
      <w:pPr>
        <w:pStyle w:val="Heading4"/>
        <w:rPr>
          <w:rFonts w:eastAsia="Calibri"/>
          <w:color w:val="222222"/>
          <w:shd w:val="clear" w:color="auto" w:fill="FFFFFF"/>
          <w14:textFill>
            <w14:solidFill>
              <w14:srgbClr w14:val="222222">
                <w14:lumMod w14:val="75000"/>
              </w14:srgbClr>
            </w14:solidFill>
          </w14:textFill>
        </w:rPr>
      </w:pPr>
      <w:r w:rsidRPr="700D4309">
        <w:t>Education Review Office</w:t>
      </w:r>
      <w:bookmarkEnd w:id="699"/>
    </w:p>
    <w:p w14:paraId="07ABB74C" w14:textId="77777777" w:rsidR="00FE4E56" w:rsidRPr="004A0212" w:rsidRDefault="00FE4E56" w:rsidP="0062717F">
      <w:pPr>
        <w:pStyle w:val="AllNumbparas"/>
      </w:pPr>
      <w:r w:rsidRPr="004A0212">
        <w:t>The Education Review Office (ERO) was established in 1989 as part of the Tomorrow’s Schools reforms. ERO is a government department with responsibility for evaluating and publicly reporting on the education and care of children and young people in early childhood services and schools. The majority of its reviews are regular, although on occasion ERO will complete a review on a particular matter of concern or as directed by the Minister of Education.</w:t>
      </w:r>
      <w:r w:rsidRPr="004A0212">
        <w:rPr>
          <w:rStyle w:val="EndnoteReference"/>
        </w:rPr>
        <w:t xml:space="preserve"> </w:t>
      </w:r>
      <w:r w:rsidRPr="004A0212">
        <w:rPr>
          <w:rStyle w:val="StyleFootnoteReferenceFagoFunotenzeichenFagoFunotenzeichen"/>
        </w:rPr>
        <w:endnoteReference w:id="702"/>
      </w:r>
    </w:p>
    <w:p w14:paraId="3499C221" w14:textId="77777777" w:rsidR="00FE4E56" w:rsidRDefault="00FE4E56" w:rsidP="004053E9">
      <w:pPr>
        <w:pStyle w:val="Heading4"/>
      </w:pPr>
      <w:bookmarkStart w:id="700" w:name="_Toc1024221515"/>
      <w:r w:rsidRPr="700D4309">
        <w:t>Te Poari Rēhita Kaiako</w:t>
      </w:r>
    </w:p>
    <w:p w14:paraId="61A38951" w14:textId="2B4C2BBC" w:rsidR="00FE4E56" w:rsidRPr="004A0212" w:rsidRDefault="00FE4E56" w:rsidP="004053E9">
      <w:pPr>
        <w:pStyle w:val="Heading4"/>
      </w:pPr>
      <w:r w:rsidRPr="700D4309">
        <w:t>Teacher Registration Board</w:t>
      </w:r>
      <w:bookmarkEnd w:id="700"/>
    </w:p>
    <w:p w14:paraId="59D7D6CB" w14:textId="77777777" w:rsidR="00FE4E56" w:rsidRPr="004A0212" w:rsidRDefault="00FE4E56" w:rsidP="0062717F">
      <w:pPr>
        <w:pStyle w:val="AllNumbparas"/>
      </w:pPr>
      <w:r w:rsidRPr="004A0212">
        <w:t>Before 1989, teachers in State schools were required to be registered and the Teacher’s Register was kept by the Director-General of Education.</w:t>
      </w:r>
      <w:r w:rsidRPr="004A0212">
        <w:rPr>
          <w:rStyle w:val="StyleFootnoteReferenceFagoFunotenzeichenFagoFunotenzeichen"/>
        </w:rPr>
        <w:endnoteReference w:id="703"/>
      </w:r>
      <w:r w:rsidRPr="004A0212">
        <w:t xml:space="preserve"> </w:t>
      </w:r>
    </w:p>
    <w:p w14:paraId="485818F1" w14:textId="77777777" w:rsidR="00FE4E56" w:rsidRPr="004A0212" w:rsidRDefault="00FE4E56" w:rsidP="0062717F">
      <w:pPr>
        <w:pStyle w:val="AllNumbparas"/>
      </w:pPr>
      <w:r w:rsidRPr="004A0212">
        <w:t>The Teacher Registration Board was established by the Education Act 1989.</w:t>
      </w:r>
      <w:r w:rsidRPr="004A0212">
        <w:rPr>
          <w:rStyle w:val="StyleFootnoteReferenceFagoFunotenzeichenFagoFunotenzeichen"/>
        </w:rPr>
        <w:endnoteReference w:id="704"/>
      </w:r>
      <w:r w:rsidRPr="004A0212">
        <w:rPr>
          <w:rStyle w:val="StyleFootnoteReferenceFagoFunotenzeichenFagoFunotenzeichen"/>
        </w:rPr>
        <w:t xml:space="preserve"> </w:t>
      </w:r>
      <w:r w:rsidRPr="004A0212">
        <w:t xml:space="preserve">The Registration Board was established with no functions specified in legislation. </w:t>
      </w:r>
    </w:p>
    <w:p w14:paraId="76C19E4E" w14:textId="77777777" w:rsidR="00FE4E56" w:rsidRPr="004A0212" w:rsidRDefault="00FE4E56" w:rsidP="0062717F">
      <w:pPr>
        <w:pStyle w:val="AllNumbparas"/>
      </w:pPr>
      <w:r w:rsidRPr="004A0212">
        <w:t>The mandate of the Registration Board was to register and certify teachers. The Registration Board could consider cancellation of registration on the grounds of character, fitness to teach or lack of satisfactory training.</w:t>
      </w:r>
      <w:r w:rsidRPr="004A0212">
        <w:rPr>
          <w:rStyle w:val="StyleFootnoteReferenceFagoFunotenzeichenFagoFunotenzeichen"/>
        </w:rPr>
        <w:endnoteReference w:id="705"/>
      </w:r>
      <w:r w:rsidRPr="004A0212">
        <w:t xml:space="preserve"> </w:t>
      </w:r>
    </w:p>
    <w:p w14:paraId="49311562" w14:textId="77777777" w:rsidR="00FE4E56" w:rsidRDefault="00FE4E56">
      <w:pPr>
        <w:keepLines w:val="0"/>
        <w:rPr>
          <w:rFonts w:ascii="Arial" w:hAnsi="Arial" w:cs="Arial"/>
          <w:i/>
          <w:iCs/>
          <w:color w:val="3B5D1E" w:themeColor="accent4" w:themeShade="BF"/>
          <w:sz w:val="22"/>
          <w:szCs w:val="22"/>
          <w:lang w:val="en"/>
        </w:rPr>
      </w:pPr>
      <w:bookmarkStart w:id="701" w:name="_Toc504136328"/>
      <w:r>
        <w:br w:type="page"/>
      </w:r>
    </w:p>
    <w:p w14:paraId="004A1FB7" w14:textId="2951FBAE" w:rsidR="00FE4E56" w:rsidRDefault="00FE4E56" w:rsidP="004053E9">
      <w:pPr>
        <w:pStyle w:val="Heading4"/>
      </w:pPr>
      <w:r w:rsidRPr="004A0212">
        <w:lastRenderedPageBreak/>
        <w:t>Kura Hourua</w:t>
      </w:r>
    </w:p>
    <w:p w14:paraId="7CE2FE7C" w14:textId="243693D4" w:rsidR="00FE4E56" w:rsidRPr="004A0212" w:rsidRDefault="00FE4E56" w:rsidP="004053E9">
      <w:pPr>
        <w:pStyle w:val="Heading4"/>
      </w:pPr>
      <w:r w:rsidRPr="004A0212">
        <w:t>State integrated schools</w:t>
      </w:r>
      <w:bookmarkEnd w:id="701"/>
    </w:p>
    <w:p w14:paraId="2B49C778" w14:textId="77777777" w:rsidR="00FE4E56" w:rsidRPr="004A0212" w:rsidRDefault="00FE4E56" w:rsidP="0062717F">
      <w:pPr>
        <w:pStyle w:val="AllNumbparas"/>
        <w:rPr>
          <w:rStyle w:val="normaltextrun"/>
        </w:rPr>
      </w:pPr>
      <w:r w:rsidRPr="004A0212">
        <w:rPr>
          <w:rStyle w:val="normaltextrun"/>
        </w:rPr>
        <w:t>Prior to the Private Schools Conditional Integration Act 1975, all faith-based schools were private. The Act came into effect in August 1976 and provided the option for private schools to integrate into the State education system. They could then receive government funding and had to teach the New Zealand Curriculum, while being able to maintain their religious or “special character” and offer religious education.</w:t>
      </w:r>
      <w:r w:rsidRPr="004A0212">
        <w:rPr>
          <w:rStyle w:val="StyleFootnoteReferenceFagoFunotenzeichenFagoFunotenzeichen"/>
        </w:rPr>
        <w:endnoteReference w:id="706"/>
      </w:r>
      <w:r w:rsidRPr="004A0212">
        <w:rPr>
          <w:rStyle w:val="normaltextrun"/>
        </w:rPr>
        <w:t xml:space="preserve"> </w:t>
      </w:r>
    </w:p>
    <w:p w14:paraId="3FBDCA88" w14:textId="77777777" w:rsidR="00FE4E56" w:rsidRDefault="00FE4E56" w:rsidP="004053E9">
      <w:pPr>
        <w:pStyle w:val="Heading4"/>
        <w:rPr>
          <w:rStyle w:val="normaltextrun"/>
          <w:lang w:val="en-US"/>
        </w:rPr>
      </w:pPr>
      <w:bookmarkStart w:id="702" w:name="_Toc1340961267"/>
      <w:r w:rsidRPr="004A0212">
        <w:rPr>
          <w:rStyle w:val="normaltextrun"/>
          <w:lang w:val="en-US"/>
        </w:rPr>
        <w:t>Kura tūmataiti</w:t>
      </w:r>
    </w:p>
    <w:p w14:paraId="48761A23" w14:textId="5CD1FF42" w:rsidR="00FE4E56" w:rsidRPr="004A0212" w:rsidRDefault="00FE4E56" w:rsidP="004053E9">
      <w:pPr>
        <w:pStyle w:val="Heading4"/>
        <w:rPr>
          <w:rStyle w:val="normaltextrun"/>
        </w:rPr>
      </w:pPr>
      <w:r w:rsidRPr="004A0212">
        <w:rPr>
          <w:rStyle w:val="normaltextrun"/>
        </w:rPr>
        <w:t>Private schools</w:t>
      </w:r>
      <w:bookmarkEnd w:id="702"/>
    </w:p>
    <w:p w14:paraId="75D59EDB" w14:textId="77777777" w:rsidR="00FE4E56" w:rsidRPr="004A0212" w:rsidRDefault="00FE4E56" w:rsidP="0062717F">
      <w:pPr>
        <w:pStyle w:val="AllNumbparas"/>
      </w:pPr>
      <w:r w:rsidRPr="004A0212">
        <w:t>In 1975, ahead of the Private Schools Conditional Integration Act, around 11 percent of primary and 18 percent of secondary students attended private schools in Aotearoa New Zealand.</w:t>
      </w:r>
      <w:r w:rsidRPr="004A0212">
        <w:rPr>
          <w:rStyle w:val="StyleFootnoteReferenceFagoFunotenzeichenFagoFunotenzeichen"/>
        </w:rPr>
        <w:endnoteReference w:id="707"/>
      </w:r>
      <w:r w:rsidRPr="004A0212">
        <w:t xml:space="preserve"> As discussed in the section on faith-based schools, the number of private schools decreased after integration became an option in 1976.</w:t>
      </w:r>
    </w:p>
    <w:p w14:paraId="1F3C3836" w14:textId="77777777" w:rsidR="00FE4E56" w:rsidRPr="004A0212" w:rsidRDefault="00FE4E56" w:rsidP="0062717F">
      <w:pPr>
        <w:pStyle w:val="AllNumbparas"/>
      </w:pPr>
      <w:r w:rsidRPr="004A0212">
        <w:t>Private schools are both owned and operated by private entities rather than the State. Private schools must follow the law in running the school. They receive some State funding and must be registered, but otherwise have a large amount of flexibility in setting their own curriculum, assessment methods and internal rules.</w:t>
      </w:r>
      <w:r w:rsidRPr="004A0212">
        <w:rPr>
          <w:rStyle w:val="StyleFootnoteReferenceFagoFunotenzeichenFagoFunotenzeichen"/>
        </w:rPr>
        <w:endnoteReference w:id="708"/>
      </w:r>
    </w:p>
    <w:p w14:paraId="2C2A7421" w14:textId="77777777" w:rsidR="00FE4E56" w:rsidRDefault="00FE4E56" w:rsidP="004053E9">
      <w:pPr>
        <w:pStyle w:val="Heading4"/>
      </w:pPr>
      <w:bookmarkStart w:id="703" w:name="_Toc171849727"/>
      <w:r w:rsidRPr="004A0212">
        <w:t>Kura Noho</w:t>
      </w:r>
    </w:p>
    <w:p w14:paraId="644544CF" w14:textId="7F3A7F9C" w:rsidR="00FE4E56" w:rsidRPr="004A0212" w:rsidRDefault="00FE4E56" w:rsidP="004053E9">
      <w:pPr>
        <w:pStyle w:val="Heading4"/>
      </w:pPr>
      <w:r w:rsidRPr="004A0212">
        <w:t>Boarding schools</w:t>
      </w:r>
      <w:bookmarkEnd w:id="703"/>
    </w:p>
    <w:p w14:paraId="506DA731" w14:textId="77777777" w:rsidR="00FE4E56" w:rsidRPr="004A0212" w:rsidRDefault="00FE4E56" w:rsidP="0062717F">
      <w:pPr>
        <w:pStyle w:val="AllNumbparas"/>
        <w:rPr>
          <w:rStyle w:val="normaltextrun"/>
        </w:rPr>
      </w:pPr>
      <w:r w:rsidRPr="004A0212">
        <w:rPr>
          <w:rStyle w:val="normaltextrun"/>
        </w:rPr>
        <w:t>By 1997 Aotearoa New Zealand had 102 schools with some form of boarding facility available. Seventy-eight of these were State or State integrated, and 24 were private schools. Most were single sex, for boys or girls only. Around 3 percent of all students attending State and State integrated schools and 16 percent of those attending private schools boarded in hostels connected to those schools.</w:t>
      </w:r>
      <w:r w:rsidRPr="004A0212">
        <w:rPr>
          <w:rStyle w:val="StyleFootnoteReferenceFagoFunotenzeichenFagoFunotenzeichen"/>
        </w:rPr>
        <w:endnoteReference w:id="709"/>
      </w:r>
      <w:r w:rsidRPr="004A0212">
        <w:rPr>
          <w:rStyle w:val="normaltextrun"/>
        </w:rPr>
        <w:t xml:space="preserve"> Most boarding schools also had pupils who attended as day students and did not live in boarding hostels during term time.</w:t>
      </w:r>
      <w:r w:rsidRPr="004A0212">
        <w:rPr>
          <w:rStyle w:val="StyleFootnoteReferenceFagoFunotenzeichenFagoFunotenzeichen"/>
        </w:rPr>
        <w:endnoteReference w:id="710"/>
      </w:r>
      <w:r w:rsidRPr="004A0212">
        <w:rPr>
          <w:rStyle w:val="StyleFootnoteReferenceFagoFunotenzeichenFagoFunotenzeichen1"/>
        </w:rPr>
        <w:t xml:space="preserve"> </w:t>
      </w:r>
      <w:r w:rsidRPr="004A0212">
        <w:rPr>
          <w:rStyle w:val="normaltextrun"/>
        </w:rPr>
        <w:t>The term boarding school was not legally defined but covered a variety of arrangements for student education and accommodation.</w:t>
      </w:r>
      <w:r w:rsidRPr="004A0212">
        <w:rPr>
          <w:rStyle w:val="StyleFootnoteReferenceFagoFunotenzeichenFagoFunotenzeichen"/>
        </w:rPr>
        <w:endnoteReference w:id="711"/>
      </w:r>
      <w:r w:rsidRPr="004A0212">
        <w:rPr>
          <w:rStyle w:val="StyleFootnoteReferenceFagoFunotenzeichenFagoFunotenzeichen1"/>
        </w:rPr>
        <w:t xml:space="preserve"> </w:t>
      </w:r>
      <w:r w:rsidRPr="004A0212">
        <w:rPr>
          <w:rStyle w:val="normaltextrun"/>
        </w:rPr>
        <w:t xml:space="preserve"> </w:t>
      </w:r>
    </w:p>
    <w:p w14:paraId="60C916F9" w14:textId="31D85065" w:rsidR="00FE4E56" w:rsidRPr="004A0212" w:rsidRDefault="00FE4E56" w:rsidP="00D668D0">
      <w:pPr>
        <w:pStyle w:val="AllNumbparas"/>
        <w:rPr>
          <w:rStyle w:val="normaltextrun"/>
        </w:rPr>
      </w:pPr>
      <w:r w:rsidRPr="004A0212">
        <w:rPr>
          <w:rStyle w:val="normaltextrun"/>
        </w:rPr>
        <w:t xml:space="preserve">Responsibility for boarding hostels in State and State integrated schools varied between boards of trustees </w:t>
      </w:r>
      <w:r w:rsidRPr="004A0212">
        <w:rPr>
          <w:rFonts w:ascii="Calibri" w:hAnsi="Calibri" w:cs="Calibri"/>
          <w:color w:val="000000"/>
          <w:shd w:val="clear" w:color="auto" w:fill="auto"/>
        </w:rPr>
        <w:t>/</w:t>
      </w:r>
      <w:r w:rsidRPr="004A0212">
        <w:rPr>
          <w:rFonts w:ascii="Calibri" w:hAnsi="Calibri" w:cs="Calibri"/>
          <w:color w:val="000000" w:themeColor="text1"/>
        </w:rPr>
        <w:t xml:space="preserve"> </w:t>
      </w:r>
      <w:r w:rsidRPr="004A0212">
        <w:rPr>
          <w:rStyle w:val="normaltextrun"/>
        </w:rPr>
        <w:t>school boards, boards of proprietors, hostel trust boards, private companies, hostel committees and, where a hostel was used by more than one school, trusts made up of appointees from parents, trust boards and the schools concerned. In private schools the hostel was governed by the school trust board.</w:t>
      </w:r>
      <w:r w:rsidRPr="004A0212">
        <w:rPr>
          <w:rStyle w:val="StyleFootnoteReferenceFagoFunotenzeichenFagoFunotenzeichen"/>
        </w:rPr>
        <w:endnoteReference w:id="712"/>
      </w:r>
      <w:r w:rsidRPr="004A0212">
        <w:rPr>
          <w:rStyle w:val="normaltextrun"/>
        </w:rPr>
        <w:t xml:space="preserve"> Hostels might be on the same physical site as the school, or in another location.</w:t>
      </w:r>
      <w:r w:rsidRPr="004A0212">
        <w:rPr>
          <w:rStyle w:val="StyleFootnoteReferenceFagoFunotenzeichenFagoFunotenzeichen"/>
        </w:rPr>
        <w:endnoteReference w:id="713"/>
      </w:r>
      <w:r w:rsidRPr="004A0212">
        <w:rPr>
          <w:rStyle w:val="normaltextrun"/>
        </w:rPr>
        <w:t xml:space="preserve"> The Education Act 1989 was largely silent about school hostels and the responsibilities of Boards of Trustees for student safety in hostel accommodation.</w:t>
      </w:r>
      <w:r w:rsidRPr="004A0212">
        <w:rPr>
          <w:rStyle w:val="StyleFootnoteReferenceFagoFunotenzeichenFagoFunotenzeichen"/>
        </w:rPr>
        <w:endnoteReference w:id="714"/>
      </w:r>
      <w:r w:rsidRPr="004A0212">
        <w:rPr>
          <w:rStyle w:val="normaltextrun"/>
        </w:rPr>
        <w:t xml:space="preserve"> Hostel accommodation was essentially a private commercial arrangement between parents and the hostel management.</w:t>
      </w:r>
      <w:r w:rsidRPr="004A0212">
        <w:rPr>
          <w:rStyle w:val="StyleFootnoteReferenceFagoFunotenzeichenFagoFunotenzeichen"/>
        </w:rPr>
        <w:endnoteReference w:id="715"/>
      </w:r>
      <w:r w:rsidRPr="004A0212">
        <w:rPr>
          <w:rStyle w:val="normaltextrun"/>
        </w:rPr>
        <w:t xml:space="preserve"> </w:t>
      </w:r>
    </w:p>
    <w:p w14:paraId="109F8E63" w14:textId="435E86C0" w:rsidR="00FE4E56" w:rsidRPr="0059397C" w:rsidRDefault="00FE4E56" w:rsidP="003948CE">
      <w:pPr>
        <w:pStyle w:val="AllQuotes"/>
        <w:ind w:left="0"/>
        <w:rPr>
          <w:b/>
          <w:lang w:bidi="th-TH"/>
        </w:rPr>
      </w:pPr>
      <w:r w:rsidRPr="004A0212">
        <w:rPr>
          <w:rStyle w:val="normaltextrun"/>
        </w:rPr>
        <w:br w:type="page"/>
      </w:r>
    </w:p>
    <w:p w14:paraId="67AD4456" w14:textId="160EBB14" w:rsidR="00FE4E56" w:rsidRPr="004A0212" w:rsidRDefault="00FE4E56" w:rsidP="00282055">
      <w:pPr>
        <w:pStyle w:val="Heading1"/>
        <w:rPr>
          <w:color w:val="3B5D1E" w:themeColor="accent4" w:themeShade="BF"/>
        </w:rPr>
      </w:pPr>
      <w:bookmarkStart w:id="704" w:name="_Toc1192244353"/>
      <w:bookmarkStart w:id="705" w:name="_Toc181085000"/>
      <w:r w:rsidRPr="004A0212">
        <w:rPr>
          <w:color w:val="3B5D1E" w:themeColor="accent4" w:themeShade="BF"/>
        </w:rPr>
        <w:lastRenderedPageBreak/>
        <w:t>Ūpoko 11: Ngā whare tūāpapa-whakapono i te wā Pakirehua</w:t>
      </w:r>
      <w:bookmarkEnd w:id="705"/>
      <w:r w:rsidRPr="004A0212">
        <w:rPr>
          <w:color w:val="3B5D1E" w:themeColor="accent4" w:themeShade="BF"/>
        </w:rPr>
        <w:t xml:space="preserve"> </w:t>
      </w:r>
      <w:bookmarkEnd w:id="704"/>
    </w:p>
    <w:p w14:paraId="14C22F15" w14:textId="6F2DBA3E" w:rsidR="00FE4E56" w:rsidRPr="004A0212" w:rsidRDefault="00FE4E56" w:rsidP="00282055">
      <w:pPr>
        <w:pStyle w:val="Heading1"/>
        <w:rPr>
          <w:color w:val="3B5D1E" w:themeColor="accent4" w:themeShade="BF"/>
        </w:rPr>
      </w:pPr>
      <w:bookmarkStart w:id="706" w:name="_Toc1156664095"/>
      <w:bookmarkStart w:id="707" w:name="_Toc181085001"/>
      <w:r w:rsidRPr="004A0212">
        <w:rPr>
          <w:color w:val="3B5D1E" w:themeColor="accent4" w:themeShade="BF"/>
        </w:rPr>
        <w:t xml:space="preserve">Chapter 11: </w:t>
      </w:r>
      <w:bookmarkStart w:id="708" w:name="_Toc165441886"/>
      <w:r w:rsidRPr="004A0212">
        <w:rPr>
          <w:color w:val="3B5D1E" w:themeColor="accent4" w:themeShade="BF"/>
        </w:rPr>
        <w:t>Faith-</w:t>
      </w:r>
      <w:bookmarkEnd w:id="708"/>
      <w:r w:rsidRPr="004A0212">
        <w:rPr>
          <w:color w:val="3B5D1E" w:themeColor="accent4" w:themeShade="BF"/>
        </w:rPr>
        <w:t>based institutions during the Inquiry period</w:t>
      </w:r>
      <w:bookmarkEnd w:id="706"/>
      <w:bookmarkEnd w:id="707"/>
    </w:p>
    <w:p w14:paraId="2B808C56" w14:textId="108E4A53" w:rsidR="00FE4E56" w:rsidRPr="004A0212" w:rsidRDefault="00FE4E56" w:rsidP="004C3995">
      <w:pPr>
        <w:pStyle w:val="Numbparas"/>
      </w:pPr>
      <w:r w:rsidRPr="004A0212">
        <w:t xml:space="preserve">This chapter provides background information and a structural overview on how the different faith-based institutions were set up and run, and key faith settings during the Inquiry period. </w:t>
      </w:r>
    </w:p>
    <w:p w14:paraId="1E197E4E" w14:textId="77777777" w:rsidR="00FE4E56" w:rsidRDefault="00FE4E56" w:rsidP="00282055">
      <w:pPr>
        <w:pStyle w:val="Heading2"/>
      </w:pPr>
      <w:bookmarkStart w:id="709" w:name="_Toc165441885"/>
      <w:bookmarkStart w:id="710" w:name="_Toc1272245214"/>
      <w:bookmarkStart w:id="711" w:name="_Toc181085002"/>
      <w:r w:rsidRPr="004A0212">
        <w:t>I mahi tahi te rāngai whakapono me te Kāwanatanga</w:t>
      </w:r>
      <w:bookmarkEnd w:id="709"/>
      <w:bookmarkEnd w:id="711"/>
      <w:r w:rsidRPr="004A0212">
        <w:t xml:space="preserve"> </w:t>
      </w:r>
    </w:p>
    <w:p w14:paraId="7D94958E" w14:textId="2ABC8A7C" w:rsidR="00FE4E56" w:rsidRPr="004A0212" w:rsidRDefault="00FE4E56" w:rsidP="00282055">
      <w:pPr>
        <w:pStyle w:val="Heading2"/>
      </w:pPr>
      <w:bookmarkStart w:id="712" w:name="_Toc181085003"/>
      <w:r w:rsidRPr="004A0212">
        <w:t>Faith and State worked together</w:t>
      </w:r>
      <w:bookmarkEnd w:id="710"/>
      <w:bookmarkEnd w:id="712"/>
    </w:p>
    <w:p w14:paraId="483A7261" w14:textId="77777777" w:rsidR="00FE4E56" w:rsidRPr="004A0212" w:rsidRDefault="00FE4E56" w:rsidP="004C3995">
      <w:pPr>
        <w:pStyle w:val="Numbparas"/>
      </w:pPr>
      <w:r w:rsidRPr="004A0212">
        <w:t>State and faith-based institutions have a history of working together to provide care, with the State providing financial support to faith-based institutions.</w:t>
      </w:r>
    </w:p>
    <w:p w14:paraId="0542CE94" w14:textId="77777777" w:rsidR="00FE4E56" w:rsidRPr="004A0212" w:rsidRDefault="00FE4E56" w:rsidP="004C3995">
      <w:pPr>
        <w:pStyle w:val="Numbparas"/>
      </w:pPr>
      <w:r w:rsidRPr="004A0212">
        <w:t>Many</w:t>
      </w:r>
      <w:r w:rsidRPr="004A0212" w:rsidDel="008C790F">
        <w:t xml:space="preserve"> </w:t>
      </w:r>
      <w:r w:rsidRPr="004A0212">
        <w:t>public servants were active Christians during the Inquiry period.</w:t>
      </w:r>
      <w:r w:rsidRPr="004A0212">
        <w:rPr>
          <w:rStyle w:val="StyleFootnoteReferenceFagoFunotenzeichenFagoFunotenzeichen"/>
        </w:rPr>
        <w:endnoteReference w:id="716"/>
      </w:r>
      <w:r w:rsidRPr="004A0212">
        <w:t xml:space="preserve"> Sometimes this influenced the development of State laws and practices, including legislation governing marriage, sexuality and approaches to child welfare.</w:t>
      </w:r>
      <w:r w:rsidRPr="004A0212">
        <w:rPr>
          <w:rStyle w:val="StyleFootnoteReferenceFagoFunotenzeichenFagoFunotenzeichen"/>
        </w:rPr>
        <w:endnoteReference w:id="717"/>
      </w:r>
      <w:r w:rsidRPr="004A0212">
        <w:t xml:space="preserve"> </w:t>
      </w:r>
    </w:p>
    <w:p w14:paraId="6EFBC759" w14:textId="77777777" w:rsidR="00FE4E56" w:rsidRPr="004A0212" w:rsidRDefault="00FE4E56" w:rsidP="004C3995">
      <w:pPr>
        <w:pStyle w:val="Numbparas"/>
      </w:pPr>
      <w:r w:rsidRPr="004A0212">
        <w:t>In the early 20</w:t>
      </w:r>
      <w:r w:rsidRPr="004A0212">
        <w:rPr>
          <w:vertAlign w:val="superscript"/>
        </w:rPr>
        <w:t>th</w:t>
      </w:r>
      <w:r w:rsidRPr="004A0212">
        <w:t xml:space="preserve"> century, the desire to build a responsible society resulted in what was known as the ecumenical movement – unity and co-operation across different Christian (mainly Protestant) denominations.</w:t>
      </w:r>
      <w:r w:rsidRPr="004A0212">
        <w:rPr>
          <w:rStyle w:val="StyleFootnoteReferenceFagoFunotenzeichenFagoFunotenzeichen"/>
        </w:rPr>
        <w:endnoteReference w:id="718"/>
      </w:r>
      <w:r w:rsidRPr="004A0212">
        <w:t xml:space="preserve"> This movement also strengthened co-operation between the State and faith-based institutions.</w:t>
      </w:r>
    </w:p>
    <w:p w14:paraId="4C1B9B64" w14:textId="12008D8C" w:rsidR="00FE4E56" w:rsidRPr="004A0212" w:rsidRDefault="00FE4E56" w:rsidP="004C3995">
      <w:pPr>
        <w:pStyle w:val="Numbparas"/>
        <w:rPr>
          <w:rStyle w:val="normaltextrun"/>
        </w:rPr>
      </w:pPr>
      <w:r w:rsidRPr="004A0212">
        <w:t>The First World War and the Great Depression led to widespread unemployment for many people, and religious and voluntary welfare organisations responded to the rising levels of need this created.</w:t>
      </w:r>
      <w:r w:rsidRPr="004A0212">
        <w:rPr>
          <w:rStyle w:val="StyleFootnoteReferenceFagoFunotenzeichenFagoFunotenzeichen"/>
        </w:rPr>
        <w:endnoteReference w:id="719"/>
      </w:r>
      <w:r w:rsidRPr="004A0212">
        <w:t xml:space="preserve"> As the State expanded its own provision of welfare support in the 1930s, it also expanded its support for the voluntary social service sector, including church-run services.</w:t>
      </w:r>
      <w:r w:rsidRPr="004A0212">
        <w:rPr>
          <w:rStyle w:val="StyleFootnoteReferenceFagoFunotenzeichenFagoFunotenzeichen"/>
        </w:rPr>
        <w:endnoteReference w:id="720"/>
      </w:r>
      <w:r w:rsidRPr="004A0212">
        <w:rPr>
          <w:rStyle w:val="StyleFootnoteReferenceFagoFunotenzeichenFagoFunotenzeichen"/>
        </w:rPr>
        <w:t xml:space="preserve"> </w:t>
      </w:r>
      <w:r w:rsidRPr="004A0212">
        <w:rPr>
          <w:rStyle w:val="normaltextrun"/>
        </w:rPr>
        <w:t xml:space="preserve">While churches had long been active in care provision, this substantial and guaranteed funding stream from the State to church-run services was a change from what had previously been </w:t>
      </w:r>
      <w:r w:rsidRPr="004A0212">
        <w:rPr>
          <w:rStyle w:val="StyleFootnoteReferenceFagoFunotenzeichenFagoFunotenzeichen"/>
        </w:rPr>
        <w:endnoteReference w:id="721"/>
      </w:r>
      <w:r w:rsidRPr="004A0212">
        <w:rPr>
          <w:rStyle w:val="normaltextrun"/>
        </w:rPr>
        <w:t xml:space="preserve"> </w:t>
      </w:r>
    </w:p>
    <w:p w14:paraId="5A25211F" w14:textId="3DC61AD5" w:rsidR="00FE4E56" w:rsidRPr="004A0212" w:rsidRDefault="00FE4E56" w:rsidP="004C3995">
      <w:pPr>
        <w:pStyle w:val="Numbparas"/>
        <w:rPr>
          <w:rStyle w:val="normaltextrun"/>
        </w:rPr>
      </w:pPr>
      <w:r w:rsidRPr="004A0212">
        <w:rPr>
          <w:rStyle w:val="normaltextrun"/>
        </w:rPr>
        <w:t xml:space="preserve">Churches, particularly the Catholic, Anglican, Methodist and Presbyterian churches and The Salvation Army, were </w:t>
      </w:r>
      <w:r w:rsidRPr="004A0212">
        <w:t>involved in care provision during the Inquiry period. In addition to the pastoral care provided by all churches, some also operated schools and / or provided other services such as unmarried mothers homes, adoption, foster care services and some residences for disabled people.</w:t>
      </w:r>
    </w:p>
    <w:p w14:paraId="5D747B46" w14:textId="77777777" w:rsidR="00FE4E56" w:rsidRPr="004A0212" w:rsidRDefault="00FE4E56" w:rsidP="004C3995">
      <w:pPr>
        <w:pStyle w:val="AllNumbparas"/>
        <w:rPr>
          <w:rStyle w:val="normaltextrun"/>
        </w:rPr>
      </w:pPr>
      <w:r w:rsidRPr="004A0212">
        <w:t>T</w:t>
      </w:r>
      <w:r w:rsidRPr="004A0212">
        <w:rPr>
          <w:rStyle w:val="normaltextrun"/>
        </w:rPr>
        <w:t>he total number of children’s homes grew rapidly during the early 20</w:t>
      </w:r>
      <w:r w:rsidRPr="004A0212">
        <w:rPr>
          <w:rStyle w:val="normaltextrun"/>
          <w:vertAlign w:val="superscript"/>
        </w:rPr>
        <w:t>th</w:t>
      </w:r>
      <w:r w:rsidRPr="004A0212">
        <w:rPr>
          <w:rStyle w:val="normaltextrun"/>
        </w:rPr>
        <w:t xml:space="preserve"> century.</w:t>
      </w:r>
      <w:r w:rsidRPr="004A0212">
        <w:t xml:space="preserve"> In 1900, five orphanages were registered as charities, but by the mid-1920s, Aotearoa New Zealand had</w:t>
      </w:r>
      <w:r w:rsidRPr="004A0212">
        <w:rPr>
          <w:rStyle w:val="normaltextrun"/>
        </w:rPr>
        <w:t xml:space="preserve"> 85 private faith-based institutions and orphanages, housing approximately </w:t>
      </w:r>
      <w:r w:rsidRPr="004A0212">
        <w:rPr>
          <w:rStyle w:val="findhit"/>
        </w:rPr>
        <w:t>4,000</w:t>
      </w:r>
      <w:r w:rsidRPr="004A0212">
        <w:rPr>
          <w:rStyle w:val="normaltextrun"/>
        </w:rPr>
        <w:t xml:space="preserve"> children.</w:t>
      </w:r>
      <w:r w:rsidRPr="004A0212">
        <w:rPr>
          <w:rStyle w:val="StyleFootnoteReferenceFagoFunotenzeichenFagoFunotenzeichen"/>
        </w:rPr>
        <w:endnoteReference w:id="722"/>
      </w:r>
      <w:r w:rsidRPr="004A0212">
        <w:rPr>
          <w:rStyle w:val="normaltextrun"/>
        </w:rPr>
        <w:t xml:space="preserve"> </w:t>
      </w:r>
    </w:p>
    <w:p w14:paraId="58AA248A" w14:textId="4F529258" w:rsidR="00FE4E56" w:rsidRPr="004A0212" w:rsidRDefault="00FE4E56" w:rsidP="004C3995">
      <w:pPr>
        <w:pStyle w:val="Numbparas"/>
        <w:rPr>
          <w:rStyle w:val="normaltextrun"/>
        </w:rPr>
      </w:pPr>
      <w:r w:rsidRPr="004A0212">
        <w:rPr>
          <w:rStyle w:val="normaltextrun"/>
        </w:rPr>
        <w:t>By 1950 the State was regularly subsidising Christian social services, including church or charity-run homes for the elderly.</w:t>
      </w:r>
      <w:r w:rsidRPr="004A0212">
        <w:rPr>
          <w:rStyle w:val="StyleFootnoteReferenceFagoFunotenzeichenFagoFunotenzeichen"/>
        </w:rPr>
        <w:endnoteReference w:id="723"/>
      </w:r>
      <w:r w:rsidRPr="004A0212">
        <w:rPr>
          <w:rStyle w:val="normaltextrun"/>
        </w:rPr>
        <w:t xml:space="preserve"> Other areas of church social services also received increased financial support.</w:t>
      </w:r>
      <w:r w:rsidRPr="004A0212">
        <w:rPr>
          <w:rStyle w:val="StyleFootnoteReferenceFagoFunotenzeichenFagoFunotenzeichen"/>
        </w:rPr>
        <w:endnoteReference w:id="724"/>
      </w:r>
      <w:r w:rsidRPr="004A0212">
        <w:rPr>
          <w:rStyle w:val="normaltextrun"/>
        </w:rPr>
        <w:t xml:space="preserve"> From 1956 the government subsidised faith-based children’s homes through a ‘capitation subsidy’ of 10 shillings a week </w:t>
      </w:r>
      <w:r w:rsidRPr="004A0212">
        <w:rPr>
          <w:rStyle w:val="normaltextrun"/>
        </w:rPr>
        <w:lastRenderedPageBreak/>
        <w:t>per child, the equivalent of around $31 dollars in 2024. A subsidy for up to half the cost of any approved building work was also available.</w:t>
      </w:r>
      <w:r w:rsidRPr="004A0212">
        <w:rPr>
          <w:rStyle w:val="StyleFootnoteReferenceFagoFunotenzeichenFagoFunotenzeichen"/>
        </w:rPr>
        <w:endnoteReference w:id="725"/>
      </w:r>
      <w:r w:rsidRPr="004A0212">
        <w:rPr>
          <w:rStyle w:val="normaltextrun"/>
        </w:rPr>
        <w:t xml:space="preserve"> </w:t>
      </w:r>
    </w:p>
    <w:p w14:paraId="1248A27E" w14:textId="77777777" w:rsidR="00FE4E56" w:rsidRPr="004A0212" w:rsidRDefault="00FE4E56" w:rsidP="004C3995">
      <w:pPr>
        <w:pStyle w:val="Numbparas"/>
      </w:pPr>
      <w:r w:rsidRPr="004A0212">
        <w:t>With growing pressure on accommodation in the State’s institutions over the 1960s and 1970s, private and religious-run homes played an increasingly important role as an ‘overflow’ for overburdened State institutions. In 1977, around a quarter of the children living in church homes were State wards.</w:t>
      </w:r>
      <w:r w:rsidRPr="004A0212">
        <w:rPr>
          <w:rStyle w:val="StyleFootnoteReferenceFagoFunotenzeichenFagoFunotenzeichen"/>
        </w:rPr>
        <w:endnoteReference w:id="726"/>
      </w:r>
      <w:r w:rsidRPr="004A0212">
        <w:t xml:space="preserve"> Of the children and young people living in homes run by voluntary agencies in 1985, 36 percent were State wards.</w:t>
      </w:r>
      <w:r w:rsidRPr="004A0212">
        <w:rPr>
          <w:rStyle w:val="StyleFootnoteReferenceFagoFunotenzeichenFagoFunotenzeichen"/>
        </w:rPr>
        <w:endnoteReference w:id="727"/>
      </w:r>
    </w:p>
    <w:p w14:paraId="078E85E2" w14:textId="77777777" w:rsidR="00FE4E56" w:rsidRPr="004A0212" w:rsidRDefault="00FE4E56" w:rsidP="004C3995">
      <w:pPr>
        <w:pStyle w:val="Numbparas"/>
        <w:rPr>
          <w:rStyle w:val="normaltextrun"/>
        </w:rPr>
      </w:pPr>
      <w:r w:rsidRPr="004A0212">
        <w:rPr>
          <w:rStyle w:val="normaltextrun"/>
        </w:rPr>
        <w:t>By the 1970s a distinct church sector had emerged, which operated as a well-resourced component of the non-government, non-profit sector.</w:t>
      </w:r>
      <w:r w:rsidRPr="004A0212">
        <w:rPr>
          <w:rStyle w:val="StyleFootnoteReferenceFagoFunotenzeichenFagoFunotenzeichen"/>
        </w:rPr>
        <w:endnoteReference w:id="728"/>
      </w:r>
      <w:r w:rsidRPr="004A0212">
        <w:rPr>
          <w:rStyle w:val="normaltextrun"/>
        </w:rPr>
        <w:t xml:space="preserve"> This formalised partnership meant Christian social services developed their own institutional structures beyond traditional church structures.</w:t>
      </w:r>
      <w:r w:rsidRPr="004A0212">
        <w:rPr>
          <w:rStyle w:val="StyleFootnoteReferenceFagoFunotenzeichenFagoFunotenzeichen"/>
        </w:rPr>
        <w:endnoteReference w:id="729"/>
      </w:r>
      <w:r w:rsidRPr="004A0212">
        <w:rPr>
          <w:rStyle w:val="normaltextrun"/>
        </w:rPr>
        <w:t xml:space="preserve"> </w:t>
      </w:r>
    </w:p>
    <w:p w14:paraId="01B2D4DF" w14:textId="77777777" w:rsidR="00FE4E56" w:rsidRPr="004A0212" w:rsidRDefault="00FE4E56" w:rsidP="004C3995">
      <w:pPr>
        <w:pStyle w:val="Numbparas"/>
        <w:rPr>
          <w:rStyle w:val="normaltextrun"/>
        </w:rPr>
      </w:pPr>
      <w:r w:rsidRPr="004A0212">
        <w:rPr>
          <w:rStyle w:val="normaltextrun"/>
        </w:rPr>
        <w:t>There were now Christian lobby groups and national associations, such as the New Zealand Council of Christian Social Services. This council improved the bargaining power of the faith-based care sector, advocating for greater funding and more relaxed State regulations and procedures.</w:t>
      </w:r>
      <w:r w:rsidRPr="004A0212">
        <w:rPr>
          <w:rStyle w:val="StyleFootnoteReferenceFagoFunotenzeichenFagoFunotenzeichen"/>
        </w:rPr>
        <w:endnoteReference w:id="730"/>
      </w:r>
      <w:r w:rsidRPr="004A0212">
        <w:rPr>
          <w:rStyle w:val="normaltextrun"/>
        </w:rPr>
        <w:t xml:space="preserve"> </w:t>
      </w:r>
    </w:p>
    <w:p w14:paraId="449D111B" w14:textId="77777777" w:rsidR="00FE4E56" w:rsidRPr="004A0212" w:rsidRDefault="00FE4E56" w:rsidP="004C3995">
      <w:pPr>
        <w:pStyle w:val="Numbparas"/>
        <w:rPr>
          <w:rStyle w:val="normaltextrun"/>
        </w:rPr>
      </w:pPr>
      <w:r w:rsidRPr="004A0212">
        <w:rPr>
          <w:rStyle w:val="normaltextrun"/>
        </w:rPr>
        <w:t>By 1977 the capitation subsidy for children in faith-based care was $12.67 a week</w:t>
      </w:r>
      <w:r w:rsidRPr="004A0212">
        <w:rPr>
          <w:rStyle w:val="StyleFootnoteReferenceFagoFunotenzeichenFagoFunotenzeichen"/>
        </w:rPr>
        <w:endnoteReference w:id="731"/>
      </w:r>
      <w:r w:rsidRPr="004A0212">
        <w:rPr>
          <w:rStyle w:val="normaltextrun"/>
        </w:rPr>
        <w:t xml:space="preserve"> ($125.55 in 2024)</w:t>
      </w:r>
      <w:r w:rsidRPr="004A0212">
        <w:rPr>
          <w:rStyle w:val="StyleFootnoteReferenceFagoFunotenzeichenFagoFunotenzeichen"/>
        </w:rPr>
        <w:endnoteReference w:id="732"/>
      </w:r>
      <w:r w:rsidRPr="004A0212">
        <w:rPr>
          <w:rStyle w:val="normaltextrun"/>
        </w:rPr>
        <w:t>, with an additional payment of $24.35 a week if the child was a State ward. The subsidy for approved building works rose to 66 percent of the total cost.</w:t>
      </w:r>
      <w:r w:rsidRPr="004A0212">
        <w:rPr>
          <w:rStyle w:val="StyleFootnoteReferenceFagoFunotenzeichenFagoFunotenzeichen"/>
        </w:rPr>
        <w:endnoteReference w:id="733"/>
      </w:r>
      <w:r w:rsidRPr="004A0212">
        <w:rPr>
          <w:rStyle w:val="normaltextrun"/>
        </w:rPr>
        <w:t xml:space="preserve"> </w:t>
      </w:r>
    </w:p>
    <w:p w14:paraId="58A60516" w14:textId="77777777" w:rsidR="00FE4E56" w:rsidRPr="004A0212" w:rsidRDefault="00FE4E56" w:rsidP="004C3995">
      <w:pPr>
        <w:pStyle w:val="Numbparas"/>
        <w:rPr>
          <w:rStyle w:val="normaltextrun"/>
        </w:rPr>
      </w:pPr>
      <w:r w:rsidRPr="004A0212">
        <w:rPr>
          <w:rStyle w:val="normaltextrun"/>
        </w:rPr>
        <w:t xml:space="preserve">A 1977 review by the Department of Social Welfare into Church Social Services identified that an average cost for a child was around $57 a week: </w:t>
      </w:r>
    </w:p>
    <w:p w14:paraId="741E0A62" w14:textId="77777777" w:rsidR="00FE4E56" w:rsidRPr="004A0212" w:rsidRDefault="00FE4E56" w:rsidP="004C3995">
      <w:pPr>
        <w:pStyle w:val="AllQuotes"/>
        <w:rPr>
          <w:rStyle w:val="normaltextrun"/>
          <w:rFonts w:eastAsiaTheme="minorEastAsia"/>
        </w:rPr>
      </w:pPr>
      <w:r w:rsidRPr="004A0212">
        <w:rPr>
          <w:rStyle w:val="normaltextrun"/>
          <w:rFonts w:eastAsiaTheme="minorEastAsia"/>
        </w:rPr>
        <w:t>“This means that after taking into account the capitation subsidy, family benefit, and any contribution from parents, the Church agencies are required to find the balance of about $36 a week from their own resources for each child cared for.”</w:t>
      </w:r>
      <w:r w:rsidRPr="004A0212">
        <w:rPr>
          <w:rStyle w:val="StyleFootnoteReferenceFagoFunotenzeichenFagoFunotenzeichen"/>
        </w:rPr>
        <w:endnoteReference w:id="734"/>
      </w:r>
      <w:r w:rsidRPr="004A0212">
        <w:rPr>
          <w:rStyle w:val="normaltextrun"/>
          <w:rFonts w:eastAsiaTheme="minorEastAsia"/>
        </w:rPr>
        <w:t xml:space="preserve"> </w:t>
      </w:r>
    </w:p>
    <w:p w14:paraId="3F81594C" w14:textId="77777777" w:rsidR="00FE4E56" w:rsidRPr="004A0212" w:rsidRDefault="00FE4E56" w:rsidP="004C3995">
      <w:pPr>
        <w:pStyle w:val="Numbparas"/>
        <w:rPr>
          <w:rStyle w:val="normaltextrun"/>
        </w:rPr>
      </w:pPr>
      <w:r w:rsidRPr="004A0212">
        <w:rPr>
          <w:rStyle w:val="normaltextrun"/>
        </w:rPr>
        <w:t>Using the consumer price index as a measure, these amounts are the equivalent today of $482.57 for the cost of each child and $304.78 for the funding shortfall.</w:t>
      </w:r>
      <w:r w:rsidRPr="004A0212">
        <w:rPr>
          <w:rStyle w:val="StyleFootnoteReferenceFagoFunotenzeichenFagoFunotenzeichen"/>
        </w:rPr>
        <w:endnoteReference w:id="735"/>
      </w:r>
    </w:p>
    <w:p w14:paraId="604B90A6" w14:textId="4B0F982C" w:rsidR="00FE4E56" w:rsidRPr="004A0212" w:rsidRDefault="00FE4E56" w:rsidP="004C3995">
      <w:pPr>
        <w:pStyle w:val="Numbparas"/>
        <w:rPr>
          <w:rStyle w:val="normaltextrun"/>
        </w:rPr>
      </w:pPr>
      <w:r w:rsidRPr="004A0212">
        <w:rPr>
          <w:rStyle w:val="normaltextrun"/>
        </w:rPr>
        <w:t>Church activities received substantial State funding until the 1980s, with a large increase in State funding from the 1960s to the 1980s. In 1967, about $3.9 million (about $85.8 million in 2024) was transferred from central government departments to the voluntary social service sector, which included non-church bodies such the Society for Intellectually Handicapped Children and the Crippled Childrens Society. By 1986, a conservative estimate placed this figure at $75.6 million,</w:t>
      </w:r>
      <w:r w:rsidRPr="004A0212">
        <w:rPr>
          <w:rStyle w:val="StyleFootnoteReferenceFagoFunotenzeichenFagoFunotenzeichen"/>
        </w:rPr>
        <w:endnoteReference w:id="736"/>
      </w:r>
      <w:r w:rsidRPr="004A0212">
        <w:rPr>
          <w:rStyle w:val="normaltextrun"/>
        </w:rPr>
        <w:t xml:space="preserve"> equivalent to $221.3 million in 2024.</w:t>
      </w:r>
      <w:r w:rsidRPr="004A0212">
        <w:rPr>
          <w:rStyle w:val="StyleFootnoteReferenceFagoFunotenzeichenFagoFunotenzeichen1"/>
        </w:rPr>
        <w:t xml:space="preserve"> </w:t>
      </w:r>
      <w:r w:rsidRPr="004A0212">
        <w:rPr>
          <w:rStyle w:val="StyleFootnoteReferenceFagoFunotenzeichenFagoFunotenzeichen"/>
        </w:rPr>
        <w:endnoteReference w:id="737"/>
      </w:r>
    </w:p>
    <w:p w14:paraId="2D50898F" w14:textId="77777777" w:rsidR="00FE4E56" w:rsidRDefault="00FE4E56" w:rsidP="00282055">
      <w:pPr>
        <w:pStyle w:val="Heading2"/>
      </w:pPr>
      <w:bookmarkStart w:id="713" w:name="_Toc165441892"/>
      <w:bookmarkStart w:id="714" w:name="_Toc847298465"/>
      <w:bookmarkStart w:id="715" w:name="_Toc181085004"/>
      <w:r w:rsidRPr="004A0212">
        <w:t>Ngā whakahaerenga o ngā hāhi</w:t>
      </w:r>
      <w:bookmarkEnd w:id="715"/>
    </w:p>
    <w:p w14:paraId="4DF91A8D" w14:textId="023E6E73" w:rsidR="00FE4E56" w:rsidRPr="004A0212" w:rsidRDefault="00FE4E56" w:rsidP="00282055">
      <w:pPr>
        <w:pStyle w:val="Heading2"/>
      </w:pPr>
      <w:bookmarkStart w:id="716" w:name="_Toc181085005"/>
      <w:r w:rsidRPr="004A0212">
        <w:t>Governance structures of the faiths</w:t>
      </w:r>
      <w:bookmarkEnd w:id="713"/>
      <w:bookmarkEnd w:id="714"/>
      <w:bookmarkEnd w:id="716"/>
    </w:p>
    <w:p w14:paraId="687C82CA" w14:textId="77777777" w:rsidR="00FE4E56" w:rsidRPr="004A0212" w:rsidRDefault="00FE4E56" w:rsidP="004C3995">
      <w:pPr>
        <w:pStyle w:val="Numbparas"/>
      </w:pPr>
      <w:r w:rsidRPr="004A0212">
        <w:t>The Inquiry investigated reports of abuse and neglect in the care of eight faith-based institutions:</w:t>
      </w:r>
    </w:p>
    <w:p w14:paraId="0BB26AFC" w14:textId="77777777" w:rsidR="00FE4E56" w:rsidRPr="004A0212" w:rsidRDefault="00FE4E56" w:rsidP="00A0770A">
      <w:pPr>
        <w:pStyle w:val="Bulletpoints"/>
      </w:pPr>
      <w:r w:rsidRPr="004A0212">
        <w:t xml:space="preserve">Catholic Church </w:t>
      </w:r>
    </w:p>
    <w:p w14:paraId="56BEF2BA" w14:textId="77777777" w:rsidR="00FE4E56" w:rsidRPr="004A0212" w:rsidRDefault="00FE4E56" w:rsidP="00A0770A">
      <w:pPr>
        <w:pStyle w:val="Bulletpoints"/>
      </w:pPr>
      <w:r w:rsidRPr="004A0212">
        <w:lastRenderedPageBreak/>
        <w:t xml:space="preserve">Anglican Church </w:t>
      </w:r>
    </w:p>
    <w:p w14:paraId="7672B7B6" w14:textId="77777777" w:rsidR="00FE4E56" w:rsidRPr="004A0212" w:rsidRDefault="00FE4E56" w:rsidP="00A0770A">
      <w:pPr>
        <w:pStyle w:val="Bulletpoints"/>
      </w:pPr>
      <w:r w:rsidRPr="004A0212">
        <w:t xml:space="preserve">The Salvation Army in Aotearoa New Zealand </w:t>
      </w:r>
    </w:p>
    <w:p w14:paraId="29FEC1C5" w14:textId="77777777" w:rsidR="00FE4E56" w:rsidRPr="004A0212" w:rsidRDefault="00FE4E56" w:rsidP="00A0770A">
      <w:pPr>
        <w:pStyle w:val="Bulletpoints"/>
      </w:pPr>
      <w:r w:rsidRPr="004A0212">
        <w:t>Methodist Church</w:t>
      </w:r>
    </w:p>
    <w:p w14:paraId="2D5C77C3" w14:textId="77777777" w:rsidR="00FE4E56" w:rsidRPr="004A0212" w:rsidRDefault="00FE4E56" w:rsidP="00A0770A">
      <w:pPr>
        <w:pStyle w:val="Bulletpoints"/>
      </w:pPr>
      <w:r w:rsidRPr="004A0212">
        <w:t>Presbyterian Church</w:t>
      </w:r>
    </w:p>
    <w:p w14:paraId="4F6B3B78" w14:textId="77777777" w:rsidR="00FE4E56" w:rsidRPr="004A0212" w:rsidRDefault="00FE4E56" w:rsidP="00A0770A">
      <w:pPr>
        <w:pStyle w:val="Bulletpoints"/>
      </w:pPr>
      <w:r w:rsidRPr="004A0212">
        <w:t>Gloriavale Christian Community</w:t>
      </w:r>
    </w:p>
    <w:p w14:paraId="5FD55D4F" w14:textId="77777777" w:rsidR="00FE4E56" w:rsidRPr="004A0212" w:rsidRDefault="00FE4E56" w:rsidP="00A0770A">
      <w:pPr>
        <w:pStyle w:val="Bulletpoints"/>
      </w:pPr>
      <w:r w:rsidRPr="004A0212">
        <w:t>Plymouth Brethren Christian Church</w:t>
      </w:r>
    </w:p>
    <w:p w14:paraId="17697D10" w14:textId="77777777" w:rsidR="00FE4E56" w:rsidRPr="000C0692" w:rsidRDefault="00FE4E56" w:rsidP="00A0770A">
      <w:pPr>
        <w:pStyle w:val="Bulletpoints"/>
      </w:pPr>
      <w:r w:rsidRPr="000C0692">
        <w:t>Jehovah’s Witnesses</w:t>
      </w:r>
    </w:p>
    <w:p w14:paraId="44EF8EBA" w14:textId="77777777" w:rsidR="00FE4E56" w:rsidRPr="004A0212" w:rsidRDefault="00FE4E56" w:rsidP="004C3995">
      <w:pPr>
        <w:pStyle w:val="Numbparas"/>
      </w:pPr>
      <w:r w:rsidRPr="004A0212">
        <w:t>The Inquiry refers to faith-based institutions across all of the eight faiths investigated by including the name of the care setting and identifying the religion, such as the Star of the Sea orphanage (Catholic), or St Andrew’s Orphanage (Anglican). Another example is where the Inquiry refers to private schools and State integrated schools with special character, often where the integrated schools was formerly a private school. </w:t>
      </w:r>
    </w:p>
    <w:p w14:paraId="35434D16" w14:textId="77777777" w:rsidR="00FE4E56" w:rsidRPr="004A0212" w:rsidRDefault="00FE4E56" w:rsidP="004C3995">
      <w:pPr>
        <w:pStyle w:val="Numbparas"/>
      </w:pPr>
      <w:r w:rsidRPr="004A0212">
        <w:t>The degree of church involvement in the settings varied. For example, in some cases there was a less direct relationship with the entities in question and the relationship was largely one of theological or spiritual oversight and affiliation. In other settings, the religious denomination owned or operated the institution referred to. Some schools were operated by faiths, other schools merely had an onsite chaplain or yearly visits from faith officials.</w:t>
      </w:r>
    </w:p>
    <w:p w14:paraId="71F124D3" w14:textId="77777777" w:rsidR="00FE4E56" w:rsidRPr="004A0212" w:rsidRDefault="00FE4E56" w:rsidP="004C3995">
      <w:pPr>
        <w:pStyle w:val="Numbparas"/>
      </w:pPr>
      <w:r w:rsidRPr="004A0212">
        <w:t>In this report the Inquiry does not always make a distinction about the relationship between the faith and the setting described unless particular context and explanation is required for the point being made in the relevant section.</w:t>
      </w:r>
    </w:p>
    <w:p w14:paraId="673B54E4" w14:textId="77777777" w:rsidR="00FE4E56" w:rsidRPr="004A0212" w:rsidRDefault="00FE4E56" w:rsidP="008225EE">
      <w:pPr>
        <w:pStyle w:val="Numbparas"/>
        <w:numPr>
          <w:ilvl w:val="0"/>
          <w:numId w:val="0"/>
        </w:numPr>
        <w:ind w:left="851"/>
      </w:pPr>
    </w:p>
    <w:p w14:paraId="451106E6" w14:textId="77777777" w:rsidR="00FE4E56" w:rsidRDefault="00FE4E56" w:rsidP="00F10393">
      <w:pPr>
        <w:pStyle w:val="Heading3"/>
      </w:pPr>
      <w:bookmarkStart w:id="717" w:name="_Toc165441893"/>
      <w:bookmarkStart w:id="718" w:name="_Toc570591022"/>
      <w:bookmarkStart w:id="719" w:name="_Toc181085006"/>
      <w:r w:rsidRPr="004A0212">
        <w:t>Ngā Pīhopa me ngā kaiārahi whakaminenga o te Hāhi Katorika i Aotearoa</w:t>
      </w:r>
      <w:bookmarkEnd w:id="719"/>
      <w:r w:rsidRPr="004A0212">
        <w:t xml:space="preserve"> </w:t>
      </w:r>
      <w:bookmarkStart w:id="720" w:name="_Toc165441894"/>
      <w:bookmarkEnd w:id="717"/>
    </w:p>
    <w:p w14:paraId="4B1E98B4" w14:textId="2D237A21" w:rsidR="00FE4E56" w:rsidRPr="004A0212" w:rsidRDefault="00FE4E56" w:rsidP="00F10393">
      <w:pPr>
        <w:pStyle w:val="Heading3"/>
      </w:pPr>
      <w:bookmarkStart w:id="721" w:name="_Toc181085007"/>
      <w:r w:rsidRPr="004A0212">
        <w:t>Bishops and congregational leaders of the Catholic Church in Aotearoa New Zealand</w:t>
      </w:r>
      <w:bookmarkEnd w:id="718"/>
      <w:bookmarkEnd w:id="720"/>
      <w:bookmarkEnd w:id="721"/>
      <w:r w:rsidRPr="004A0212">
        <w:t xml:space="preserve"> </w:t>
      </w:r>
    </w:p>
    <w:p w14:paraId="6FD51A83" w14:textId="68BD36F8" w:rsidR="00FE4E56" w:rsidRPr="004A0212" w:rsidRDefault="00FE4E56" w:rsidP="004C3995">
      <w:pPr>
        <w:pStyle w:val="Numbparas"/>
      </w:pPr>
      <w:r w:rsidRPr="004A0212">
        <w:t>The worldwide Catholic Church, sometimes called the ‘universal church’, is made up of many particular or local churches, each under the leadership of a diocesan bishop appointed by the Pope. The Pope, who is the Bishop of Rome, is the leader of all these local churches. The Holy See is the name given to the Catholic Church’s central government and is led by the Pope. It operates from the Vatican City State, which is an independent sovereign territory within Italy.</w:t>
      </w:r>
      <w:r w:rsidRPr="004A0212">
        <w:rPr>
          <w:rStyle w:val="StyleFootnoteReferenceFagoFunotenzeichenFagoFunotenzeichen"/>
        </w:rPr>
        <w:endnoteReference w:id="738"/>
      </w:r>
    </w:p>
    <w:p w14:paraId="5D670DB9" w14:textId="77777777" w:rsidR="00FE4E56" w:rsidRPr="004A0212" w:rsidRDefault="00FE4E56" w:rsidP="004C3995">
      <w:pPr>
        <w:pStyle w:val="Numbparas"/>
      </w:pPr>
      <w:r w:rsidRPr="004A0212">
        <w:t>The Congregation for the Evangelisation of Peoples has oversight of Aotearoa New Zealand dioceses.</w:t>
      </w:r>
      <w:r w:rsidRPr="004A0212">
        <w:rPr>
          <w:rStyle w:val="StyleFootnoteReferenceFagoFunotenzeichenFagoFunotenzeichen"/>
        </w:rPr>
        <w:endnoteReference w:id="739"/>
      </w:r>
      <w:r w:rsidRPr="004A0212">
        <w:t xml:space="preserve"> Only the Pope can appoint and remove bishops or intervene in dioceses. Diocesan bishops are required to make a profession of faith and oath of fidelity to the Holy See. Bishops in Aotearoa New Zealand direct their contact with the Vatican through a papal emissary.</w:t>
      </w:r>
    </w:p>
    <w:p w14:paraId="743FFF92" w14:textId="77777777" w:rsidR="00CD0E26" w:rsidRDefault="00CD0E26">
      <w:pPr>
        <w:keepLines w:val="0"/>
        <w:rPr>
          <w:rFonts w:ascii="Arial" w:eastAsia="Calibri" w:hAnsi="Arial" w:cs="Arial"/>
          <w:bCs/>
          <w:color w:val="222222"/>
          <w:sz w:val="22"/>
          <w:szCs w:val="22"/>
          <w:shd w:val="clear" w:color="auto" w:fill="FFFFFF"/>
        </w:rPr>
      </w:pPr>
      <w:r>
        <w:br w:type="page"/>
      </w:r>
    </w:p>
    <w:p w14:paraId="55864F0B" w14:textId="6FDFB56D" w:rsidR="00FE4E56" w:rsidRPr="004A0212" w:rsidRDefault="00FE4E56" w:rsidP="004C3995">
      <w:pPr>
        <w:pStyle w:val="Numbparas"/>
      </w:pPr>
      <w:r w:rsidRPr="004A0212">
        <w:lastRenderedPageBreak/>
        <w:t xml:space="preserve">The </w:t>
      </w:r>
      <w:r w:rsidRPr="004A0212">
        <w:rPr>
          <w:color w:val="262626" w:themeColor="text1" w:themeTint="D9"/>
        </w:rPr>
        <w:t>bishops and congregational leaders of the Catholic Church in Aotearoa New Zealand</w:t>
      </w:r>
      <w:r w:rsidRPr="004A0212">
        <w:t xml:space="preserve"> (which the Inquiry refers to as the Catholic Church in Aotearoa New Zealand) is territorially divided into one metropolitan archdiocese, and five suffragan (regional) dioceses. The Archdiocese of Wellington with the five other dioceses in Aotearoa New Zealand constitutes a province as determined by the Pope. The metropolitan is the senior bishop of the province.</w:t>
      </w:r>
      <w:r w:rsidRPr="004A0212">
        <w:rPr>
          <w:rStyle w:val="StyleFootnoteReferenceFagoFunotenzeichenFagoFunotenzeichen"/>
        </w:rPr>
        <w:endnoteReference w:id="740"/>
      </w:r>
      <w:r w:rsidRPr="004A0212">
        <w:t xml:space="preserve"> Since 2019, the metropolitans around the world, including Paul Martin, as Catholic Archbishop of the archdiocese of Wellington, have had a specific role and responsibility in responding to reports of abuse or failing to respond to a report of abuse by bishops within their province under “Vos Estis Lux Mundi”, the new Vatican protocol for dealing with cases of abuse.</w:t>
      </w:r>
    </w:p>
    <w:p w14:paraId="1C9334DC" w14:textId="77777777" w:rsidR="00FE4E56" w:rsidRPr="004A0212" w:rsidRDefault="00FE4E56" w:rsidP="004C3995">
      <w:pPr>
        <w:pStyle w:val="Numbparas"/>
      </w:pPr>
      <w:r w:rsidRPr="004A0212">
        <w:t>Dioceses are made up of various parishes, churches, schools, and other affiliated entities and institutions. Each bishop appoints priests and assistant priests, and ensures they fulfil their obligations as priests.</w:t>
      </w:r>
    </w:p>
    <w:p w14:paraId="565FA9EC" w14:textId="77777777" w:rsidR="00FE4E56" w:rsidRPr="004A0212" w:rsidRDefault="00FE4E56" w:rsidP="004C3995">
      <w:pPr>
        <w:pStyle w:val="Numbparas"/>
      </w:pPr>
      <w:r w:rsidRPr="004A0212">
        <w:t>Some religious institutions (also referred to as religious orders or congregations) have both religious brothers and priest members (like the Society of Mary, known as the Marist Fathers), some only religious brother members (like the Marist Brothers) or only religious sister members (like the Sisters of Nazareth).</w:t>
      </w:r>
    </w:p>
    <w:p w14:paraId="2F069FF2" w14:textId="00F588C6" w:rsidR="00FE4E56" w:rsidRPr="004A0212" w:rsidRDefault="00FE4E56" w:rsidP="004C3995">
      <w:pPr>
        <w:pStyle w:val="Numbparas"/>
      </w:pPr>
      <w:r w:rsidRPr="004A0212">
        <w:t>The religious institutes operating in Aotearoa New Zealand are not limited by diocesan boundaries and may be in one or more dioceses, depending on the agreement of local bishops. Bishops are required to exercise pastoral care for all the people of faith (Catholics) within a geographical region (diocese), including members of religious institutes. Alongside the dioceses and religious institutes, there are many, mostly independent and self-governing lay organisations. These are both large and small with a variety of ownership structures and legal standing. Catholic schools were owned and operated by dioceses and religious institutes before 1975. From 1975 they were integrated into the State system. The land and buildings continue to be owned by a church authority, such as a bishop, religious institute or trust / company established for this purpose.</w:t>
      </w:r>
      <w:r w:rsidRPr="004A0212">
        <w:rPr>
          <w:rStyle w:val="StyleFootnoteReferenceFagoFunotenzeichenFagoFunotenzeichen"/>
        </w:rPr>
        <w:endnoteReference w:id="741"/>
      </w:r>
      <w:r w:rsidRPr="004A0212">
        <w:t xml:space="preserve"> The bishops, religious superiors / leaders or trust / company continues to have proprietorship of these Catholic schools but are not involved in their day-to-day operation.</w:t>
      </w:r>
      <w:r w:rsidRPr="004A0212">
        <w:rPr>
          <w:rStyle w:val="StyleFootnoteReferenceFagoFunotenzeichenFagoFunotenzeichen"/>
        </w:rPr>
        <w:endnoteReference w:id="742"/>
      </w:r>
    </w:p>
    <w:p w14:paraId="2C32DF42" w14:textId="65610E97" w:rsidR="00FE4E56" w:rsidRPr="004A0212" w:rsidRDefault="00FE4E56" w:rsidP="004C3995">
      <w:pPr>
        <w:pStyle w:val="Numbparas"/>
      </w:pPr>
      <w:r w:rsidRPr="004A0212">
        <w:t>The National Office for Professional Standards was set up in 2004 and currently manages complaints of sexual abuse or sexual misconduct by clergy or members of religious orders under Te Houhanga Rongo – A Path to Healing protocol. All reports of other forms of abuse are managed by the relevant bishop, religious superior or catholic organisation. Each bishop and religious superior, or leader of a church organisation has the decision-making power in response to all reports of abuse. The image on the following page provides a simple overview structure of the Catholic Church in Aotearoa New Zealand.</w:t>
      </w:r>
    </w:p>
    <w:p w14:paraId="4ACBE29C" w14:textId="563C704F" w:rsidR="00CD0E26" w:rsidRDefault="00CD0E26">
      <w:pPr>
        <w:keepLines w:val="0"/>
        <w:rPr>
          <w:rFonts w:ascii="Arial" w:eastAsia="Calibri" w:hAnsi="Arial" w:cs="Arial"/>
          <w:bCs/>
          <w:color w:val="222222"/>
          <w:sz w:val="22"/>
          <w:szCs w:val="22"/>
          <w:shd w:val="clear" w:color="auto" w:fill="FFFFFF"/>
        </w:rPr>
      </w:pPr>
      <w:bookmarkStart w:id="722" w:name="_Hlk173336194"/>
      <w:r>
        <w:br w:type="page"/>
      </w:r>
    </w:p>
    <w:p w14:paraId="67AD72AB" w14:textId="77777777" w:rsidR="00FE4E56" w:rsidRDefault="00FE4E56" w:rsidP="00926E67">
      <w:pPr>
        <w:pStyle w:val="Numbparas"/>
        <w:numPr>
          <w:ilvl w:val="0"/>
          <w:numId w:val="0"/>
        </w:numPr>
        <w:ind w:left="851"/>
      </w:pPr>
    </w:p>
    <w:p w14:paraId="52F0180F" w14:textId="3BE48D42" w:rsidR="00FE4E56" w:rsidRDefault="00F9423D" w:rsidP="00926E67">
      <w:pPr>
        <w:pStyle w:val="Numbparas"/>
        <w:numPr>
          <w:ilvl w:val="0"/>
          <w:numId w:val="0"/>
        </w:numPr>
        <w:ind w:left="851"/>
      </w:pPr>
      <w:r>
        <w:tab/>
      </w:r>
      <w:r w:rsidR="00FE4E56">
        <w:t>[Quote]</w:t>
      </w:r>
    </w:p>
    <w:p w14:paraId="5FD7DF99" w14:textId="77777777" w:rsidR="00FE4E56" w:rsidRPr="00F9423D" w:rsidRDefault="00FE4E56" w:rsidP="00F9423D">
      <w:pPr>
        <w:pStyle w:val="AllQuotes"/>
        <w:rPr>
          <w:rFonts w:eastAsia="Arial" w:cs="Arial"/>
          <w:b/>
          <w:bCs/>
          <w:szCs w:val="22"/>
        </w:rPr>
      </w:pPr>
      <w:r w:rsidRPr="00F9423D">
        <w:rPr>
          <w:rFonts w:eastAsia="Arial" w:cs="Arial"/>
          <w:b/>
          <w:bCs/>
          <w:szCs w:val="22"/>
        </w:rPr>
        <w:t>“Churches, particularly the Catholic, Anglican, Methodist and Presbyterian Churches and The Salvation Army, were involved in care provision during the Inquiry period.”</w:t>
      </w:r>
    </w:p>
    <w:p w14:paraId="77A9DCDA" w14:textId="77777777" w:rsidR="00FE4E56" w:rsidRPr="00F9423D" w:rsidRDefault="00FE4E56" w:rsidP="00F9423D">
      <w:pPr>
        <w:pStyle w:val="AllQuotes"/>
        <w:rPr>
          <w:rFonts w:eastAsia="Arial" w:cs="Arial"/>
          <w:b/>
          <w:bCs/>
          <w:szCs w:val="22"/>
        </w:rPr>
      </w:pPr>
      <w:r w:rsidRPr="00F9423D">
        <w:rPr>
          <w:rFonts w:eastAsia="Arial" w:cs="Arial"/>
          <w:b/>
          <w:bCs/>
          <w:szCs w:val="22"/>
        </w:rPr>
        <w:t>John Evans,</w:t>
      </w:r>
    </w:p>
    <w:p w14:paraId="357586F4" w14:textId="4A0BE163" w:rsidR="00FE4E56" w:rsidRDefault="00FE4E56" w:rsidP="00F9423D">
      <w:pPr>
        <w:pStyle w:val="AllQuotes"/>
        <w:rPr>
          <w:b/>
        </w:rPr>
      </w:pPr>
      <w:r w:rsidRPr="00F9423D">
        <w:rPr>
          <w:rFonts w:eastAsia="Arial" w:cs="Arial"/>
          <w:b/>
          <w:bCs/>
          <w:szCs w:val="22"/>
        </w:rPr>
        <w:t>Doctoral Thesis, Church state relations in New Zealand 1940 to 1990, with particular reference to the Presbyterian and Methodist Churches</w:t>
      </w:r>
      <w:r w:rsidRPr="00502055">
        <w:t>.</w:t>
      </w:r>
    </w:p>
    <w:p w14:paraId="56B6573E" w14:textId="77777777" w:rsidR="00F9423D" w:rsidRPr="00BC350B" w:rsidRDefault="00F9423D" w:rsidP="00F9423D">
      <w:pPr>
        <w:pStyle w:val="AllQuotes"/>
      </w:pPr>
    </w:p>
    <w:p w14:paraId="36ABA05F" w14:textId="0133A60A" w:rsidR="00FE4E56" w:rsidRDefault="00FE4E56" w:rsidP="004C3995">
      <w:pPr>
        <w:pStyle w:val="Numbparas"/>
        <w:keepNext/>
        <w:numPr>
          <w:ilvl w:val="0"/>
          <w:numId w:val="0"/>
        </w:numPr>
        <w:ind w:left="567"/>
        <w:rPr>
          <w:b/>
          <w:bCs w:val="0"/>
        </w:rPr>
      </w:pPr>
      <w:r w:rsidRPr="004A0212">
        <w:rPr>
          <w:b/>
          <w:bCs w:val="0"/>
        </w:rPr>
        <w:t>Overview structure of the Catholic Church in Aotearoa New Zealand</w:t>
      </w:r>
    </w:p>
    <w:bookmarkEnd w:id="722"/>
    <w:p w14:paraId="53CAAF7E" w14:textId="09D36434" w:rsidR="00FE4E56" w:rsidRPr="009B7215" w:rsidRDefault="00FE4E56" w:rsidP="004C3995">
      <w:pPr>
        <w:pStyle w:val="Numbparas"/>
        <w:keepNext/>
        <w:numPr>
          <w:ilvl w:val="0"/>
          <w:numId w:val="0"/>
        </w:numPr>
        <w:ind w:left="567"/>
      </w:pPr>
      <w:r w:rsidRPr="009B7215">
        <w:t>[Image: Overview structure of the Catholic Church in Aotearoa New Zealand]</w:t>
      </w:r>
    </w:p>
    <w:p w14:paraId="71343B98" w14:textId="77777777" w:rsidR="00FE4E56" w:rsidRPr="004A0212" w:rsidRDefault="00FE4E56" w:rsidP="004C3995">
      <w:pPr>
        <w:pStyle w:val="AllNumbparas"/>
        <w:numPr>
          <w:ilvl w:val="0"/>
          <w:numId w:val="0"/>
        </w:numPr>
        <w:ind w:left="567"/>
      </w:pPr>
      <w:r w:rsidRPr="004A0212">
        <w:rPr>
          <w:noProof/>
        </w:rPr>
        <w:drawing>
          <wp:inline distT="0" distB="0" distL="0" distR="0" wp14:anchorId="4C8568EF" wp14:editId="0ADE2446">
            <wp:extent cx="5731510" cy="3632835"/>
            <wp:effectExtent l="0" t="0" r="2540" b="5715"/>
            <wp:docPr id="1591451390" name="Picture 1" descr="This image shows the hierarchy and reporting lines of the Catholic Church in Aotearoa New Zealand. At the top is the Pope, who is the Bishop of Rome, leader of the Holy See and Roman Curia. Directly below and reporting to the Pope is the Apostolic Nunciature, the diplomatic mission of the Holy See, who liaises between the Holy See and the Church in New Zealand and has a role in the selection of new bishops. Under the Pope are the Archbishop of Wellington and Metropolitan (22 parishes), the Bishop of Auckland (68 parishes), the Bishop of Hamilton (37 parishes), the Bishop of Palmerston North (22 parishes), the Bishop of Christchurch (26 parishes) and the Bishop of Dunedin (27 parishes). The Archbishop and each of the five bishops hold a relationship with the P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51390" name="Picture 1" descr="This image shows the hierarchy and reporting lines of the Catholic Church in Aotearoa New Zealand. At the top is the Pope, who is the Bishop of Rome, leader of the Holy See and Roman Curia. Directly below and reporting to the Pope is the Apostolic Nunciature, the diplomatic mission of the Holy See, who liaises between the Holy See and the Church in New Zealand and has a role in the selection of new bishops. Under the Pope are the Archbishop of Wellington and Metropolitan (22 parishes), the Bishop of Auckland (68 parishes), the Bishop of Hamilton (37 parishes), the Bishop of Palmerston North (22 parishes), the Bishop of Christchurch (26 parishes) and the Bishop of Dunedin (27 parishes). The Archbishop and each of the five bishops hold a relationship with the Pope."/>
                    <pic:cNvPicPr/>
                  </pic:nvPicPr>
                  <pic:blipFill>
                    <a:blip r:embed="rId27"/>
                    <a:stretch>
                      <a:fillRect/>
                    </a:stretch>
                  </pic:blipFill>
                  <pic:spPr>
                    <a:xfrm>
                      <a:off x="0" y="0"/>
                      <a:ext cx="5731510" cy="3632835"/>
                    </a:xfrm>
                    <a:prstGeom prst="rect">
                      <a:avLst/>
                    </a:prstGeom>
                  </pic:spPr>
                </pic:pic>
              </a:graphicData>
            </a:graphic>
          </wp:inline>
        </w:drawing>
      </w:r>
    </w:p>
    <w:p w14:paraId="25550C1D" w14:textId="77777777" w:rsidR="00FE4E56" w:rsidRDefault="00FE4E56" w:rsidP="004C3995">
      <w:pPr>
        <w:pStyle w:val="Heading3"/>
      </w:pPr>
      <w:bookmarkStart w:id="723" w:name="_Toc165441895"/>
      <w:bookmarkStart w:id="724" w:name="_Toc48485389"/>
      <w:bookmarkStart w:id="725" w:name="_Toc181085008"/>
      <w:r w:rsidRPr="004A0212">
        <w:t>Te Hāhi Mihingare</w:t>
      </w:r>
      <w:bookmarkEnd w:id="725"/>
    </w:p>
    <w:p w14:paraId="7BDF2350" w14:textId="301FDF1C" w:rsidR="00FE4E56" w:rsidRPr="004A0212" w:rsidRDefault="00FE4E56" w:rsidP="004C3995">
      <w:pPr>
        <w:pStyle w:val="Heading3"/>
      </w:pPr>
      <w:bookmarkStart w:id="726" w:name="_Toc165441896"/>
      <w:bookmarkStart w:id="727" w:name="_Toc181085009"/>
      <w:bookmarkEnd w:id="723"/>
      <w:r w:rsidRPr="004A0212">
        <w:t>Anglican Church</w:t>
      </w:r>
      <w:bookmarkEnd w:id="724"/>
      <w:bookmarkEnd w:id="726"/>
      <w:bookmarkEnd w:id="727"/>
    </w:p>
    <w:p w14:paraId="3A5A9FE3" w14:textId="62D3F219" w:rsidR="00FE4E56" w:rsidRPr="004A0212" w:rsidRDefault="00FE4E56" w:rsidP="004C3995">
      <w:pPr>
        <w:pStyle w:val="Numbparas"/>
      </w:pPr>
      <w:r w:rsidRPr="004A0212">
        <w:t>The Anglican Church is an autonomous branch of the worldwide Anglican Communion and is split into the church and its affiliated entities.</w:t>
      </w:r>
      <w:r w:rsidRPr="004A0212">
        <w:rPr>
          <w:rStyle w:val="StyleFootnoteReferenceFagoFunotenzeichenFagoFunotenzeichen"/>
        </w:rPr>
        <w:endnoteReference w:id="743"/>
      </w:r>
      <w:r w:rsidRPr="004A0212">
        <w:t xml:space="preserve"> Since 1992, the Anglican Church in Aotearoa New Zealand and Polynesia (which the Inquiry refers to as the Anglican Church) has been constitutionally divided into three tikanga: Tikanga Māori, Tikanga Pasifika and Tikanga Pākehā. Three archbishops, one from each of Tikanga Māori, Tikanga Pasifika</w:t>
      </w:r>
      <w:r w:rsidRPr="004A0212" w:rsidDel="00AD3185">
        <w:t xml:space="preserve"> </w:t>
      </w:r>
      <w:r w:rsidRPr="004A0212">
        <w:t>and Tikanga Pākehā form the Primacy of the Anglican Church, or in other words, lead the church.</w:t>
      </w:r>
    </w:p>
    <w:p w14:paraId="41B489A0" w14:textId="77777777" w:rsidR="00FE4E56" w:rsidRPr="004A0212" w:rsidRDefault="00FE4E56" w:rsidP="004C3995">
      <w:pPr>
        <w:pStyle w:val="Numbparas"/>
      </w:pPr>
      <w:r w:rsidRPr="004A0212">
        <w:lastRenderedPageBreak/>
        <w:t>The geographical division of Tikanga Māori amorangi and Tikanga Pākehā diocese can be seen in the following maps:</w:t>
      </w:r>
      <w:r w:rsidRPr="004A0212">
        <w:rPr>
          <w:rStyle w:val="StyleFootnoteReferenceFagoFunotenzeichenFagoFunotenzeichen"/>
        </w:rPr>
        <w:endnoteReference w:id="744"/>
      </w:r>
    </w:p>
    <w:p w14:paraId="4610A7E0" w14:textId="0DBF6772" w:rsidR="00FE4E56" w:rsidRDefault="00FE4E56" w:rsidP="004C3995">
      <w:pPr>
        <w:pStyle w:val="Numbparas"/>
        <w:keepNext/>
        <w:numPr>
          <w:ilvl w:val="0"/>
          <w:numId w:val="0"/>
        </w:numPr>
        <w:ind w:left="567"/>
        <w:rPr>
          <w:b/>
          <w:bCs w:val="0"/>
        </w:rPr>
      </w:pPr>
      <w:r w:rsidRPr="004A0212">
        <w:rPr>
          <w:b/>
          <w:bCs w:val="0"/>
        </w:rPr>
        <w:t>Geographical divisions of the Anglican Church</w:t>
      </w:r>
    </w:p>
    <w:p w14:paraId="192168DD" w14:textId="3201B718" w:rsidR="00FE4E56" w:rsidRPr="009B7215" w:rsidRDefault="00FE4E56" w:rsidP="00E8324D">
      <w:pPr>
        <w:pStyle w:val="Numbparas"/>
        <w:keepNext/>
        <w:numPr>
          <w:ilvl w:val="0"/>
          <w:numId w:val="0"/>
        </w:numPr>
        <w:ind w:left="567"/>
      </w:pPr>
      <w:r w:rsidRPr="009B7215">
        <w:t>[Image: Geographical divisions of the Anglican Church]</w:t>
      </w:r>
    </w:p>
    <w:p w14:paraId="539BFB6D" w14:textId="31C09424" w:rsidR="00FE4E56" w:rsidRPr="004A0212" w:rsidRDefault="00FE4E56" w:rsidP="004C3995">
      <w:pPr>
        <w:pStyle w:val="Numbparas"/>
        <w:keepNext/>
        <w:numPr>
          <w:ilvl w:val="0"/>
          <w:numId w:val="0"/>
        </w:numPr>
        <w:ind w:left="567"/>
        <w:rPr>
          <w:b/>
          <w:bCs w:val="0"/>
        </w:rPr>
      </w:pPr>
    </w:p>
    <w:p w14:paraId="080513AC" w14:textId="77777777" w:rsidR="00FE4E56" w:rsidRPr="004A0212" w:rsidRDefault="00FE4E56" w:rsidP="004C3995">
      <w:pPr>
        <w:pStyle w:val="AllNumbparas"/>
        <w:numPr>
          <w:ilvl w:val="0"/>
          <w:numId w:val="0"/>
        </w:numPr>
        <w:ind w:left="567" w:hanging="567"/>
        <w:rPr>
          <w:color w:val="262626" w:themeColor="text1" w:themeTint="D9"/>
        </w:rPr>
      </w:pPr>
      <w:r w:rsidRPr="004A0212">
        <w:rPr>
          <w:noProof/>
          <w:color w:val="262626" w:themeColor="text1" w:themeTint="D9"/>
        </w:rPr>
        <w:drawing>
          <wp:inline distT="0" distB="0" distL="0" distR="0" wp14:anchorId="5F06FBE5" wp14:editId="36838DF8">
            <wp:extent cx="5191125" cy="5279610"/>
            <wp:effectExtent l="0" t="0" r="0" b="0"/>
            <wp:docPr id="446883945" name="Picture 1" descr="This image shows the geographical divisions of the Anglican Church for tikanga Māori amorangi. The image shows a map of New Zealand, with 5 differently shaded geographic areas. The North Island has 4 shaded areas, and the South Island has 1. At the top of the North Island, is the area called Te Tai Taukarau, where Bishop Te Kitohi Wiremu Pikaahu was appointed in 2002. In the centre of the North Island is Te Manawa o Te Wheke, where Bishop Ngarahu Katene was appointed in 2006. On the lower left-hand half of the North Island is Te Upoko o te Ika, where Bishop Waitohiariki Quayle was appointed in 2019, and on the lower right-hand side is Te Tairawhiti where Archbishop Don Tamihere was appointed in 2017. The South Island is Te Waipounamu, where Bishop Richard Wallace was appointed in 2017.He died on 7 January 2024 and his replacement is yet to be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83945" name="Picture 1" descr="This image shows the geographical divisions of the Anglican Church for tikanga Māori amorangi. The image shows a map of New Zealand, with 5 differently shaded geographic areas. The North Island has 4 shaded areas, and the South Island has 1. At the top of the North Island, is the area called Te Tai Taukarau, where Bishop Te Kitohi Wiremu Pikaahu was appointed in 2002. In the centre of the North Island is Te Manawa o Te Wheke, where Bishop Ngarahu Katene was appointed in 2006. On the lower left-hand half of the North Island is Te Upoko o te Ika, where Bishop Waitohiariki Quayle was appointed in 2019, and on the lower right-hand side is Te Tairawhiti where Archbishop Don Tamihere was appointed in 2017. The South Island is Te Waipounamu, where Bishop Richard Wallace was appointed in 2017.He died on 7 January 2024 and his replacement is yet to be announced."/>
                    <pic:cNvPicPr/>
                  </pic:nvPicPr>
                  <pic:blipFill>
                    <a:blip r:embed="rId28"/>
                    <a:stretch>
                      <a:fillRect/>
                    </a:stretch>
                  </pic:blipFill>
                  <pic:spPr>
                    <a:xfrm>
                      <a:off x="0" y="0"/>
                      <a:ext cx="5196280" cy="5284853"/>
                    </a:xfrm>
                    <a:prstGeom prst="rect">
                      <a:avLst/>
                    </a:prstGeom>
                  </pic:spPr>
                </pic:pic>
              </a:graphicData>
            </a:graphic>
          </wp:inline>
        </w:drawing>
      </w:r>
    </w:p>
    <w:p w14:paraId="45D0520D" w14:textId="77777777" w:rsidR="00FE4E56" w:rsidRPr="004A0212" w:rsidRDefault="00FE4E56" w:rsidP="004C3995">
      <w:pPr>
        <w:pStyle w:val="AllNumbparas"/>
        <w:numPr>
          <w:ilvl w:val="0"/>
          <w:numId w:val="0"/>
        </w:numPr>
        <w:ind w:left="567" w:hanging="567"/>
        <w:rPr>
          <w:color w:val="262626" w:themeColor="text1" w:themeTint="D9"/>
        </w:rPr>
      </w:pPr>
    </w:p>
    <w:p w14:paraId="63E888C6" w14:textId="77777777" w:rsidR="00FE4E56" w:rsidRPr="004A0212" w:rsidRDefault="00FE4E56" w:rsidP="004C3995">
      <w:pPr>
        <w:pStyle w:val="text-justify"/>
        <w:shd w:val="clear" w:color="auto" w:fill="FFFFFF"/>
        <w:spacing w:before="0" w:beforeAutospacing="0"/>
        <w:jc w:val="both"/>
        <w:rPr>
          <w:rFonts w:ascii="Segoe UI" w:hAnsi="Segoe UI" w:cs="Segoe UI"/>
          <w:color w:val="001C2E"/>
          <w:sz w:val="27"/>
          <w:szCs w:val="27"/>
        </w:rPr>
      </w:pPr>
      <w:r w:rsidRPr="004A0212">
        <w:rPr>
          <w:rFonts w:ascii="Segoe UI" w:hAnsi="Segoe UI" w:cs="Segoe UI"/>
          <w:noProof/>
          <w:color w:val="001C2E"/>
          <w:sz w:val="27"/>
          <w:szCs w:val="27"/>
        </w:rPr>
        <w:lastRenderedPageBreak/>
        <w:drawing>
          <wp:inline distT="0" distB="0" distL="0" distR="0" wp14:anchorId="066D9EC9" wp14:editId="625097E1">
            <wp:extent cx="5677692" cy="5487166"/>
            <wp:effectExtent l="0" t="0" r="0" b="0"/>
            <wp:docPr id="898846725" name="Picture 1" descr="This image shows the geographical divisions of the Tikanga Pākehā dioce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46725" name="Picture 1" descr="This image shows the geographical divisions of the Tikanga Pākehā diocese. "/>
                    <pic:cNvPicPr/>
                  </pic:nvPicPr>
                  <pic:blipFill>
                    <a:blip r:embed="rId29"/>
                    <a:stretch>
                      <a:fillRect/>
                    </a:stretch>
                  </pic:blipFill>
                  <pic:spPr>
                    <a:xfrm>
                      <a:off x="0" y="0"/>
                      <a:ext cx="5677692" cy="5487166"/>
                    </a:xfrm>
                    <a:prstGeom prst="rect">
                      <a:avLst/>
                    </a:prstGeom>
                  </pic:spPr>
                </pic:pic>
              </a:graphicData>
            </a:graphic>
          </wp:inline>
        </w:drawing>
      </w:r>
    </w:p>
    <w:p w14:paraId="6AD3FBC7" w14:textId="77FB9F8A" w:rsidR="00FE4E56" w:rsidRPr="004A0212" w:rsidRDefault="00FE4E56" w:rsidP="004C3995">
      <w:pPr>
        <w:pStyle w:val="Numbparas"/>
      </w:pPr>
      <w:r w:rsidRPr="004A0212">
        <w:t>Each diocese or amorangi then consists of ministry units, parishes, schools, chaplaincies and co-operating ventures. The church is estimated to have at least 300 parishes and more than 30 schools associated with the church. The church’s primary governing body is the General Synod Te Hinota Whānui, which is made up of three houses: bishops, clergy and laity (non-ordained).</w:t>
      </w:r>
    </w:p>
    <w:p w14:paraId="616EF80D" w14:textId="77777777" w:rsidR="00FE4E56" w:rsidRPr="004A0212" w:rsidRDefault="00FE4E56" w:rsidP="004C3995">
      <w:pPr>
        <w:pStyle w:val="Numbparas"/>
      </w:pPr>
      <w:r w:rsidRPr="004A0212">
        <w:t>Every decision of the General Synod Te Hinota Whānui must be agreed to by each of the three houses and the three tikanga. The General Synod Te Hinota Whānui only meets for a week at a time, every two years. As a result, the process for change to church processes is slow.</w:t>
      </w:r>
      <w:r w:rsidRPr="004A0212">
        <w:rPr>
          <w:rStyle w:val="StyleFootnoteReferenceFagoFunotenzeichenFagoFunotenzeichen"/>
        </w:rPr>
        <w:endnoteReference w:id="745"/>
      </w:r>
      <w:r w:rsidRPr="004A0212">
        <w:t xml:space="preserve"> The Primacy has limited influence to be able to direct change.</w:t>
      </w:r>
    </w:p>
    <w:p w14:paraId="792F072D" w14:textId="77777777" w:rsidR="00FE4E56" w:rsidRPr="004A0212" w:rsidRDefault="00FE4E56" w:rsidP="004C3995">
      <w:pPr>
        <w:keepLines w:val="0"/>
        <w:rPr>
          <w:rFonts w:ascii="Arial" w:hAnsi="Arial" w:cs="Arial"/>
          <w:color w:val="3B5D1E" w:themeColor="accent4" w:themeShade="BF"/>
          <w:szCs w:val="26"/>
        </w:rPr>
      </w:pPr>
      <w:r w:rsidRPr="004A0212">
        <w:rPr>
          <w:rFonts w:cs="Arial"/>
        </w:rPr>
        <w:br w:type="page"/>
      </w:r>
    </w:p>
    <w:p w14:paraId="6C759685" w14:textId="77777777" w:rsidR="00FE4E56" w:rsidRDefault="00FE4E56" w:rsidP="004C3995">
      <w:pPr>
        <w:pStyle w:val="Heading3"/>
      </w:pPr>
      <w:bookmarkStart w:id="728" w:name="_Toc165441897"/>
      <w:bookmarkStart w:id="729" w:name="_Toc1381387633"/>
      <w:bookmarkStart w:id="730" w:name="_Toc181085010"/>
      <w:r w:rsidRPr="004A0212">
        <w:lastRenderedPageBreak/>
        <w:t>Te Ope Whakaora ki Aotearoa, Whītī, Tonga me Hāmoa</w:t>
      </w:r>
      <w:bookmarkEnd w:id="730"/>
      <w:r w:rsidRPr="004A0212">
        <w:t xml:space="preserve"> </w:t>
      </w:r>
      <w:bookmarkStart w:id="731" w:name="_Toc165441898"/>
      <w:bookmarkEnd w:id="728"/>
    </w:p>
    <w:p w14:paraId="1C333E3D" w14:textId="723B6A9A" w:rsidR="00FE4E56" w:rsidRPr="004A0212" w:rsidRDefault="00FE4E56" w:rsidP="004C3995">
      <w:pPr>
        <w:pStyle w:val="Heading3"/>
        <w:rPr>
          <w:rFonts w:eastAsia="Calibri"/>
          <w:color w:val="262626" w:themeColor="text1" w:themeTint="D9"/>
        </w:rPr>
      </w:pPr>
      <w:bookmarkStart w:id="732" w:name="_Toc181085011"/>
      <w:r w:rsidRPr="004A0212">
        <w:t>The Salvation Army New Zealand, Fiji, Tonga and Samoan Territory</w:t>
      </w:r>
      <w:bookmarkEnd w:id="729"/>
      <w:bookmarkEnd w:id="731"/>
      <w:bookmarkEnd w:id="732"/>
    </w:p>
    <w:p w14:paraId="74E76B6B" w14:textId="77777777" w:rsidR="00FE4E56" w:rsidRPr="004A0212" w:rsidRDefault="00FE4E56" w:rsidP="004C3995">
      <w:pPr>
        <w:pStyle w:val="Numbparas"/>
      </w:pPr>
      <w:r w:rsidRPr="004A0212">
        <w:t>The Salvation Army New Zealand, Fiji, Tonga and Samoan (which the Inquiry refers to as The Salvation Army) has been active in Aotearoa New Zealand since 1883. The world-wide Salvation Army is divided into five zones. These zones are further divided into territories, which are sub-divided into commands or regions. The Salvation Army falls into the South Pacific and East Asia zone, and is part of the New Zealand, Fiji, Tonga and Samoa Territory.</w:t>
      </w:r>
      <w:r w:rsidRPr="004A0212">
        <w:rPr>
          <w:rStyle w:val="StyleFootnoteReferenceFagoFunotenzeichenFagoFunotenzeichen"/>
        </w:rPr>
        <w:endnoteReference w:id="746"/>
      </w:r>
      <w:r w:rsidRPr="004A0212">
        <w:t> </w:t>
      </w:r>
    </w:p>
    <w:p w14:paraId="6D10F017" w14:textId="1350F56F" w:rsidR="00FE4E56" w:rsidRPr="004A0212" w:rsidRDefault="00FE4E56" w:rsidP="004C3995">
      <w:pPr>
        <w:pStyle w:val="Numbparas"/>
      </w:pPr>
      <w:r w:rsidRPr="004A0212">
        <w:t>The Salvation Army has a quasi-military command structure, headed by an elected general who directs The Salvation Army operations at International Headquarters located in London. Territorial commanders and the Territorial Governance Board are responsible for the work of The Salvation Army within their territories, are subject to the control and direction of International Headquarters, and ultimately report to the general.</w:t>
      </w:r>
    </w:p>
    <w:p w14:paraId="3DD784E3" w14:textId="77777777" w:rsidR="00FE4E56" w:rsidRPr="004A0212" w:rsidRDefault="00FE4E56" w:rsidP="004C3995">
      <w:pPr>
        <w:pStyle w:val="Numbparas"/>
      </w:pPr>
      <w:r w:rsidRPr="004A0212">
        <w:t>The Salvation Army in New Zealand can enact policies and procedures if they are consistent with the orders and regulations given by International Headquarters in the United Kingdom.</w:t>
      </w:r>
      <w:r w:rsidRPr="004A0212">
        <w:rPr>
          <w:rStyle w:val="StyleFootnoteReferenceFagoFunotenzeichenFagoFunotenzeichen"/>
        </w:rPr>
        <w:endnoteReference w:id="747"/>
      </w:r>
      <w:r w:rsidRPr="004A0212">
        <w:t xml:space="preserve"> </w:t>
      </w:r>
    </w:p>
    <w:p w14:paraId="1011CCEA" w14:textId="02F02A87" w:rsidR="00FE4E56" w:rsidRDefault="00FE4E56" w:rsidP="004C3995">
      <w:pPr>
        <w:pStyle w:val="Numbparas"/>
        <w:numPr>
          <w:ilvl w:val="0"/>
          <w:numId w:val="0"/>
        </w:numPr>
        <w:rPr>
          <w:b/>
          <w:bCs w:val="0"/>
        </w:rPr>
      </w:pPr>
      <w:r w:rsidRPr="004A0212">
        <w:rPr>
          <w:b/>
          <w:bCs w:val="0"/>
        </w:rPr>
        <w:t>Overview of structure and functions of The Salvation Army</w:t>
      </w:r>
    </w:p>
    <w:p w14:paraId="3D288FDA" w14:textId="2BF48F13" w:rsidR="00FE4E56" w:rsidRPr="00CC2EE2" w:rsidRDefault="00FE4E56" w:rsidP="006E551A">
      <w:pPr>
        <w:pStyle w:val="Numbparas"/>
        <w:keepNext/>
        <w:numPr>
          <w:ilvl w:val="0"/>
          <w:numId w:val="0"/>
        </w:numPr>
        <w:ind w:left="567"/>
      </w:pPr>
      <w:r w:rsidRPr="00CC2EE2">
        <w:t xml:space="preserve">[Image: </w:t>
      </w:r>
      <w:r w:rsidRPr="006E551A">
        <w:t>Overview of structure and functions of The Salvation Army</w:t>
      </w:r>
      <w:r w:rsidRPr="00CC2EE2">
        <w:t>]</w:t>
      </w:r>
    </w:p>
    <w:p w14:paraId="7867B39F" w14:textId="58236500" w:rsidR="00FE4E56" w:rsidRPr="004A0212" w:rsidRDefault="00FE4E56" w:rsidP="004C3995">
      <w:pPr>
        <w:pStyle w:val="Numbparas"/>
        <w:numPr>
          <w:ilvl w:val="0"/>
          <w:numId w:val="0"/>
        </w:numPr>
        <w:rPr>
          <w:b/>
          <w:bCs w:val="0"/>
        </w:rPr>
      </w:pPr>
    </w:p>
    <w:p w14:paraId="15EED552" w14:textId="77777777" w:rsidR="00FE4E56" w:rsidRPr="004A0212" w:rsidRDefault="00FE4E56" w:rsidP="004C3995">
      <w:pPr>
        <w:pStyle w:val="Numbparas"/>
        <w:numPr>
          <w:ilvl w:val="0"/>
          <w:numId w:val="0"/>
        </w:numPr>
      </w:pPr>
      <w:r w:rsidRPr="004A0212">
        <w:rPr>
          <w:noProof/>
        </w:rPr>
        <w:drawing>
          <wp:inline distT="0" distB="0" distL="0" distR="0" wp14:anchorId="31D8E311" wp14:editId="7B692462">
            <wp:extent cx="5791200" cy="3530694"/>
            <wp:effectExtent l="0" t="0" r="0" b="0"/>
            <wp:docPr id="836550575" name="Picture 1" descr="This image is an overview of the structure and functions of The Salvation Army. At the top is a box for International Headquarters, which states that in Aotearoa New Zealand it is not limited by provincial, and under this is a box to show the Chief of Staff (appointed by the General) sits at this level. Under the International Headquarters box is a box for the South Pacific and East Asia Zone, which is led by Zonal leaders for South Pacific and East Asia (appointed by the General) who report to the Chief of Staff. Within the South Pacific and East Asia Zone box is a smaller box for New Zealand, Fiji, Tonga and Samoa territory, led by Territorial Commander (appointed by the General), who reports to the Zonal leaders. Within this box is a smaller box for The Salvation Army New Zealand (TSANZ), which is led by the Chief Secretary (appointed by the General) who reports to the Territorial Commander. Both the Territorial Commander and the Chief Secretary make up the Territorial Governance Board. Reporting to the Chief Secretary are Murray Houston (staff member), Secretary for Personnel (Officer), other secretaries (Officer) and other lay staff members. To the side of International Headquarters is a box noting that it publishes orders and regulations that apply to all Salvation Army personnel, and under this box are 3 arrows to another box stating The Salvation Army in the South Pacific and East Asia Zone is able to adopt own policies and procedures in respect of territory, if consistent with Orders and Regulations given by International Headquarters and noting that no Orders or Regulations dictate how TSANZ should approach redress for historic abuse, and redress is therefore a matter left to the discretion of leadership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50575" name="Picture 1" descr="This image is an overview of the structure and functions of The Salvation Army. At the top is a box for International Headquarters, which states that in Aotearoa New Zealand it is not limited by provincial, and under this is a box to show the Chief of Staff (appointed by the General) sits at this level. Under the International Headquarters box is a box for the South Pacific and East Asia Zone, which is led by Zonal leaders for South Pacific and East Asia (appointed by the General) who report to the Chief of Staff. Within the South Pacific and East Asia Zone box is a smaller box for New Zealand, Fiji, Tonga and Samoa territory, led by Territorial Commander (appointed by the General), who reports to the Zonal leaders. Within this box is a smaller box for The Salvation Army New Zealand (TSANZ), which is led by the Chief Secretary (appointed by the General) who reports to the Territorial Commander. Both the Territorial Commander and the Chief Secretary make up the Territorial Governance Board. Reporting to the Chief Secretary are Murray Houston (staff member), Secretary for Personnel (Officer), other secretaries (Officer) and other lay staff members. To the side of International Headquarters is a box noting that it publishes orders and regulations that apply to all Salvation Army personnel, and under this box are 3 arrows to another box stating The Salvation Army in the South Pacific and East Asia Zone is able to adopt own policies and procedures in respect of territory, if consistent with Orders and Regulations given by International Headquarters and noting that no Orders or Regulations dictate how TSANZ should approach redress for historic abuse, and redress is therefore a matter left to the discretion of leadership in New Zealand."/>
                    <pic:cNvPicPr/>
                  </pic:nvPicPr>
                  <pic:blipFill>
                    <a:blip r:embed="rId30"/>
                    <a:stretch>
                      <a:fillRect/>
                    </a:stretch>
                  </pic:blipFill>
                  <pic:spPr>
                    <a:xfrm>
                      <a:off x="0" y="0"/>
                      <a:ext cx="5797879" cy="3534766"/>
                    </a:xfrm>
                    <a:prstGeom prst="rect">
                      <a:avLst/>
                    </a:prstGeom>
                  </pic:spPr>
                </pic:pic>
              </a:graphicData>
            </a:graphic>
          </wp:inline>
        </w:drawing>
      </w:r>
    </w:p>
    <w:p w14:paraId="067A79FE" w14:textId="23E45EF8" w:rsidR="00FE4E56" w:rsidRPr="004A0212" w:rsidRDefault="00FE4E56" w:rsidP="004C3995">
      <w:pPr>
        <w:pStyle w:val="Numbparas"/>
      </w:pPr>
      <w:r w:rsidRPr="004A0212">
        <w:t>Religious congregations in The Salvation Army are known as corps and church members as soldiers. Ordained clergy are known as officers and hold various military ranks. The Salvation Army’s structure is top-down and strongly hierarchical, and all official positions, apart from the general, are appointed, not elected.</w:t>
      </w:r>
    </w:p>
    <w:p w14:paraId="6FBB7E67" w14:textId="77777777" w:rsidR="00FE4E56" w:rsidRDefault="00FE4E56" w:rsidP="004C3995">
      <w:pPr>
        <w:pStyle w:val="Heading3"/>
      </w:pPr>
      <w:bookmarkStart w:id="733" w:name="_Toc165441899"/>
      <w:bookmarkStart w:id="734" w:name="_Toc481231057"/>
      <w:bookmarkStart w:id="735" w:name="_Toc181085012"/>
      <w:r w:rsidRPr="004A0212">
        <w:lastRenderedPageBreak/>
        <w:t>Te Hāhi Weteriana</w:t>
      </w:r>
      <w:bookmarkEnd w:id="733"/>
      <w:bookmarkEnd w:id="735"/>
    </w:p>
    <w:p w14:paraId="23A6B887" w14:textId="51BF0AE4" w:rsidR="00FE4E56" w:rsidRPr="004A0212" w:rsidRDefault="00FE4E56" w:rsidP="004C3995">
      <w:pPr>
        <w:pStyle w:val="Heading3"/>
        <w:rPr>
          <w:rFonts w:eastAsia="Calibri"/>
          <w:color w:val="262626" w:themeColor="text1" w:themeTint="D9"/>
        </w:rPr>
      </w:pPr>
      <w:bookmarkStart w:id="736" w:name="_Toc165441900"/>
      <w:bookmarkStart w:id="737" w:name="_Toc181085013"/>
      <w:r w:rsidRPr="004A0212">
        <w:t>Methodist Church</w:t>
      </w:r>
      <w:bookmarkEnd w:id="734"/>
      <w:bookmarkEnd w:id="736"/>
      <w:bookmarkEnd w:id="737"/>
      <w:r w:rsidRPr="004A0212">
        <w:t xml:space="preserve">  </w:t>
      </w:r>
    </w:p>
    <w:p w14:paraId="4E01CFCF" w14:textId="77777777" w:rsidR="00FE4E56" w:rsidRPr="004A0212" w:rsidRDefault="00FE4E56" w:rsidP="004C3995">
      <w:pPr>
        <w:pStyle w:val="Numbparas"/>
      </w:pPr>
      <w:r w:rsidRPr="004A0212">
        <w:t xml:space="preserve">The Methodist Church in Aotearoa New Zealand (which the Inquiry refers to as the Methodist Church) has been involved in caring for children in its former children’s homes, in foster care placements arranged by those homes, and in foster care placements arranged by the church. The Methodist Church also has one school, Wesley College. </w:t>
      </w:r>
    </w:p>
    <w:p w14:paraId="368E1DF4" w14:textId="77777777" w:rsidR="00FE4E56" w:rsidRPr="004A0212" w:rsidRDefault="00FE4E56" w:rsidP="004C3995">
      <w:pPr>
        <w:pStyle w:val="Numbparas"/>
        <w:rPr>
          <w:vertAlign w:val="superscript"/>
        </w:rPr>
      </w:pPr>
      <w:r w:rsidRPr="004A0212">
        <w:t>The governing body of the Methodist Church is known as Conference. Conference is the primary decision-making body of the church, the final authority on all matters of the church and exercises oversight over entities affiliated with the church.</w:t>
      </w:r>
      <w:r w:rsidRPr="004A0212">
        <w:rPr>
          <w:rStyle w:val="StyleFootnoteReferenceFagoFunotenzeichenFagoFunotenzeichen"/>
        </w:rPr>
        <w:endnoteReference w:id="748"/>
      </w:r>
      <w:r w:rsidRPr="004A0212">
        <w:rPr>
          <w:vertAlign w:val="superscript"/>
        </w:rPr>
        <w:t xml:space="preserve"> </w:t>
      </w:r>
      <w:r w:rsidRPr="004A0212">
        <w:t>Its decisions are binding on both lay and ordained members of the church in matters pertaining to the operation of the church.</w:t>
      </w:r>
      <w:r w:rsidRPr="004A0212">
        <w:rPr>
          <w:rStyle w:val="StyleFootnoteReferenceFagoFunotenzeichenFagoFunotenzeichen"/>
        </w:rPr>
        <w:endnoteReference w:id="749"/>
      </w:r>
      <w:r w:rsidRPr="004A0212">
        <w:rPr>
          <w:vertAlign w:val="superscript"/>
        </w:rPr>
        <w:t xml:space="preserve"> </w:t>
      </w:r>
      <w:r w:rsidRPr="004A0212">
        <w:t>Conference meets annually. Until 1983, decisions were made by a 50 percent majority.</w:t>
      </w:r>
      <w:r w:rsidRPr="004A0212">
        <w:rPr>
          <w:rStyle w:val="StyleFootnoteReferenceFagoFunotenzeichenFagoFunotenzeichen"/>
        </w:rPr>
        <w:endnoteReference w:id="750"/>
      </w:r>
      <w:r w:rsidRPr="004A0212">
        <w:rPr>
          <w:vertAlign w:val="superscript"/>
        </w:rPr>
        <w:t xml:space="preserve"> </w:t>
      </w:r>
    </w:p>
    <w:p w14:paraId="051FE6BF" w14:textId="77777777" w:rsidR="00FE4E56" w:rsidRPr="004A0212" w:rsidRDefault="00FE4E56" w:rsidP="004C3995">
      <w:pPr>
        <w:pStyle w:val="Numbparas"/>
      </w:pPr>
      <w:r w:rsidRPr="004A0212">
        <w:t>After 1983, the Methodist Church became a bicultural church, with two equal partners Tauiwi and Te Taha Māori. A decision of Conference after 1983 required an agreement of the two partners by consensus.</w:t>
      </w:r>
      <w:r w:rsidRPr="004A0212">
        <w:rPr>
          <w:rStyle w:val="StyleFootnoteReferenceFagoFunotenzeichenFagoFunotenzeichen"/>
        </w:rPr>
        <w:endnoteReference w:id="751"/>
      </w:r>
      <w:r w:rsidRPr="004A0212">
        <w:t xml:space="preserve"> An increase in Pacific Peoples’ presence in the church has seen an increase in their own self-governing synods.  During the Inquiry period, there were eleven regional synods with responsibility for the congregations in their region. Separate Tongan, Samoan and Rotuman synods have been added since then, and the total number of regional synods has been reduced to six.</w:t>
      </w:r>
    </w:p>
    <w:p w14:paraId="33E3DD58" w14:textId="77777777" w:rsidR="00FE4E56" w:rsidRPr="004A0212" w:rsidRDefault="00FE4E56" w:rsidP="004C3995">
      <w:pPr>
        <w:pStyle w:val="Numbparas"/>
      </w:pPr>
      <w:r w:rsidRPr="004A0212">
        <w:t>The Methodist Lawbook lays down in detail the rules that govern the church. The church authorises leadership roles for presbyters and deacons, who are received into the presbyterate or diaconate.</w:t>
      </w:r>
      <w:r w:rsidRPr="004A0212">
        <w:rPr>
          <w:rStyle w:val="StyleFootnoteReferenceFagoFunotenzeichenFagoFunotenzeichen"/>
        </w:rPr>
        <w:endnoteReference w:id="752"/>
      </w:r>
      <w:r w:rsidRPr="004A0212">
        <w:rPr>
          <w:vertAlign w:val="superscript"/>
        </w:rPr>
        <w:t xml:space="preserve"> </w:t>
      </w:r>
      <w:r w:rsidRPr="004A0212">
        <w:t>The church can appoint lay members into specified roles, subject to the church’s authority.</w:t>
      </w:r>
    </w:p>
    <w:p w14:paraId="47AF3609" w14:textId="77777777" w:rsidR="00FE4E56" w:rsidRPr="004A0212" w:rsidRDefault="00FE4E56" w:rsidP="004C3995">
      <w:pPr>
        <w:pStyle w:val="Numbparas"/>
      </w:pPr>
      <w:r w:rsidRPr="004A0212">
        <w:t>The Methodist Church also has formal decision-making bodies (parish councils, synods, and boards) which, along with Conference are known as Courts of the Church.</w:t>
      </w:r>
      <w:r w:rsidRPr="004A0212">
        <w:rPr>
          <w:rStyle w:val="StyleFootnoteReferenceFagoFunotenzeichenFagoFunotenzeichen"/>
        </w:rPr>
        <w:endnoteReference w:id="753"/>
      </w:r>
      <w:r w:rsidRPr="004A0212">
        <w:rPr>
          <w:vertAlign w:val="superscript"/>
        </w:rPr>
        <w:t xml:space="preserve"> </w:t>
      </w:r>
      <w:r w:rsidRPr="004A0212">
        <w:t>The Laws and Regulations of the church sets out the powers and privileges of church members and courts and how these relate to the church’s doctrines.</w:t>
      </w:r>
      <w:r w:rsidRPr="004A0212">
        <w:rPr>
          <w:rStyle w:val="StyleFootnoteReferenceFagoFunotenzeichenFagoFunotenzeichen"/>
        </w:rPr>
        <w:endnoteReference w:id="754"/>
      </w:r>
      <w:r w:rsidRPr="004A0212">
        <w:rPr>
          <w:vertAlign w:val="superscript"/>
        </w:rPr>
        <w:t xml:space="preserve"> </w:t>
      </w:r>
    </w:p>
    <w:p w14:paraId="27B8D289" w14:textId="0FFCE31B" w:rsidR="00FE4E56" w:rsidRPr="004A0212" w:rsidRDefault="00FE4E56" w:rsidP="004C3995">
      <w:pPr>
        <w:pStyle w:val="Numbparas"/>
      </w:pPr>
      <w:r w:rsidRPr="004A0212">
        <w:t>The Methodist Conference delegates various functions to its operational boards. The Board of Administration is headed by the general secretary and is the board which manages the disciplinary and complaints processes. The Mission Resourcing Board focuses on resourcing parishes and congregations. This board has a key role in deployment of ordained ministers and has oversight / management of the NZ Police vetting of all, lay and ordained, who work with children, young people or adults in care.</w:t>
      </w:r>
      <w:r w:rsidRPr="004A0212">
        <w:rPr>
          <w:rStyle w:val="StyleFootnoteReferenceFagoFunotenzeichenFagoFunotenzeichen"/>
        </w:rPr>
        <w:endnoteReference w:id="755"/>
      </w:r>
    </w:p>
    <w:p w14:paraId="78718E62" w14:textId="09B52B51" w:rsidR="00FE4E56" w:rsidRPr="004A0212" w:rsidRDefault="00FE4E56" w:rsidP="004C3995">
      <w:pPr>
        <w:pStyle w:val="Numbparas"/>
      </w:pPr>
      <w:r w:rsidRPr="004A0212">
        <w:t>There are regional Methodist Missions in many parts of Aotearoa New Zealand. Each mission is autonomous, although the boards are appointed or approved by the Conference. From the 1970s, missions took responsibility for the delivery of all social services in their region. A Conference co-ordinating body, aiming to focus policies, was reorganised in 1999 as Wesley.com and is now named the Methodist Alliance. Responsibility for local operations remains at the regional level.</w:t>
      </w:r>
      <w:r w:rsidRPr="004A0212">
        <w:rPr>
          <w:rStyle w:val="StyleFootnoteReferenceFagoFunotenzeichenFagoFunotenzeichen"/>
        </w:rPr>
        <w:endnoteReference w:id="756"/>
      </w:r>
    </w:p>
    <w:p w14:paraId="377043C8" w14:textId="13FA5734" w:rsidR="00FE4E56" w:rsidRDefault="00FE4E56" w:rsidP="004C3995">
      <w:pPr>
        <w:pStyle w:val="Numbparas"/>
        <w:numPr>
          <w:ilvl w:val="0"/>
          <w:numId w:val="0"/>
        </w:numPr>
        <w:ind w:left="851"/>
        <w:rPr>
          <w:b/>
          <w:bCs w:val="0"/>
        </w:rPr>
      </w:pPr>
      <w:bookmarkStart w:id="738" w:name="_Hlk173336326"/>
      <w:r w:rsidRPr="004A0212">
        <w:rPr>
          <w:b/>
          <w:bCs w:val="0"/>
        </w:rPr>
        <w:lastRenderedPageBreak/>
        <w:t>Overview of structure and functions of the Methodist Church</w:t>
      </w:r>
    </w:p>
    <w:bookmarkEnd w:id="738"/>
    <w:p w14:paraId="5EC4A843" w14:textId="001D05C8" w:rsidR="00FE4E56" w:rsidRDefault="00FE4E56" w:rsidP="004E53F0">
      <w:pPr>
        <w:pStyle w:val="Numbparas"/>
        <w:numPr>
          <w:ilvl w:val="0"/>
          <w:numId w:val="0"/>
        </w:numPr>
        <w:rPr>
          <w:b/>
          <w:bCs w:val="0"/>
        </w:rPr>
      </w:pPr>
      <w:r>
        <w:rPr>
          <w:b/>
          <w:bCs w:val="0"/>
        </w:rPr>
        <w:t xml:space="preserve">[Image: </w:t>
      </w:r>
      <w:r w:rsidRPr="004E53F0">
        <w:rPr>
          <w:b/>
          <w:bCs w:val="0"/>
        </w:rPr>
        <w:t>Overview of structure and functions of the Methodist Church</w:t>
      </w:r>
      <w:r>
        <w:rPr>
          <w:b/>
          <w:bCs w:val="0"/>
        </w:rPr>
        <w:t>]</w:t>
      </w:r>
    </w:p>
    <w:p w14:paraId="077AE40F" w14:textId="3977F9AB" w:rsidR="00FE4E56" w:rsidRPr="004A0212" w:rsidRDefault="00FE4E56" w:rsidP="004C3995">
      <w:pPr>
        <w:pStyle w:val="Numbparas"/>
        <w:numPr>
          <w:ilvl w:val="0"/>
          <w:numId w:val="0"/>
        </w:numPr>
        <w:ind w:left="851"/>
        <w:rPr>
          <w:b/>
          <w:bCs w:val="0"/>
        </w:rPr>
      </w:pPr>
    </w:p>
    <w:p w14:paraId="68E524FF" w14:textId="77777777" w:rsidR="00FE4E56" w:rsidRPr="004A0212" w:rsidRDefault="00FE4E56" w:rsidP="004C3995">
      <w:pPr>
        <w:pStyle w:val="Numbparas"/>
        <w:numPr>
          <w:ilvl w:val="0"/>
          <w:numId w:val="0"/>
        </w:numPr>
        <w:ind w:left="851"/>
        <w:rPr>
          <w:b/>
          <w:bCs w:val="0"/>
        </w:rPr>
      </w:pPr>
      <w:r w:rsidRPr="004A0212">
        <w:rPr>
          <w:b/>
          <w:bCs w:val="0"/>
          <w:noProof/>
        </w:rPr>
        <w:drawing>
          <wp:inline distT="0" distB="0" distL="0" distR="0" wp14:anchorId="572F4532" wp14:editId="5F2F11EF">
            <wp:extent cx="5048955" cy="4382112"/>
            <wp:effectExtent l="0" t="0" r="0" b="0"/>
            <wp:docPr id="81609974" name="Picture 1" descr="This image is an overview of the structure and functions of the Methodist Church. At the top is a large rectangle that represents the Conference, the main decision-making body. It has oversight of all affiliated bodies. Under this are 3 groups – the Synods, the Parish Councils and the Boards. These are the Courts of the Church, the formal decision-making bodies. Under the 3 groups is the note that all Methodist Church members are considered Ministers. To the right of the Boards are two smaller boxes depicting the Board of Administration, which handles disciplinary and complaints, and the Mission Resourcing Board, which focuses on resourcing parishes and congregations. Reporting to this board, depicted here as two more boxes, are the roles of oversight / management of the police vetting of all, lay and ordained, who work with children, young people or adults in care, and the deployment of ordained Mini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974" name="Picture 1" descr="This image is an overview of the structure and functions of the Methodist Church. At the top is a large rectangle that represents the Conference, the main decision-making body. It has oversight of all affiliated bodies. Under this are 3 groups – the Synods, the Parish Councils and the Boards. These are the Courts of the Church, the formal decision-making bodies. Under the 3 groups is the note that all Methodist Church members are considered Ministers. To the right of the Boards are two smaller boxes depicting the Board of Administration, which handles disciplinary and complaints, and the Mission Resourcing Board, which focuses on resourcing parishes and congregations. Reporting to this board, depicted here as two more boxes, are the roles of oversight / management of the police vetting of all, lay and ordained, who work with children, young people or adults in care, and the deployment of ordained Ministers. "/>
                    <pic:cNvPicPr/>
                  </pic:nvPicPr>
                  <pic:blipFill>
                    <a:blip r:embed="rId31"/>
                    <a:stretch>
                      <a:fillRect/>
                    </a:stretch>
                  </pic:blipFill>
                  <pic:spPr>
                    <a:xfrm>
                      <a:off x="0" y="0"/>
                      <a:ext cx="5048955" cy="4382112"/>
                    </a:xfrm>
                    <a:prstGeom prst="rect">
                      <a:avLst/>
                    </a:prstGeom>
                  </pic:spPr>
                </pic:pic>
              </a:graphicData>
            </a:graphic>
          </wp:inline>
        </w:drawing>
      </w:r>
    </w:p>
    <w:p w14:paraId="666C152D" w14:textId="4E7F0BD5" w:rsidR="00FE4E56" w:rsidRDefault="00FE4E56" w:rsidP="004C3995">
      <w:pPr>
        <w:pStyle w:val="Heading3"/>
        <w:rPr>
          <w:lang w:val="en-US"/>
        </w:rPr>
      </w:pPr>
      <w:bookmarkStart w:id="739" w:name="_Toc165441901"/>
      <w:bookmarkStart w:id="740" w:name="_Toc419198585"/>
      <w:bookmarkStart w:id="741" w:name="_Toc181085014"/>
      <w:r w:rsidRPr="004A0212">
        <w:rPr>
          <w:lang w:val="en-US"/>
        </w:rPr>
        <w:t xml:space="preserve">Te Hāhi </w:t>
      </w:r>
      <w:r w:rsidRPr="00CD652F">
        <w:rPr>
          <w:lang w:val="en-US"/>
        </w:rPr>
        <w:t xml:space="preserve">Perehipitīriana </w:t>
      </w:r>
      <w:r w:rsidRPr="004A0212">
        <w:rPr>
          <w:lang w:val="en-US"/>
        </w:rPr>
        <w:t>o Aotearoa</w:t>
      </w:r>
      <w:bookmarkEnd w:id="741"/>
    </w:p>
    <w:p w14:paraId="39C94692" w14:textId="2911B5E1" w:rsidR="00FE4E56" w:rsidRPr="004A0212" w:rsidRDefault="00FE4E56" w:rsidP="004C3995">
      <w:pPr>
        <w:pStyle w:val="Heading3"/>
        <w:rPr>
          <w:lang w:val="en-US"/>
        </w:rPr>
      </w:pPr>
      <w:bookmarkStart w:id="742" w:name="_Toc165441902"/>
      <w:bookmarkStart w:id="743" w:name="_Toc181085015"/>
      <w:bookmarkEnd w:id="739"/>
      <w:r w:rsidRPr="004A0212">
        <w:rPr>
          <w:lang w:val="en-US"/>
        </w:rPr>
        <w:t>Presbyterian Church of New Zealand</w:t>
      </w:r>
      <w:bookmarkEnd w:id="740"/>
      <w:bookmarkEnd w:id="742"/>
      <w:bookmarkEnd w:id="743"/>
    </w:p>
    <w:p w14:paraId="79A51325" w14:textId="57F4CFFB" w:rsidR="00FE4E56" w:rsidRPr="004A0212" w:rsidRDefault="00FE4E56" w:rsidP="004C3995">
      <w:pPr>
        <w:pStyle w:val="Numbparas"/>
      </w:pPr>
      <w:r w:rsidRPr="004A0212">
        <w:t>The Presbyterian Church of Aotearoa New Zealand is governed by three courts – the General Assembly (national level), the Presbytery (regional level) and Session of Elders (local level).</w:t>
      </w:r>
      <w:r w:rsidRPr="004A0212">
        <w:rPr>
          <w:rStyle w:val="StyleFootnoteReferenceFagoFunotenzeichenFagoFunotenzeichen"/>
        </w:rPr>
        <w:endnoteReference w:id="757"/>
      </w:r>
    </w:p>
    <w:p w14:paraId="4CDC76EA" w14:textId="064B7E99" w:rsidR="00FE4E56" w:rsidRPr="004A0212" w:rsidRDefault="00FE4E56" w:rsidP="004C3995">
      <w:pPr>
        <w:pStyle w:val="Numbparas"/>
      </w:pPr>
      <w:r w:rsidRPr="004A0212">
        <w:t>The highest court is the General Assembly. It sets the policy and the direction of the church as a whole, as well as approving the various regulations that help the church to operate as an effective organisation. During the Inquiry period, the General Assembly met every year. At present, the General Assembly normally meets once every two years. The Book of Order is the church’s body of laws that incorporates all standing General Assembly decisions.</w:t>
      </w:r>
    </w:p>
    <w:p w14:paraId="65C077E2" w14:textId="77777777" w:rsidR="00B4706C" w:rsidRDefault="00B4706C">
      <w:pPr>
        <w:keepLines w:val="0"/>
        <w:rPr>
          <w:rFonts w:ascii="Arial" w:eastAsia="Calibri" w:hAnsi="Arial" w:cs="Arial"/>
          <w:bCs/>
          <w:color w:val="222222"/>
          <w:sz w:val="22"/>
          <w:szCs w:val="22"/>
          <w:shd w:val="clear" w:color="auto" w:fill="FFFFFF"/>
        </w:rPr>
      </w:pPr>
      <w:r>
        <w:br w:type="page"/>
      </w:r>
    </w:p>
    <w:p w14:paraId="40CACE3E" w14:textId="27438E8D" w:rsidR="00FE4E56" w:rsidRPr="004A0212" w:rsidRDefault="00FE4E56" w:rsidP="004C3995">
      <w:pPr>
        <w:pStyle w:val="Numbparas"/>
      </w:pPr>
      <w:r w:rsidRPr="004A0212">
        <w:lastRenderedPageBreak/>
        <w:t>In 2000, there were 25 presbyteries, including Te Aka Puaho (founded in 1955), but today this has been reduced to seven presbyteries – five regional, one for Pacific congregations (since 2002) and Te Aka Puaho for Māori. Each local parish reports to its presbytery.</w:t>
      </w:r>
      <w:r w:rsidRPr="004A0212">
        <w:rPr>
          <w:rStyle w:val="StyleFootnoteReferenceFagoFunotenzeichenFagoFunotenzeichen"/>
        </w:rPr>
        <w:endnoteReference w:id="758"/>
      </w:r>
      <w:r w:rsidRPr="004A0212">
        <w:t xml:space="preserve"> Te Aka Puaho can appoint ministers to serve nationally, whereas the other presbyteries can only appoint ministers to specific positions within specific churches.</w:t>
      </w:r>
      <w:r w:rsidRPr="004A0212">
        <w:rPr>
          <w:rStyle w:val="StyleFootnoteReferenceFagoFunotenzeichenFagoFunotenzeichen"/>
        </w:rPr>
        <w:endnoteReference w:id="759"/>
      </w:r>
    </w:p>
    <w:p w14:paraId="3F56F531" w14:textId="4E88B0F5" w:rsidR="00FE4E56" w:rsidRPr="004A0212" w:rsidRDefault="00FE4E56" w:rsidP="004C3995">
      <w:pPr>
        <w:pStyle w:val="Numbparas"/>
      </w:pPr>
      <w:r w:rsidRPr="004A0212">
        <w:t>A National Office which supports presbyteries and parishes is based in Te Whanganui-</w:t>
      </w:r>
      <w:r w:rsidRPr="008F1FC0">
        <w:t>ā</w:t>
      </w:r>
      <w:r w:rsidRPr="004A0212">
        <w:t>-Tara Wellington, led by the Assembly Executive Officer.</w:t>
      </w:r>
      <w:r w:rsidRPr="004A0212">
        <w:rPr>
          <w:rStyle w:val="StyleFootnoteReferenceFagoFunotenzeichenFagoFunotenzeichen"/>
        </w:rPr>
        <w:endnoteReference w:id="760"/>
      </w:r>
      <w:r w:rsidRPr="004A0212">
        <w:t xml:space="preserve"> At parish level, the local church council (made up of elders or other elected people from the congregation) make decisions affecting the local church. If there is a minister, the council is usually led by that minister.</w:t>
      </w:r>
      <w:r w:rsidRPr="004A0212">
        <w:rPr>
          <w:rStyle w:val="StyleFootnoteReferenceFagoFunotenzeichenFagoFunotenzeichen"/>
        </w:rPr>
        <w:endnoteReference w:id="761"/>
      </w:r>
    </w:p>
    <w:p w14:paraId="06093C62" w14:textId="32B2C3C8" w:rsidR="00FE4E56" w:rsidRPr="00612140" w:rsidRDefault="00FE4E56" w:rsidP="00612140">
      <w:pPr>
        <w:pStyle w:val="ReportParagraph"/>
        <w:numPr>
          <w:ilvl w:val="0"/>
          <w:numId w:val="0"/>
        </w:numPr>
        <w:ind w:left="851" w:hanging="851"/>
        <w:rPr>
          <w:color w:val="3B5D1E" w:themeColor="accent4" w:themeShade="BF"/>
          <w:shd w:val="clear" w:color="auto" w:fill="FFFFFF"/>
        </w:rPr>
      </w:pPr>
      <w:bookmarkStart w:id="744" w:name="_Toc165441903"/>
      <w:bookmarkStart w:id="745" w:name="_Toc2107928322"/>
      <w:r w:rsidRPr="00612140">
        <w:rPr>
          <w:color w:val="3B5D1E" w:themeColor="accent4" w:themeShade="BF"/>
          <w:shd w:val="clear" w:color="auto" w:fill="FFFFFF"/>
        </w:rPr>
        <w:t>Overview of structure and functions of the Presbyterian Church</w:t>
      </w:r>
      <w:bookmarkEnd w:id="744"/>
      <w:bookmarkEnd w:id="745"/>
    </w:p>
    <w:p w14:paraId="411F866E" w14:textId="043419BB" w:rsidR="00FE4E56" w:rsidRDefault="00FE4E56" w:rsidP="0044305A">
      <w:pPr>
        <w:pStyle w:val="Numbparas"/>
        <w:numPr>
          <w:ilvl w:val="0"/>
          <w:numId w:val="0"/>
        </w:numPr>
        <w:ind w:left="851" w:hanging="851"/>
      </w:pPr>
      <w:r>
        <w:t>[Image:</w:t>
      </w:r>
      <w:r w:rsidRPr="00781F0A">
        <w:t xml:space="preserve"> </w:t>
      </w:r>
      <w:r w:rsidRPr="004A0212">
        <w:t>Overview of structure and functions of the Presbyterian Church</w:t>
      </w:r>
      <w:r>
        <w:t>]</w:t>
      </w:r>
    </w:p>
    <w:p w14:paraId="2B5E3E70" w14:textId="77777777" w:rsidR="00FE4E56" w:rsidRPr="004A0212" w:rsidRDefault="00FE4E56" w:rsidP="734AC682">
      <w:pPr>
        <w:keepLines w:val="0"/>
        <w:rPr>
          <w:rFonts w:ascii="Arial" w:hAnsi="Arial" w:cstheme="minorBidi"/>
          <w:b/>
          <w:bCs/>
          <w:i/>
          <w:iCs/>
          <w:color w:val="273E14" w:themeColor="accent4" w:themeShade="80"/>
          <w:sz w:val="22"/>
          <w:szCs w:val="22"/>
          <w:lang w:val="en"/>
        </w:rPr>
      </w:pPr>
      <w:r w:rsidRPr="004A0212">
        <w:rPr>
          <w:noProof/>
        </w:rPr>
        <w:drawing>
          <wp:inline distT="0" distB="0" distL="0" distR="0" wp14:anchorId="4C8651EA" wp14:editId="40ED62C1">
            <wp:extent cx="5029904" cy="4829847"/>
            <wp:effectExtent l="0" t="0" r="0" b="8890"/>
            <wp:docPr id="1648546710" name="Picture 1" descr="This image is an overview of the structure and functions of the Presbyterian Church. The roles and functions are shown in boxes with interconnecting lines. The boxes are different sizes and colours. In the middle, in the largest boxes, which are dark blue, are the General Assembly and the Council of Assembly. The General Assembly is the most important, and the Council reports to it. Under the General Assembly, in smaller dark blue boxes, one under another, are the Nominating Committee, Assembly Business Workgroup, Doctrine Core Group, BOO Advisory Committee and the Judicial Panel. Each reports to the one above it. To the right of the Council of Assembly, in slightly smaller dark blue boxes are the Resource Subcommittee and the Leadership Subcommittee (which has governance oversight of KCML). Both subcommittees report to the Council. Under the Leadership Subcommittee, in smaller dark blue boxes, and reporting to it, are the Personal Workgroup and the National Assessment Workgroup. Above the Council, in a smaller dark blue box, and reporting to it and the Resource Subcommittee is the Audit &amp; Risk Committee. Also reporting to the Council, and placed under it in a smaller dark blue box, is Press Go. Above the General Assembly, in a mid-sized yellow box are the Church Property Trustees. Next to the Trustees, in a smaller dark blue box, is the Insurance Committee, which reports to the Trustees and the Resource Subcommittee. To the left of the General Assembly, and reporting to it, are 7 brown boxes showing Te Aka Puaho Bicultural Partnership, and the Pacific, Northern, Kaimai, Central, Alpine and Southern Presbyteries. Each Presbytery has a Church Council that reports to it, shown here to the left of the Presbyteries in small orange boxes. Under the Southern Presbytery box is a small green box showing that the Synod of Otago and Southland reports to the Southern Presby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46710" name="Picture 1" descr="This image is an overview of the structure and functions of the Presbyterian Church. The roles and functions are shown in boxes with interconnecting lines. The boxes are different sizes and colours. In the middle, in the largest boxes, which are dark blue, are the General Assembly and the Council of Assembly. The General Assembly is the most important, and the Council reports to it. Under the General Assembly, in smaller dark blue boxes, one under another, are the Nominating Committee, Assembly Business Workgroup, Doctrine Core Group, BOO Advisory Committee and the Judicial Panel. Each reports to the one above it. To the right of the Council of Assembly, in slightly smaller dark blue boxes are the Resource Subcommittee and the Leadership Subcommittee (which has governance oversight of KCML). Both subcommittees report to the Council. Under the Leadership Subcommittee, in smaller dark blue boxes, and reporting to it, are the Personal Workgroup and the National Assessment Workgroup. Above the Council, in a smaller dark blue box, and reporting to it and the Resource Subcommittee is the Audit &amp; Risk Committee. Also reporting to the Council, and placed under it in a smaller dark blue box, is Press Go. Above the General Assembly, in a mid-sized yellow box are the Church Property Trustees. Next to the Trustees, in a smaller dark blue box, is the Insurance Committee, which reports to the Trustees and the Resource Subcommittee. To the left of the General Assembly, and reporting to it, are 7 brown boxes showing Te Aka Puaho Bicultural Partnership, and the Pacific, Northern, Kaimai, Central, Alpine and Southern Presbyteries. Each Presbytery has a Church Council that reports to it, shown here to the left of the Presbyteries in small orange boxes. Under the Southern Presbytery box is a small green box showing that the Synod of Otago and Southland reports to the Southern Presbytery."/>
                    <pic:cNvPicPr/>
                  </pic:nvPicPr>
                  <pic:blipFill>
                    <a:blip r:embed="rId32">
                      <a:extLst>
                        <a:ext uri="{28A0092B-C50C-407E-A947-70E740481C1C}">
                          <a14:useLocalDpi xmlns:a14="http://schemas.microsoft.com/office/drawing/2010/main" val="0"/>
                        </a:ext>
                      </a:extLst>
                    </a:blip>
                    <a:stretch>
                      <a:fillRect/>
                    </a:stretch>
                  </pic:blipFill>
                  <pic:spPr>
                    <a:xfrm>
                      <a:off x="0" y="0"/>
                      <a:ext cx="5029904" cy="4829847"/>
                    </a:xfrm>
                    <a:prstGeom prst="rect">
                      <a:avLst/>
                    </a:prstGeom>
                  </pic:spPr>
                </pic:pic>
              </a:graphicData>
            </a:graphic>
          </wp:inline>
        </w:drawing>
      </w:r>
      <w:r w:rsidRPr="004A0212">
        <w:br w:type="page"/>
      </w:r>
    </w:p>
    <w:p w14:paraId="46DAE138" w14:textId="77777777" w:rsidR="00FE4E56" w:rsidRDefault="00FE4E56" w:rsidP="00F35F32">
      <w:pPr>
        <w:pStyle w:val="Heading4"/>
      </w:pPr>
      <w:bookmarkStart w:id="746" w:name="_Toc165441904"/>
      <w:bookmarkStart w:id="747" w:name="_Toc1423019322"/>
      <w:r w:rsidRPr="700D4309">
        <w:lastRenderedPageBreak/>
        <w:t>Rōpū tautoko Perehipitīriana</w:t>
      </w:r>
    </w:p>
    <w:p w14:paraId="598E296D" w14:textId="277B458B" w:rsidR="00FE4E56" w:rsidRPr="004A0212" w:rsidRDefault="00FE4E56" w:rsidP="006D0964">
      <w:pPr>
        <w:pStyle w:val="Heading4"/>
      </w:pPr>
      <w:r w:rsidRPr="700D4309">
        <w:t>Presbyterian Support</w:t>
      </w:r>
      <w:bookmarkEnd w:id="746"/>
      <w:bookmarkEnd w:id="747"/>
      <w:r w:rsidRPr="700D4309">
        <w:t xml:space="preserve"> </w:t>
      </w:r>
    </w:p>
    <w:p w14:paraId="3DD8132A" w14:textId="77777777" w:rsidR="00FE4E56" w:rsidRPr="004A0212" w:rsidRDefault="00FE4E56" w:rsidP="004C3995">
      <w:pPr>
        <w:pStyle w:val="Numbparas"/>
      </w:pPr>
      <w:r w:rsidRPr="004A0212">
        <w:t>In addition to the General Assembly and seven presbyteries, there are seven regional Presbyterian Support Services organisations. From the late 1800s Presbyterian parishes recognised they were not capable of dealing with the increasing numbers of people living in poverty. With no basic social welfare system, these separate support organisations were established.</w:t>
      </w:r>
      <w:r w:rsidRPr="004A0212">
        <w:rPr>
          <w:rStyle w:val="StyleFootnoteReferenceFagoFunotenzeichenFagoFunotenzeichen"/>
        </w:rPr>
        <w:endnoteReference w:id="762"/>
      </w:r>
      <w:r w:rsidRPr="004A0212">
        <w:t xml:space="preserve"> </w:t>
      </w:r>
    </w:p>
    <w:p w14:paraId="2564008F" w14:textId="77777777" w:rsidR="00FE4E56" w:rsidRPr="004A0212" w:rsidRDefault="00FE4E56" w:rsidP="004C3995">
      <w:pPr>
        <w:pStyle w:val="Numbparas"/>
      </w:pPr>
      <w:r w:rsidRPr="004A0212">
        <w:t>Presbyterian Support Central and Presbyterian Support Otago, two of the seven support organisations, told the Inquiry they were established in the early 1900s, with both organisations initiating projects to care for orphaned and destitute children.</w:t>
      </w:r>
      <w:r w:rsidRPr="004A0212">
        <w:rPr>
          <w:rStyle w:val="StyleFootnoteReferenceFagoFunotenzeichenFagoFunotenzeichen"/>
        </w:rPr>
        <w:endnoteReference w:id="763"/>
      </w:r>
      <w:r w:rsidRPr="004A0212">
        <w:t xml:space="preserve"> </w:t>
      </w:r>
    </w:p>
    <w:p w14:paraId="087640AC" w14:textId="77777777" w:rsidR="00FE4E56" w:rsidRPr="004A0212" w:rsidRDefault="00FE4E56" w:rsidP="004C3995">
      <w:pPr>
        <w:pStyle w:val="Numbparas"/>
      </w:pPr>
      <w:r w:rsidRPr="004A0212">
        <w:t xml:space="preserve">Each Presbyterian Support Services organisation is independently governed. A national council representing the regional Presbyterian Support Services organisations was founded in 1983, and reports to the General Assembly. This reporting is the only formal link between the church and the Presbyterian Support Services organisations. </w:t>
      </w:r>
    </w:p>
    <w:p w14:paraId="14AC4F05" w14:textId="77777777" w:rsidR="00FE4E56" w:rsidRDefault="00FE4E56" w:rsidP="004C3995">
      <w:pPr>
        <w:pStyle w:val="Heading3"/>
      </w:pPr>
      <w:bookmarkStart w:id="748" w:name="_Toc165441905"/>
      <w:bookmarkStart w:id="749" w:name="_Toc136640643"/>
      <w:bookmarkStart w:id="750" w:name="_Toc181085016"/>
      <w:r w:rsidRPr="004A0212">
        <w:t>Te Hapori Karaitiana o Gloriavale</w:t>
      </w:r>
      <w:bookmarkEnd w:id="750"/>
    </w:p>
    <w:p w14:paraId="3B9BCE57" w14:textId="3F279FF1" w:rsidR="00FE4E56" w:rsidRPr="004A0212" w:rsidRDefault="00FE4E56" w:rsidP="004C3995">
      <w:pPr>
        <w:pStyle w:val="Heading3"/>
      </w:pPr>
      <w:bookmarkStart w:id="751" w:name="_Toc181085017"/>
      <w:r w:rsidRPr="004A0212">
        <w:t>Gloriavale Christian Community</w:t>
      </w:r>
      <w:bookmarkEnd w:id="748"/>
      <w:bookmarkEnd w:id="749"/>
      <w:bookmarkEnd w:id="751"/>
    </w:p>
    <w:p w14:paraId="6347C0DC" w14:textId="77777777" w:rsidR="00FE4E56" w:rsidRPr="004A0212" w:rsidRDefault="00FE4E56" w:rsidP="004C3995">
      <w:pPr>
        <w:pStyle w:val="Numbparas"/>
        <w:rPr>
          <w:vertAlign w:val="superscript"/>
        </w:rPr>
      </w:pPr>
      <w:r w:rsidRPr="004A0212">
        <w:t>Gloriavale Christian Community (which the Inquiry refers to as Gloriavale) was founded in 1969 by Neville Cooper, an Australian-born, evangelical missionary, known within the community as Hopeful Christian.</w:t>
      </w:r>
      <w:r w:rsidRPr="004A0212">
        <w:rPr>
          <w:rStyle w:val="StyleFootnoteReferenceFagoFunotenzeichenFagoFunotenzeichen"/>
        </w:rPr>
        <w:endnoteReference w:id="764"/>
      </w:r>
      <w:r w:rsidRPr="004A0212">
        <w:t xml:space="preserve"> Originally called the Springbank Christian Community, it operated a farm in North Canterbury.</w:t>
      </w:r>
      <w:r w:rsidRPr="004A0212">
        <w:rPr>
          <w:rStyle w:val="StyleFootnoteReferenceFagoFunotenzeichenFagoFunotenzeichen"/>
        </w:rPr>
        <w:endnoteReference w:id="765"/>
      </w:r>
      <w:r w:rsidRPr="004A0212">
        <w:t xml:space="preserve"> </w:t>
      </w:r>
    </w:p>
    <w:p w14:paraId="52BEAF48" w14:textId="77777777" w:rsidR="00FE4E56" w:rsidRPr="004A0212" w:rsidRDefault="00FE4E56" w:rsidP="004C3995">
      <w:pPr>
        <w:pStyle w:val="Numbparas"/>
        <w:rPr>
          <w:rStyle w:val="EndnoteReference"/>
          <w:rFonts w:eastAsia="Arial"/>
        </w:rPr>
      </w:pPr>
      <w:r w:rsidRPr="004A0212">
        <w:t>In 1991, the community bought 917 hectares of remote farmland on the West Coast. Over the next four years, they built living and dairy farming facilities. The property was named Gloriavale after Hopeful Christian’s late wife, Gloria.</w:t>
      </w:r>
      <w:r w:rsidRPr="004A0212">
        <w:rPr>
          <w:rStyle w:val="StyleFootnoteReferenceFagoFunotenzeichenFagoFunotenzeichen"/>
        </w:rPr>
        <w:endnoteReference w:id="766"/>
      </w:r>
      <w:r w:rsidRPr="004A0212">
        <w:t xml:space="preserve"> </w:t>
      </w:r>
    </w:p>
    <w:p w14:paraId="7857448E" w14:textId="77777777" w:rsidR="00FE4E56" w:rsidRPr="004A0212" w:rsidRDefault="00FE4E56" w:rsidP="004C3995">
      <w:pPr>
        <w:pStyle w:val="Numbparas"/>
      </w:pPr>
      <w:r w:rsidRPr="004A0212">
        <w:t>Gloriavale Christian Community is run by the Shepherds and the Servants. The Overseeing Shepherd is the principal leader. The Overseeing Shepherd is responsible to Christ and Christ alone. While the Bible is the “source of all guidance regarding Church order, doctrine and practical direction for life”, the Bible is interpreted by the Community’s leaders, ultimately and authoritatively, by the Overseeing Shepherd.</w:t>
      </w:r>
      <w:r w:rsidRPr="004A0212">
        <w:rPr>
          <w:rStyle w:val="StyleFootnoteReferenceFagoFunotenzeichenFagoFunotenzeichen"/>
        </w:rPr>
        <w:endnoteReference w:id="767"/>
      </w:r>
      <w:r w:rsidRPr="004A0212">
        <w:t xml:space="preserve"> </w:t>
      </w:r>
    </w:p>
    <w:p w14:paraId="46EDEEE7" w14:textId="2CFB6750" w:rsidR="00FE4E56" w:rsidRPr="004A0212" w:rsidRDefault="00FE4E56" w:rsidP="004C3995">
      <w:pPr>
        <w:pStyle w:val="Numbparas"/>
      </w:pPr>
      <w:r w:rsidRPr="004A0212">
        <w:t>Leaders are not elected by the members of the community. Hopeful Christian was self-appointed as the Overseeing Shepherd until his death in 2018.</w:t>
      </w:r>
      <w:r w:rsidRPr="004A0212">
        <w:rPr>
          <w:rStyle w:val="StyleFootnoteReferenceFagoFunotenzeichenFagoFunotenzeichen"/>
        </w:rPr>
        <w:endnoteReference w:id="768"/>
      </w:r>
      <w:r w:rsidRPr="004A0212">
        <w:t xml:space="preserve"> </w:t>
      </w:r>
    </w:p>
    <w:p w14:paraId="30F2DC60" w14:textId="77777777" w:rsidR="00FE4E56" w:rsidRPr="004A0212" w:rsidRDefault="00FE4E56" w:rsidP="004C3995">
      <w:pPr>
        <w:pStyle w:val="Numbparas"/>
      </w:pPr>
      <w:r w:rsidRPr="004A0212">
        <w:t xml:space="preserve">The next level of leadership is three Senior Shepherds who hold financial authority, and below the Senior Shepherds are the Shepherds and the Servants who together comprise a leadership council of 16 men. </w:t>
      </w:r>
    </w:p>
    <w:p w14:paraId="30F970CB" w14:textId="77777777" w:rsidR="00C74BCD" w:rsidRDefault="00C74BCD">
      <w:pPr>
        <w:keepLines w:val="0"/>
        <w:rPr>
          <w:rFonts w:ascii="Arial" w:eastAsia="Calibri" w:hAnsi="Arial" w:cs="Arial"/>
          <w:bCs/>
          <w:color w:val="222222"/>
          <w:sz w:val="22"/>
          <w:szCs w:val="22"/>
          <w:shd w:val="clear" w:color="auto" w:fill="FFFFFF"/>
        </w:rPr>
      </w:pPr>
      <w:r>
        <w:br w:type="page"/>
      </w:r>
    </w:p>
    <w:p w14:paraId="6FFD1B26" w14:textId="29836654" w:rsidR="00FE4E56" w:rsidRPr="004A0212" w:rsidRDefault="00FE4E56" w:rsidP="004C3995">
      <w:pPr>
        <w:pStyle w:val="Numbparas"/>
      </w:pPr>
      <w:r w:rsidRPr="004A0212">
        <w:lastRenderedPageBreak/>
        <w:t>From 1985 to 1995 the Shepherds were Hopeful Christian, Howard Temple and David Courage (who left in 1995) and Fervent Stedfast (who had been appointed shortly prior to David Courage’s departure).</w:t>
      </w:r>
      <w:r w:rsidRPr="004A0212">
        <w:rPr>
          <w:rStyle w:val="StyleFootnoteReferenceFagoFunotenzeichenFagoFunotenzeichen"/>
        </w:rPr>
        <w:endnoteReference w:id="769"/>
      </w:r>
      <w:r w:rsidRPr="004A0212">
        <w:t xml:space="preserve"> Hopeful Christian and Fervent Stedfast were the authors of the document titled What We Believe, which was effectively a summary of what the leaders saw as the main principles of New Testament Christianity. The document was prepared from the mid-1980's and first published in 1989.</w:t>
      </w:r>
      <w:r w:rsidRPr="004A0212">
        <w:rPr>
          <w:rStyle w:val="StyleFootnoteReferenceFagoFunotenzeichenFagoFunotenzeichen"/>
        </w:rPr>
        <w:endnoteReference w:id="770"/>
      </w:r>
    </w:p>
    <w:p w14:paraId="5C077D8F" w14:textId="77777777" w:rsidR="00FE4E56" w:rsidRPr="004A0212" w:rsidRDefault="00FE4E56" w:rsidP="004C3995">
      <w:pPr>
        <w:pStyle w:val="Numbparas"/>
      </w:pPr>
      <w:r w:rsidRPr="004A0212">
        <w:t>Gloriavale is a strict patriarchal community with a strict hierarchy. The Overseeing Shepherds and each of the Shepherds and Servants must be male. Roles are determined by biblical criteria, emphasising men as decision-makers and breadwinners and women as mothers responsible for running the household.</w:t>
      </w:r>
      <w:r w:rsidRPr="004A0212">
        <w:rPr>
          <w:rStyle w:val="StyleFootnoteReferenceFagoFunotenzeichenFagoFunotenzeichen"/>
        </w:rPr>
        <w:endnoteReference w:id="771"/>
      </w:r>
    </w:p>
    <w:p w14:paraId="2668C16D" w14:textId="3EC65918" w:rsidR="00FE4E56" w:rsidRDefault="00FE4E56" w:rsidP="4254EAC9">
      <w:pPr>
        <w:pStyle w:val="Heading3"/>
        <w:rPr>
          <w:rFonts w:eastAsia="Calibri"/>
          <w:color w:val="222222"/>
          <w:sz w:val="22"/>
          <w:szCs w:val="22"/>
          <w:shd w:val="clear" w:color="auto" w:fill="FFFFFF"/>
        </w:rPr>
      </w:pPr>
      <w:bookmarkStart w:id="752" w:name="_Toc165441906"/>
      <w:bookmarkStart w:id="753" w:name="_Toc1532791240"/>
      <w:bookmarkStart w:id="754" w:name="_Toc181085018"/>
      <w:r w:rsidRPr="004A0212">
        <w:rPr>
          <w:rFonts w:eastAsia="Calibri"/>
          <w:color w:val="222222"/>
          <w:sz w:val="22"/>
          <w:szCs w:val="22"/>
          <w:shd w:val="clear" w:color="auto" w:fill="FFFFFF"/>
        </w:rPr>
        <w:t>Overview of structure and functions of the Gloriavale Christian Community</w:t>
      </w:r>
      <w:bookmarkEnd w:id="752"/>
      <w:bookmarkEnd w:id="753"/>
      <w:bookmarkEnd w:id="754"/>
    </w:p>
    <w:p w14:paraId="435DAFE0" w14:textId="613F1B83" w:rsidR="00FE4E56" w:rsidRPr="009B7215" w:rsidRDefault="00FE4E56" w:rsidP="009B7215">
      <w:r>
        <w:t>[Image:</w:t>
      </w:r>
      <w:r w:rsidRPr="008E7E23">
        <w:t xml:space="preserve"> Overview of structure and functions of the Gloriavale Christian Community</w:t>
      </w:r>
      <w:r>
        <w:t>]</w:t>
      </w:r>
    </w:p>
    <w:p w14:paraId="1BD12A59" w14:textId="77777777" w:rsidR="00FE4E56" w:rsidRPr="004A0212" w:rsidRDefault="00FE4E56" w:rsidP="004C3995">
      <w:pPr>
        <w:keepLines w:val="0"/>
        <w:rPr>
          <w:rFonts w:ascii="Arial" w:hAnsi="Arial" w:cs="Arial"/>
          <w:color w:val="3B5D1E" w:themeColor="accent4" w:themeShade="BF"/>
          <w:szCs w:val="26"/>
        </w:rPr>
      </w:pPr>
      <w:r w:rsidRPr="004A0212">
        <w:rPr>
          <w:rFonts w:ascii="Arial" w:hAnsi="Arial" w:cs="Arial"/>
          <w:noProof/>
          <w:color w:val="3B5D1E" w:themeColor="accent4" w:themeShade="BF"/>
          <w:szCs w:val="26"/>
        </w:rPr>
        <w:drawing>
          <wp:inline distT="0" distB="0" distL="0" distR="0" wp14:anchorId="4524020F" wp14:editId="71BA4AC3">
            <wp:extent cx="4906060" cy="3153215"/>
            <wp:effectExtent l="0" t="0" r="8890" b="9525"/>
            <wp:docPr id="1254283513" name="Picture 1" descr="This image is an organisation chart depicting the structure and functions of Gloriavale Christian Community from 1970 to 1999. At the top of the chart is the Overseeing Shepherd. On the second level is the Shepherd, who reports to the Overseeing Shepherd. On the third level are 4 Families, who report to the Overseeing Shepherd. The structure was dynamic over this period as the community idea was still being develo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83513" name="Picture 1" descr="This image is an organisation chart depicting the structure and functions of Gloriavale Christian Community from 1970 to 1999. At the top of the chart is the Overseeing Shepherd. On the second level is the Shepherd, who reports to the Overseeing Shepherd. On the third level are 4 Families, who report to the Overseeing Shepherd. The structure was dynamic over this period as the community idea was still being developed. "/>
                    <pic:cNvPicPr/>
                  </pic:nvPicPr>
                  <pic:blipFill>
                    <a:blip r:embed="rId33"/>
                    <a:stretch>
                      <a:fillRect/>
                    </a:stretch>
                  </pic:blipFill>
                  <pic:spPr>
                    <a:xfrm>
                      <a:off x="0" y="0"/>
                      <a:ext cx="4906060" cy="3153215"/>
                    </a:xfrm>
                    <a:prstGeom prst="rect">
                      <a:avLst/>
                    </a:prstGeom>
                  </pic:spPr>
                </pic:pic>
              </a:graphicData>
            </a:graphic>
          </wp:inline>
        </w:drawing>
      </w:r>
    </w:p>
    <w:p w14:paraId="111E131E" w14:textId="77777777" w:rsidR="00C74BCD" w:rsidRDefault="00C74BCD">
      <w:pPr>
        <w:keepLines w:val="0"/>
        <w:rPr>
          <w:rFonts w:ascii="Arial" w:hAnsi="Arial" w:cs="Helvetica"/>
          <w:color w:val="3B5D1E" w:themeColor="accent4" w:themeShade="BF"/>
          <w:szCs w:val="26"/>
        </w:rPr>
      </w:pPr>
      <w:bookmarkStart w:id="755" w:name="_Toc165441907"/>
      <w:bookmarkStart w:id="756" w:name="_Toc1099693275"/>
      <w:r>
        <w:br w:type="page"/>
      </w:r>
    </w:p>
    <w:p w14:paraId="192C14B1" w14:textId="6C68F223" w:rsidR="00FE4E56" w:rsidRDefault="00FE4E56" w:rsidP="004C3995">
      <w:pPr>
        <w:pStyle w:val="Heading3"/>
      </w:pPr>
      <w:bookmarkStart w:id="757" w:name="_Toc181085019"/>
      <w:r w:rsidRPr="004A0212">
        <w:lastRenderedPageBreak/>
        <w:t>Te Hāhi Karaitiana o Plymouth Brethren</w:t>
      </w:r>
      <w:bookmarkEnd w:id="757"/>
    </w:p>
    <w:p w14:paraId="42525134" w14:textId="11C04BE4" w:rsidR="00FE4E56" w:rsidRPr="004A0212" w:rsidRDefault="00FE4E56" w:rsidP="004C3995">
      <w:pPr>
        <w:pStyle w:val="Heading3"/>
      </w:pPr>
      <w:bookmarkStart w:id="758" w:name="_Toc181085020"/>
      <w:r w:rsidRPr="004A0212">
        <w:t>Plymouth Brethren Christian Church</w:t>
      </w:r>
      <w:bookmarkEnd w:id="755"/>
      <w:bookmarkEnd w:id="756"/>
      <w:bookmarkEnd w:id="758"/>
      <w:r w:rsidRPr="004A0212">
        <w:t xml:space="preserve"> </w:t>
      </w:r>
    </w:p>
    <w:p w14:paraId="6B020C8F" w14:textId="77777777" w:rsidR="00FE4E56" w:rsidRPr="004A0212" w:rsidRDefault="00FE4E56" w:rsidP="004C3995">
      <w:pPr>
        <w:pStyle w:val="Numbparas"/>
      </w:pPr>
      <w:r w:rsidRPr="004A0212">
        <w:t>The Exclusive Brethren, more recently known as the Plymouth Brethren Christian Church, was established in England in the early 19</w:t>
      </w:r>
      <w:r w:rsidRPr="004A0212">
        <w:rPr>
          <w:vertAlign w:val="superscript"/>
        </w:rPr>
        <w:t>th</w:t>
      </w:r>
      <w:r w:rsidRPr="004A0212">
        <w:t xml:space="preserve"> century, and came to Aotearoa New Zealand in the 1850s. The Exclusive Brethren has about 50,000 members globally (across Australasia, Europe, the United Kingdom and the Americas), with around 9,006 members in Aotearoa New Zealand.</w:t>
      </w:r>
      <w:r w:rsidRPr="004A0212">
        <w:rPr>
          <w:rStyle w:val="StyleFootnoteReferenceFagoFunotenzeichenFagoFunotenzeichen"/>
        </w:rPr>
        <w:endnoteReference w:id="772"/>
      </w:r>
      <w:r w:rsidRPr="004A0212">
        <w:t xml:space="preserve"> Members refer to themselves as the Brethren. </w:t>
      </w:r>
    </w:p>
    <w:p w14:paraId="48A8AD87" w14:textId="77777777" w:rsidR="00FE4E56" w:rsidRPr="004A0212" w:rsidRDefault="00FE4E56" w:rsidP="004C3995">
      <w:pPr>
        <w:pStyle w:val="Numbparas"/>
      </w:pPr>
      <w:r w:rsidRPr="004A0212">
        <w:t>The Plymouth Brethren Christian Church in Aotearoa New Zealand is made up of 41 assemblies (or congregations). Each local assembly functions independently and is responsible for the pastoral care of the members in its district. The Brethren “consider themselves as one large family and matters of discipline decided in one assembly bind every assembly”.</w:t>
      </w:r>
      <w:r w:rsidRPr="004A0212">
        <w:rPr>
          <w:rStyle w:val="StyleFootnoteReferenceFagoFunotenzeichenFagoFunotenzeichen"/>
        </w:rPr>
        <w:endnoteReference w:id="773"/>
      </w:r>
      <w:r w:rsidRPr="004A0212">
        <w:t xml:space="preserve"> </w:t>
      </w:r>
    </w:p>
    <w:p w14:paraId="0A15FD52" w14:textId="77777777" w:rsidR="00FE4E56" w:rsidRPr="004A0212" w:rsidRDefault="00FE4E56" w:rsidP="004C3995">
      <w:pPr>
        <w:pStyle w:val="Numbparas"/>
      </w:pPr>
      <w:r w:rsidRPr="004A0212">
        <w:t>Members meet at weekly prayer meetings, Bible reading meetings, the Lord’s Supper meetings and monthly care meetings.</w:t>
      </w:r>
      <w:r w:rsidRPr="004A0212">
        <w:rPr>
          <w:rStyle w:val="StyleFootnoteReferenceFagoFunotenzeichenFagoFunotenzeichen"/>
        </w:rPr>
        <w:endnoteReference w:id="774"/>
      </w:r>
    </w:p>
    <w:p w14:paraId="08A3EE23" w14:textId="19446197" w:rsidR="00FE4E56" w:rsidRPr="004A0212" w:rsidRDefault="00FE4E56" w:rsidP="004C3995">
      <w:pPr>
        <w:pStyle w:val="Numbparas"/>
      </w:pPr>
      <w:r w:rsidRPr="004A0212">
        <w:t>The Plymouth Brethren Christian Church has no governing constituent documents other than the Bible. It does not have a formal organisational structure.</w:t>
      </w:r>
      <w:r w:rsidRPr="004A0212">
        <w:rPr>
          <w:rStyle w:val="StyleFootnoteReferenceFagoFunotenzeichenFagoFunotenzeichen"/>
        </w:rPr>
        <w:endnoteReference w:id="775"/>
      </w:r>
      <w:r w:rsidRPr="004A0212">
        <w:t xml:space="preserve"> The most senior leader is Bruce Hales, who lives in Sydney, Australia, but there are no official positions, nor is there an established hierarchy.</w:t>
      </w:r>
      <w:r w:rsidRPr="004A0212">
        <w:rPr>
          <w:rStyle w:val="StyleFootnoteReferenceFagoFunotenzeichenFagoFunotenzeichen"/>
        </w:rPr>
        <w:endnoteReference w:id="776"/>
      </w:r>
      <w:r w:rsidRPr="004A0212">
        <w:t xml:space="preserve"> </w:t>
      </w:r>
    </w:p>
    <w:p w14:paraId="13F362CC" w14:textId="77777777" w:rsidR="00FE4E56" w:rsidRPr="004A0212" w:rsidRDefault="00FE4E56" w:rsidP="004C3995">
      <w:pPr>
        <w:pStyle w:val="Numbparas"/>
      </w:pPr>
      <w:r w:rsidRPr="004A0212">
        <w:t>The Plymouth Brethren Christian Church told the Inquiry that elders meet at annual global meetings, where teachings about scripture are shared.</w:t>
      </w:r>
      <w:r w:rsidRPr="004A0212">
        <w:rPr>
          <w:rStyle w:val="StyleFootnoteReferenceFagoFunotenzeichenFagoFunotenzeichen"/>
        </w:rPr>
        <w:endnoteReference w:id="777"/>
      </w:r>
      <w:r w:rsidRPr="004A0212">
        <w:t xml:space="preserve"> </w:t>
      </w:r>
    </w:p>
    <w:p w14:paraId="7B21FAC8" w14:textId="77777777" w:rsidR="00FE4E56" w:rsidRPr="004A0212" w:rsidRDefault="00FE4E56" w:rsidP="004C3995">
      <w:pPr>
        <w:pStyle w:val="Numbparas"/>
      </w:pPr>
      <w:r w:rsidRPr="004A0212">
        <w:t>Elders take a lead in ministering the word of God; they help co-ordinate and lead in Bible reading meetings and seek to provide guidance and pastoral care when required. There is no formal process to select elders and it is not possible to apply to become an elder.</w:t>
      </w:r>
      <w:r w:rsidRPr="004A0212">
        <w:rPr>
          <w:rStyle w:val="StyleFootnoteReferenceFagoFunotenzeichenFagoFunotenzeichen"/>
        </w:rPr>
        <w:endnoteReference w:id="778"/>
      </w:r>
      <w:r w:rsidRPr="004A0212">
        <w:t xml:space="preserve"> </w:t>
      </w:r>
    </w:p>
    <w:p w14:paraId="619EC038" w14:textId="6F60A58F" w:rsidR="00FE4E56" w:rsidRPr="004A0212" w:rsidRDefault="00FE4E56" w:rsidP="004C3995">
      <w:pPr>
        <w:pStyle w:val="Numbparas"/>
      </w:pPr>
      <w:r w:rsidRPr="004A0212">
        <w:t>A person comes to be recognised as an elder by their assembly over time due to their wisdom and experience. They are not ordained.</w:t>
      </w:r>
      <w:r w:rsidRPr="004A0212">
        <w:rPr>
          <w:rStyle w:val="StyleFootnoteReferenceFagoFunotenzeichenFagoFunotenzeichen"/>
        </w:rPr>
        <w:endnoteReference w:id="779"/>
      </w:r>
      <w:r w:rsidRPr="004A0212">
        <w:t> Elders are not employed by the Plymouth Brethren Christian Church and do not receive any remuneration. Elders are not required to undergo any specific training and are not subject to any formal supervision or oversight.</w:t>
      </w:r>
      <w:r w:rsidRPr="004A0212">
        <w:rPr>
          <w:rStyle w:val="StyleFootnoteReferenceFagoFunotenzeichenFagoFunotenzeichen"/>
        </w:rPr>
        <w:endnoteReference w:id="780"/>
      </w:r>
      <w:r w:rsidRPr="004A0212">
        <w:t xml:space="preserve"> The Plymouth Brethren Christian Church states however that “elders would be expected to be familiar with the holy scriptures and the ministries of the current and former senior leaders of the Plymouth Brethren Christian Church and are subject to the scrutiny of their fellow elders and their own local assembly”.</w:t>
      </w:r>
      <w:r w:rsidRPr="004A0212">
        <w:rPr>
          <w:rStyle w:val="StyleFootnoteReferenceFagoFunotenzeichenFagoFunotenzeichen"/>
        </w:rPr>
        <w:endnoteReference w:id="781"/>
      </w:r>
    </w:p>
    <w:p w14:paraId="4F02CE34" w14:textId="77777777" w:rsidR="00C74BCD" w:rsidRDefault="00C74BCD">
      <w:pPr>
        <w:keepLines w:val="0"/>
        <w:rPr>
          <w:rFonts w:ascii="Arial" w:eastAsia="Calibri" w:hAnsi="Arial" w:cs="Helvetica"/>
          <w:color w:val="222222"/>
          <w:sz w:val="22"/>
          <w:szCs w:val="22"/>
          <w:shd w:val="clear" w:color="auto" w:fill="FFFFFF"/>
        </w:rPr>
      </w:pPr>
      <w:bookmarkStart w:id="759" w:name="_Toc165441908"/>
      <w:bookmarkStart w:id="760" w:name="_Toc1307959541"/>
      <w:bookmarkStart w:id="761" w:name="_Hlk173336486"/>
      <w:r>
        <w:rPr>
          <w:rFonts w:eastAsia="Calibri"/>
          <w:color w:val="222222"/>
          <w:sz w:val="22"/>
          <w:szCs w:val="22"/>
          <w:shd w:val="clear" w:color="auto" w:fill="FFFFFF"/>
        </w:rPr>
        <w:br w:type="page"/>
      </w:r>
    </w:p>
    <w:p w14:paraId="2240FE09" w14:textId="49D016AD" w:rsidR="00FE4E56" w:rsidRDefault="00FE4E56" w:rsidP="4254EAC9">
      <w:pPr>
        <w:pStyle w:val="Heading3"/>
        <w:rPr>
          <w:rFonts w:eastAsia="Calibri"/>
          <w:color w:val="222222"/>
          <w:sz w:val="22"/>
          <w:szCs w:val="22"/>
          <w:shd w:val="clear" w:color="auto" w:fill="FFFFFF"/>
        </w:rPr>
      </w:pPr>
      <w:bookmarkStart w:id="762" w:name="_Toc181085021"/>
      <w:r w:rsidRPr="000C0692">
        <w:rPr>
          <w:rFonts w:eastAsia="Calibri"/>
          <w:color w:val="222222"/>
          <w:sz w:val="22"/>
          <w:szCs w:val="22"/>
          <w:shd w:val="clear" w:color="auto" w:fill="FFFFFF"/>
        </w:rPr>
        <w:lastRenderedPageBreak/>
        <w:t>Overview of structure and functions of the Plymouth Brethren Christian Church</w:t>
      </w:r>
      <w:bookmarkEnd w:id="759"/>
      <w:bookmarkEnd w:id="760"/>
      <w:bookmarkEnd w:id="762"/>
    </w:p>
    <w:bookmarkEnd w:id="761"/>
    <w:p w14:paraId="41F557DD" w14:textId="33F6E08E" w:rsidR="00FE4E56" w:rsidRPr="009B7215" w:rsidRDefault="00FE4E56" w:rsidP="009B7215">
      <w:r>
        <w:t xml:space="preserve">[Image: </w:t>
      </w:r>
      <w:r w:rsidRPr="008E7E23">
        <w:t>Overview of structure and functions of the Plymouth Brethren Christian Church</w:t>
      </w:r>
      <w:r>
        <w:t>]</w:t>
      </w:r>
    </w:p>
    <w:p w14:paraId="325E6302" w14:textId="77777777" w:rsidR="00FE4E56" w:rsidRPr="004A0212" w:rsidRDefault="00FE4E56" w:rsidP="00933B64">
      <w:pPr>
        <w:jc w:val="center"/>
      </w:pPr>
      <w:r w:rsidRPr="004A0212">
        <w:rPr>
          <w:noProof/>
        </w:rPr>
        <w:drawing>
          <wp:inline distT="0" distB="0" distL="0" distR="0" wp14:anchorId="088860E3" wp14:editId="4FCF420B">
            <wp:extent cx="4067174" cy="3244850"/>
            <wp:effectExtent l="0" t="0" r="0" b="0"/>
            <wp:docPr id="1766102418" name="Picture 1" descr="This image shows the structure and functions of the Plymouth Brethren Church. At the top of the diagram, shown here as a blue rectangle on the left-hand side, is the senior leader, Bruce Hale. Under him are the elders, shown here in the middle of the image as a white hexagon with a border, that sits lower than the rectangle. The elders meet at annual global meetings. Under the elders are 41 assemblies or congregations, shown here across the bottom of the image as 41 groups of 3 people. Each local assembly functions independently and is responsible for the pastoral care of the members in its district.  Above this, on the right-hand side of the image is another white hexagon with a blue border that explains that elders in each assembly provide ministry, guidance and pastor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02418" name="Picture 1" descr="This image shows the structure and functions of the Plymouth Brethren Church. At the top of the diagram, shown here as a blue rectangle on the left-hand side, is the senior leader, Bruce Hale. Under him are the elders, shown here in the middle of the image as a white hexagon with a border, that sits lower than the rectangle. The elders meet at annual global meetings. Under the elders are 41 assemblies or congregations, shown here across the bottom of the image as 41 groups of 3 people. Each local assembly functions independently and is responsible for the pastoral care of the members in its district.  Above this, on the right-hand side of the image is another white hexagon with a blue border that explains that elders in each assembly provide ministry, guidance and pastoral care."/>
                    <pic:cNvPicPr/>
                  </pic:nvPicPr>
                  <pic:blipFill>
                    <a:blip r:embed="rId34"/>
                    <a:stretch>
                      <a:fillRect/>
                    </a:stretch>
                  </pic:blipFill>
                  <pic:spPr>
                    <a:xfrm>
                      <a:off x="0" y="0"/>
                      <a:ext cx="4083621" cy="3257971"/>
                    </a:xfrm>
                    <a:prstGeom prst="rect">
                      <a:avLst/>
                    </a:prstGeom>
                  </pic:spPr>
                </pic:pic>
              </a:graphicData>
            </a:graphic>
          </wp:inline>
        </w:drawing>
      </w:r>
    </w:p>
    <w:p w14:paraId="1EF0B6CF" w14:textId="3636F536" w:rsidR="00FE4E56" w:rsidRDefault="00FE4E56" w:rsidP="004C3995">
      <w:pPr>
        <w:pStyle w:val="Heading3"/>
      </w:pPr>
      <w:bookmarkStart w:id="763" w:name="_Toc165441909"/>
      <w:bookmarkStart w:id="764" w:name="_Toc448265593"/>
      <w:bookmarkStart w:id="765" w:name="_Toc181085022"/>
      <w:r w:rsidRPr="004A0212">
        <w:t>Ngā Kaiwhakapae o Ihowa</w:t>
      </w:r>
      <w:bookmarkEnd w:id="765"/>
    </w:p>
    <w:p w14:paraId="6A08FEFE" w14:textId="04AA93B2" w:rsidR="00FE4E56" w:rsidRPr="004A0212" w:rsidRDefault="00FE4E56" w:rsidP="004C3995">
      <w:pPr>
        <w:pStyle w:val="Heading3"/>
      </w:pPr>
      <w:bookmarkStart w:id="766" w:name="_Toc181085023"/>
      <w:r w:rsidRPr="004A0212">
        <w:t>Jehovah’s Witnesses</w:t>
      </w:r>
      <w:bookmarkEnd w:id="763"/>
      <w:bookmarkEnd w:id="764"/>
      <w:bookmarkEnd w:id="766"/>
      <w:r w:rsidRPr="004A0212">
        <w:t xml:space="preserve"> </w:t>
      </w:r>
    </w:p>
    <w:p w14:paraId="4A7227C7" w14:textId="77777777" w:rsidR="00FE4E56" w:rsidRPr="004A0212" w:rsidRDefault="00FE4E56" w:rsidP="00DC5252">
      <w:pPr>
        <w:pStyle w:val="Numbparas"/>
      </w:pPr>
      <w:r w:rsidRPr="004A0212">
        <w:t>The Jehovah’s Witnesses organisation was founded in Pennsylvania in the United States in the late 19th century. Today the religion has 8.8 million active members in 239 countries.</w:t>
      </w:r>
      <w:r w:rsidRPr="004A0212">
        <w:rPr>
          <w:rStyle w:val="StyleFootnoteReferenceFagoFunotenzeichenFagoFunotenzeichen"/>
        </w:rPr>
        <w:endnoteReference w:id="782"/>
      </w:r>
    </w:p>
    <w:p w14:paraId="762B4A1C" w14:textId="186CDDF4" w:rsidR="00FE4E56" w:rsidRPr="004A0212" w:rsidRDefault="00FE4E56" w:rsidP="004C3995">
      <w:pPr>
        <w:pStyle w:val="Numbparas"/>
      </w:pPr>
      <w:r w:rsidRPr="004A0212">
        <w:t>The Jehovah’s Witnesses organisation has been active in New Zealand since 1898, and according to the 2018 census, now has over 20,000 members in this country.</w:t>
      </w:r>
      <w:r w:rsidRPr="004A0212">
        <w:rPr>
          <w:rStyle w:val="StyleFootnoteReferenceFagoFunotenzeichenFagoFunotenzeichen"/>
        </w:rPr>
        <w:endnoteReference w:id="783"/>
      </w:r>
    </w:p>
    <w:p w14:paraId="4233EB1E" w14:textId="1FD578DD" w:rsidR="00FE4E56" w:rsidRPr="004A0212" w:rsidRDefault="00FE4E56" w:rsidP="006235F6">
      <w:pPr>
        <w:pStyle w:val="Numbparas"/>
        <w:rPr>
          <w:rStyle w:val="StyleFootnoteReferenceFagoFunotenzeichenFagoFunotenzeichen"/>
        </w:rPr>
      </w:pPr>
      <w:r w:rsidRPr="004A0212">
        <w:t>The faith in Aotearoa New Zealand is divided into congregations. A congregation comprises publishers (also referred to as members).  Some publishers serve as ministerial servants and Elders. In Aotearoa New Zealand around 228 individual Jehovah’s Witness congregations are or have been registered on the Charities Register.</w:t>
      </w:r>
      <w:r w:rsidRPr="004A0212">
        <w:rPr>
          <w:rStyle w:val="StyleFootnoteReferenceFagoFunotenzeichenFagoFunotenzeichen"/>
        </w:rPr>
        <w:endnoteReference w:id="784"/>
      </w:r>
      <w:r w:rsidRPr="004A0212">
        <w:rPr>
          <w:rStyle w:val="StyleFootnoteReferenceFagoFunotenzeichenFagoFunotenzeichen"/>
        </w:rPr>
        <w:t xml:space="preserve"> </w:t>
      </w:r>
      <w:r w:rsidRPr="004A0212">
        <w:t xml:space="preserve"> In addition, there are charities that support the activities of the Jehovah’s Witnesses at a national level, for example, New Zealand Association of Jehovah’s Witnesses, which is also a registered charity.</w:t>
      </w:r>
      <w:r w:rsidRPr="004A0212">
        <w:rPr>
          <w:rStyle w:val="StyleFootnoteReferenceFagoFunotenzeichenFagoFunotenzeichen"/>
        </w:rPr>
        <w:endnoteReference w:id="785"/>
      </w:r>
    </w:p>
    <w:p w14:paraId="76848A3F" w14:textId="77777777" w:rsidR="00C74BCD" w:rsidRDefault="00C74BCD">
      <w:pPr>
        <w:keepLines w:val="0"/>
        <w:rPr>
          <w:rFonts w:ascii="Arial" w:eastAsia="Calibri" w:hAnsi="Arial" w:cs="Arial"/>
          <w:bCs/>
          <w:color w:val="222222"/>
          <w:sz w:val="22"/>
          <w:szCs w:val="22"/>
          <w:shd w:val="clear" w:color="auto" w:fill="FFFFFF"/>
        </w:rPr>
      </w:pPr>
      <w:r>
        <w:br w:type="page"/>
      </w:r>
    </w:p>
    <w:p w14:paraId="47653698" w14:textId="0AD05CCB" w:rsidR="00FE4E56" w:rsidRPr="004A0212" w:rsidRDefault="00FE4E56" w:rsidP="009B38BA">
      <w:pPr>
        <w:pStyle w:val="Numbparas"/>
        <w:rPr>
          <w:rStyle w:val="StyleFootnoteReferenceFagoFunotenzeichenFagoFunotenzeichen"/>
        </w:rPr>
      </w:pPr>
      <w:r w:rsidRPr="004A0212">
        <w:lastRenderedPageBreak/>
        <w:t>Directions and guidance on the faith’s worldwide activities are overseen by the Governing Body based in New York.  The Governing Body is a council of Jehovah’s Witness Elders, or self-described “mature Christians” who look to Jehovah (God) and to Jesus Christ for direction in all matters and provide “unified theocratic direction to Branch and Country committee members worldwide”.</w:t>
      </w:r>
      <w:r w:rsidRPr="004A0212">
        <w:rPr>
          <w:rStyle w:val="StyleFootnoteReferenceFagoFunotenzeichenFagoFunotenzeichen"/>
        </w:rPr>
        <w:endnoteReference w:id="786"/>
      </w:r>
      <w:r w:rsidRPr="004A0212">
        <w:rPr>
          <w:rStyle w:val="StyleFootnoteReferenceFagoFunotenzeichenFagoFunotenzeichen"/>
        </w:rPr>
        <w:t xml:space="preserve"> </w:t>
      </w:r>
      <w:r w:rsidRPr="004A0212">
        <w:t xml:space="preserve"> The size of the Governing Body has varied, from seven to 18 men, with all based in New York and voted in by existing Governing Body members.  There are currently nine members.  The faith considers that all baptised congregants, men and women, are “ministers” in the faith.</w:t>
      </w:r>
      <w:r w:rsidRPr="004A0212">
        <w:rPr>
          <w:rStyle w:val="StyleFootnoteReferenceFagoFunotenzeichenFagoFunotenzeichen"/>
        </w:rPr>
        <w:endnoteReference w:id="787"/>
      </w:r>
      <w:r w:rsidRPr="004A0212">
        <w:rPr>
          <w:rStyle w:val="StyleFootnoteReferenceFagoFunotenzeichenFagoFunotenzeichen"/>
        </w:rPr>
        <w:t xml:space="preserve"> </w:t>
      </w:r>
    </w:p>
    <w:p w14:paraId="2DCC007D" w14:textId="51DAB5C7" w:rsidR="00FE4E56" w:rsidRPr="004A0212" w:rsidRDefault="00FE4E56" w:rsidP="00DC5252">
      <w:pPr>
        <w:pStyle w:val="Numbparas"/>
      </w:pPr>
      <w:r w:rsidRPr="004A0212">
        <w:t>The Governing Body supervises more than 90 branches worldwide. In each country or region, there is a Branch Office. The Branch Office is overseen by a Branch Committee. The Branch Office coordinates the religious activity of Jehovah’s Witnesses in its country or geographical area.  Although religious direction and guidance comes from its headquarters in New York, the Jehovah’s Witnesses in Aotearoa New Zealand are coordinated by the Australasia Branch Office of Jehovah’s Witnesses, from its head office in Sydney.</w:t>
      </w:r>
    </w:p>
    <w:p w14:paraId="32AC3A08" w14:textId="02321C12" w:rsidR="00FE4E56" w:rsidRPr="004A0212" w:rsidRDefault="00FE4E56" w:rsidP="00DC5252">
      <w:pPr>
        <w:pStyle w:val="Numbparas"/>
      </w:pPr>
      <w:r w:rsidRPr="004A0212">
        <w:t>Each Branch Office has a Service Department and a Legal Department.</w:t>
      </w:r>
      <w:r w:rsidRPr="004A0212">
        <w:rPr>
          <w:rStyle w:val="StyleFootnoteReferenceFagoFunotenzeichenFagoFunotenzeichen"/>
        </w:rPr>
        <w:endnoteReference w:id="788"/>
      </w:r>
      <w:r w:rsidRPr="004A0212">
        <w:rPr>
          <w:rStyle w:val="StyleFootnoteReferenceFagoFunotenzeichenFagoFunotenzeichen"/>
        </w:rPr>
        <w:t xml:space="preserve"> </w:t>
      </w:r>
      <w:r w:rsidRPr="004A0212">
        <w:t xml:space="preserve"> The Service Department provides guidance to congregation Elders on implementing the child safeguarding policies of the faith, amongst other matters, and the Legal Department provides legal advice to the Branch Office and to congregation Elders.</w:t>
      </w:r>
      <w:r w:rsidRPr="004A0212">
        <w:rPr>
          <w:rStyle w:val="StyleFootnoteReferenceFagoFunotenzeichenFagoFunotenzeichen"/>
        </w:rPr>
        <w:endnoteReference w:id="789"/>
      </w:r>
      <w:r w:rsidRPr="004A0212">
        <w:rPr>
          <w:rStyle w:val="StyleFootnoteReferenceFagoFunotenzeichenFagoFunotenzeichen"/>
        </w:rPr>
        <w:t xml:space="preserve"> </w:t>
      </w:r>
    </w:p>
    <w:p w14:paraId="3ACC9A6C" w14:textId="6A249732" w:rsidR="00FE4E56" w:rsidRPr="004A0212" w:rsidRDefault="00FE4E56" w:rsidP="00DC5252">
      <w:pPr>
        <w:pStyle w:val="Numbparas"/>
      </w:pPr>
      <w:r w:rsidRPr="004A0212">
        <w:t>Approximately 20 congregations of Jehovah’s Witnesses are grouped together into a “circuit”. The spiritual needs of those groups of congregations are addressed by an experienced Elder known as a “circuit overseer “(also called a “travelling overseer”). Circuit overseers appoint congregation Elders. These appointments are based on a recommendation from the congregation’s body of Elders, who look to passages in scripture to determine the “good qualities” of a man (as with the Governing Body, all Elders are male).</w:t>
      </w:r>
      <w:r w:rsidRPr="004A0212">
        <w:rPr>
          <w:rStyle w:val="StyleFootnoteReferenceFagoFunotenzeichenFagoFunotenzeichen"/>
        </w:rPr>
        <w:endnoteReference w:id="790"/>
      </w:r>
      <w:r w:rsidRPr="004A0212">
        <w:t xml:space="preserve"> Circuit overseers also decide, based on the recommendation of the body of Elders, whether an Elder should be “deleted” because he no longer meets the spiritual qualifications.</w:t>
      </w:r>
      <w:r w:rsidRPr="004A0212">
        <w:rPr>
          <w:rStyle w:val="StyleFootnoteReferenceFagoFunotenzeichenFagoFunotenzeichen"/>
        </w:rPr>
        <w:endnoteReference w:id="791"/>
      </w:r>
    </w:p>
    <w:p w14:paraId="564CF2AE" w14:textId="46C70799" w:rsidR="00FE4E56" w:rsidRPr="004A0212" w:rsidRDefault="00FE4E56" w:rsidP="00DC5252">
      <w:pPr>
        <w:pStyle w:val="Numbparas"/>
        <w:rPr>
          <w:rStyle w:val="StyleFootnoteReferenceFagoFunotenzeichenFagoFunotenzeichen"/>
        </w:rPr>
      </w:pPr>
      <w:r w:rsidRPr="004A0212">
        <w:t>Congregational responsibilities sit with Elders and ministerial servants. Only men are eligible for these roles. In 2023 there were around 1,576 Elders within Aotearoa New Zealand.</w:t>
      </w:r>
      <w:r w:rsidRPr="004A0212">
        <w:rPr>
          <w:rStyle w:val="StyleFootnoteReferenceFagoFunotenzeichenFagoFunotenzeichen"/>
        </w:rPr>
        <w:endnoteReference w:id="792"/>
      </w:r>
    </w:p>
    <w:p w14:paraId="6106E80F" w14:textId="77777777" w:rsidR="00FE4E56" w:rsidRPr="004A0212" w:rsidRDefault="00FE4E56" w:rsidP="00340905"/>
    <w:p w14:paraId="43A981E7" w14:textId="1B772BEB" w:rsidR="00FE4E56" w:rsidRPr="00BA7831" w:rsidRDefault="00FE4E56" w:rsidP="00340905">
      <w:pPr>
        <w:rPr>
          <w:rFonts w:ascii="Arial" w:hAnsi="Arial" w:cs="Arial"/>
          <w:sz w:val="22"/>
        </w:rPr>
      </w:pPr>
      <w:r w:rsidRPr="00BA7831">
        <w:rPr>
          <w:rFonts w:ascii="Arial" w:hAnsi="Arial" w:cs="Arial"/>
          <w:sz w:val="22"/>
        </w:rPr>
        <w:t>[survivor quote]</w:t>
      </w:r>
    </w:p>
    <w:p w14:paraId="38A3FB60" w14:textId="6146E9FE" w:rsidR="00FE4E56" w:rsidRPr="00ED3265" w:rsidRDefault="00FE4E56" w:rsidP="00ED3265">
      <w:pPr>
        <w:pStyle w:val="AllQuotes"/>
        <w:rPr>
          <w:b/>
        </w:rPr>
      </w:pPr>
      <w:r w:rsidRPr="00ED3265">
        <w:rPr>
          <w:b/>
        </w:rPr>
        <w:t>“I had no voice at Ōwairaka, but when I got out I told my parents about what had happened there. They went to the police, which is what you are supposed to do, but the police refused to believe them. We felt helpless, like we had no voice. I turned to drugs and alcohol to numb the pain I felt.”</w:t>
      </w:r>
    </w:p>
    <w:p w14:paraId="788BA942" w14:textId="5505DFB3" w:rsidR="00FE4E56" w:rsidRPr="00ED3265" w:rsidRDefault="00FE4E56" w:rsidP="00ED3265">
      <w:pPr>
        <w:pStyle w:val="AllQuotes"/>
        <w:rPr>
          <w:b/>
        </w:rPr>
      </w:pPr>
      <w:r w:rsidRPr="00ED3265">
        <w:rPr>
          <w:b/>
        </w:rPr>
        <w:t>Andrew Brown</w:t>
      </w:r>
    </w:p>
    <w:p w14:paraId="2D3AB6C3" w14:textId="451D7069" w:rsidR="00FE4E56" w:rsidRPr="00ED3265" w:rsidRDefault="00FE4E56" w:rsidP="00ED3265">
      <w:pPr>
        <w:pStyle w:val="AllQuotes"/>
        <w:rPr>
          <w:b/>
        </w:rPr>
      </w:pPr>
      <w:r w:rsidRPr="00ED3265">
        <w:rPr>
          <w:b/>
        </w:rPr>
        <w:t>Māori, Moriori, English, Welsh</w:t>
      </w:r>
    </w:p>
    <w:p w14:paraId="6361A370" w14:textId="7E458A86" w:rsidR="00FE4E56" w:rsidRPr="004A0212" w:rsidRDefault="00FE4E56" w:rsidP="00282055">
      <w:pPr>
        <w:pStyle w:val="Heading2"/>
      </w:pPr>
      <w:bookmarkStart w:id="767" w:name="_Toc181085024"/>
      <w:r w:rsidRPr="004A0212">
        <w:lastRenderedPageBreak/>
        <w:t>Ngā whakaritenga tuāpapa</w:t>
      </w:r>
      <w:r w:rsidRPr="004A0212">
        <w:rPr>
          <w:rFonts w:ascii="Cambria Math" w:hAnsi="Cambria Math" w:cs="Cambria Math"/>
        </w:rPr>
        <w:t>‑</w:t>
      </w:r>
      <w:r w:rsidRPr="004A0212">
        <w:t>whakapono i te w</w:t>
      </w:r>
      <w:r w:rsidRPr="004A0212">
        <w:rPr>
          <w:rFonts w:cs="Arial"/>
        </w:rPr>
        <w:t>ā</w:t>
      </w:r>
      <w:r w:rsidRPr="004A0212">
        <w:t xml:space="preserve"> o te Pakirehua</w:t>
      </w:r>
      <w:bookmarkEnd w:id="767"/>
      <w:r w:rsidRPr="004A0212">
        <w:t xml:space="preserve"> </w:t>
      </w:r>
    </w:p>
    <w:p w14:paraId="205885BD" w14:textId="754FCD2E" w:rsidR="00FE4E56" w:rsidRPr="004A0212" w:rsidRDefault="00FE4E56" w:rsidP="00282055">
      <w:pPr>
        <w:pStyle w:val="Heading2"/>
      </w:pPr>
      <w:bookmarkStart w:id="768" w:name="_Toc165441956"/>
      <w:bookmarkStart w:id="769" w:name="_Toc1892054360"/>
      <w:bookmarkStart w:id="770" w:name="_Toc181085025"/>
      <w:r w:rsidRPr="004A0212">
        <w:t>Faith-based care settings during the Inquiry period</w:t>
      </w:r>
      <w:bookmarkEnd w:id="768"/>
      <w:bookmarkEnd w:id="769"/>
      <w:bookmarkEnd w:id="770"/>
    </w:p>
    <w:p w14:paraId="7F0F76D4" w14:textId="2173797F" w:rsidR="00FE4E56" w:rsidRPr="004A0212" w:rsidRDefault="00FE4E56" w:rsidP="004C3995">
      <w:pPr>
        <w:pStyle w:val="AllNumbparas"/>
      </w:pPr>
      <w:r w:rsidRPr="004A0212">
        <w:t xml:space="preserve">The Inquiry’s Terms of Reference cover a broad variety of settings. As discussed in </w:t>
      </w:r>
      <w:r w:rsidRPr="000C0692">
        <w:t>Part 1,</w:t>
      </w:r>
      <w:r w:rsidRPr="004A0212">
        <w:t xml:space="preserve"> they include both direct care, where the State or a faith-based institution is directly providing care for an individual, or indirect care, where the State or a faith-based institution had people or entities providing care on their behalf.</w:t>
      </w:r>
    </w:p>
    <w:p w14:paraId="015B9748" w14:textId="77777777" w:rsidR="00FE4E56" w:rsidRDefault="00FE4E56" w:rsidP="004C3995">
      <w:pPr>
        <w:pStyle w:val="Heading3"/>
      </w:pPr>
      <w:bookmarkStart w:id="771" w:name="_Toc165441957"/>
      <w:bookmarkStart w:id="772" w:name="_Toc1104134896"/>
      <w:bookmarkStart w:id="773" w:name="_Toc181085026"/>
      <w:r w:rsidRPr="004A0212">
        <w:t>Kāinga taurima tamariki me ngā whare taurima tamariki pani</w:t>
      </w:r>
      <w:bookmarkEnd w:id="773"/>
      <w:r w:rsidRPr="004A0212">
        <w:t xml:space="preserve"> </w:t>
      </w:r>
    </w:p>
    <w:p w14:paraId="0F4E94AF" w14:textId="050A90A4" w:rsidR="00FE4E56" w:rsidRPr="004A0212" w:rsidRDefault="00FE4E56" w:rsidP="004C3995">
      <w:pPr>
        <w:pStyle w:val="Heading3"/>
      </w:pPr>
      <w:bookmarkStart w:id="774" w:name="_Toc181085027"/>
      <w:r w:rsidRPr="004A0212">
        <w:t>Faith-based children’s homes and orphanages</w:t>
      </w:r>
      <w:bookmarkEnd w:id="771"/>
      <w:bookmarkEnd w:id="772"/>
      <w:bookmarkEnd w:id="774"/>
    </w:p>
    <w:p w14:paraId="54AAC62E" w14:textId="77777777" w:rsidR="00FE4E56" w:rsidRPr="004A0212" w:rsidRDefault="00FE4E56" w:rsidP="004C3995">
      <w:pPr>
        <w:pStyle w:val="AllNumbparas"/>
      </w:pPr>
      <w:r w:rsidRPr="004A0212">
        <w:t xml:space="preserve">At the beginning of the Inquiry period, faith-based institutions were among the largest providers of residential care for children in Aotearoa New Zealand. Many of the faiths ran children’s homes including the Catholic, Anglican and Methodist churches, the Presbyterian Support Organisations and The Salvation Army. </w:t>
      </w:r>
      <w:r w:rsidRPr="004A0212">
        <w:rPr>
          <w:rStyle w:val="normaltextrun"/>
        </w:rPr>
        <w:t>By 1960, 53 out of the 68 registered children’s homes were run by faith-based institutions.</w:t>
      </w:r>
      <w:r w:rsidRPr="004A0212">
        <w:rPr>
          <w:rStyle w:val="StyleFootnoteReferenceFagoFunotenzeichenFagoFunotenzeichen"/>
        </w:rPr>
        <w:endnoteReference w:id="793"/>
      </w:r>
    </w:p>
    <w:p w14:paraId="3681ACED" w14:textId="77777777" w:rsidR="00FE4E56" w:rsidRPr="004A0212" w:rsidRDefault="00FE4E56" w:rsidP="004C3995">
      <w:pPr>
        <w:pStyle w:val="AllNumbparas"/>
      </w:pPr>
      <w:r w:rsidRPr="004A0212">
        <w:t>There were also receiving homes (or reception centres) which were short-term residences for babies and very young children, such as The Nest, run by The Salvation Army, or Catholic-run orphanages such as the Star of the Sea, or the Home of Compassion.</w:t>
      </w:r>
      <w:r w:rsidRPr="004A0212">
        <w:rPr>
          <w:rStyle w:val="StyleFootnoteReferenceFagoFunotenzeichenFagoFunotenzeichen"/>
        </w:rPr>
        <w:endnoteReference w:id="794"/>
      </w:r>
      <w:r w:rsidRPr="004A0212">
        <w:t xml:space="preserve"> </w:t>
      </w:r>
    </w:p>
    <w:p w14:paraId="27D3CE40" w14:textId="77777777" w:rsidR="00FE4E56" w:rsidRPr="004A0212" w:rsidRDefault="00FE4E56" w:rsidP="004C3995">
      <w:pPr>
        <w:pStyle w:val="AllNumbparas"/>
      </w:pPr>
      <w:r w:rsidRPr="004A0212">
        <w:t>Across the Inquiry period, the Anglican, Presbyterian and Catholic Churches and The Salvation Army were affiliated with children’s homes. Research conducted by the Inquiry showed:</w:t>
      </w:r>
    </w:p>
    <w:p w14:paraId="039C320A" w14:textId="77777777" w:rsidR="00FE4E56" w:rsidRPr="004A0212" w:rsidRDefault="00FE4E56" w:rsidP="00EE444A">
      <w:pPr>
        <w:pStyle w:val="Bulletpoints"/>
      </w:pPr>
      <w:r w:rsidRPr="004A0212">
        <w:t>at least 15 homes affiliated with the Anglican church, in Ōtepoti Dunedin, Ōtautahi Christchurch, Timaru, Whakatū Nelson, Te Papaioea Palmerston North, Te Matau-a-Māui Hawke’s Bay and Tāmaki Makaurau Auckland</w:t>
      </w:r>
      <w:r w:rsidRPr="004A0212">
        <w:rPr>
          <w:rStyle w:val="StyleFootnoteReferenceFagoFunotenzeichenFagoFunotenzeichen"/>
        </w:rPr>
        <w:endnoteReference w:id="795"/>
      </w:r>
    </w:p>
    <w:p w14:paraId="1A38535F" w14:textId="7C213CC8" w:rsidR="00FE4E56" w:rsidRPr="004A0212" w:rsidRDefault="00FE4E56" w:rsidP="00EE444A">
      <w:pPr>
        <w:pStyle w:val="Bulletpoints"/>
      </w:pPr>
      <w:r w:rsidRPr="004A0212">
        <w:t>at least</w:t>
      </w:r>
      <w:r w:rsidRPr="004A0212" w:rsidDel="00152825">
        <w:t xml:space="preserve"> </w:t>
      </w:r>
      <w:r w:rsidRPr="004A0212">
        <w:t>18 homes affiliated with the Presbyterian Church, in Waihōpai Invercargill, Ōtepoti Dunedin, Lawrence (in Otago), Ōtautahi Christchurch, Timaru, Whanganui, Te Matau-a-Māui Hawke’s Bay and Tāmaki Makaurau Auckland</w:t>
      </w:r>
      <w:r w:rsidRPr="004A0212">
        <w:rPr>
          <w:rStyle w:val="StyleFootnoteReferenceFagoFunotenzeichenFagoFunotenzeichen"/>
        </w:rPr>
        <w:endnoteReference w:id="796"/>
      </w:r>
    </w:p>
    <w:p w14:paraId="7DE31DA7" w14:textId="527CAA0F" w:rsidR="00FE4E56" w:rsidRPr="004A0212" w:rsidRDefault="00FE4E56" w:rsidP="00EE444A">
      <w:pPr>
        <w:pStyle w:val="Bulletpoints"/>
      </w:pPr>
      <w:r w:rsidRPr="004A0212">
        <w:t>at least</w:t>
      </w:r>
      <w:r w:rsidRPr="004A0212" w:rsidDel="00FF17A3">
        <w:t xml:space="preserve"> </w:t>
      </w:r>
      <w:r w:rsidRPr="004A0212">
        <w:t>10 homes affiliated with The Salvation Army, in Ōtepoti Dunedin, Temuka, Te Whanganui-ā-Tara Wellington, Wairarapa, Taranaki, Te Matau-a-Māui Hawke’s Bay, Kirikiriroa Hamilton and Tāmaki Makaurau Auckland</w:t>
      </w:r>
      <w:r w:rsidRPr="004A0212">
        <w:rPr>
          <w:rStyle w:val="StyleFootnoteReferenceFagoFunotenzeichenFagoFunotenzeichen"/>
        </w:rPr>
        <w:endnoteReference w:id="797"/>
      </w:r>
    </w:p>
    <w:p w14:paraId="0CF58E13" w14:textId="3DB08F09" w:rsidR="00FE4E56" w:rsidRPr="004A0212" w:rsidRDefault="00FE4E56" w:rsidP="00EE444A">
      <w:pPr>
        <w:pStyle w:val="Bulletpoints"/>
      </w:pPr>
      <w:r w:rsidRPr="004A0212">
        <w:t>at least</w:t>
      </w:r>
      <w:r w:rsidRPr="004A0212" w:rsidDel="00FF17A3">
        <w:t xml:space="preserve"> </w:t>
      </w:r>
      <w:r w:rsidRPr="004A0212">
        <w:t>33 homes affiliated with the Catholic Church, including homes in Ōtepoti Dunedin, Ōtautahi Christchurch, Whakatū Nelson, Te Waiharakeke Blenheim, Te Whanganui-ā-Tara Wellington, Taitoko Levin and Tāmaki Makaurau Auckland</w:t>
      </w:r>
      <w:r w:rsidRPr="004A0212">
        <w:rPr>
          <w:rStyle w:val="StyleFootnoteReferenceFagoFunotenzeichenFagoFunotenzeichen"/>
        </w:rPr>
        <w:endnoteReference w:id="798"/>
      </w:r>
    </w:p>
    <w:p w14:paraId="435832DD" w14:textId="2225C709" w:rsidR="00FE4E56" w:rsidRPr="004A0212" w:rsidRDefault="00FE4E56" w:rsidP="00EE444A">
      <w:pPr>
        <w:pStyle w:val="Bulletpoints"/>
      </w:pPr>
      <w:r w:rsidRPr="004A0212">
        <w:t>at least six homes affiliated with the Methodist Church, in Ōtautahi Christchurch, Whakaoriori Masterton and Tāmaki Makaurau Auckland.</w:t>
      </w:r>
      <w:r w:rsidRPr="004A0212">
        <w:rPr>
          <w:rStyle w:val="StyleFootnoteReferenceFagoFunotenzeichenFagoFunotenzeichen"/>
        </w:rPr>
        <w:endnoteReference w:id="799"/>
      </w:r>
    </w:p>
    <w:p w14:paraId="4A95EE71" w14:textId="77777777" w:rsidR="00005F0B" w:rsidRDefault="00005F0B">
      <w:pPr>
        <w:keepLines w:val="0"/>
        <w:rPr>
          <w:rFonts w:ascii="Arial" w:hAnsi="Arial" w:cs="Helvetica"/>
          <w:color w:val="3B5D1E" w:themeColor="accent4" w:themeShade="BF"/>
          <w:szCs w:val="26"/>
        </w:rPr>
      </w:pPr>
      <w:bookmarkStart w:id="775" w:name="_Toc165441958"/>
      <w:bookmarkStart w:id="776" w:name="_Toc971149783"/>
      <w:r>
        <w:br w:type="page"/>
      </w:r>
    </w:p>
    <w:p w14:paraId="1024F31A" w14:textId="6C3F11AC" w:rsidR="00FE4E56" w:rsidRDefault="00FE4E56" w:rsidP="004C3995">
      <w:pPr>
        <w:pStyle w:val="Heading3"/>
      </w:pPr>
      <w:bookmarkStart w:id="777" w:name="_Toc181085028"/>
      <w:r w:rsidRPr="004A0212">
        <w:lastRenderedPageBreak/>
        <w:t>Kāinga atawhai tamariki</w:t>
      </w:r>
      <w:bookmarkEnd w:id="777"/>
    </w:p>
    <w:p w14:paraId="29A41876" w14:textId="43CC4FFA" w:rsidR="00FE4E56" w:rsidRPr="004A0212" w:rsidRDefault="00FE4E56" w:rsidP="004C3995">
      <w:pPr>
        <w:pStyle w:val="Heading3"/>
      </w:pPr>
      <w:bookmarkStart w:id="778" w:name="_Toc181085029"/>
      <w:r w:rsidRPr="004A0212">
        <w:t>Foster homes</w:t>
      </w:r>
      <w:bookmarkEnd w:id="775"/>
      <w:bookmarkEnd w:id="776"/>
      <w:bookmarkEnd w:id="778"/>
    </w:p>
    <w:p w14:paraId="174B27FC" w14:textId="77777777" w:rsidR="00FE4E56" w:rsidRPr="004A0212" w:rsidRDefault="00FE4E56" w:rsidP="004C3995">
      <w:pPr>
        <w:pStyle w:val="AllNumbparas"/>
      </w:pPr>
      <w:r w:rsidRPr="004A0212">
        <w:t xml:space="preserve">As well as operating children’s homes, the faiths also facilitated children entering private foster homes during the Inquiry period, co-ordinated within their religious communities. It is difficult to understand from the records how many there were or their locations. </w:t>
      </w:r>
    </w:p>
    <w:p w14:paraId="39499C1B" w14:textId="77777777" w:rsidR="00FE4E56" w:rsidRPr="004A0212" w:rsidRDefault="00FE4E56" w:rsidP="004C3995">
      <w:pPr>
        <w:pStyle w:val="AllNumbparas"/>
      </w:pPr>
      <w:r w:rsidRPr="004A0212">
        <w:t>Reasons for going into foster care included coming from single-parent families, health concerns, economic crises or their parents being unable to care for them.</w:t>
      </w:r>
      <w:r w:rsidRPr="004A0212">
        <w:rPr>
          <w:rStyle w:val="StyleFootnoteReferenceFagoFunotenzeichenFagoFunotenzeichen"/>
        </w:rPr>
        <w:endnoteReference w:id="800"/>
      </w:r>
      <w:r w:rsidRPr="004A0212">
        <w:t xml:space="preserve"> </w:t>
      </w:r>
    </w:p>
    <w:p w14:paraId="57F67C11" w14:textId="77777777" w:rsidR="00FE4E56" w:rsidRPr="004A0212" w:rsidRDefault="00FE4E56" w:rsidP="004C3995">
      <w:pPr>
        <w:pStyle w:val="AllNumbparas"/>
      </w:pPr>
      <w:r w:rsidRPr="004A0212">
        <w:t xml:space="preserve">In some circumstances, foster care was a form of respite for the family or was used by children’s homes during the school holidays. In other cases, it was to provide a permanent living arrangement for a child. </w:t>
      </w:r>
    </w:p>
    <w:p w14:paraId="26028439" w14:textId="77777777" w:rsidR="00FE4E56" w:rsidRPr="004A0212" w:rsidRDefault="00FE4E56" w:rsidP="004C3995">
      <w:pPr>
        <w:pStyle w:val="AllNumbparas"/>
      </w:pPr>
      <w:r w:rsidRPr="004A0212">
        <w:t>Some survivors who experienced abuse in Catholic orphanages told the Inquiry that they were sent away to foster placements with Catholic families during the school holidays, when the orphanages would close for several weeks.</w:t>
      </w:r>
      <w:r w:rsidRPr="004A0212">
        <w:rPr>
          <w:rStyle w:val="StyleFootnoteReferenceFagoFunotenzeichenFagoFunotenzeichen"/>
        </w:rPr>
        <w:endnoteReference w:id="801"/>
      </w:r>
      <w:r w:rsidRPr="004A0212">
        <w:t xml:space="preserve"> </w:t>
      </w:r>
    </w:p>
    <w:p w14:paraId="499755B3" w14:textId="77777777" w:rsidR="00FE4E56" w:rsidRPr="004A0212" w:rsidRDefault="00FE4E56" w:rsidP="004C3995">
      <w:pPr>
        <w:pStyle w:val="AllNumbparas"/>
      </w:pPr>
      <w:r w:rsidRPr="004A0212">
        <w:t>Other foster care arrangements were more informal. For example, a Catholic priest suggested to a struggling mother that a childless couple who lived on church property could look after her son for a while.</w:t>
      </w:r>
      <w:r w:rsidRPr="004A0212">
        <w:rPr>
          <w:rStyle w:val="StyleFootnoteReferenceFagoFunotenzeichenFagoFunotenzeichen"/>
        </w:rPr>
        <w:endnoteReference w:id="802"/>
      </w:r>
    </w:p>
    <w:p w14:paraId="2BE5C7BB" w14:textId="5439CEB0" w:rsidR="00FE4E56" w:rsidRDefault="00FE4E56" w:rsidP="004C3995">
      <w:pPr>
        <w:pStyle w:val="Heading3"/>
      </w:pPr>
      <w:bookmarkStart w:id="779" w:name="_Toc165441959"/>
      <w:bookmarkStart w:id="780" w:name="_Toc1143531004"/>
      <w:bookmarkStart w:id="781" w:name="_Toc181085030"/>
      <w:r w:rsidRPr="004A0212">
        <w:t>Kāinga taurima māmā takakau</w:t>
      </w:r>
      <w:bookmarkEnd w:id="781"/>
    </w:p>
    <w:p w14:paraId="4DBF8972" w14:textId="7A485E0A" w:rsidR="00FE4E56" w:rsidRPr="004A0212" w:rsidRDefault="00FE4E56" w:rsidP="004C3995">
      <w:pPr>
        <w:pStyle w:val="Heading3"/>
      </w:pPr>
      <w:bookmarkStart w:id="782" w:name="_Toc181085031"/>
      <w:r w:rsidRPr="004A0212">
        <w:t>Unmarried mothers’ homes</w:t>
      </w:r>
      <w:bookmarkEnd w:id="779"/>
      <w:bookmarkEnd w:id="780"/>
      <w:bookmarkEnd w:id="782"/>
    </w:p>
    <w:p w14:paraId="4808B6F3" w14:textId="7297390A" w:rsidR="00FE4E56" w:rsidRPr="004A0212" w:rsidRDefault="00FE4E56" w:rsidP="004C3995">
      <w:pPr>
        <w:pStyle w:val="AllNumbparas"/>
      </w:pPr>
      <w:r w:rsidRPr="004A0212">
        <w:t xml:space="preserve">The Inquiry acknowledges that during the </w:t>
      </w:r>
      <w:r>
        <w:t>I</w:t>
      </w:r>
      <w:r w:rsidRPr="004A0212">
        <w:t xml:space="preserve">nquiry period some facilities referred to as “unmarried mothers’ homes” in the report offered a range of services and were not exclusively providing care for unmarried mothers. For example, Bethany Homes (operated by The Salvation Army) also functioned as maternity hospitals. </w:t>
      </w:r>
    </w:p>
    <w:p w14:paraId="244CD19E" w14:textId="454C91C1" w:rsidR="00FE4E56" w:rsidRDefault="00FE4E56" w:rsidP="00E87B70">
      <w:pPr>
        <w:pStyle w:val="Heading4"/>
      </w:pPr>
      <w:bookmarkStart w:id="783" w:name="_Toc165441960"/>
      <w:bookmarkStart w:id="784" w:name="_Toc1866807144"/>
      <w:r w:rsidRPr="700D4309">
        <w:t>Kāinga taurima māmā takakau Katorika</w:t>
      </w:r>
    </w:p>
    <w:p w14:paraId="115F6EA2" w14:textId="63E6B223" w:rsidR="00FE4E56" w:rsidRPr="004A0212" w:rsidRDefault="00FE4E56" w:rsidP="00E87B70">
      <w:pPr>
        <w:pStyle w:val="Heading4"/>
      </w:pPr>
      <w:r w:rsidRPr="700D4309">
        <w:t>Catholic unmarried mothers’ homes</w:t>
      </w:r>
      <w:bookmarkEnd w:id="783"/>
      <w:bookmarkEnd w:id="784"/>
    </w:p>
    <w:p w14:paraId="1523F4FA" w14:textId="77777777" w:rsidR="00FE4E56" w:rsidRPr="004A0212" w:rsidRDefault="00FE4E56" w:rsidP="004C3995">
      <w:pPr>
        <w:pStyle w:val="AllNumbparas"/>
      </w:pPr>
      <w:r w:rsidRPr="004A0212">
        <w:t xml:space="preserve">Several Catholic entities operated homes for unmarried mothers including Mount Magdala reformatory home and St Vincent’s Home of Compassion in Herne Bay, Tāmaki Makaurau Auckland, which was run by the Compassion sisters. </w:t>
      </w:r>
    </w:p>
    <w:p w14:paraId="1F79D02C" w14:textId="77777777" w:rsidR="00FE4E56" w:rsidRPr="004A0212" w:rsidRDefault="00FE4E56" w:rsidP="004C3995">
      <w:pPr>
        <w:pStyle w:val="AllNumbparas"/>
      </w:pPr>
      <w:r w:rsidRPr="004A0212">
        <w:t xml:space="preserve">St Vincent’s Home of Compassion included a home for unmarried pregnant women, a private maternity hospital and a children’s home for babies and toddlers. It operated from 1939 to 1986. </w:t>
      </w:r>
    </w:p>
    <w:p w14:paraId="1DA0F122" w14:textId="25807726" w:rsidR="00FE4E56" w:rsidRDefault="00FE4E56" w:rsidP="00E87B70">
      <w:pPr>
        <w:pStyle w:val="Heading4"/>
      </w:pPr>
      <w:bookmarkStart w:id="785" w:name="_Toc165441961"/>
      <w:bookmarkStart w:id="786" w:name="_Toc235764063"/>
      <w:r w:rsidRPr="700D4309">
        <w:t>Kāinga taurima māmā takakau Mihingare</w:t>
      </w:r>
    </w:p>
    <w:p w14:paraId="1F33E80D" w14:textId="04F74865" w:rsidR="00FE4E56" w:rsidRPr="004A0212" w:rsidRDefault="00FE4E56" w:rsidP="00E87B70">
      <w:pPr>
        <w:pStyle w:val="Heading4"/>
      </w:pPr>
      <w:r w:rsidRPr="700D4309">
        <w:t>Anglican unmarried mothers’ homes</w:t>
      </w:r>
      <w:bookmarkEnd w:id="785"/>
      <w:bookmarkEnd w:id="786"/>
    </w:p>
    <w:p w14:paraId="2559F9D0" w14:textId="77777777" w:rsidR="00FE4E56" w:rsidRPr="004A0212" w:rsidRDefault="00FE4E56" w:rsidP="004C3995">
      <w:pPr>
        <w:pStyle w:val="AllNumbparas"/>
      </w:pPr>
      <w:r w:rsidRPr="004A0212">
        <w:t xml:space="preserve">The Anglican Trust for Women and Children operated St Mary’s Home in Ōtāhuhu, Tāmaki Makaurau Auckland. The home took in unmarried pregnant women and their babies and also ran a children’s home. In 1950 there were 29 births in the unmarried mothers’ wing of the home. This number peaked at 53 in 1957. </w:t>
      </w:r>
    </w:p>
    <w:p w14:paraId="5B1D7DC2" w14:textId="77777777" w:rsidR="00005F0B" w:rsidRDefault="00005F0B">
      <w:pPr>
        <w:keepLines w:val="0"/>
        <w:rPr>
          <w:rFonts w:ascii="Arial" w:hAnsi="Arial" w:cs="Arial"/>
          <w:i/>
          <w:iCs/>
          <w:color w:val="3B5D1E" w:themeColor="accent4" w:themeShade="BF"/>
          <w:sz w:val="22"/>
          <w:szCs w:val="22"/>
          <w:lang w:val="en"/>
        </w:rPr>
      </w:pPr>
      <w:bookmarkStart w:id="787" w:name="_Toc165441962"/>
      <w:bookmarkStart w:id="788" w:name="_Toc443826693"/>
      <w:r>
        <w:br w:type="page"/>
      </w:r>
    </w:p>
    <w:p w14:paraId="7894BABF" w14:textId="12F4F9BD" w:rsidR="00FE4E56" w:rsidRDefault="00FE4E56" w:rsidP="00E87B70">
      <w:pPr>
        <w:pStyle w:val="Heading4"/>
      </w:pPr>
      <w:r w:rsidRPr="700D4309">
        <w:lastRenderedPageBreak/>
        <w:t>Kāinga taurima māmā takakau o Te Ope Whakaora</w:t>
      </w:r>
    </w:p>
    <w:p w14:paraId="07D17828" w14:textId="74764728" w:rsidR="00FE4E56" w:rsidRPr="004A0212" w:rsidRDefault="00FE4E56" w:rsidP="001B3F8F">
      <w:pPr>
        <w:pStyle w:val="Heading4"/>
      </w:pPr>
      <w:r w:rsidRPr="700D4309">
        <w:t>The Salvation Army unmarried mothers’ homes</w:t>
      </w:r>
      <w:bookmarkEnd w:id="787"/>
      <w:bookmarkEnd w:id="788"/>
    </w:p>
    <w:p w14:paraId="09FB56F9" w14:textId="77777777" w:rsidR="00FE4E56" w:rsidRPr="004A0212" w:rsidRDefault="00FE4E56" w:rsidP="004C3995">
      <w:pPr>
        <w:pStyle w:val="AllNumbparas"/>
      </w:pPr>
      <w:r w:rsidRPr="004A0212">
        <w:t xml:space="preserve">The Salvation Army ran seven unmarried mothers’ homes, called Bethany Homes, from 1887 to 1982. Women and girls spent their pregnancies in these homes and then after birth, their babies were adopted out. </w:t>
      </w:r>
    </w:p>
    <w:p w14:paraId="5F4EAD8E" w14:textId="44001C54" w:rsidR="00FE4E56" w:rsidRDefault="00FE4E56" w:rsidP="001B3F8F">
      <w:pPr>
        <w:pStyle w:val="Heading4"/>
      </w:pPr>
      <w:bookmarkStart w:id="789" w:name="_Toc165441963"/>
      <w:bookmarkStart w:id="790" w:name="_Toc1574973051"/>
      <w:r w:rsidRPr="700D4309">
        <w:t>Kāinga taurima māmā takakau Perehipitīriana</w:t>
      </w:r>
    </w:p>
    <w:p w14:paraId="0A444A07" w14:textId="63DAE34B" w:rsidR="00FE4E56" w:rsidRPr="004A0212" w:rsidRDefault="00FE4E56" w:rsidP="001B3F8F">
      <w:pPr>
        <w:pStyle w:val="Heading4"/>
      </w:pPr>
      <w:r w:rsidRPr="700D4309">
        <w:t>Presbyterian unmarried mothers’ homes</w:t>
      </w:r>
      <w:bookmarkEnd w:id="789"/>
      <w:bookmarkEnd w:id="790"/>
    </w:p>
    <w:p w14:paraId="78D8B187" w14:textId="77777777" w:rsidR="00FE4E56" w:rsidRPr="004A0212" w:rsidRDefault="00FE4E56" w:rsidP="004C3995">
      <w:pPr>
        <w:pStyle w:val="AllNumbparas"/>
      </w:pPr>
      <w:r w:rsidRPr="004A0212">
        <w:t xml:space="preserve">The Presbyterian Church operated one home called Holly House in Ōtautahi Christchurch from 1991 to 2018. The home housed teenage mothers and their babies. </w:t>
      </w:r>
    </w:p>
    <w:p w14:paraId="1F0CC732" w14:textId="389BC424" w:rsidR="00FE4E56" w:rsidRDefault="00FE4E56" w:rsidP="004C3995">
      <w:pPr>
        <w:pStyle w:val="Heading3"/>
      </w:pPr>
      <w:bookmarkStart w:id="791" w:name="_Toc165441964"/>
      <w:bookmarkStart w:id="792" w:name="_Toc1019015638"/>
      <w:bookmarkStart w:id="793" w:name="_Toc181085032"/>
      <w:r w:rsidRPr="004A0212">
        <w:t>Te whakapono me te whāngai</w:t>
      </w:r>
      <w:bookmarkEnd w:id="793"/>
    </w:p>
    <w:p w14:paraId="2C1F70B8" w14:textId="0558143B" w:rsidR="00FE4E56" w:rsidRPr="004A0212" w:rsidRDefault="00FE4E56" w:rsidP="004C3995">
      <w:pPr>
        <w:pStyle w:val="Heading3"/>
      </w:pPr>
      <w:bookmarkStart w:id="794" w:name="_Toc181085033"/>
      <w:r w:rsidRPr="004A0212">
        <w:t>Faith and adoption</w:t>
      </w:r>
      <w:bookmarkEnd w:id="791"/>
      <w:bookmarkEnd w:id="792"/>
      <w:bookmarkEnd w:id="794"/>
    </w:p>
    <w:p w14:paraId="4D34133E" w14:textId="77777777" w:rsidR="00FE4E56" w:rsidRPr="004A0212" w:rsidRDefault="00FE4E56" w:rsidP="004C3995">
      <w:pPr>
        <w:pStyle w:val="AllNumbparas"/>
      </w:pPr>
      <w:r w:rsidRPr="004A0212">
        <w:t>Faith-based adoptions were facilitated by the Catholic, Anglican, Presbyterian churches and The Salvation Army.</w:t>
      </w:r>
      <w:r w:rsidRPr="004A0212">
        <w:rPr>
          <w:rStyle w:val="StyleFootnoteReferenceFagoFunotenzeichenFagoFunotenzeichen"/>
        </w:rPr>
        <w:endnoteReference w:id="803"/>
      </w:r>
    </w:p>
    <w:p w14:paraId="61D3078A" w14:textId="77777777" w:rsidR="00FE4E56" w:rsidRPr="004A0212" w:rsidRDefault="00FE4E56" w:rsidP="004C3995">
      <w:pPr>
        <w:pStyle w:val="AllNumbparas"/>
        <w:rPr>
          <w:rStyle w:val="normaltextrun"/>
        </w:rPr>
      </w:pPr>
      <w:r w:rsidRPr="004A0212">
        <w:rPr>
          <w:rStyle w:val="normaltextrun"/>
        </w:rPr>
        <w:t>From the 1940s to 1955, although social worker approval was required, most legal adoptions were arranged privately, often through the various homes housing unmarried mothers.</w:t>
      </w:r>
      <w:r w:rsidRPr="004A0212">
        <w:rPr>
          <w:rStyle w:val="StyleFootnoteReferenceFagoFunotenzeichenFagoFunotenzeichen"/>
        </w:rPr>
        <w:endnoteReference w:id="804"/>
      </w:r>
      <w:r w:rsidRPr="004A0212">
        <w:rPr>
          <w:rStyle w:val="normaltextrun"/>
        </w:rPr>
        <w:t xml:space="preserve"> The Adoption Act 1955 introduced more comprehensive State involvement in adoptions. </w:t>
      </w:r>
    </w:p>
    <w:p w14:paraId="77D5270D" w14:textId="77777777" w:rsidR="00FE4E56" w:rsidRPr="004A0212" w:rsidRDefault="00FE4E56" w:rsidP="004C3995">
      <w:pPr>
        <w:pStyle w:val="AllNumbparas"/>
        <w:rPr>
          <w:rStyle w:val="normaltextrun"/>
        </w:rPr>
      </w:pPr>
      <w:r w:rsidRPr="004A0212">
        <w:t>Catholic agencies remained significantly involved in the decades that followed, facilitating adoptions that were then processed through the State.</w:t>
      </w:r>
      <w:r w:rsidRPr="004A0212">
        <w:rPr>
          <w:rStyle w:val="StyleFootnoteReferenceFagoFunotenzeichenFagoFunotenzeichen"/>
        </w:rPr>
        <w:endnoteReference w:id="805"/>
      </w:r>
      <w:r w:rsidRPr="004A0212">
        <w:t xml:space="preserve"> Catholic social services agencies also worked with the Māori Mission in finding homes for Māori and Pacific babies.</w:t>
      </w:r>
      <w:r w:rsidRPr="004A0212">
        <w:rPr>
          <w:rStyle w:val="StyleFootnoteReferenceFagoFunotenzeichenFagoFunotenzeichen"/>
        </w:rPr>
        <w:endnoteReference w:id="806"/>
      </w:r>
      <w:r w:rsidRPr="004A0212">
        <w:t xml:space="preserve"> Catholic entities arranged and facilitated hundreds of adoptions in Aotearoa New Zealand </w:t>
      </w:r>
      <w:r w:rsidRPr="004A0212">
        <w:rPr>
          <w:rStyle w:val="normaltextrun"/>
        </w:rPr>
        <w:t>with Wellington Catholic Social Services recording 130 adoptions March 1961 and March 1962 alone</w:t>
      </w:r>
      <w:r w:rsidRPr="004A0212">
        <w:t>.</w:t>
      </w:r>
      <w:r w:rsidRPr="004A0212">
        <w:rPr>
          <w:rStyle w:val="StyleFootnoteReferenceFagoFunotenzeichenFagoFunotenzeichen"/>
        </w:rPr>
        <w:endnoteReference w:id="807"/>
      </w:r>
    </w:p>
    <w:p w14:paraId="47480978" w14:textId="77777777" w:rsidR="00FE4E56" w:rsidRPr="004A0212" w:rsidRDefault="00FE4E56" w:rsidP="004C3995">
      <w:pPr>
        <w:pStyle w:val="AllNumbparas"/>
      </w:pPr>
      <w:r w:rsidRPr="004A0212">
        <w:t>Adoption through The Salvation Army was primarily facilitated through its unmarried mothers’ Bethany Homes. Some children were also adopted out from The Salvation Army’s children’s homes. Missing records mean it is not possible to accurately estimate the number of adoptions facilitated through The Salvation Army, however it is likely to be in the high tens of thousands.</w:t>
      </w:r>
      <w:r w:rsidRPr="004A0212">
        <w:rPr>
          <w:rStyle w:val="StyleFootnoteReferenceFagoFunotenzeichenFagoFunotenzeichen"/>
        </w:rPr>
        <w:endnoteReference w:id="808"/>
      </w:r>
      <w:r w:rsidRPr="004A0212">
        <w:t xml:space="preserve"> </w:t>
      </w:r>
    </w:p>
    <w:p w14:paraId="31A0223A" w14:textId="77777777" w:rsidR="00FE4E56" w:rsidRPr="004A0212" w:rsidRDefault="00FE4E56" w:rsidP="004C3995">
      <w:pPr>
        <w:pStyle w:val="AllNumbparas"/>
      </w:pPr>
      <w:r w:rsidRPr="004A0212">
        <w:t>Although private adoption agencies were not legally permitted following the Adoption Act 1955, The Salvation Army’s records show it considered itself to be running an adoption agency or programme. In a submission on the Adult Adoption Information Bill in 1981, The Salvation Army stated it was “justly proud” of the adoption programme, which is “a very important part of our overall service”.</w:t>
      </w:r>
      <w:r w:rsidRPr="004A0212">
        <w:rPr>
          <w:rStyle w:val="StyleFootnoteReferenceFagoFunotenzeichenFagoFunotenzeichen"/>
        </w:rPr>
        <w:endnoteReference w:id="809"/>
      </w:r>
      <w:r w:rsidRPr="004A0212">
        <w:t xml:space="preserve"> </w:t>
      </w:r>
    </w:p>
    <w:p w14:paraId="674DD88B" w14:textId="77777777" w:rsidR="00FE4E56" w:rsidRPr="004A0212" w:rsidRDefault="00FE4E56" w:rsidP="004C3995">
      <w:pPr>
        <w:pStyle w:val="AllNumbparas"/>
        <w:rPr>
          <w:rStyle w:val="StyleFootnoteReferenceFagoFunotenzeichenFagoFunotenzeichen1"/>
        </w:rPr>
      </w:pPr>
      <w:r w:rsidRPr="004A0212">
        <w:t xml:space="preserve">The Anglican Church similarly facilitated adoptions through its unmarried mothers’ homes. </w:t>
      </w:r>
    </w:p>
    <w:p w14:paraId="307945A8" w14:textId="77777777" w:rsidR="00FE4E56" w:rsidRPr="004A0212" w:rsidRDefault="00FE4E56" w:rsidP="004C3995">
      <w:pPr>
        <w:pStyle w:val="AllNumbparas"/>
      </w:pPr>
      <w:r w:rsidRPr="004A0212">
        <w:t>The Inquiry has received limited information about adoption facilitated through Presbyterian Support organisations and children’s homes. However, evidence provided by these organisations indicates they had a role in adoption.</w:t>
      </w:r>
      <w:r w:rsidRPr="004A0212">
        <w:rPr>
          <w:rStyle w:val="StyleFootnoteReferenceFagoFunotenzeichenFagoFunotenzeichen"/>
        </w:rPr>
        <w:endnoteReference w:id="810"/>
      </w:r>
      <w:r w:rsidRPr="004A0212">
        <w:t xml:space="preserve"> </w:t>
      </w:r>
    </w:p>
    <w:p w14:paraId="6679B4F5" w14:textId="77777777" w:rsidR="00FE4E56" w:rsidRDefault="00FE4E56">
      <w:pPr>
        <w:keepLines w:val="0"/>
        <w:rPr>
          <w:rFonts w:ascii="Arial" w:eastAsia="Calibri" w:hAnsi="Arial" w:cs="Arial"/>
          <w:bCs/>
          <w:color w:val="222222"/>
          <w:sz w:val="22"/>
          <w:szCs w:val="22"/>
          <w:shd w:val="clear" w:color="auto" w:fill="FFFFFF"/>
        </w:rPr>
      </w:pPr>
      <w:r>
        <w:br w:type="page"/>
      </w:r>
    </w:p>
    <w:p w14:paraId="37720CDB" w14:textId="52BAE1EA" w:rsidR="00FE4E56" w:rsidRPr="004A0212" w:rsidRDefault="00FE4E56" w:rsidP="004C3995">
      <w:pPr>
        <w:pStyle w:val="AllNumbparas"/>
      </w:pPr>
      <w:r w:rsidRPr="004A0212">
        <w:lastRenderedPageBreak/>
        <w:t>In addition, Presbyterian Support Upper South Island provided the Inquiry with its 1997 Holly House Guidelines on Adoption. This set out how it could support “young women contemplating adoption two months before the expected birth delivery date and for a limited time after the birth of the baby”.</w:t>
      </w:r>
      <w:r w:rsidRPr="004A0212">
        <w:rPr>
          <w:rStyle w:val="StyleFootnoteReferenceFagoFunotenzeichenFagoFunotenzeichen"/>
        </w:rPr>
        <w:endnoteReference w:id="811"/>
      </w:r>
      <w:r w:rsidRPr="004A0212">
        <w:t xml:space="preserve"> The Presbyterian Church also provided evidence that adoption was considered one of the options for care of “deprived children”.</w:t>
      </w:r>
      <w:r w:rsidRPr="004A0212">
        <w:rPr>
          <w:rStyle w:val="StyleFootnoteReferenceFagoFunotenzeichenFagoFunotenzeichen"/>
        </w:rPr>
        <w:endnoteReference w:id="812"/>
      </w:r>
    </w:p>
    <w:p w14:paraId="278DA8E0" w14:textId="77777777" w:rsidR="00FE4E56" w:rsidRDefault="00FE4E56" w:rsidP="00610D21">
      <w:pPr>
        <w:pStyle w:val="Heading3"/>
        <w:rPr>
          <w:rStyle w:val="normaltextrun"/>
        </w:rPr>
      </w:pPr>
      <w:bookmarkStart w:id="795" w:name="_Toc165441891"/>
      <w:bookmarkStart w:id="796" w:name="_Toc541180680"/>
      <w:bookmarkStart w:id="797" w:name="_Toc165441965"/>
      <w:bookmarkStart w:id="798" w:name="_Toc181085034"/>
      <w:r w:rsidRPr="004A0212">
        <w:rPr>
          <w:rStyle w:val="normaltextrun"/>
        </w:rPr>
        <w:t>Kura tūāpapa-whakapono me ngā whare mātauranga</w:t>
      </w:r>
      <w:bookmarkEnd w:id="798"/>
      <w:r w:rsidRPr="004A0212">
        <w:rPr>
          <w:rStyle w:val="normaltextrun"/>
        </w:rPr>
        <w:t xml:space="preserve"> </w:t>
      </w:r>
    </w:p>
    <w:p w14:paraId="2D640AB2" w14:textId="6AACC495" w:rsidR="00FE4E56" w:rsidRPr="004A0212" w:rsidRDefault="00FE4E56" w:rsidP="004C3995">
      <w:pPr>
        <w:pStyle w:val="Heading3"/>
        <w:rPr>
          <w:rStyle w:val="normaltextrun"/>
        </w:rPr>
      </w:pPr>
      <w:bookmarkStart w:id="799" w:name="_Toc181085035"/>
      <w:r w:rsidRPr="004A0212">
        <w:rPr>
          <w:rStyle w:val="normaltextrun"/>
        </w:rPr>
        <w:t>Faith-based schools and education facilities</w:t>
      </w:r>
      <w:bookmarkEnd w:id="795"/>
      <w:bookmarkEnd w:id="796"/>
      <w:bookmarkEnd w:id="799"/>
    </w:p>
    <w:p w14:paraId="71FB2009" w14:textId="77777777" w:rsidR="00FE4E56" w:rsidRPr="004A0212" w:rsidRDefault="00FE4E56" w:rsidP="004C3995">
      <w:pPr>
        <w:pStyle w:val="Numbparas"/>
      </w:pPr>
      <w:r w:rsidRPr="004A0212">
        <w:t xml:space="preserve">For much of the Inquiry period, faith-based institutions have been providers of education in Aotearoa New Zealand. Catholic, Anglican, Methodist and Presbyterian churches, and the Gloriavale Christian Community, have all run or have affiliation with schools in Aotearoa New Zealand. These schools offer a range of education including primary and secondary education and boarding facilities. </w:t>
      </w:r>
    </w:p>
    <w:p w14:paraId="4A08DD26" w14:textId="77777777" w:rsidR="00FE4E56" w:rsidRPr="004A0212" w:rsidRDefault="00FE4E56" w:rsidP="004C3995">
      <w:pPr>
        <w:pStyle w:val="Numbparas"/>
        <w:rPr>
          <w:rStyle w:val="normaltextrun"/>
        </w:rPr>
      </w:pPr>
      <w:r w:rsidRPr="004A0212">
        <w:t>During the early part of the Inquiry period, faith-based schools were generally private schools. The Private Schools Conditional Integration Act 1975 provided the option for private schools to integrate into the State education system. Many faith-based private schools became State-integrated with a special character. This means that the schools could become a State school, subject to the same set of standards and funding arrangements as other State schools but retaining a special character that informed how the school operated.</w:t>
      </w:r>
    </w:p>
    <w:p w14:paraId="5118D997" w14:textId="10B0E306" w:rsidR="00FE4E56" w:rsidRPr="004A0212" w:rsidRDefault="00FE4E56" w:rsidP="004C3995">
      <w:pPr>
        <w:pStyle w:val="Numbparas"/>
        <w:rPr>
          <w:rStyle w:val="normaltextrun"/>
        </w:rPr>
      </w:pPr>
      <w:r w:rsidRPr="004A0212">
        <w:rPr>
          <w:rStyle w:val="normaltextrun"/>
        </w:rPr>
        <w:t xml:space="preserve">In practice, faith-based institutions tend to own the land and buildings where the State integrated school is located. Owners of the school land and / or buildings are called ‘proprietors.’ The proprietor </w:t>
      </w:r>
      <w:r w:rsidRPr="004A0212">
        <w:t>is responsible for ensuring the facilities meet Ministry of Education standards and for maintaining the school’s special character.</w:t>
      </w:r>
      <w:r w:rsidRPr="004A0212">
        <w:rPr>
          <w:rStyle w:val="StyleFootnoteReferenceFagoFunotenzeichenFagoFunotenzeichen"/>
        </w:rPr>
        <w:endnoteReference w:id="813"/>
      </w:r>
      <w:r w:rsidRPr="004A0212">
        <w:t xml:space="preserve"> </w:t>
      </w:r>
      <w:r w:rsidRPr="004A0212">
        <w:rPr>
          <w:rStyle w:val="normaltextrun"/>
        </w:rPr>
        <w:t>Under the Act, certain teaching appointments, including the principal, deputy principal and director of religious studies, can be made in line with the school’s special character.</w:t>
      </w:r>
      <w:r w:rsidRPr="004A0212">
        <w:rPr>
          <w:rStyle w:val="StyleFootnoteReferenceFagoFunotenzeichenFagoFunotenzeichen"/>
        </w:rPr>
        <w:endnoteReference w:id="814"/>
      </w:r>
      <w:r w:rsidRPr="004A0212">
        <w:rPr>
          <w:rStyle w:val="normaltextrun"/>
        </w:rPr>
        <w:t xml:space="preserve"> However, the school itself is administered by the State (via what was known as a Board of Trustees from 1989 and which was changed to the School Board in 2020 through the Education and Training Act 2020), including the teaching curriculum, teaching staff appointments and other legislative and regulatory requirements.</w:t>
      </w:r>
    </w:p>
    <w:p w14:paraId="41604714" w14:textId="315BCD4C" w:rsidR="00FE4E56" w:rsidRPr="004A0212" w:rsidRDefault="00FE4E56" w:rsidP="004C3995">
      <w:pPr>
        <w:pStyle w:val="Numbparas"/>
        <w:rPr>
          <w:rStyle w:val="normaltextrun"/>
        </w:rPr>
      </w:pPr>
      <w:r w:rsidRPr="004A0212">
        <w:t xml:space="preserve">The Private Schools Conditional Integration Act 1975 significantly reduced the number of private faith-based schools in Aotearoa New Zealand. </w:t>
      </w:r>
      <w:r w:rsidRPr="004A0212">
        <w:rPr>
          <w:rStyle w:val="normaltextrun"/>
        </w:rPr>
        <w:t>For example, by 1983, 249 Catholic and nine non-Catholic private schools had integrated into the State education system.</w:t>
      </w:r>
      <w:r w:rsidRPr="004A0212">
        <w:rPr>
          <w:rStyle w:val="StyleFootnoteReferenceFagoFunotenzeichenFagoFunotenzeichen"/>
        </w:rPr>
        <w:endnoteReference w:id="815"/>
      </w:r>
      <w:r w:rsidRPr="004A0212">
        <w:rPr>
          <w:rStyle w:val="normaltextrun"/>
        </w:rPr>
        <w:t xml:space="preserve"> </w:t>
      </w:r>
    </w:p>
    <w:p w14:paraId="2593A036" w14:textId="66200ADF" w:rsidR="00FE4E56" w:rsidRPr="004A0212" w:rsidRDefault="00FE4E56" w:rsidP="004C3995">
      <w:pPr>
        <w:pStyle w:val="Numbparas"/>
      </w:pPr>
      <w:r w:rsidRPr="004A0212">
        <w:t>There were also faith-based residential special schools. Two examples are Glenburn Centre in Tāmaki Makaurau Auckland, run by Presbyterian Social Services (with funding from the Department of Child, Youth and Family)</w:t>
      </w:r>
      <w:r w:rsidRPr="004A0212">
        <w:rPr>
          <w:rStyle w:val="StyleFootnoteReferenceFagoFunotenzeichenFagoFunotenzeichen"/>
        </w:rPr>
        <w:endnoteReference w:id="816"/>
      </w:r>
      <w:r w:rsidRPr="004A0212">
        <w:t xml:space="preserve"> and Marylands School in </w:t>
      </w:r>
      <w:r w:rsidRPr="004A0212">
        <w:rPr>
          <w:rStyle w:val="normaltextrun"/>
        </w:rPr>
        <w:t>Ōtautahi</w:t>
      </w:r>
      <w:r w:rsidRPr="004A0212">
        <w:t xml:space="preserve"> Christchurch, run by the Catholic Order of St John of God. </w:t>
      </w:r>
    </w:p>
    <w:p w14:paraId="2B75F835" w14:textId="396C12A1" w:rsidR="00FE4E56" w:rsidRPr="004A0212" w:rsidRDefault="00FE4E56" w:rsidP="004C3995">
      <w:pPr>
        <w:pStyle w:val="Numbparas"/>
      </w:pPr>
      <w:r w:rsidRPr="004A0212">
        <w:t xml:space="preserve">Marylands School was the subject of a separate report by the Inquiry. The findings were published in the Inquiry’s </w:t>
      </w:r>
      <w:r>
        <w:t xml:space="preserve">interim </w:t>
      </w:r>
      <w:r w:rsidRPr="004A0212">
        <w:t xml:space="preserve">report Stolen </w:t>
      </w:r>
      <w:r>
        <w:t>L</w:t>
      </w:r>
      <w:r w:rsidRPr="004A0212">
        <w:t>ives, Marked Souls.</w:t>
      </w:r>
    </w:p>
    <w:p w14:paraId="21AB6642" w14:textId="7116518C" w:rsidR="00FE4E56" w:rsidRDefault="00FE4E56" w:rsidP="004C3995">
      <w:pPr>
        <w:pStyle w:val="Heading3"/>
      </w:pPr>
      <w:bookmarkStart w:id="800" w:name="_Toc1247272638"/>
      <w:bookmarkStart w:id="801" w:name="_Toc181085036"/>
      <w:r w:rsidRPr="00C162EF">
        <w:lastRenderedPageBreak/>
        <w:t>Pehea te urunga o ngā tāngata ki ngā kura tūāpapa-whakapono</w:t>
      </w:r>
      <w:bookmarkEnd w:id="801"/>
      <w:r w:rsidRPr="004A0212">
        <w:t xml:space="preserve"> </w:t>
      </w:r>
    </w:p>
    <w:p w14:paraId="67BFD2C2" w14:textId="64120089" w:rsidR="00FE4E56" w:rsidRPr="004A0212" w:rsidRDefault="00FE4E56" w:rsidP="004C3995">
      <w:pPr>
        <w:pStyle w:val="Heading3"/>
      </w:pPr>
      <w:bookmarkStart w:id="802" w:name="_Toc181085037"/>
      <w:r w:rsidRPr="004A0212">
        <w:t>How people entered faith-based schools</w:t>
      </w:r>
      <w:bookmarkEnd w:id="797"/>
      <w:bookmarkEnd w:id="800"/>
      <w:bookmarkEnd w:id="802"/>
    </w:p>
    <w:p w14:paraId="45053D95" w14:textId="77777777" w:rsidR="00FE4E56" w:rsidRPr="004A0212" w:rsidRDefault="00FE4E56" w:rsidP="004C3995">
      <w:pPr>
        <w:pStyle w:val="AllNumbparas"/>
      </w:pPr>
      <w:r w:rsidRPr="004A0212">
        <w:t>Children and young people were often sent to faith-based schools because of their families’ religion or because their parents believed these schools provided a higher standard of education than State schools. In some cases, the schools were considered an attempt to recreate the English class system.</w:t>
      </w:r>
      <w:r w:rsidRPr="004A0212">
        <w:rPr>
          <w:rStyle w:val="StyleFootnoteReferenceFagoFunotenzeichenFagoFunotenzeichen"/>
        </w:rPr>
        <w:endnoteReference w:id="817"/>
      </w:r>
      <w:r w:rsidRPr="004A0212">
        <w:t xml:space="preserve"> </w:t>
      </w:r>
    </w:p>
    <w:p w14:paraId="7518668D" w14:textId="77777777" w:rsidR="00FE4E56" w:rsidRPr="004A0212" w:rsidRDefault="00FE4E56" w:rsidP="004C3995">
      <w:pPr>
        <w:pStyle w:val="AllNumbparas"/>
      </w:pPr>
      <w:r w:rsidRPr="004A0212">
        <w:t>Children and young people also attended some faith-based schools because they offered boarding facilities. As with faith-based children’s homes and orphanages, faith-based boarding schools were sometimes used as overflow or a last resort by the State when no other suitable placements for State wards were available.</w:t>
      </w:r>
      <w:r w:rsidRPr="004A0212">
        <w:rPr>
          <w:rStyle w:val="StyleFootnoteReferenceFagoFunotenzeichenFagoFunotenzeichen"/>
        </w:rPr>
        <w:endnoteReference w:id="818"/>
      </w:r>
    </w:p>
    <w:p w14:paraId="799DFE7F" w14:textId="420D7537" w:rsidR="00FE4E56" w:rsidRDefault="00FE4E56" w:rsidP="001B3F8F">
      <w:pPr>
        <w:pStyle w:val="Heading4"/>
      </w:pPr>
      <w:bookmarkStart w:id="803" w:name="_Toc165441966"/>
      <w:bookmarkStart w:id="804" w:name="_Toc1898933869"/>
      <w:r w:rsidRPr="700D4309">
        <w:t>Kura Katorika</w:t>
      </w:r>
    </w:p>
    <w:p w14:paraId="44231EDE" w14:textId="64FA83C5" w:rsidR="00FE4E56" w:rsidRPr="004A0212" w:rsidRDefault="00FE4E56" w:rsidP="001B3F8F">
      <w:pPr>
        <w:pStyle w:val="Heading4"/>
        <w:rPr>
          <w:shd w:val="clear" w:color="auto" w:fill="FFFFFF"/>
        </w:rPr>
      </w:pPr>
      <w:r w:rsidRPr="700D4309">
        <w:t>Catholic schools</w:t>
      </w:r>
      <w:bookmarkEnd w:id="803"/>
      <w:bookmarkEnd w:id="804"/>
    </w:p>
    <w:p w14:paraId="1263F701" w14:textId="00435542" w:rsidR="00FE4E56" w:rsidRPr="004A0212" w:rsidRDefault="00FE4E56" w:rsidP="004C3995">
      <w:pPr>
        <w:pStyle w:val="AllNumbparas"/>
      </w:pPr>
      <w:r w:rsidRPr="004A0212">
        <w:t>Catholic entities ran 371 schools during the Inquiry period covering primary and secondary education. Some offered boarding facilities or were special schools for disabled and Deaf children. Marylands (1955–1983) was a private special school for disabled boys in Ōtautahi Christchurch, and St Dominics School for the Deaf (1944–1989) for Deaf children in the Te Whanganui-ā-Tara Wellington and Manawatu regions.</w:t>
      </w:r>
    </w:p>
    <w:p w14:paraId="2007985D" w14:textId="77777777" w:rsidR="00FE4E56" w:rsidRPr="004A0212" w:rsidRDefault="00FE4E56" w:rsidP="004C3995">
      <w:pPr>
        <w:pStyle w:val="AllNumbparas"/>
      </w:pPr>
      <w:r w:rsidRPr="004A0212">
        <w:t>There were also four Catholic institutions that were focused on behaviour reform.  These were Mount Magdala (in Ōtautahi Christchurch), Marycrest (in Te Horo), Rosemount (in Tāmaki Makaurau Auckland) and Garindale (in Whakatū Nelson).</w:t>
      </w:r>
    </w:p>
    <w:p w14:paraId="7AB3E145" w14:textId="2449CB91" w:rsidR="00FE4E56" w:rsidRDefault="00FE4E56" w:rsidP="001B3F8F">
      <w:pPr>
        <w:pStyle w:val="Heading4"/>
      </w:pPr>
      <w:bookmarkStart w:id="805" w:name="_Toc165441967"/>
      <w:bookmarkStart w:id="806" w:name="_Toc930872197"/>
      <w:r w:rsidRPr="700D4309">
        <w:t>Kura Weteriana</w:t>
      </w:r>
    </w:p>
    <w:p w14:paraId="5E6CE7B3" w14:textId="571278DF" w:rsidR="00FE4E56" w:rsidRPr="004A0212" w:rsidRDefault="00FE4E56" w:rsidP="001B3F8F">
      <w:pPr>
        <w:pStyle w:val="Heading4"/>
        <w:rPr>
          <w:shd w:val="clear" w:color="auto" w:fill="FFFFFF"/>
        </w:rPr>
      </w:pPr>
      <w:r w:rsidRPr="700D4309">
        <w:t>Methodist school</w:t>
      </w:r>
      <w:bookmarkEnd w:id="805"/>
      <w:bookmarkEnd w:id="806"/>
    </w:p>
    <w:p w14:paraId="1301958C" w14:textId="77777777" w:rsidR="00FE4E56" w:rsidRPr="004A0212" w:rsidRDefault="00FE4E56" w:rsidP="004C3995">
      <w:pPr>
        <w:pStyle w:val="AllNumbparas"/>
      </w:pPr>
      <w:r w:rsidRPr="004A0212">
        <w:t>The Methodist Church has one school in Aotearoa New Zealand, Wesley College in Tāmaki Makaurau Auckland. The College was first set up as the Wesleyan Native Institute in 1844. In 1911, the Methodist Charitable and Educational Trusts Act 1911 was passed, establishing the Wesley Training College Trust Board to take over the functions of the Native Education Trust and the Wesley College Executive Committee. The trust board also administered the affairs of the trust under the general control and supervision of the Methodist Conference. The Wesley College Trust Board is affiliated with the Methodist Church as representatives from the Methodist Conference are appointed to sit on the Wesley College Trust Board, which reports to the Methodist Conference.</w:t>
      </w:r>
      <w:r w:rsidRPr="004A0212">
        <w:rPr>
          <w:rStyle w:val="StyleFootnoteReferenceFagoFunotenzeichenFagoFunotenzeichen"/>
        </w:rPr>
        <w:endnoteReference w:id="819"/>
      </w:r>
    </w:p>
    <w:p w14:paraId="428237B1" w14:textId="3AC6489C" w:rsidR="00FE4E56" w:rsidRDefault="00FE4E56" w:rsidP="00550F73">
      <w:pPr>
        <w:pStyle w:val="Heading4"/>
      </w:pPr>
      <w:bookmarkStart w:id="807" w:name="_Toc165441968"/>
      <w:bookmarkStart w:id="808" w:name="_Toc254000284"/>
      <w:r w:rsidRPr="700D4309">
        <w:t>Kura Mihingare</w:t>
      </w:r>
    </w:p>
    <w:p w14:paraId="3ED2D554" w14:textId="69FA4DA9" w:rsidR="00FE4E56" w:rsidRPr="004A0212" w:rsidRDefault="00FE4E56" w:rsidP="00550F73">
      <w:pPr>
        <w:pStyle w:val="Heading4"/>
      </w:pPr>
      <w:r w:rsidRPr="700D4309">
        <w:t>Anglican schools</w:t>
      </w:r>
      <w:bookmarkEnd w:id="807"/>
      <w:bookmarkEnd w:id="808"/>
    </w:p>
    <w:p w14:paraId="394EDD92" w14:textId="77777777" w:rsidR="00FE4E56" w:rsidRPr="004A0212" w:rsidRDefault="00FE4E56" w:rsidP="004C3995">
      <w:pPr>
        <w:pStyle w:val="AllNumbparas"/>
      </w:pPr>
      <w:r w:rsidRPr="004A0212">
        <w:t>There are currently 37 schools throughout Aotearoa New Zealand affiliated to the Anglican Church. These schools provide primary and secondary education, some of them with boarding facilities. The Anglican Schools’ Office provides support and resources to schools.</w:t>
      </w:r>
    </w:p>
    <w:p w14:paraId="7C59285B" w14:textId="77777777" w:rsidR="00005F0B" w:rsidRDefault="00005F0B">
      <w:pPr>
        <w:keepLines w:val="0"/>
        <w:rPr>
          <w:rFonts w:ascii="Arial" w:hAnsi="Arial" w:cs="Arial"/>
          <w:i/>
          <w:iCs/>
          <w:color w:val="3B5D1E" w:themeColor="accent4" w:themeShade="BF"/>
          <w:sz w:val="22"/>
          <w:szCs w:val="22"/>
          <w:lang w:val="en"/>
        </w:rPr>
      </w:pPr>
      <w:bookmarkStart w:id="809" w:name="_Toc165441969"/>
      <w:bookmarkStart w:id="810" w:name="_Toc180485521"/>
      <w:r>
        <w:br w:type="page"/>
      </w:r>
    </w:p>
    <w:p w14:paraId="247FDA05" w14:textId="5BFFB896" w:rsidR="00FE4E56" w:rsidRDefault="00FE4E56" w:rsidP="00550F73">
      <w:pPr>
        <w:pStyle w:val="Heading4"/>
      </w:pPr>
      <w:r w:rsidRPr="700D4309">
        <w:lastRenderedPageBreak/>
        <w:t>Kura Perehipitīriana</w:t>
      </w:r>
    </w:p>
    <w:p w14:paraId="2196ECA7" w14:textId="35193E82" w:rsidR="00FE4E56" w:rsidRPr="004A0212" w:rsidRDefault="00FE4E56" w:rsidP="00550F73">
      <w:pPr>
        <w:pStyle w:val="Heading4"/>
      </w:pPr>
      <w:r w:rsidRPr="700D4309">
        <w:t>Presbyterian schools</w:t>
      </w:r>
      <w:bookmarkEnd w:id="809"/>
      <w:bookmarkEnd w:id="810"/>
    </w:p>
    <w:p w14:paraId="36018881" w14:textId="77777777" w:rsidR="00FE4E56" w:rsidRPr="004A0212" w:rsidRDefault="00FE4E56" w:rsidP="004C3995">
      <w:pPr>
        <w:pStyle w:val="AllNumbparas"/>
        <w:rPr>
          <w:rStyle w:val="ui-provider"/>
        </w:rPr>
      </w:pPr>
      <w:r w:rsidRPr="004A0212">
        <w:rPr>
          <w:rStyle w:val="ui-provider"/>
        </w:rPr>
        <w:t>The Presbyterian Church has 20 affiliated schools. All Presbyterian schools are distinct and independent entities. The schools are governed by a board of trustees. Each school operates differently. For example, some individual board of trustees may also be members of Presbyterian Church Aotearoa, but they act independently in their school governance function. Some schools are on property owned by the Presbyterian Church Aotearoa, but this does not also mean the church has a governance role in that school.</w:t>
      </w:r>
      <w:r w:rsidRPr="004A0212">
        <w:rPr>
          <w:rStyle w:val="StyleFootnoteReferenceFagoFunotenzeichenFagoFunotenzeichen"/>
        </w:rPr>
        <w:endnoteReference w:id="820"/>
      </w:r>
    </w:p>
    <w:p w14:paraId="25A22E4C" w14:textId="77777777" w:rsidR="00FE4E56" w:rsidRDefault="00FE4E56" w:rsidP="00550F73">
      <w:pPr>
        <w:pStyle w:val="Heading4"/>
      </w:pPr>
      <w:bookmarkStart w:id="811" w:name="_Toc165441970"/>
      <w:bookmarkStart w:id="812" w:name="_Toc1468270561"/>
      <w:r w:rsidRPr="700D4309">
        <w:t>Kura noho Māori</w:t>
      </w:r>
    </w:p>
    <w:p w14:paraId="73DE7B6D" w14:textId="116688FE" w:rsidR="00FE4E56" w:rsidRPr="004A0212" w:rsidRDefault="00FE4E56" w:rsidP="00550F73">
      <w:pPr>
        <w:pStyle w:val="Heading4"/>
      </w:pPr>
      <w:r w:rsidRPr="700D4309">
        <w:t>Māori boarding schools</w:t>
      </w:r>
      <w:bookmarkEnd w:id="811"/>
      <w:bookmarkEnd w:id="812"/>
    </w:p>
    <w:p w14:paraId="3931F823" w14:textId="77777777" w:rsidR="00FE4E56" w:rsidRPr="004A0212" w:rsidRDefault="00FE4E56" w:rsidP="004C3995">
      <w:pPr>
        <w:pStyle w:val="AllNumbparas"/>
        <w:rPr>
          <w:rStyle w:val="normaltextrun"/>
        </w:rPr>
      </w:pPr>
      <w:r w:rsidRPr="004A0212">
        <w:t>As discussed in Chapter 2, in the 19</w:t>
      </w:r>
      <w:r w:rsidRPr="004A0212">
        <w:rPr>
          <w:vertAlign w:val="superscript"/>
        </w:rPr>
        <w:t>th</w:t>
      </w:r>
      <w:r w:rsidRPr="004A0212">
        <w:t xml:space="preserve"> century, missionaries from the various faiths played a role in establishing schools in Aotearoa New Zealand. Starting in 1844 with the opening of the Anglican St Stephen’s School in Tāmaki Makaurau Auckland, different faiths began establishing Māori boarding schools throughout the country.</w:t>
      </w:r>
    </w:p>
    <w:p w14:paraId="1EA20034" w14:textId="127EA12D" w:rsidR="00FE4E56" w:rsidRPr="00550F73" w:rsidRDefault="00FE4E56" w:rsidP="00550F73">
      <w:pPr>
        <w:pStyle w:val="AllNumbparas"/>
        <w:rPr>
          <w:rStyle w:val="normaltextrun"/>
        </w:rPr>
      </w:pPr>
      <w:r w:rsidRPr="004A0212">
        <w:t>T</w:t>
      </w:r>
      <w:r w:rsidRPr="004A0212">
        <w:rPr>
          <w:rStyle w:val="normaltextrun"/>
        </w:rPr>
        <w:t xml:space="preserve">hese schools were established specifically for Māori, with the aim of providing them with the best education and to create future Māori leaders, as well as evangelise Māori. However, the leadership of these schools was predominantly non-Māori. </w:t>
      </w:r>
    </w:p>
    <w:p w14:paraId="7522830C" w14:textId="1A433056" w:rsidR="00FE4E56" w:rsidRPr="004A0212" w:rsidRDefault="00FE4E56" w:rsidP="004C3995">
      <w:pPr>
        <w:pStyle w:val="AllNumbparas"/>
      </w:pPr>
      <w:r w:rsidRPr="004A0212">
        <w:rPr>
          <w:rStyle w:val="normaltextrun"/>
        </w:rPr>
        <w:t xml:space="preserve">From the mid-1840s to the 1980s, these schools were the main (if not only) Māori-specific secondary school option. It was not until about the 1980s that other Māori-specific schools such as kura kaupapa were established. </w:t>
      </w:r>
    </w:p>
    <w:p w14:paraId="480A5D1E" w14:textId="77777777" w:rsidR="00FE4E56" w:rsidRPr="004A0212" w:rsidRDefault="00FE4E56" w:rsidP="004C3995">
      <w:pPr>
        <w:pStyle w:val="AllNumbparas"/>
        <w:rPr>
          <w:rStyle w:val="normaltextrun"/>
        </w:rPr>
      </w:pPr>
      <w:r w:rsidRPr="004A0212">
        <w:t>By 1910 there were ten Māori boarding schools throughout Aotearoa New Zealand.</w:t>
      </w:r>
      <w:r w:rsidRPr="004A0212">
        <w:rPr>
          <w:rStyle w:val="StyleFootnoteReferenceFagoFunotenzeichenFagoFunotenzeichen"/>
        </w:rPr>
        <w:endnoteReference w:id="821"/>
      </w:r>
    </w:p>
    <w:p w14:paraId="50A3282E" w14:textId="423E0653" w:rsidR="00FE4E56" w:rsidRPr="004A0212" w:rsidRDefault="00FE4E56" w:rsidP="004C3995">
      <w:pPr>
        <w:pStyle w:val="AllNumbparas"/>
      </w:pPr>
      <w:r w:rsidRPr="004A0212">
        <w:rPr>
          <w:rStyle w:val="normaltextrun"/>
        </w:rPr>
        <w:t>By 1969 five of the schools had closed, and Hato Pāora (a school for boys) in Feilding was opened by the Society of Mary in 1948.</w:t>
      </w:r>
      <w:r w:rsidRPr="004A0212">
        <w:rPr>
          <w:rStyle w:val="StyleFootnoteReferenceFagoFunotenzeichenFagoFunotenzeichen"/>
        </w:rPr>
        <w:endnoteReference w:id="822"/>
      </w:r>
      <w:r w:rsidRPr="004A0212">
        <w:rPr>
          <w:rStyle w:val="normaltextrun"/>
        </w:rPr>
        <w:t xml:space="preserve"> By the end of the Inquiry period there were eight Māori boarding schools still in operation.</w:t>
      </w:r>
      <w:r w:rsidRPr="004A0212">
        <w:rPr>
          <w:rStyle w:val="StyleFootnoteReferenceFagoFunotenzeichenFagoFunotenzeichen"/>
        </w:rPr>
        <w:endnoteReference w:id="823"/>
      </w:r>
    </w:p>
    <w:p w14:paraId="03AE376A" w14:textId="59D6F206" w:rsidR="00FE4E56" w:rsidRDefault="00FE4E56" w:rsidP="00550F73">
      <w:pPr>
        <w:pStyle w:val="Heading4"/>
      </w:pPr>
      <w:bookmarkStart w:id="813" w:name="_Toc165441971"/>
      <w:bookmarkStart w:id="814" w:name="_Toc696814946"/>
      <w:r w:rsidRPr="004A0212">
        <w:t>Te Kura Hapori Karaitiana o Gloriavale</w:t>
      </w:r>
    </w:p>
    <w:p w14:paraId="1E495636" w14:textId="1CA86819" w:rsidR="00FE4E56" w:rsidRPr="004A0212" w:rsidRDefault="00FE4E56" w:rsidP="00550F73">
      <w:pPr>
        <w:pStyle w:val="Heading4"/>
        <w:rPr>
          <w:rStyle w:val="EndnoteReference"/>
          <w:vertAlign w:val="baseline"/>
          <w:lang w:val="en-US"/>
        </w:rPr>
      </w:pPr>
      <w:r w:rsidRPr="004A0212">
        <w:t>Gloriavale Christian Community school</w:t>
      </w:r>
      <w:bookmarkEnd w:id="813"/>
      <w:bookmarkEnd w:id="814"/>
    </w:p>
    <w:p w14:paraId="7E7D25DD" w14:textId="77777777" w:rsidR="00FE4E56" w:rsidRPr="004A0212" w:rsidRDefault="00FE4E56" w:rsidP="004C3995">
      <w:pPr>
        <w:pStyle w:val="AllNumbparas"/>
      </w:pPr>
      <w:r w:rsidRPr="004A0212">
        <w:t>Gloriavale has an on-site school, the Gloriavale Christian School, which is governed by the Gloriavale Trust Board and the community management board. It has a roll of approximately 190 children aged from 5 to 16 years old, and 18 teaching staff. Teachers are self-employed and do not receive a salary as their work is unpaid and their “needs are met through membership of the community”.</w:t>
      </w:r>
      <w:r w:rsidRPr="004A0212">
        <w:rPr>
          <w:rStyle w:val="StyleFootnoteReferenceFagoFunotenzeichenFagoFunotenzeichen"/>
        </w:rPr>
        <w:endnoteReference w:id="824"/>
      </w:r>
      <w:r w:rsidRPr="004A0212">
        <w:t xml:space="preserve"> </w:t>
      </w:r>
    </w:p>
    <w:p w14:paraId="22227DBB" w14:textId="77777777" w:rsidR="00FE4E56" w:rsidRPr="004A0212" w:rsidRDefault="00FE4E56" w:rsidP="004C3995">
      <w:pPr>
        <w:pStyle w:val="AllNumbparas"/>
      </w:pPr>
      <w:r w:rsidRPr="004A0212">
        <w:t>Gloriavale Christian School is a registered private school. It receives some subsidy funding from the State and is reviewed by the Education Review Office on its compliance with the registration criteria.</w:t>
      </w:r>
      <w:r w:rsidRPr="004A0212">
        <w:rPr>
          <w:rStyle w:val="StyleFootnoteReferenceFagoFunotenzeichenFagoFunotenzeichen"/>
        </w:rPr>
        <w:endnoteReference w:id="825"/>
      </w:r>
      <w:r w:rsidRPr="004A0212">
        <w:t xml:space="preserve"> </w:t>
      </w:r>
    </w:p>
    <w:p w14:paraId="75AAC20E" w14:textId="77777777" w:rsidR="00005F0B" w:rsidRDefault="00005F0B">
      <w:pPr>
        <w:keepLines w:val="0"/>
        <w:rPr>
          <w:rFonts w:ascii="Arial" w:hAnsi="Arial" w:cs="Arial"/>
          <w:i/>
          <w:iCs/>
          <w:color w:val="3B5D1E" w:themeColor="accent4" w:themeShade="BF"/>
          <w:sz w:val="22"/>
          <w:szCs w:val="22"/>
          <w:lang w:val="en"/>
        </w:rPr>
      </w:pPr>
      <w:bookmarkStart w:id="815" w:name="_Toc165441972"/>
      <w:bookmarkStart w:id="816" w:name="_Toc1331500275"/>
      <w:r>
        <w:br w:type="page"/>
      </w:r>
    </w:p>
    <w:p w14:paraId="261E50F3" w14:textId="1EF9F14C" w:rsidR="00FE4E56" w:rsidRDefault="00FE4E56" w:rsidP="00550F73">
      <w:pPr>
        <w:pStyle w:val="Heading4"/>
      </w:pPr>
      <w:r w:rsidRPr="2EE94807">
        <w:lastRenderedPageBreak/>
        <w:t>Te Kura Karaitiana o Plymouth Brethren</w:t>
      </w:r>
      <w:bookmarkStart w:id="817" w:name="_Toc165441973"/>
      <w:bookmarkEnd w:id="815"/>
    </w:p>
    <w:p w14:paraId="203E3EE2" w14:textId="73ABEFE0" w:rsidR="00FE4E56" w:rsidRPr="004A0212" w:rsidRDefault="00FE4E56" w:rsidP="00550F73">
      <w:pPr>
        <w:pStyle w:val="Heading4"/>
      </w:pPr>
      <w:r w:rsidRPr="2EE94807">
        <w:t>Plymouth Brethren Christian Church school</w:t>
      </w:r>
      <w:bookmarkEnd w:id="816"/>
      <w:bookmarkEnd w:id="817"/>
    </w:p>
    <w:p w14:paraId="0EFF36AD" w14:textId="77777777" w:rsidR="00FE4E56" w:rsidRPr="004A0212" w:rsidRDefault="00FE4E56" w:rsidP="004C3995">
      <w:pPr>
        <w:pStyle w:val="AllNumbparas"/>
      </w:pPr>
      <w:r w:rsidRPr="004A0212">
        <w:t xml:space="preserve">Plymouth Brethren Christian Church told the Inquiry that children of Plymouth Brethren members customarily attend OneSchool Global schools, and that these schools are not operated or controlled by the Exclusive Brethren. </w:t>
      </w:r>
    </w:p>
    <w:p w14:paraId="6FE144C4" w14:textId="77777777" w:rsidR="00FE4E56" w:rsidRPr="004A0212" w:rsidRDefault="00FE4E56" w:rsidP="004C3995">
      <w:pPr>
        <w:pStyle w:val="AllNumbparas"/>
      </w:pPr>
      <w:r w:rsidRPr="004A0212">
        <w:t>However, these private schools (although staffed and run by independent professionals who are not church members) are attended only by children of Plymouth Brethren. Church members are often involved in supporting the schools through volunteer work and by board membership.</w:t>
      </w:r>
      <w:r w:rsidRPr="004A0212">
        <w:rPr>
          <w:rStyle w:val="StyleFootnoteReferenceFagoFunotenzeichenFagoFunotenzeichen"/>
        </w:rPr>
        <w:endnoteReference w:id="826"/>
      </w:r>
      <w:r w:rsidRPr="004A0212">
        <w:t xml:space="preserve"> </w:t>
      </w:r>
    </w:p>
    <w:p w14:paraId="677E3A24" w14:textId="1240BA88" w:rsidR="00FE4E56" w:rsidRDefault="00FE4E56" w:rsidP="00550F73">
      <w:pPr>
        <w:pStyle w:val="Heading4"/>
      </w:pPr>
      <w:bookmarkStart w:id="818" w:name="_Toc165441974"/>
      <w:bookmarkStart w:id="819" w:name="_Toc272372328"/>
      <w:r w:rsidRPr="44ADDF6E">
        <w:t xml:space="preserve">Ngā kura hāhi me ētahi atu whare mātauranga whakapono </w:t>
      </w:r>
      <w:bookmarkStart w:id="820" w:name="_Toc165441975"/>
      <w:bookmarkEnd w:id="818"/>
    </w:p>
    <w:p w14:paraId="3017FCB4" w14:textId="0831545D" w:rsidR="00FE4E56" w:rsidRPr="004A0212" w:rsidRDefault="00FE4E56" w:rsidP="00550F73">
      <w:pPr>
        <w:pStyle w:val="Heading4"/>
      </w:pPr>
      <w:r w:rsidRPr="004A0212">
        <w:t>Seminaries and other religious education institutions</w:t>
      </w:r>
      <w:bookmarkEnd w:id="819"/>
      <w:bookmarkEnd w:id="820"/>
      <w:r w:rsidRPr="004A0212">
        <w:t xml:space="preserve"> </w:t>
      </w:r>
    </w:p>
    <w:p w14:paraId="234655A4" w14:textId="77777777" w:rsidR="00FE4E56" w:rsidRPr="004A0212" w:rsidRDefault="00FE4E56" w:rsidP="004C3995">
      <w:pPr>
        <w:pStyle w:val="AllNumbparas"/>
      </w:pPr>
      <w:r w:rsidRPr="004A0212">
        <w:t xml:space="preserve">The Catholic, Anglican, Presbyterian and Methodist churches ran institutions for men and women preparing for religious life. These are also known as seminaries or theological colleges. </w:t>
      </w:r>
    </w:p>
    <w:p w14:paraId="5C503CA8" w14:textId="77777777" w:rsidR="00FE4E56" w:rsidRPr="004A0212" w:rsidRDefault="00FE4E56" w:rsidP="004C3995">
      <w:pPr>
        <w:pStyle w:val="Bulletpoints"/>
      </w:pPr>
      <w:r w:rsidRPr="004A0212">
        <w:t>the Catholic Dioceses’ main seminary was Holy Cross College in Ōtepoti Dunedin before it was relocated to Tāmaki Makaurau Auckland, and religious congregations also had seminaries and houses of formation throughout the country. The Marist Seminary at Mount St Mary’s (originally in Napier) combined with the Holy Cross College to form the Good Shepherd College in Tāmaki Makaurau Auckland in the 1990s. In 2020, the Good Shepherd College and the Catholic Institute merged to form Te Kupenga Catholic Theological College, which offers theological courses to seminarians and other people</w:t>
      </w:r>
    </w:p>
    <w:p w14:paraId="0D33EF32" w14:textId="77777777" w:rsidR="00FE4E56" w:rsidRPr="004A0212" w:rsidRDefault="00FE4E56" w:rsidP="004C3995">
      <w:pPr>
        <w:pStyle w:val="Bulletpoints"/>
      </w:pPr>
      <w:r w:rsidRPr="004A0212">
        <w:t>the Anglican Church had St John’s Theological College in Tāmaki Makaurau Auckland (still in operation today), and College House (later Christchurch College) in Ōtautahi Christchurch</w:t>
      </w:r>
    </w:p>
    <w:p w14:paraId="1C6C15CD" w14:textId="77777777" w:rsidR="00FE4E56" w:rsidRPr="004A0212" w:rsidRDefault="00FE4E56" w:rsidP="004C3995">
      <w:pPr>
        <w:pStyle w:val="Bulletpoints"/>
      </w:pPr>
      <w:r w:rsidRPr="004A0212">
        <w:t>the Presbyterian Church has the Knox Centre for Ministry and Leadership in Ōtepoti Dunedin</w:t>
      </w:r>
    </w:p>
    <w:p w14:paraId="798D1BA2" w14:textId="77777777" w:rsidR="00FE4E56" w:rsidRPr="004A0212" w:rsidRDefault="00FE4E56" w:rsidP="004C3995">
      <w:pPr>
        <w:pStyle w:val="Bulletpoints"/>
      </w:pPr>
      <w:r w:rsidRPr="004A0212">
        <w:t>the Methodist Church has one seminary in Tāmaki Makaurau Auckland, Trinity Methodist Theological College, which has been co-located with the Anglican St John’s Theological College since the 1970s.</w:t>
      </w:r>
    </w:p>
    <w:p w14:paraId="3569FE9A" w14:textId="608570F2" w:rsidR="00FE4E56" w:rsidRPr="004A0212" w:rsidRDefault="00FE4E56" w:rsidP="00282055">
      <w:pPr>
        <w:pStyle w:val="Heading2"/>
      </w:pPr>
      <w:bookmarkStart w:id="821" w:name="_Toc165441976"/>
      <w:bookmarkStart w:id="822" w:name="_Toc1060117771"/>
      <w:bookmarkStart w:id="823" w:name="_Toc181085038"/>
      <w:r w:rsidRPr="004A0212">
        <w:t>Te taurimatanga o te hunga Turi me te hunga whaikaha i ngā whakaritenga tūāpapa-whakapono</w:t>
      </w:r>
      <w:bookmarkEnd w:id="821"/>
      <w:bookmarkEnd w:id="822"/>
      <w:bookmarkEnd w:id="823"/>
    </w:p>
    <w:p w14:paraId="3E593163" w14:textId="77777777" w:rsidR="00FE4E56" w:rsidRPr="004A0212" w:rsidRDefault="00FE4E56" w:rsidP="00282055">
      <w:pPr>
        <w:pStyle w:val="Heading2"/>
        <w:rPr>
          <w:rStyle w:val="AlldraftingnotesChar"/>
        </w:rPr>
      </w:pPr>
      <w:bookmarkStart w:id="824" w:name="_Toc165441977"/>
      <w:bookmarkStart w:id="825" w:name="_Toc242896256"/>
      <w:bookmarkStart w:id="826" w:name="_Toc181085039"/>
      <w:r w:rsidRPr="004A0212">
        <w:t>Care of Deaf people and disabled people in faith-based care settings</w:t>
      </w:r>
      <w:bookmarkEnd w:id="824"/>
      <w:bookmarkEnd w:id="825"/>
      <w:bookmarkEnd w:id="826"/>
    </w:p>
    <w:p w14:paraId="7EC87BD4" w14:textId="77777777" w:rsidR="00FE4E56" w:rsidRPr="004A0212" w:rsidRDefault="00FE4E56" w:rsidP="004C3995">
      <w:pPr>
        <w:pStyle w:val="AllNumbparas"/>
      </w:pPr>
      <w:r w:rsidRPr="004A0212">
        <w:t>While few faith-based institutions catered for Deaf adults and disabled adults, some private and church-based organisations did open residential homes for Deaf people and disabled people. Private institutions such as Hōhepa Homes, in Te Matau-a-Māui Hawke’s Bay, opened its first residential services in 1956.</w:t>
      </w:r>
      <w:r w:rsidRPr="004A0212">
        <w:rPr>
          <w:rStyle w:val="StyleFootnoteReferenceFagoFunotenzeichenFagoFunotenzeichen"/>
        </w:rPr>
        <w:endnoteReference w:id="827"/>
      </w:r>
      <w:r w:rsidRPr="004A0212">
        <w:rPr>
          <w:rStyle w:val="StyleFootnoteReferenceFagoFunotenzeichenFagoFunotenzeichen1"/>
        </w:rPr>
        <w:t xml:space="preserve"> </w:t>
      </w:r>
    </w:p>
    <w:p w14:paraId="6C435E30" w14:textId="77777777" w:rsidR="00FE4E56" w:rsidRPr="004A0212" w:rsidRDefault="00FE4E56" w:rsidP="004C3995">
      <w:pPr>
        <w:pStyle w:val="Numbparas"/>
      </w:pPr>
      <w:r w:rsidRPr="004A0212">
        <w:lastRenderedPageBreak/>
        <w:t>The Catholic Home of Compassion in Island Bay, founded by Daughters of Our Lady of Compassion, a religious congregation which began in Aotearoa, operated from 1907 to 1988. It provided care for children and families in need, such as children who may have been living in insecure homes or parents needing respite.</w:t>
      </w:r>
    </w:p>
    <w:p w14:paraId="7E6A44DF" w14:textId="62A34E9B" w:rsidR="0081374D" w:rsidRPr="00550F73" w:rsidRDefault="00FE4E56" w:rsidP="00550F73">
      <w:pPr>
        <w:pStyle w:val="AllNumbparas"/>
      </w:pPr>
      <w:r w:rsidRPr="004A0212">
        <w:rPr>
          <w:rStyle w:val="NumbparasChar"/>
        </w:rPr>
        <w:t xml:space="preserve">As noted, Catholic Church entities operated two special schools for Deaf children and disabled children. In addition, Presbyterian Support Upper South Island financially supported Little Acre Huntsbury Home in </w:t>
      </w:r>
      <w:r w:rsidRPr="004A0212">
        <w:t>Ōtautahi</w:t>
      </w:r>
      <w:r w:rsidRPr="004A0212">
        <w:rPr>
          <w:rStyle w:val="NumbparasChar"/>
        </w:rPr>
        <w:t xml:space="preserve"> Christchurch caring mostly for disabled children.</w:t>
      </w:r>
      <w:r w:rsidRPr="004A0212">
        <w:rPr>
          <w:rStyle w:val="StyleFootnoteReferenceFagoFunotenzeichenFagoFunotenzeichen"/>
        </w:rPr>
        <w:endnoteReference w:id="828"/>
      </w:r>
      <w:r w:rsidRPr="004A0212">
        <w:t xml:space="preserve"> </w:t>
      </w:r>
      <w:bookmarkStart w:id="827" w:name="_Toc147935466"/>
      <w:bookmarkStart w:id="828" w:name="_Toc148443660"/>
      <w:bookmarkStart w:id="829" w:name="_Toc150933228"/>
      <w:bookmarkStart w:id="830" w:name="_Toc150953546"/>
      <w:bookmarkEnd w:id="827"/>
      <w:bookmarkEnd w:id="828"/>
      <w:bookmarkEnd w:id="829"/>
      <w:bookmarkEnd w:id="830"/>
      <w:r w:rsidR="00071636" w:rsidRPr="00550F73">
        <w:rPr>
          <w:rFonts w:eastAsia="Arial"/>
          <w:b/>
        </w:rPr>
        <w:br w:type="page"/>
      </w:r>
    </w:p>
    <w:p w14:paraId="7E0409FD" w14:textId="77777777" w:rsidR="00A82212" w:rsidRPr="00A82212" w:rsidRDefault="00A82212" w:rsidP="00282055">
      <w:pPr>
        <w:pStyle w:val="Heading1"/>
        <w:rPr>
          <w:color w:val="3B5D1E" w:themeColor="accent4" w:themeShade="BF"/>
        </w:rPr>
      </w:pPr>
      <w:bookmarkStart w:id="831" w:name="_Toc168659311"/>
      <w:bookmarkStart w:id="832" w:name="_Toc181085040"/>
      <w:r w:rsidRPr="00A82212">
        <w:rPr>
          <w:color w:val="3B5D1E" w:themeColor="accent4" w:themeShade="BF"/>
        </w:rPr>
        <w:lastRenderedPageBreak/>
        <w:t>He waiata aroha mō ngā purapura ora</w:t>
      </w:r>
      <w:bookmarkEnd w:id="831"/>
      <w:bookmarkEnd w:id="832"/>
    </w:p>
    <w:p w14:paraId="7C0036D4" w14:textId="77777777" w:rsidR="00A82212" w:rsidRPr="00190F35" w:rsidRDefault="00A82212" w:rsidP="00A82212">
      <w:pPr>
        <w:spacing w:before="0" w:after="120"/>
        <w:rPr>
          <w:rFonts w:ascii="Arial" w:eastAsia="Arial" w:hAnsi="Arial" w:cs="Arial"/>
          <w:sz w:val="22"/>
          <w:szCs w:val="22"/>
          <w:lang w:val="en"/>
        </w:rPr>
      </w:pPr>
    </w:p>
    <w:p w14:paraId="2F44500A"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 xml:space="preserve">Kāore te aroha i ahau mō koutou e te iwi I mahue kau noa </w:t>
      </w:r>
    </w:p>
    <w:p w14:paraId="6ABF4E32"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i te tika</w:t>
      </w:r>
    </w:p>
    <w:p w14:paraId="66B45892" w14:textId="77777777" w:rsidR="008F1FC0"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 xml:space="preserve">I whakarerea e te ture i raurangi rā </w:t>
      </w:r>
    </w:p>
    <w:p w14:paraId="392521AD" w14:textId="0CB8D998"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 xml:space="preserve">Tāmia rawatia ana te </w:t>
      </w:r>
      <w:r w:rsidRPr="00190F35">
        <w:rPr>
          <w:rFonts w:ascii="Arial" w:eastAsia="Arial" w:hAnsi="Arial" w:cs="Arial"/>
          <w:sz w:val="22"/>
          <w:szCs w:val="22"/>
          <w:lang w:val="en-US"/>
        </w:rPr>
        <w:t>whakamanioro</w:t>
      </w:r>
    </w:p>
    <w:p w14:paraId="6089C928" w14:textId="0474F890" w:rsidR="00A82212" w:rsidRPr="00190F35" w:rsidRDefault="008F1FC0" w:rsidP="00A82212">
      <w:pPr>
        <w:spacing w:before="0" w:after="120"/>
        <w:rPr>
          <w:rFonts w:ascii="Arial" w:eastAsia="Arial" w:hAnsi="Arial" w:cs="Arial"/>
          <w:sz w:val="22"/>
          <w:szCs w:val="22"/>
          <w:lang w:val="en-US"/>
        </w:rPr>
      </w:pPr>
      <w:r>
        <w:rPr>
          <w:rFonts w:ascii="Arial" w:eastAsia="Arial" w:hAnsi="Arial" w:cs="Arial"/>
          <w:sz w:val="22"/>
          <w:szCs w:val="22"/>
          <w:lang w:val="en"/>
        </w:rPr>
        <w:t>H</w:t>
      </w:r>
      <w:r w:rsidRPr="00190F35">
        <w:rPr>
          <w:rFonts w:ascii="Arial" w:eastAsia="Arial" w:hAnsi="Arial" w:cs="Arial"/>
          <w:sz w:val="22"/>
          <w:szCs w:val="22"/>
          <w:lang w:val="en"/>
        </w:rPr>
        <w:t xml:space="preserve">e </w:t>
      </w:r>
      <w:r w:rsidR="00A82212" w:rsidRPr="00190F35">
        <w:rPr>
          <w:rFonts w:ascii="Arial" w:eastAsia="Arial" w:hAnsi="Arial" w:cs="Arial"/>
          <w:sz w:val="22"/>
          <w:szCs w:val="22"/>
          <w:lang w:val="en"/>
        </w:rPr>
        <w:t>huna whakamamae nō te tūkino</w:t>
      </w:r>
    </w:p>
    <w:p w14:paraId="20F6DF2C" w14:textId="16705D2B" w:rsidR="00A82212" w:rsidRPr="00190F35" w:rsidRDefault="008F1FC0" w:rsidP="00A82212">
      <w:pPr>
        <w:spacing w:before="0" w:after="120"/>
        <w:rPr>
          <w:rFonts w:ascii="Arial" w:eastAsia="Arial" w:hAnsi="Arial" w:cs="Arial"/>
          <w:sz w:val="22"/>
          <w:szCs w:val="22"/>
          <w:lang w:val="en-US"/>
        </w:rPr>
      </w:pPr>
      <w:r>
        <w:rPr>
          <w:rFonts w:ascii="Arial" w:eastAsia="Arial" w:hAnsi="Arial" w:cs="Arial"/>
          <w:sz w:val="22"/>
          <w:szCs w:val="22"/>
          <w:lang w:val="en"/>
        </w:rPr>
        <w:t>H</w:t>
      </w:r>
      <w:r w:rsidRPr="00190F35">
        <w:rPr>
          <w:rFonts w:ascii="Arial" w:eastAsia="Arial" w:hAnsi="Arial" w:cs="Arial"/>
          <w:sz w:val="22"/>
          <w:szCs w:val="22"/>
          <w:lang w:val="en"/>
        </w:rPr>
        <w:t xml:space="preserve">e </w:t>
      </w:r>
      <w:r w:rsidR="00A82212" w:rsidRPr="00190F35">
        <w:rPr>
          <w:rFonts w:ascii="Arial" w:eastAsia="Arial" w:hAnsi="Arial" w:cs="Arial"/>
          <w:sz w:val="22"/>
          <w:szCs w:val="22"/>
          <w:lang w:val="en"/>
        </w:rPr>
        <w:t>auhi nō te puku i pēhia kia ngū</w:t>
      </w:r>
    </w:p>
    <w:p w14:paraId="39DC5415"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Ko te kaikinikini i te tau o taku ate tē rite ai ki te kōharihari o tōu</w:t>
      </w:r>
    </w:p>
    <w:p w14:paraId="54926CD7"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Arā pea koe rā kei te kopa i Mirumiru-te-pō</w:t>
      </w:r>
    </w:p>
    <w:p w14:paraId="10664B53"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US"/>
        </w:rPr>
        <w:t>Pō tiwhatiwha pōuri kenekene</w:t>
      </w:r>
    </w:p>
    <w:p w14:paraId="3F64731D"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Tē ai he huringa ake i ō mahara</w:t>
      </w:r>
    </w:p>
    <w:p w14:paraId="0BA0EFB6"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Nei tāku, ‘kei tōia atu te tatau ka tomokia ai’</w:t>
      </w:r>
    </w:p>
    <w:p w14:paraId="3818DA3B"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Tēnā kē ia kia huri ake tāua ki te kimi oranga</w:t>
      </w:r>
    </w:p>
    <w:p w14:paraId="2C78DD5B" w14:textId="6FB2FE94"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 xml:space="preserve">E mate </w:t>
      </w:r>
      <w:r w:rsidR="008F1FC0">
        <w:rPr>
          <w:rFonts w:ascii="Arial" w:eastAsia="Arial" w:hAnsi="Arial" w:cs="Arial"/>
          <w:sz w:val="22"/>
          <w:szCs w:val="22"/>
          <w:lang w:val="en"/>
        </w:rPr>
        <w:t>p</w:t>
      </w:r>
      <w:r w:rsidRPr="00190F35">
        <w:rPr>
          <w:rFonts w:ascii="Arial" w:eastAsia="Arial" w:hAnsi="Arial" w:cs="Arial"/>
          <w:sz w:val="22"/>
          <w:szCs w:val="22"/>
          <w:lang w:val="en"/>
        </w:rPr>
        <w:t>ūmahara? Kāhorehore! Kāhorehore!</w:t>
      </w:r>
    </w:p>
    <w:p w14:paraId="33D0B052"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E ara e hoa mā, māngai nuitia te kupu pono i te puku o Kareāroto</w:t>
      </w:r>
    </w:p>
    <w:p w14:paraId="6808FF78"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Kia iri ki runga rawa ki te rangi tīhore he rangi waruhia ka awatea</w:t>
      </w:r>
    </w:p>
    <w:p w14:paraId="3C3D9BF3"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E puta ai te ihu i te ao pakarea ki te ao pakakina</w:t>
      </w:r>
    </w:p>
    <w:p w14:paraId="22948EB3"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Hei ara mōu kei taku pōkai kōtuku ki te oranga</w:t>
      </w:r>
    </w:p>
    <w:p w14:paraId="38331F34"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E hua ai te pito mata i roto rā kei aku purapura ora</w:t>
      </w:r>
    </w:p>
    <w:p w14:paraId="1C40CDE2"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US"/>
        </w:rPr>
        <w:t>Tiritiria ki toi whenua, onokia ka morimoria ai</w:t>
      </w:r>
    </w:p>
    <w:p w14:paraId="7D270F38"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US"/>
        </w:rPr>
        <w:t>Ka pihi ki One-haumako, ki One-whakatupu</w:t>
      </w:r>
    </w:p>
    <w:p w14:paraId="5E7FD96B"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Kei reira e hika mā te manako kia ea i te utu</w:t>
      </w:r>
    </w:p>
    <w:p w14:paraId="69C4C44C"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 xml:space="preserve">Kia whakaahuritia tō mana tangata tō mana tuku iho nā ō rau kahika </w:t>
      </w:r>
    </w:p>
    <w:p w14:paraId="3CAB7D10"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Koia ka whanake koia ka manahua koia ka ngawhā</w:t>
      </w:r>
    </w:p>
    <w:p w14:paraId="19E9A668"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He houkura mārie mōwai rokiroki āio nā koutou ko Rongo</w:t>
      </w:r>
    </w:p>
    <w:p w14:paraId="33A1A438"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Koia ka puta ki te whaiao ki te ao mārama</w:t>
      </w:r>
    </w:p>
    <w:p w14:paraId="5B25DA46" w14:textId="77777777" w:rsidR="00A82212" w:rsidRPr="00190F35" w:rsidRDefault="00A82212" w:rsidP="00A82212">
      <w:pPr>
        <w:spacing w:before="0" w:after="120"/>
        <w:rPr>
          <w:rFonts w:ascii="Arial" w:eastAsia="Arial" w:hAnsi="Arial" w:cs="Arial"/>
          <w:sz w:val="22"/>
          <w:szCs w:val="22"/>
          <w:lang w:val="en-US"/>
        </w:rPr>
      </w:pPr>
      <w:r w:rsidRPr="00190F35">
        <w:rPr>
          <w:rFonts w:ascii="Arial" w:eastAsia="Arial" w:hAnsi="Arial" w:cs="Arial"/>
          <w:sz w:val="22"/>
          <w:szCs w:val="22"/>
          <w:lang w:val="en"/>
        </w:rPr>
        <w:t>Whitiwhiti ora e!</w:t>
      </w:r>
    </w:p>
    <w:p w14:paraId="563398C7" w14:textId="0107B076" w:rsidR="00A82212" w:rsidRPr="00121D52" w:rsidRDefault="006D16A3" w:rsidP="009B7215">
      <w:pPr>
        <w:pStyle w:val="ListParagraph"/>
        <w:numPr>
          <w:ilvl w:val="0"/>
          <w:numId w:val="156"/>
        </w:numPr>
        <w:jc w:val="right"/>
        <w:rPr>
          <w:rFonts w:ascii="Arial" w:hAnsi="Arial" w:cs="Arial"/>
          <w:i/>
          <w:iCs/>
          <w:sz w:val="22"/>
          <w:szCs w:val="22"/>
          <w:lang w:val="en"/>
        </w:rPr>
      </w:pPr>
      <w:r w:rsidRPr="00121D52">
        <w:rPr>
          <w:rFonts w:ascii="Arial" w:hAnsi="Arial" w:cs="Arial"/>
          <w:i/>
          <w:iCs/>
          <w:sz w:val="22"/>
          <w:szCs w:val="22"/>
          <w:lang w:val="en"/>
        </w:rPr>
        <w:t>Paraone Gloyne</w:t>
      </w:r>
    </w:p>
    <w:p w14:paraId="0850C485" w14:textId="77777777" w:rsidR="006D16A3" w:rsidRDefault="006D16A3">
      <w:pPr>
        <w:keepLines w:val="0"/>
        <w:rPr>
          <w:rFonts w:ascii="Arial" w:hAnsi="Arial" w:cs="Arial"/>
          <w:b/>
          <w:bCs/>
          <w:color w:val="4F7D29" w:themeColor="accent4"/>
          <w:sz w:val="36"/>
          <w:szCs w:val="36"/>
        </w:rPr>
      </w:pPr>
      <w:r>
        <w:br w:type="page"/>
      </w:r>
    </w:p>
    <w:p w14:paraId="1478F2F9" w14:textId="026C1AE7" w:rsidR="00A82212" w:rsidRPr="009B7215" w:rsidRDefault="00A82212" w:rsidP="00282055">
      <w:pPr>
        <w:pStyle w:val="Heading1"/>
        <w:rPr>
          <w:color w:val="3B5D1E" w:themeColor="accent4" w:themeShade="BF"/>
        </w:rPr>
      </w:pPr>
      <w:bookmarkStart w:id="833" w:name="_Toc181085041"/>
      <w:r w:rsidRPr="009B7215">
        <w:rPr>
          <w:color w:val="3B5D1E" w:themeColor="accent4" w:themeShade="BF"/>
        </w:rPr>
        <w:lastRenderedPageBreak/>
        <w:t>A Love Song for the Living Seeds</w:t>
      </w:r>
      <w:bookmarkEnd w:id="833"/>
    </w:p>
    <w:p w14:paraId="7F0DE46A"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The love within me for you, the people, remains unchanged</w:t>
      </w:r>
    </w:p>
    <w:p w14:paraId="5300ABEB"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Left alone, abandoned by justice and order</w:t>
      </w:r>
    </w:p>
    <w:p w14:paraId="5BD0487C"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Subjected to the silent suffering of mistreatment</w:t>
      </w:r>
    </w:p>
    <w:p w14:paraId="6079AF63"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A heaviness in the core, silenced into stillness</w:t>
      </w:r>
    </w:p>
    <w:p w14:paraId="374A49D9"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The gnawing of my heart cannot compare to the anguish of yours</w:t>
      </w:r>
    </w:p>
    <w:p w14:paraId="37FFDE5A"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Perhaps you are hidden in the depths of the night, Mirumiru-te-pō</w:t>
      </w:r>
    </w:p>
    <w:p w14:paraId="6E01F856"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A night dark and dense</w:t>
      </w:r>
    </w:p>
    <w:p w14:paraId="5CA0ECAF"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Where there may be no turning in your memories</w:t>
      </w:r>
    </w:p>
    <w:p w14:paraId="24A4CFB7"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But here’s my thought: ‘Do not push open the door to enter’</w:t>
      </w:r>
    </w:p>
    <w:p w14:paraId="61C166A9"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Instead, let us turn to seek life and well-being</w:t>
      </w:r>
    </w:p>
    <w:p w14:paraId="538C50AA"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Is memory dead? No, certainly not!</w:t>
      </w:r>
    </w:p>
    <w:p w14:paraId="48FF597B"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Arise, friends, let the truth resound loudly from the heart of Kareāroto</w:t>
      </w:r>
    </w:p>
    <w:p w14:paraId="0718A7B7"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To ascend to the clear skies, a sky washed clean at dawn</w:t>
      </w:r>
    </w:p>
    <w:p w14:paraId="57E6DDC3"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Emerging from the troubled world to a world of promise</w:t>
      </w:r>
    </w:p>
    <w:p w14:paraId="4ED66A37"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A path for you, my flock of herons, to life</w:t>
      </w:r>
    </w:p>
    <w:p w14:paraId="12B59ACC"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So, the precious core may blossom within you, my living seeds</w:t>
      </w:r>
    </w:p>
    <w:p w14:paraId="5C003D47"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Scattered across the land, cherished and growing in abundance</w:t>
      </w:r>
    </w:p>
    <w:p w14:paraId="103BBD57"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Rising in One-haumako, in One-whakatupu</w:t>
      </w:r>
    </w:p>
    <w:p w14:paraId="5EDB5F56"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There, my friends, lies the hope to fulfil the cost</w:t>
      </w:r>
    </w:p>
    <w:p w14:paraId="20E550F1"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To restore your human dignity, your inherited mana from your ancestors</w:t>
      </w:r>
    </w:p>
    <w:p w14:paraId="185EFA35"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Thus, it will thrive, flourish, and burst forth</w:t>
      </w:r>
    </w:p>
    <w:p w14:paraId="0EB16FC4"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A peaceful feather, a treasured calm, a serene peace from Rongo</w:t>
      </w:r>
    </w:p>
    <w:p w14:paraId="481961A2" w14:textId="77777777" w:rsidR="00A82212" w:rsidRPr="00190F35" w:rsidRDefault="00A82212" w:rsidP="2B6C25A4">
      <w:pPr>
        <w:spacing w:before="0" w:after="120"/>
        <w:rPr>
          <w:rFonts w:ascii="Arial" w:eastAsia="Arial" w:hAnsi="Arial" w:cs="Arial"/>
          <w:sz w:val="22"/>
          <w:szCs w:val="22"/>
          <w:lang w:val="en-US"/>
        </w:rPr>
      </w:pPr>
      <w:r w:rsidRPr="2B6C25A4">
        <w:rPr>
          <w:rFonts w:ascii="Arial" w:eastAsia="Arial" w:hAnsi="Arial" w:cs="Arial"/>
          <w:sz w:val="22"/>
          <w:szCs w:val="22"/>
          <w:lang w:val="en-US"/>
        </w:rPr>
        <w:t>Emerging into the world of light, into the world of understanding</w:t>
      </w:r>
    </w:p>
    <w:p w14:paraId="10C35CDF" w14:textId="77777777" w:rsidR="00A82212" w:rsidRPr="00190F35" w:rsidRDefault="00A82212" w:rsidP="00A82212">
      <w:pPr>
        <w:spacing w:before="0" w:after="120"/>
        <w:rPr>
          <w:rFonts w:ascii="Arial" w:eastAsia="Arial" w:hAnsi="Arial" w:cs="Arial"/>
          <w:sz w:val="22"/>
          <w:szCs w:val="22"/>
          <w:lang w:val="en"/>
        </w:rPr>
      </w:pPr>
      <w:r w:rsidRPr="00190F35">
        <w:rPr>
          <w:rFonts w:ascii="Arial" w:eastAsia="Arial" w:hAnsi="Arial" w:cs="Arial"/>
          <w:sz w:val="22"/>
          <w:szCs w:val="22"/>
          <w:lang w:val="en"/>
        </w:rPr>
        <w:t>A crossing of life indeed!</w:t>
      </w:r>
    </w:p>
    <w:p w14:paraId="3125463B" w14:textId="7B24D7B2" w:rsidR="00121D52" w:rsidRDefault="006D16A3" w:rsidP="00121D52">
      <w:pPr>
        <w:pStyle w:val="ListParagraph"/>
        <w:numPr>
          <w:ilvl w:val="0"/>
          <w:numId w:val="156"/>
        </w:numPr>
        <w:jc w:val="right"/>
        <w:rPr>
          <w:rFonts w:ascii="Arial" w:hAnsi="Arial" w:cs="Arial"/>
          <w:i/>
          <w:iCs/>
          <w:sz w:val="22"/>
          <w:szCs w:val="22"/>
          <w:lang w:val="en"/>
        </w:rPr>
      </w:pPr>
      <w:r w:rsidRPr="00121D52">
        <w:rPr>
          <w:rFonts w:ascii="Arial" w:hAnsi="Arial" w:cs="Arial"/>
          <w:i/>
          <w:iCs/>
          <w:sz w:val="22"/>
          <w:szCs w:val="22"/>
          <w:lang w:val="en"/>
        </w:rPr>
        <w:t>Paraone Gloyne</w:t>
      </w:r>
    </w:p>
    <w:p w14:paraId="4F73B668" w14:textId="77777777" w:rsidR="00121D52" w:rsidRDefault="00121D52">
      <w:pPr>
        <w:keepLines w:val="0"/>
        <w:rPr>
          <w:rFonts w:ascii="Arial" w:hAnsi="Arial" w:cs="Arial"/>
          <w:i/>
          <w:iCs/>
          <w:sz w:val="22"/>
          <w:szCs w:val="22"/>
          <w:lang w:val="en"/>
        </w:rPr>
      </w:pPr>
      <w:r>
        <w:rPr>
          <w:rFonts w:ascii="Arial" w:hAnsi="Arial" w:cs="Arial"/>
          <w:i/>
          <w:iCs/>
          <w:sz w:val="22"/>
          <w:szCs w:val="22"/>
          <w:lang w:val="en"/>
        </w:rPr>
        <w:br w:type="page"/>
      </w:r>
    </w:p>
    <w:p w14:paraId="17282BCB" w14:textId="32BE47A8" w:rsidR="00A43955" w:rsidRPr="00717BA8" w:rsidRDefault="00121D52" w:rsidP="00282055">
      <w:pPr>
        <w:pStyle w:val="Heading1"/>
        <w:rPr>
          <w:color w:val="3B5D1E" w:themeColor="accent4" w:themeShade="BF"/>
        </w:rPr>
      </w:pPr>
      <w:bookmarkStart w:id="834" w:name="_Toc181085042"/>
      <w:r w:rsidRPr="00121D52">
        <w:rPr>
          <w:color w:val="3B5D1E" w:themeColor="accent4" w:themeShade="BF"/>
        </w:rPr>
        <w:lastRenderedPageBreak/>
        <w:t>Endnotes</w:t>
      </w:r>
      <w:bookmarkEnd w:id="834"/>
    </w:p>
    <w:sectPr w:rsidR="00A43955" w:rsidRPr="00717BA8" w:rsidSect="000A2C7E">
      <w:endnotePr>
        <w:numFmt w:val="decimal"/>
      </w:endnotePr>
      <w:pgSz w:w="11906" w:h="16838" w:code="9"/>
      <w:pgMar w:top="1440" w:right="1440" w:bottom="1440" w:left="1440" w:header="425" w:footer="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522AB" w14:textId="77777777" w:rsidR="00F047DF" w:rsidRPr="00662210" w:rsidRDefault="00F047DF">
      <w:r w:rsidRPr="00662210">
        <w:separator/>
      </w:r>
    </w:p>
    <w:p w14:paraId="3B0FC114" w14:textId="77777777" w:rsidR="00F047DF" w:rsidRPr="00662210" w:rsidRDefault="00F047DF"/>
    <w:p w14:paraId="666EF6A1" w14:textId="77777777" w:rsidR="00F047DF" w:rsidRPr="00662210" w:rsidRDefault="00F047DF"/>
    <w:p w14:paraId="49F85A93" w14:textId="77777777" w:rsidR="00F047DF" w:rsidRPr="00662210" w:rsidRDefault="00F047DF"/>
    <w:p w14:paraId="57B79C4E" w14:textId="77777777" w:rsidR="00F047DF" w:rsidRPr="00662210" w:rsidRDefault="00F047DF" w:rsidP="008642E7"/>
    <w:p w14:paraId="39F4538C" w14:textId="77777777" w:rsidR="00F047DF" w:rsidRPr="00662210" w:rsidRDefault="00F047DF" w:rsidP="008642E7"/>
    <w:p w14:paraId="6D35FB52" w14:textId="77777777" w:rsidR="00F047DF" w:rsidRPr="00662210" w:rsidRDefault="00F047DF"/>
  </w:endnote>
  <w:endnote w:type="continuationSeparator" w:id="0">
    <w:p w14:paraId="1237420B" w14:textId="77777777" w:rsidR="00F047DF" w:rsidRPr="00662210" w:rsidRDefault="00F047DF">
      <w:r w:rsidRPr="00662210">
        <w:continuationSeparator/>
      </w:r>
    </w:p>
    <w:p w14:paraId="6CED4CF3" w14:textId="77777777" w:rsidR="00F047DF" w:rsidRPr="00662210" w:rsidRDefault="00F047DF"/>
  </w:endnote>
  <w:endnote w:type="continuationNotice" w:id="1">
    <w:p w14:paraId="3D246F77" w14:textId="77777777" w:rsidR="00F047DF" w:rsidRPr="00662210" w:rsidRDefault="00F047DF">
      <w:pPr>
        <w:spacing w:before="0" w:after="0"/>
      </w:pPr>
    </w:p>
    <w:p w14:paraId="39D50332" w14:textId="77777777" w:rsidR="00F047DF" w:rsidRPr="00662210" w:rsidRDefault="00F047DF"/>
    <w:p w14:paraId="3BE85C46" w14:textId="77777777" w:rsidR="00F047DF" w:rsidRPr="00662210" w:rsidRDefault="00F047DF" w:rsidP="008642E7"/>
    <w:p w14:paraId="5C28AB5D" w14:textId="77777777" w:rsidR="00F047DF" w:rsidRPr="00662210" w:rsidRDefault="00F047DF" w:rsidP="008642E7"/>
    <w:p w14:paraId="1F4308FF" w14:textId="77777777" w:rsidR="00F047DF" w:rsidRPr="00662210" w:rsidRDefault="00F047DF"/>
  </w:endnote>
  <w:endnote w:id="2">
    <w:p w14:paraId="36DEB0F0" w14:textId="71ACA4FD" w:rsidR="00FE4E56" w:rsidRPr="00CB4F47" w:rsidRDefault="00FE4E56" w:rsidP="00C57877">
      <w:pPr>
        <w:pStyle w:val="EndnoteText"/>
        <w:spacing w:line="20" w:lineRule="atLeast"/>
        <w:rPr>
          <w:rFonts w:cs="Arial"/>
          <w:sz w:val="16"/>
          <w:szCs w:val="16"/>
        </w:rPr>
      </w:pPr>
      <w:r w:rsidRPr="001142DD">
        <w:rPr>
          <w:rStyle w:val="StyleFootnoteReferenceFagoFunotenzeichenFagoFunotenzeichen"/>
          <w:sz w:val="16"/>
          <w:szCs w:val="16"/>
        </w:rPr>
        <w:endnoteRef/>
      </w:r>
      <w:r w:rsidRPr="00CB4F47">
        <w:rPr>
          <w:rFonts w:cs="Arial"/>
          <w:sz w:val="16"/>
          <w:szCs w:val="16"/>
        </w:rPr>
        <w:t xml:space="preserve"> Jenkins, K &amp; Mountain Harte, H, Traditional Māori parenting (Te Kahui Mana Ririki, 2011, page 27</w:t>
      </w:r>
      <w:r>
        <w:rPr>
          <w:rFonts w:cs="Arial"/>
          <w:sz w:val="16"/>
          <w:szCs w:val="16"/>
        </w:rPr>
        <w:t>)</w:t>
      </w:r>
      <w:r w:rsidRPr="00CB4F47">
        <w:rPr>
          <w:rFonts w:cs="Arial"/>
          <w:sz w:val="16"/>
          <w:szCs w:val="16"/>
        </w:rPr>
        <w:t>.</w:t>
      </w:r>
    </w:p>
  </w:endnote>
  <w:endnote w:id="3">
    <w:p w14:paraId="1836C8AC" w14:textId="1D03EF4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Jenkins, K &amp; Mountain Harte, H, Traditional Māori parenting (Te Kahui Mana Ririki, 2011, page 27</w:t>
      </w:r>
      <w:r>
        <w:rPr>
          <w:rFonts w:cs="Arial"/>
          <w:sz w:val="16"/>
          <w:szCs w:val="16"/>
        </w:rPr>
        <w:t>)</w:t>
      </w:r>
      <w:r w:rsidRPr="00CB4F47">
        <w:rPr>
          <w:rFonts w:cs="Arial"/>
          <w:sz w:val="16"/>
          <w:szCs w:val="16"/>
        </w:rPr>
        <w:t>.</w:t>
      </w:r>
    </w:p>
  </w:endnote>
  <w:endnote w:id="4">
    <w:p w14:paraId="08BD2E07" w14:textId="207C092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Taonui, R, Whakapapa – genealogy: What is whakapapa? (Te Ara – </w:t>
      </w:r>
      <w:r>
        <w:rPr>
          <w:rFonts w:cs="Arial"/>
          <w:sz w:val="16"/>
          <w:szCs w:val="16"/>
        </w:rPr>
        <w:t>T</w:t>
      </w:r>
      <w:r w:rsidRPr="00CB4F47">
        <w:rPr>
          <w:rFonts w:cs="Arial"/>
          <w:sz w:val="16"/>
          <w:szCs w:val="16"/>
        </w:rPr>
        <w:t>he Encyclopedia of New Zealand, 2015</w:t>
      </w:r>
      <w:r>
        <w:rPr>
          <w:rFonts w:cs="Arial"/>
          <w:sz w:val="16"/>
          <w:szCs w:val="16"/>
        </w:rPr>
        <w:t xml:space="preserve">, page 1), </w:t>
      </w:r>
      <w:hyperlink r:id="rId1" w:history="1">
        <w:r w:rsidRPr="00D103A5">
          <w:rPr>
            <w:rStyle w:val="Hyperlink"/>
            <w:rFonts w:cs="Arial"/>
            <w:sz w:val="16"/>
            <w:szCs w:val="16"/>
          </w:rPr>
          <w:t>h</w:t>
        </w:r>
        <w:r w:rsidRPr="00DD5764">
          <w:rPr>
            <w:rStyle w:val="Hyperlink"/>
            <w:rFonts w:cs="Arial"/>
            <w:sz w:val="16"/>
            <w:szCs w:val="16"/>
          </w:rPr>
          <w:t>ttp://www.TeAra.govt.nz/en/whakapapa-genealogy/page-1</w:t>
        </w:r>
      </w:hyperlink>
      <w:r>
        <w:rPr>
          <w:rFonts w:cs="Arial"/>
          <w:sz w:val="16"/>
          <w:szCs w:val="16"/>
        </w:rPr>
        <w:t>; Rawiri Taonui, Mana tamariki; cultural alienation Maori child homicide and child abuse (An international journal of indigenous peoples, 2010, page 192).</w:t>
      </w:r>
    </w:p>
  </w:endnote>
  <w:endnote w:id="5">
    <w:p w14:paraId="7855A947" w14:textId="025067F9"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Wilson, D, “Transforming the normalisation and intergenerational whānau (family) violence</w:t>
      </w:r>
      <w:r>
        <w:rPr>
          <w:rFonts w:cs="Arial"/>
          <w:sz w:val="16"/>
          <w:szCs w:val="16"/>
        </w:rPr>
        <w:t>,</w:t>
      </w:r>
      <w:r w:rsidRPr="00CB4F47">
        <w:rPr>
          <w:rFonts w:cs="Arial"/>
          <w:sz w:val="16"/>
          <w:szCs w:val="16"/>
        </w:rPr>
        <w:t>” Journal of Indigenous Wellbeing, 1(2), (December 2016, pages 32</w:t>
      </w:r>
      <w:r w:rsidRPr="00CB4F47">
        <w:rPr>
          <w:rFonts w:eastAsia="BatangChe" w:cs="Arial"/>
          <w:sz w:val="16"/>
          <w:szCs w:val="16"/>
        </w:rPr>
        <w:t xml:space="preserve">–43, </w:t>
      </w:r>
      <w:r w:rsidRPr="00CB4F47">
        <w:rPr>
          <w:rFonts w:cs="Arial"/>
          <w:sz w:val="16"/>
          <w:szCs w:val="16"/>
        </w:rPr>
        <w:t>page 33</w:t>
      </w:r>
      <w:r>
        <w:rPr>
          <w:rFonts w:cs="Arial"/>
          <w:sz w:val="16"/>
          <w:szCs w:val="16"/>
        </w:rPr>
        <w:t>)</w:t>
      </w:r>
      <w:r w:rsidRPr="00CB4F47">
        <w:rPr>
          <w:rFonts w:cs="Arial"/>
          <w:sz w:val="16"/>
          <w:szCs w:val="16"/>
        </w:rPr>
        <w:t>.</w:t>
      </w:r>
      <w:r w:rsidRPr="00CB4F47">
        <w:rPr>
          <w:sz w:val="16"/>
          <w:szCs w:val="16"/>
        </w:rPr>
        <w:t xml:space="preserve"> </w:t>
      </w:r>
    </w:p>
  </w:endnote>
  <w:endnote w:id="6">
    <w:p w14:paraId="185E214D" w14:textId="1FDB5F1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Pr>
          <w:rFonts w:eastAsia="BatangChe" w:cs="Arial"/>
          <w:sz w:val="16"/>
          <w:szCs w:val="16"/>
        </w:rPr>
        <w:t>c</w:t>
      </w:r>
      <w:r w:rsidRPr="00CB4F47">
        <w:rPr>
          <w:rFonts w:eastAsia="BatangChe" w:cs="Arial"/>
          <w:sz w:val="16"/>
          <w:szCs w:val="16"/>
        </w:rPr>
        <w:t xml:space="preserve">are 1950–1999 </w:t>
      </w:r>
      <w:r w:rsidRPr="00CB4F47">
        <w:rPr>
          <w:rFonts w:eastAsia="BatangChe" w:cs="Arial"/>
          <w:color w:val="001C2E"/>
          <w:sz w:val="16"/>
          <w:szCs w:val="16"/>
          <w:shd w:val="clear" w:color="auto" w:fill="FFFFFF"/>
        </w:rPr>
        <w:t xml:space="preserve">(Ihi Research, 2021, </w:t>
      </w:r>
      <w:r w:rsidRPr="00CB4F47">
        <w:rPr>
          <w:rFonts w:cs="Arial"/>
          <w:sz w:val="16"/>
          <w:szCs w:val="16"/>
        </w:rPr>
        <w:t>pages 34–36</w:t>
      </w:r>
      <w:r>
        <w:rPr>
          <w:rFonts w:cs="Arial"/>
          <w:sz w:val="16"/>
          <w:szCs w:val="16"/>
        </w:rPr>
        <w:t>)</w:t>
      </w:r>
      <w:r w:rsidRPr="00CB4F47">
        <w:rPr>
          <w:rFonts w:cs="Arial"/>
          <w:sz w:val="16"/>
          <w:szCs w:val="16"/>
        </w:rPr>
        <w:t>.</w:t>
      </w:r>
    </w:p>
  </w:endnote>
  <w:endnote w:id="7">
    <w:p w14:paraId="5C9B7737" w14:textId="302B15D1" w:rsidR="00FE4E56" w:rsidRPr="00CB4F47" w:rsidRDefault="00FE4E56" w:rsidP="00C57877">
      <w:pPr>
        <w:keepLines w:val="0"/>
        <w:spacing w:before="0" w:after="0" w:line="20" w:lineRule="atLeast"/>
        <w:rPr>
          <w:rFonts w:ascii="Arial" w:hAnsi="Arial" w:cs="Arial"/>
          <w:color w:val="000000" w:themeColor="text1"/>
          <w:sz w:val="16"/>
          <w:szCs w:val="16"/>
        </w:rPr>
      </w:pPr>
      <w:r w:rsidRPr="00536E67">
        <w:rPr>
          <w:rStyle w:val="StyleFootnoteReferenceFagoFunotenzeichenFagoFunotenzeichen"/>
          <w:sz w:val="16"/>
          <w:szCs w:val="16"/>
        </w:rPr>
        <w:endnoteRef/>
      </w:r>
      <w:r w:rsidRPr="00CB4F47">
        <w:rPr>
          <w:rFonts w:ascii="Arial" w:hAnsi="Arial" w:cs="Arial"/>
          <w:color w:val="000000" w:themeColor="text1"/>
          <w:sz w:val="16"/>
          <w:szCs w:val="16"/>
        </w:rPr>
        <w:t xml:space="preserve"> Marsden, S, Journal – Reverend Samuel Marsden’s first visit to New Zealand in December 1814 (Marsden Online Archive</w:t>
      </w:r>
      <w:r>
        <w:rPr>
          <w:rFonts w:ascii="Arial" w:hAnsi="Arial" w:cs="Arial"/>
          <w:color w:val="000000" w:themeColor="text1"/>
          <w:sz w:val="16"/>
          <w:szCs w:val="16"/>
        </w:rPr>
        <w:t xml:space="preserve">, </w:t>
      </w:r>
      <w:r w:rsidRPr="00147DBB">
        <w:rPr>
          <w:rFonts w:ascii="Arial" w:hAnsi="Arial" w:cs="Arial"/>
          <w:color w:val="000000" w:themeColor="text1"/>
          <w:sz w:val="16"/>
          <w:szCs w:val="16"/>
        </w:rPr>
        <w:t>last modified October 3, 2014</w:t>
      </w:r>
      <w:r w:rsidRPr="00CB4F47">
        <w:rPr>
          <w:rFonts w:ascii="Arial" w:hAnsi="Arial" w:cs="Arial"/>
          <w:color w:val="000000" w:themeColor="text1"/>
          <w:sz w:val="16"/>
          <w:szCs w:val="16"/>
        </w:rPr>
        <w:t>)</w:t>
      </w:r>
      <w:r>
        <w:rPr>
          <w:rFonts w:ascii="Arial" w:hAnsi="Arial" w:cs="Arial"/>
          <w:color w:val="000000" w:themeColor="text1"/>
          <w:sz w:val="16"/>
          <w:szCs w:val="16"/>
        </w:rPr>
        <w:t xml:space="preserve">, </w:t>
      </w:r>
      <w:r w:rsidRPr="00120E85">
        <w:rPr>
          <w:rFonts w:ascii="Arial" w:hAnsi="Arial" w:cs="Arial"/>
          <w:color w:val="000000" w:themeColor="text1"/>
          <w:sz w:val="16"/>
          <w:szCs w:val="16"/>
        </w:rPr>
        <w:t xml:space="preserve"> </w:t>
      </w:r>
      <w:hyperlink r:id="rId2" w:history="1">
        <w:r w:rsidRPr="00120E85">
          <w:rPr>
            <w:rStyle w:val="Hyperlink"/>
            <w:rFonts w:ascii="Arial" w:hAnsi="Arial" w:cs="Arial"/>
            <w:sz w:val="16"/>
            <w:szCs w:val="16"/>
          </w:rPr>
          <w:t>http://www.marsdenarchive.otago.ac.nz/MS_0176_001</w:t>
        </w:r>
      </w:hyperlink>
      <w:r w:rsidRPr="00120E85">
        <w:rPr>
          <w:rFonts w:ascii="Arial" w:hAnsi="Arial" w:cs="Arial"/>
          <w:color w:val="000000" w:themeColor="text1"/>
          <w:sz w:val="16"/>
          <w:szCs w:val="16"/>
        </w:rPr>
        <w:t>.</w:t>
      </w:r>
    </w:p>
  </w:endnote>
  <w:endnote w:id="8">
    <w:p w14:paraId="53396D6B" w14:textId="7FF0BEA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Polack, J, New Zealand being a narrative of travels and adventures during a residence in that country between the years 1831 and 1837 (</w:t>
      </w:r>
      <w:r>
        <w:rPr>
          <w:rFonts w:cs="Arial"/>
          <w:sz w:val="16"/>
          <w:szCs w:val="16"/>
        </w:rPr>
        <w:t xml:space="preserve">Richard Bentley, </w:t>
      </w:r>
      <w:r w:rsidRPr="00CB4F47">
        <w:rPr>
          <w:rFonts w:cs="Arial"/>
          <w:sz w:val="16"/>
          <w:szCs w:val="16"/>
        </w:rPr>
        <w:t>18</w:t>
      </w:r>
      <w:r>
        <w:rPr>
          <w:rFonts w:cs="Arial"/>
          <w:sz w:val="16"/>
          <w:szCs w:val="16"/>
        </w:rPr>
        <w:t>87</w:t>
      </w:r>
      <w:r w:rsidRPr="00CB4F47">
        <w:rPr>
          <w:rFonts w:cs="Arial"/>
          <w:sz w:val="16"/>
          <w:szCs w:val="16"/>
        </w:rPr>
        <w:t>, page 374</w:t>
      </w:r>
      <w:r>
        <w:rPr>
          <w:rFonts w:cs="Arial"/>
          <w:sz w:val="16"/>
          <w:szCs w:val="16"/>
        </w:rPr>
        <w:t>)</w:t>
      </w:r>
      <w:r w:rsidRPr="00CB4F47">
        <w:rPr>
          <w:rFonts w:cs="Arial"/>
          <w:sz w:val="16"/>
          <w:szCs w:val="16"/>
        </w:rPr>
        <w:t>.</w:t>
      </w:r>
    </w:p>
  </w:endnote>
  <w:endnote w:id="9">
    <w:p w14:paraId="5D27860C" w14:textId="5C4317B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Atholl, A, Shortland, Edward</w:t>
      </w:r>
      <w:r>
        <w:rPr>
          <w:rFonts w:cs="Arial"/>
          <w:sz w:val="16"/>
          <w:szCs w:val="16"/>
        </w:rPr>
        <w:t>,</w:t>
      </w:r>
      <w:r w:rsidRPr="00CB4F47">
        <w:rPr>
          <w:rFonts w:cs="Arial"/>
          <w:sz w:val="16"/>
          <w:szCs w:val="16"/>
        </w:rPr>
        <w:t xml:space="preserve"> Dictionary of New Zealand Biography</w:t>
      </w:r>
      <w:r>
        <w:rPr>
          <w:rFonts w:cs="Arial"/>
          <w:sz w:val="16"/>
          <w:szCs w:val="16"/>
        </w:rPr>
        <w:t xml:space="preserve"> (</w:t>
      </w:r>
      <w:r w:rsidRPr="00CB4F47">
        <w:rPr>
          <w:rFonts w:cs="Arial"/>
          <w:sz w:val="16"/>
          <w:szCs w:val="16"/>
        </w:rPr>
        <w:t xml:space="preserve">Te Ara – </w:t>
      </w:r>
      <w:r>
        <w:rPr>
          <w:rFonts w:cs="Arial"/>
          <w:sz w:val="16"/>
          <w:szCs w:val="16"/>
        </w:rPr>
        <w:t>T</w:t>
      </w:r>
      <w:r w:rsidRPr="00CB4F47">
        <w:rPr>
          <w:rFonts w:cs="Arial"/>
          <w:sz w:val="16"/>
          <w:szCs w:val="16"/>
        </w:rPr>
        <w:t>he Encyclopedia of New Zealand,</w:t>
      </w:r>
      <w:r w:rsidRPr="00CB4F47" w:rsidDel="00D27075">
        <w:rPr>
          <w:rFonts w:cs="Arial"/>
          <w:sz w:val="16"/>
          <w:szCs w:val="16"/>
        </w:rPr>
        <w:t xml:space="preserve"> </w:t>
      </w:r>
      <w:r w:rsidRPr="00CB4F47">
        <w:rPr>
          <w:rFonts w:cs="Arial"/>
          <w:sz w:val="16"/>
          <w:szCs w:val="16"/>
        </w:rPr>
        <w:t>first published 1990, updated December 2013, page 1</w:t>
      </w:r>
      <w:r>
        <w:rPr>
          <w:rFonts w:cs="Arial"/>
          <w:sz w:val="16"/>
          <w:szCs w:val="16"/>
        </w:rPr>
        <w:t xml:space="preserve">), </w:t>
      </w:r>
      <w:hyperlink r:id="rId3" w:history="1">
        <w:r w:rsidRPr="003F7C3A">
          <w:rPr>
            <w:rStyle w:val="Hyperlink"/>
            <w:rFonts w:cs="Arial"/>
            <w:sz w:val="16"/>
            <w:szCs w:val="16"/>
          </w:rPr>
          <w:t>https://teara.govt.nz/en/biographies/1s11/shortland-edward</w:t>
        </w:r>
      </w:hyperlink>
      <w:r w:rsidRPr="00CB4F47">
        <w:rPr>
          <w:rFonts w:cs="Arial"/>
          <w:sz w:val="16"/>
          <w:szCs w:val="16"/>
        </w:rPr>
        <w:t>.</w:t>
      </w:r>
    </w:p>
  </w:endnote>
  <w:endnote w:id="10">
    <w:p w14:paraId="504E74F1" w14:textId="6D575EA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Shortland, E, Traditions and superstitions of the New Zealanders: With illustrations of their manners and customs (</w:t>
      </w:r>
      <w:r w:rsidRPr="00DD5764">
        <w:rPr>
          <w:rFonts w:cs="Arial"/>
          <w:sz w:val="16"/>
          <w:szCs w:val="16"/>
        </w:rPr>
        <w:t>Longman, Brown, Green, Longman and Roberts,</w:t>
      </w:r>
      <w:r>
        <w:rPr>
          <w:rFonts w:cs="Arial"/>
          <w:sz w:val="16"/>
          <w:szCs w:val="16"/>
        </w:rPr>
        <w:t xml:space="preserve"> </w:t>
      </w:r>
      <w:r w:rsidRPr="00CB4F47">
        <w:rPr>
          <w:rFonts w:cs="Arial"/>
          <w:sz w:val="16"/>
          <w:szCs w:val="16"/>
        </w:rPr>
        <w:t>1856, page 156</w:t>
      </w:r>
      <w:r>
        <w:rPr>
          <w:rFonts w:cs="Arial"/>
          <w:sz w:val="16"/>
          <w:szCs w:val="16"/>
        </w:rPr>
        <w:t>)</w:t>
      </w:r>
      <w:r w:rsidRPr="00CB4F47">
        <w:rPr>
          <w:rFonts w:cs="Arial"/>
          <w:sz w:val="16"/>
          <w:szCs w:val="16"/>
        </w:rPr>
        <w:t>.</w:t>
      </w:r>
    </w:p>
  </w:endnote>
  <w:endnote w:id="11">
    <w:p w14:paraId="6CE921AE" w14:textId="14972A2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Shortland, E, Traditions and superstitions of the New Zealanders: With illustrations of their manners and customs (</w:t>
      </w:r>
      <w:r w:rsidRPr="001C0589">
        <w:rPr>
          <w:rFonts w:cs="Arial"/>
          <w:sz w:val="16"/>
          <w:szCs w:val="16"/>
        </w:rPr>
        <w:t>Longman, Brown, Green, Longman and Roberts,</w:t>
      </w:r>
      <w:r>
        <w:rPr>
          <w:rFonts w:cs="Arial"/>
          <w:sz w:val="16"/>
          <w:szCs w:val="16"/>
        </w:rPr>
        <w:t xml:space="preserve"> </w:t>
      </w:r>
      <w:r w:rsidRPr="00CB4F47">
        <w:rPr>
          <w:rFonts w:cs="Arial"/>
          <w:sz w:val="16"/>
          <w:szCs w:val="16"/>
        </w:rPr>
        <w:t>1856, page 156</w:t>
      </w:r>
      <w:r>
        <w:rPr>
          <w:rFonts w:cs="Arial"/>
          <w:sz w:val="16"/>
          <w:szCs w:val="16"/>
        </w:rPr>
        <w:t>)</w:t>
      </w:r>
      <w:r w:rsidRPr="00CB4F47">
        <w:rPr>
          <w:rFonts w:cs="Arial"/>
          <w:sz w:val="16"/>
          <w:szCs w:val="16"/>
        </w:rPr>
        <w:t>.</w:t>
      </w:r>
    </w:p>
  </w:endnote>
  <w:endnote w:id="12">
    <w:p w14:paraId="1C06D04C" w14:textId="4B0A6DC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Durie, M, Whaiora: Māori Health Development </w:t>
      </w:r>
      <w:r>
        <w:rPr>
          <w:rFonts w:cs="Arial"/>
          <w:sz w:val="16"/>
          <w:szCs w:val="16"/>
        </w:rPr>
        <w:t>(</w:t>
      </w:r>
      <w:r w:rsidRPr="00CB4F47">
        <w:rPr>
          <w:rFonts w:cs="Arial"/>
          <w:sz w:val="16"/>
          <w:szCs w:val="16"/>
        </w:rPr>
        <w:t>2</w:t>
      </w:r>
      <w:r w:rsidRPr="00DD5764">
        <w:rPr>
          <w:rFonts w:cs="Arial"/>
          <w:sz w:val="16"/>
          <w:szCs w:val="16"/>
          <w:vertAlign w:val="superscript"/>
        </w:rPr>
        <w:t>nd</w:t>
      </w:r>
      <w:r w:rsidRPr="00CB4F47">
        <w:rPr>
          <w:rFonts w:cs="Arial"/>
          <w:sz w:val="16"/>
          <w:szCs w:val="16"/>
        </w:rPr>
        <w:t xml:space="preserve"> ed</w:t>
      </w:r>
      <w:r>
        <w:rPr>
          <w:rFonts w:cs="Arial"/>
          <w:sz w:val="16"/>
          <w:szCs w:val="16"/>
        </w:rPr>
        <w:t>ition,</w:t>
      </w:r>
      <w:r w:rsidRPr="00CB4F47" w:rsidDel="002B4FBE">
        <w:rPr>
          <w:rFonts w:cs="Arial"/>
          <w:sz w:val="16"/>
          <w:szCs w:val="16"/>
        </w:rPr>
        <w:t xml:space="preserve"> </w:t>
      </w:r>
      <w:r w:rsidRPr="00CB4F47">
        <w:rPr>
          <w:rFonts w:cs="Arial"/>
          <w:sz w:val="16"/>
          <w:szCs w:val="16"/>
        </w:rPr>
        <w:t>Oxford University Press, 1998, page 7</w:t>
      </w:r>
      <w:r>
        <w:rPr>
          <w:rFonts w:cs="Arial"/>
          <w:sz w:val="16"/>
          <w:szCs w:val="16"/>
        </w:rPr>
        <w:t>)</w:t>
      </w:r>
      <w:r w:rsidRPr="00CB4F47">
        <w:rPr>
          <w:rFonts w:cs="Arial"/>
          <w:sz w:val="16"/>
          <w:szCs w:val="16"/>
        </w:rPr>
        <w:t>,</w:t>
      </w:r>
      <w:r w:rsidRPr="00CB4F47" w:rsidDel="002B4FBE">
        <w:rPr>
          <w:rFonts w:cs="Arial"/>
          <w:sz w:val="16"/>
          <w:szCs w:val="16"/>
        </w:rPr>
        <w:t xml:space="preserve"> </w:t>
      </w:r>
      <w:r w:rsidRPr="00CB4F47">
        <w:rPr>
          <w:rFonts w:cs="Arial"/>
          <w:sz w:val="16"/>
          <w:szCs w:val="16"/>
        </w:rPr>
        <w:t>in Waitangi Tribunal, Ko Aotearoa tēnei: A report into claims concerning New Zealand law and policy affecting Māori culture and identity, Te taumata tuarua: Volume 2 (2011, page 602</w:t>
      </w:r>
      <w:r>
        <w:rPr>
          <w:rFonts w:cs="Arial"/>
          <w:sz w:val="16"/>
          <w:szCs w:val="16"/>
        </w:rPr>
        <w:t>)</w:t>
      </w:r>
      <w:r w:rsidRPr="00CB4F47">
        <w:rPr>
          <w:rFonts w:cs="Arial"/>
          <w:sz w:val="16"/>
          <w:szCs w:val="16"/>
        </w:rPr>
        <w:t>.</w:t>
      </w:r>
    </w:p>
  </w:endnote>
  <w:endnote w:id="13">
    <w:p w14:paraId="42514411" w14:textId="61CB61EA" w:rsidR="00FE4E56" w:rsidRPr="00CB4F47" w:rsidRDefault="00FE4E56" w:rsidP="002F3A8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Kaiwai, H &amp; Allport, T, Māori with disabilities (Part two): Report commissioned by the Waitangi Tribunal for the Health Services and Outcomes Inquiry (Wai 2575), (2019, pages 17–18</w:t>
      </w:r>
      <w:r>
        <w:rPr>
          <w:rFonts w:cs="Arial"/>
          <w:sz w:val="16"/>
          <w:szCs w:val="16"/>
        </w:rPr>
        <w:t>)</w:t>
      </w:r>
      <w:r w:rsidRPr="00CB4F47">
        <w:rPr>
          <w:rFonts w:cs="Arial"/>
          <w:sz w:val="16"/>
          <w:szCs w:val="16"/>
        </w:rPr>
        <w:t>.</w:t>
      </w:r>
    </w:p>
  </w:endnote>
  <w:endnote w:id="14">
    <w:p w14:paraId="42AD0A35" w14:textId="205E170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Tikao, K, Higgins, N, Phillips, H &amp; Cowan, C, “Kāpo (blind) Māori in the ancient world</w:t>
      </w:r>
      <w:r>
        <w:rPr>
          <w:rFonts w:cs="Arial"/>
          <w:sz w:val="16"/>
          <w:szCs w:val="16"/>
        </w:rPr>
        <w:t>,</w:t>
      </w:r>
      <w:r w:rsidRPr="00CB4F47">
        <w:rPr>
          <w:rFonts w:cs="Arial"/>
          <w:sz w:val="16"/>
          <w:szCs w:val="16"/>
        </w:rPr>
        <w:t>” MAI Review, 2(4)</w:t>
      </w:r>
      <w:r>
        <w:rPr>
          <w:rFonts w:cs="Arial"/>
          <w:sz w:val="16"/>
          <w:szCs w:val="16"/>
        </w:rPr>
        <w:t>,</w:t>
      </w:r>
      <w:r w:rsidRPr="00CB4F47">
        <w:rPr>
          <w:rFonts w:cs="Arial"/>
          <w:sz w:val="16"/>
          <w:szCs w:val="16"/>
        </w:rPr>
        <w:t xml:space="preserve"> (2009, page 11</w:t>
      </w:r>
      <w:r>
        <w:rPr>
          <w:rFonts w:cs="Arial"/>
          <w:sz w:val="16"/>
          <w:szCs w:val="16"/>
        </w:rPr>
        <w:t>)</w:t>
      </w:r>
      <w:r w:rsidRPr="00CB4F47">
        <w:rPr>
          <w:rFonts w:cs="Arial"/>
          <w:sz w:val="16"/>
          <w:szCs w:val="16"/>
        </w:rPr>
        <w:t>.</w:t>
      </w:r>
    </w:p>
  </w:endnote>
  <w:endnote w:id="15">
    <w:p w14:paraId="5159D34E" w14:textId="178666CC" w:rsidR="00FE4E56" w:rsidRPr="00CB4F47" w:rsidRDefault="00FE4E56" w:rsidP="00C57877">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endnoteRef/>
      </w:r>
      <w:r w:rsidRPr="00CB4F47">
        <w:rPr>
          <w:rFonts w:ascii="Arial" w:hAnsi="Arial" w:cs="Arial"/>
          <w:color w:val="auto"/>
          <w:sz w:val="16"/>
          <w:szCs w:val="16"/>
        </w:rPr>
        <w:t xml:space="preserve"> </w:t>
      </w:r>
      <w:r w:rsidRPr="00CB4F47">
        <w:rPr>
          <w:rFonts w:ascii="Arial" w:eastAsia="Arial" w:hAnsi="Arial" w:cs="Arial"/>
          <w:color w:val="auto"/>
          <w:sz w:val="16"/>
          <w:szCs w:val="16"/>
        </w:rPr>
        <w:t>Smiler, K &amp; McKee, RL, “Perceptio</w:t>
      </w:r>
      <w:r>
        <w:rPr>
          <w:rFonts w:ascii="Arial" w:eastAsia="Arial" w:hAnsi="Arial" w:cs="Arial"/>
          <w:color w:val="auto"/>
          <w:sz w:val="16"/>
          <w:szCs w:val="16"/>
        </w:rPr>
        <w:t>n</w:t>
      </w:r>
      <w:r w:rsidRPr="00CB4F47">
        <w:rPr>
          <w:rFonts w:ascii="Arial" w:eastAsia="Arial" w:hAnsi="Arial" w:cs="Arial"/>
          <w:color w:val="auto"/>
          <w:sz w:val="16"/>
          <w:szCs w:val="16"/>
        </w:rPr>
        <w:t xml:space="preserve"> of Māori deaf identity in New Zealand</w:t>
      </w:r>
      <w:r>
        <w:rPr>
          <w:rFonts w:ascii="Arial" w:eastAsia="Arial" w:hAnsi="Arial" w:cs="Arial"/>
          <w:color w:val="auto"/>
          <w:sz w:val="16"/>
          <w:szCs w:val="16"/>
        </w:rPr>
        <w:t>,</w:t>
      </w:r>
      <w:r w:rsidRPr="00CB4F47">
        <w:rPr>
          <w:rFonts w:ascii="Arial" w:eastAsia="Arial" w:hAnsi="Arial" w:cs="Arial"/>
          <w:color w:val="auto"/>
          <w:sz w:val="16"/>
          <w:szCs w:val="16"/>
        </w:rPr>
        <w:t xml:space="preserve">” Journal of Deaf Studies and Deaf Education, 12(1) (2007, </w:t>
      </w:r>
      <w:r w:rsidRPr="00CB4F47">
        <w:rPr>
          <w:rFonts w:ascii="Arial" w:hAnsi="Arial" w:cs="Arial"/>
          <w:color w:val="auto"/>
          <w:sz w:val="16"/>
          <w:szCs w:val="16"/>
        </w:rPr>
        <w:t>page</w:t>
      </w:r>
      <w:r w:rsidRPr="00CB4F47">
        <w:rPr>
          <w:rFonts w:ascii="Arial" w:eastAsia="Arial" w:hAnsi="Arial" w:cs="Arial"/>
          <w:color w:val="auto"/>
          <w:sz w:val="16"/>
          <w:szCs w:val="16"/>
        </w:rPr>
        <w:t xml:space="preserve"> 94</w:t>
      </w:r>
      <w:r>
        <w:rPr>
          <w:rFonts w:ascii="Arial" w:eastAsia="Arial" w:hAnsi="Arial" w:cs="Arial"/>
          <w:color w:val="auto"/>
          <w:sz w:val="16"/>
          <w:szCs w:val="16"/>
        </w:rPr>
        <w:t>)</w:t>
      </w:r>
      <w:r w:rsidRPr="00CB4F47">
        <w:rPr>
          <w:rFonts w:ascii="Arial" w:eastAsia="Arial" w:hAnsi="Arial" w:cs="Arial"/>
          <w:color w:val="auto"/>
          <w:sz w:val="16"/>
          <w:szCs w:val="16"/>
        </w:rPr>
        <w:t>.</w:t>
      </w:r>
    </w:p>
  </w:endnote>
  <w:endnote w:id="16">
    <w:p w14:paraId="638B2E9B" w14:textId="2F984379" w:rsidR="00FE4E56" w:rsidRPr="00CB4F47" w:rsidRDefault="00FE4E56" w:rsidP="00C57877">
      <w:pPr>
        <w:pStyle w:val="NoSpacing"/>
        <w:spacing w:line="20" w:lineRule="atLeast"/>
        <w:rPr>
          <w:rFonts w:ascii="Arial" w:hAnsi="Arial" w:cs="Arial"/>
          <w:color w:val="auto"/>
          <w:sz w:val="16"/>
          <w:szCs w:val="16"/>
        </w:rPr>
      </w:pPr>
      <w:r w:rsidRPr="00536E67">
        <w:rPr>
          <w:rStyle w:val="StyleFootnoteReferenceFagoFunotenzeichenFagoFunotenzeichen"/>
          <w:sz w:val="16"/>
          <w:szCs w:val="16"/>
        </w:rPr>
        <w:endnoteRef/>
      </w:r>
      <w:r w:rsidRPr="00CB4F47">
        <w:rPr>
          <w:rFonts w:ascii="Arial" w:hAnsi="Arial" w:cs="Arial"/>
          <w:color w:val="auto"/>
          <w:sz w:val="16"/>
          <w:szCs w:val="16"/>
        </w:rPr>
        <w:t xml:space="preserve"> Kaiwai, H &amp; Allport, T, Māori with disabilities (Part two): Report commissioned by the Waitangi Tribunal for the Health Services and Outcomes Inquiry (Wai 2575)</w:t>
      </w:r>
      <w:r>
        <w:rPr>
          <w:rFonts w:ascii="Arial" w:hAnsi="Arial" w:cs="Arial"/>
          <w:color w:val="auto"/>
          <w:sz w:val="16"/>
          <w:szCs w:val="16"/>
        </w:rPr>
        <w:t>,</w:t>
      </w:r>
      <w:r w:rsidRPr="00CB4F47">
        <w:rPr>
          <w:rFonts w:ascii="Arial" w:hAnsi="Arial" w:cs="Arial"/>
          <w:color w:val="auto"/>
          <w:sz w:val="16"/>
          <w:szCs w:val="16"/>
        </w:rPr>
        <w:t xml:space="preserve"> (2019, page 18</w:t>
      </w:r>
      <w:r>
        <w:rPr>
          <w:rFonts w:ascii="Arial" w:hAnsi="Arial" w:cs="Arial"/>
          <w:color w:val="auto"/>
          <w:sz w:val="16"/>
          <w:szCs w:val="16"/>
        </w:rPr>
        <w:t>)</w:t>
      </w:r>
      <w:r w:rsidRPr="00CB4F47">
        <w:rPr>
          <w:rFonts w:ascii="Arial" w:hAnsi="Arial" w:cs="Arial"/>
          <w:color w:val="auto"/>
          <w:sz w:val="16"/>
          <w:szCs w:val="16"/>
        </w:rPr>
        <w:t>.</w:t>
      </w:r>
    </w:p>
  </w:endnote>
  <w:endnote w:id="17">
    <w:p w14:paraId="2C02BB56" w14:textId="00A1DE7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Kerekere, E, Part of the Whānau: The emergence of takatāpui identity – He Whāriki Takatāpui</w:t>
      </w:r>
      <w:r>
        <w:rPr>
          <w:rFonts w:cs="Arial"/>
          <w:sz w:val="16"/>
          <w:szCs w:val="16"/>
        </w:rPr>
        <w:t xml:space="preserve">, Doctoral </w:t>
      </w:r>
      <w:r w:rsidRPr="00CB4F47">
        <w:rPr>
          <w:rFonts w:cs="Arial"/>
          <w:sz w:val="16"/>
          <w:szCs w:val="16"/>
        </w:rPr>
        <w:t>Thesis, Victoria University of Wellington</w:t>
      </w:r>
      <w:r>
        <w:rPr>
          <w:rFonts w:cs="Arial"/>
          <w:sz w:val="16"/>
          <w:szCs w:val="16"/>
        </w:rPr>
        <w:t xml:space="preserve"> (</w:t>
      </w:r>
      <w:r w:rsidRPr="00CB4F47">
        <w:rPr>
          <w:rFonts w:cs="Arial"/>
          <w:sz w:val="16"/>
          <w:szCs w:val="16"/>
        </w:rPr>
        <w:t>2017, pages 21 and 33</w:t>
      </w:r>
      <w:r>
        <w:rPr>
          <w:rFonts w:cs="Arial"/>
          <w:sz w:val="16"/>
          <w:szCs w:val="16"/>
        </w:rPr>
        <w:t>)</w:t>
      </w:r>
      <w:r w:rsidRPr="00CB4F47">
        <w:rPr>
          <w:rFonts w:cs="Arial"/>
          <w:sz w:val="16"/>
          <w:szCs w:val="16"/>
        </w:rPr>
        <w:t>.</w:t>
      </w:r>
    </w:p>
  </w:endnote>
  <w:endnote w:id="18">
    <w:p w14:paraId="1E0A0138" w14:textId="7F61350C" w:rsidR="00FE4E56" w:rsidRPr="00536E67" w:rsidRDefault="00FE4E56" w:rsidP="00B2285F">
      <w:pPr>
        <w:pStyle w:val="EndnoteText"/>
        <w:spacing w:line="20" w:lineRule="atLeast"/>
        <w:rPr>
          <w:sz w:val="16"/>
          <w:szCs w:val="16"/>
        </w:rPr>
      </w:pPr>
      <w:r w:rsidRPr="00536E67">
        <w:rPr>
          <w:rStyle w:val="StyleFootnoteReferenceFagoFunotenzeichenFagoFunotenzeichen"/>
          <w:sz w:val="16"/>
          <w:szCs w:val="16"/>
        </w:rPr>
        <w:endnoteRef/>
      </w:r>
      <w:r w:rsidRPr="00536E67">
        <w:rPr>
          <w:sz w:val="16"/>
          <w:szCs w:val="16"/>
        </w:rPr>
        <w:t xml:space="preserve"> </w:t>
      </w:r>
      <w:r w:rsidRPr="00B2285F">
        <w:rPr>
          <w:sz w:val="16"/>
          <w:szCs w:val="16"/>
        </w:rPr>
        <w:t xml:space="preserve">Salmond, </w:t>
      </w:r>
      <w:r>
        <w:rPr>
          <w:sz w:val="16"/>
          <w:szCs w:val="16"/>
        </w:rPr>
        <w:t>A</w:t>
      </w:r>
      <w:r w:rsidRPr="00B2285F">
        <w:rPr>
          <w:sz w:val="16"/>
          <w:szCs w:val="16"/>
        </w:rPr>
        <w:t>, Tears of Rangi: Experiments across worlds (Auckland University Press, 2017, pages 387</w:t>
      </w:r>
      <w:r>
        <w:rPr>
          <w:sz w:val="16"/>
          <w:szCs w:val="16"/>
        </w:rPr>
        <w:t xml:space="preserve"> and</w:t>
      </w:r>
      <w:r w:rsidRPr="00B2285F">
        <w:rPr>
          <w:sz w:val="16"/>
          <w:szCs w:val="16"/>
        </w:rPr>
        <w:t xml:space="preserve"> 199</w:t>
      </w:r>
      <w:r>
        <w:rPr>
          <w:sz w:val="16"/>
          <w:szCs w:val="16"/>
        </w:rPr>
        <w:t>)</w:t>
      </w:r>
      <w:r w:rsidRPr="00B2285F">
        <w:rPr>
          <w:sz w:val="16"/>
          <w:szCs w:val="16"/>
        </w:rPr>
        <w:t xml:space="preserve">.  </w:t>
      </w:r>
    </w:p>
  </w:endnote>
  <w:endnote w:id="19">
    <w:p w14:paraId="2B8D8259" w14:textId="0C91B8F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bookmarkStart w:id="66" w:name="_Hlk115267715"/>
      <w:r w:rsidRPr="00CB4F47">
        <w:rPr>
          <w:rFonts w:cs="Arial"/>
          <w:sz w:val="16"/>
          <w:szCs w:val="16"/>
        </w:rPr>
        <w:t xml:space="preserve"> Schoeffel, P &amp; Meleisa, M, “Pacific Island Polynesian attitudes to child training and discipline in New Zealand: Some policy implications for Social Welfare and Education</w:t>
      </w:r>
      <w:r>
        <w:rPr>
          <w:rFonts w:cs="Arial"/>
          <w:sz w:val="16"/>
          <w:szCs w:val="16"/>
        </w:rPr>
        <w:t>,</w:t>
      </w:r>
      <w:r w:rsidRPr="00CB4F47">
        <w:rPr>
          <w:rFonts w:cs="Arial"/>
          <w:sz w:val="16"/>
          <w:szCs w:val="16"/>
        </w:rPr>
        <w:t>” in Social Policy Journal of New Zealand, (6)</w:t>
      </w:r>
      <w:r>
        <w:rPr>
          <w:rFonts w:cs="Arial"/>
          <w:sz w:val="16"/>
          <w:szCs w:val="16"/>
        </w:rPr>
        <w:t>,</w:t>
      </w:r>
      <w:r w:rsidRPr="00CB4F47">
        <w:rPr>
          <w:rFonts w:cs="Arial"/>
          <w:sz w:val="16"/>
          <w:szCs w:val="16"/>
        </w:rPr>
        <w:t xml:space="preserve"> (1996, page 7</w:t>
      </w:r>
      <w:r>
        <w:rPr>
          <w:rFonts w:cs="Arial"/>
          <w:sz w:val="16"/>
          <w:szCs w:val="16"/>
        </w:rPr>
        <w:t>)</w:t>
      </w:r>
      <w:r w:rsidRPr="00CB4F47">
        <w:rPr>
          <w:rFonts w:cs="Arial"/>
          <w:sz w:val="16"/>
          <w:szCs w:val="16"/>
        </w:rPr>
        <w:t xml:space="preserve">. </w:t>
      </w:r>
      <w:bookmarkEnd w:id="66"/>
    </w:p>
  </w:endnote>
  <w:endnote w:id="20">
    <w:p w14:paraId="6ECE4A66" w14:textId="6B08B83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Schoeffel, P &amp; Meleisa, M, “Pacific Island Polynesian attitudes to child training and discipline in New Zealand: Some policy implications for Social Welfare and Education</w:t>
      </w:r>
      <w:r>
        <w:rPr>
          <w:rFonts w:cs="Arial"/>
          <w:sz w:val="16"/>
          <w:szCs w:val="16"/>
        </w:rPr>
        <w:t>,</w:t>
      </w:r>
      <w:r w:rsidRPr="00CB4F47">
        <w:rPr>
          <w:rFonts w:cs="Arial"/>
          <w:sz w:val="16"/>
          <w:szCs w:val="16"/>
        </w:rPr>
        <w:t>” in Social Policy Journal of New Zealand, (6)</w:t>
      </w:r>
      <w:r>
        <w:rPr>
          <w:rFonts w:cs="Arial"/>
          <w:sz w:val="16"/>
          <w:szCs w:val="16"/>
        </w:rPr>
        <w:t>,</w:t>
      </w:r>
      <w:r w:rsidRPr="00CB4F47">
        <w:rPr>
          <w:rFonts w:cs="Arial"/>
          <w:sz w:val="16"/>
          <w:szCs w:val="16"/>
        </w:rPr>
        <w:t xml:space="preserve"> (1996, page 8</w:t>
      </w:r>
      <w:r>
        <w:rPr>
          <w:rFonts w:cs="Arial"/>
          <w:sz w:val="16"/>
          <w:szCs w:val="16"/>
        </w:rPr>
        <w:t>)</w:t>
      </w:r>
      <w:r w:rsidRPr="00CB4F47">
        <w:rPr>
          <w:rFonts w:cs="Arial"/>
          <w:sz w:val="16"/>
          <w:szCs w:val="16"/>
        </w:rPr>
        <w:t>.</w:t>
      </w:r>
    </w:p>
  </w:endnote>
  <w:endnote w:id="21">
    <w:p w14:paraId="7B09227D" w14:textId="580C592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Schoeffel, P &amp; Meleisa, M, “Pacific Island Polynesian attitudes to child training and discipline in New Zealand: Some policy implications for Social Welfare and Education</w:t>
      </w:r>
      <w:r>
        <w:rPr>
          <w:rFonts w:cs="Arial"/>
          <w:sz w:val="16"/>
          <w:szCs w:val="16"/>
        </w:rPr>
        <w:t>,</w:t>
      </w:r>
      <w:r w:rsidRPr="00CB4F47">
        <w:rPr>
          <w:rFonts w:cs="Arial"/>
          <w:sz w:val="16"/>
          <w:szCs w:val="16"/>
        </w:rPr>
        <w:t>” in Social Policy Journal of New Zealand, (6)</w:t>
      </w:r>
      <w:r>
        <w:rPr>
          <w:rFonts w:cs="Arial"/>
          <w:sz w:val="16"/>
          <w:szCs w:val="16"/>
        </w:rPr>
        <w:t>,</w:t>
      </w:r>
      <w:r w:rsidRPr="00CB4F47">
        <w:rPr>
          <w:rFonts w:cs="Arial"/>
          <w:sz w:val="16"/>
          <w:szCs w:val="16"/>
        </w:rPr>
        <w:t xml:space="preserve"> (1996, page 7</w:t>
      </w:r>
      <w:r>
        <w:rPr>
          <w:rFonts w:cs="Arial"/>
          <w:sz w:val="16"/>
          <w:szCs w:val="16"/>
        </w:rPr>
        <w:t>)</w:t>
      </w:r>
      <w:r w:rsidRPr="00CB4F47">
        <w:rPr>
          <w:rFonts w:cs="Arial"/>
          <w:sz w:val="16"/>
          <w:szCs w:val="16"/>
        </w:rPr>
        <w:t>.</w:t>
      </w:r>
    </w:p>
  </w:endnote>
  <w:endnote w:id="22">
    <w:p w14:paraId="287D03EE" w14:textId="023514D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Folasāitu Dr Apaula Ioane </w:t>
      </w:r>
      <w:r>
        <w:rPr>
          <w:rFonts w:cs="Arial"/>
          <w:sz w:val="16"/>
          <w:szCs w:val="16"/>
        </w:rPr>
        <w:t>(</w:t>
      </w:r>
      <w:r w:rsidRPr="00CB4F47">
        <w:rPr>
          <w:rFonts w:cs="Arial"/>
          <w:sz w:val="16"/>
          <w:szCs w:val="16"/>
        </w:rPr>
        <w:t>21 July 2021, page 10</w:t>
      </w:r>
      <w:r>
        <w:rPr>
          <w:rFonts w:cs="Arial"/>
          <w:sz w:val="16"/>
          <w:szCs w:val="16"/>
        </w:rPr>
        <w:t>)</w:t>
      </w:r>
      <w:r w:rsidRPr="00CB4F47">
        <w:rPr>
          <w:rFonts w:cs="Arial"/>
          <w:sz w:val="16"/>
          <w:szCs w:val="16"/>
        </w:rPr>
        <w:t>.</w:t>
      </w:r>
    </w:p>
  </w:endnote>
  <w:endnote w:id="23">
    <w:p w14:paraId="08B25233" w14:textId="4801C2DE" w:rsidR="00FE4E56" w:rsidRPr="00CB4F47" w:rsidRDefault="00FE4E56" w:rsidP="00C57877">
      <w:pPr>
        <w:pStyle w:val="Paranumbers"/>
        <w:numPr>
          <w:ilvl w:val="0"/>
          <w:numId w:val="0"/>
        </w:numPr>
        <w:spacing w:before="0" w:line="20" w:lineRule="atLeast"/>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Suaalii-Sauni, T, Wheeler, A, Etuate, S, Robinson, G, Agnew, F, Warren, H, Erick, M &amp; Hingano, T, “Exploration of Pacific perspectives of Pacific models of mental health service delivery in New Zealand</w:t>
      </w:r>
      <w:r>
        <w:rPr>
          <w:rFonts w:ascii="Arial" w:hAnsi="Arial" w:cs="Arial"/>
          <w:sz w:val="16"/>
          <w:szCs w:val="16"/>
        </w:rPr>
        <w:t>,</w:t>
      </w:r>
      <w:r w:rsidRPr="00CB4F47">
        <w:rPr>
          <w:rFonts w:ascii="Arial" w:hAnsi="Arial" w:cs="Arial"/>
          <w:sz w:val="16"/>
          <w:szCs w:val="16"/>
        </w:rPr>
        <w:t>” Pacific Health Dialog</w:t>
      </w:r>
      <w:r>
        <w:rPr>
          <w:rFonts w:ascii="Arial" w:hAnsi="Arial" w:cs="Arial"/>
          <w:sz w:val="16"/>
          <w:szCs w:val="16"/>
        </w:rPr>
        <w:t>,</w:t>
      </w:r>
      <w:r w:rsidRPr="00CB4F47">
        <w:rPr>
          <w:rFonts w:ascii="Arial" w:hAnsi="Arial" w:cs="Arial"/>
          <w:sz w:val="16"/>
          <w:szCs w:val="16"/>
        </w:rPr>
        <w:t xml:space="preserve"> 15(1)</w:t>
      </w:r>
      <w:r>
        <w:rPr>
          <w:rFonts w:ascii="Arial" w:hAnsi="Arial" w:cs="Arial"/>
          <w:sz w:val="16"/>
          <w:szCs w:val="16"/>
        </w:rPr>
        <w:t>,</w:t>
      </w:r>
      <w:r w:rsidRPr="00CB4F47">
        <w:rPr>
          <w:rFonts w:ascii="Arial" w:hAnsi="Arial" w:cs="Arial"/>
          <w:sz w:val="16"/>
          <w:szCs w:val="16"/>
        </w:rPr>
        <w:t xml:space="preserve"> (2009, pages 18–27, page 19</w:t>
      </w:r>
      <w:r>
        <w:rPr>
          <w:rFonts w:ascii="Arial" w:hAnsi="Arial" w:cs="Arial"/>
          <w:sz w:val="16"/>
          <w:szCs w:val="16"/>
        </w:rPr>
        <w:t>)</w:t>
      </w:r>
      <w:r w:rsidRPr="00CB4F47">
        <w:rPr>
          <w:rFonts w:ascii="Arial" w:hAnsi="Arial" w:cs="Arial"/>
          <w:sz w:val="16"/>
          <w:szCs w:val="16"/>
        </w:rPr>
        <w:t xml:space="preserve">. </w:t>
      </w:r>
    </w:p>
  </w:endnote>
  <w:endnote w:id="24">
    <w:p w14:paraId="7DBEEBD2" w14:textId="069DA06F"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Ministry of Health, Pacific Peoples’ experience of disability: A paper for the Pacific Health and Disability Action Plan review (2008, page 24</w:t>
      </w:r>
      <w:r>
        <w:rPr>
          <w:rFonts w:cs="Arial"/>
          <w:sz w:val="16"/>
          <w:szCs w:val="16"/>
        </w:rPr>
        <w:t>)</w:t>
      </w:r>
      <w:r w:rsidRPr="00CB4F47">
        <w:rPr>
          <w:rFonts w:cs="Arial"/>
          <w:sz w:val="16"/>
          <w:szCs w:val="16"/>
        </w:rPr>
        <w:t>.</w:t>
      </w:r>
    </w:p>
  </w:endnote>
  <w:endnote w:id="25">
    <w:p w14:paraId="3C082740" w14:textId="6820775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Ministry of Health, Pacific Peoples’ experience of disability: A paper for the Pacific Health and Disability Action Plan review (2008, page 24</w:t>
      </w:r>
      <w:r>
        <w:rPr>
          <w:rFonts w:cs="Arial"/>
          <w:sz w:val="16"/>
          <w:szCs w:val="16"/>
        </w:rPr>
        <w:t>)</w:t>
      </w:r>
      <w:r w:rsidRPr="00CB4F47">
        <w:rPr>
          <w:rFonts w:cs="Arial"/>
          <w:sz w:val="16"/>
          <w:szCs w:val="16"/>
        </w:rPr>
        <w:t xml:space="preserve">. </w:t>
      </w:r>
    </w:p>
  </w:endnote>
  <w:endnote w:id="26">
    <w:p w14:paraId="20853B3B" w14:textId="4090686E"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Ministry of Health, Pacific Peoples’ experience of disability: A paper for the Pacific Health and Disability Action Plan review (2008, page 24</w:t>
      </w:r>
      <w:r>
        <w:rPr>
          <w:rFonts w:cs="Arial"/>
          <w:sz w:val="16"/>
          <w:szCs w:val="16"/>
        </w:rPr>
        <w:t>)</w:t>
      </w:r>
      <w:r w:rsidRPr="00CB4F47">
        <w:rPr>
          <w:rFonts w:cs="Arial"/>
          <w:sz w:val="16"/>
          <w:szCs w:val="16"/>
        </w:rPr>
        <w:t>.</w:t>
      </w:r>
    </w:p>
  </w:endnote>
  <w:endnote w:id="27">
    <w:p w14:paraId="1FD688FC" w14:textId="7F03138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Ministry of Health, Pacific Peoples and mental health: A paper for the Pacific Health and Disability Action Plan review (2008, page 11</w:t>
      </w:r>
      <w:r>
        <w:rPr>
          <w:rFonts w:cs="Arial"/>
          <w:sz w:val="16"/>
          <w:szCs w:val="16"/>
        </w:rPr>
        <w:t>)</w:t>
      </w:r>
      <w:r w:rsidRPr="00CB4F47">
        <w:rPr>
          <w:rFonts w:cs="Arial"/>
          <w:sz w:val="16"/>
          <w:szCs w:val="16"/>
        </w:rPr>
        <w:t xml:space="preserve">. </w:t>
      </w:r>
    </w:p>
  </w:endnote>
  <w:endnote w:id="28">
    <w:p w14:paraId="656E11BD" w14:textId="74D700A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shd w:val="clear" w:color="auto" w:fill="FAFAFA"/>
        </w:rPr>
        <w:t xml:space="preserve"> Ministry for Culture and Heritage, Overview: immigration to New Zealand 1840–1914 (updated 26 May 2023)</w:t>
      </w:r>
      <w:r>
        <w:rPr>
          <w:rFonts w:cs="Arial"/>
          <w:sz w:val="16"/>
          <w:szCs w:val="16"/>
          <w:shd w:val="clear" w:color="auto" w:fill="FAFAFA"/>
        </w:rPr>
        <w:t xml:space="preserve">, </w:t>
      </w:r>
      <w:hyperlink r:id="rId4" w:history="1">
        <w:r w:rsidRPr="008104BF">
          <w:rPr>
            <w:rStyle w:val="Hyperlink"/>
            <w:rFonts w:cs="Arial"/>
            <w:sz w:val="16"/>
            <w:szCs w:val="16"/>
            <w:shd w:val="clear" w:color="auto" w:fill="FAFAFA"/>
          </w:rPr>
          <w:t>https://nzhistory.govt.nz/culture/immigration/home-away-from-home/summary</w:t>
        </w:r>
      </w:hyperlink>
      <w:r w:rsidRPr="00CB4F47">
        <w:rPr>
          <w:rFonts w:cs="Arial"/>
          <w:sz w:val="16"/>
          <w:szCs w:val="16"/>
          <w:shd w:val="clear" w:color="auto" w:fill="FAFAFA"/>
        </w:rPr>
        <w:t xml:space="preserve">. </w:t>
      </w:r>
    </w:p>
  </w:endnote>
  <w:endnote w:id="29">
    <w:p w14:paraId="2941F427" w14:textId="3CACAF7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Scull, A, The </w:t>
      </w:r>
      <w:r>
        <w:rPr>
          <w:rFonts w:cs="Arial"/>
          <w:sz w:val="16"/>
          <w:szCs w:val="16"/>
        </w:rPr>
        <w:t>m</w:t>
      </w:r>
      <w:r w:rsidRPr="00CB4F47">
        <w:rPr>
          <w:rFonts w:cs="Arial"/>
          <w:sz w:val="16"/>
          <w:szCs w:val="16"/>
        </w:rPr>
        <w:t>ost</w:t>
      </w:r>
      <w:r w:rsidRPr="00CB4F47" w:rsidDel="006C5E16">
        <w:rPr>
          <w:rFonts w:cs="Arial"/>
          <w:sz w:val="16"/>
          <w:szCs w:val="16"/>
        </w:rPr>
        <w:t xml:space="preserve"> </w:t>
      </w:r>
      <w:r>
        <w:rPr>
          <w:rFonts w:cs="Arial"/>
          <w:sz w:val="16"/>
          <w:szCs w:val="16"/>
        </w:rPr>
        <w:t>s</w:t>
      </w:r>
      <w:r w:rsidRPr="00CB4F47">
        <w:rPr>
          <w:rFonts w:cs="Arial"/>
          <w:sz w:val="16"/>
          <w:szCs w:val="16"/>
        </w:rPr>
        <w:t xml:space="preserve">olitary of </w:t>
      </w:r>
      <w:r>
        <w:rPr>
          <w:rFonts w:cs="Arial"/>
          <w:sz w:val="16"/>
          <w:szCs w:val="16"/>
        </w:rPr>
        <w:t>a</w:t>
      </w:r>
      <w:r w:rsidRPr="00CB4F47">
        <w:rPr>
          <w:rFonts w:cs="Arial"/>
          <w:sz w:val="16"/>
          <w:szCs w:val="16"/>
        </w:rPr>
        <w:t>fflictions:</w:t>
      </w:r>
      <w:r w:rsidRPr="00CB4F47" w:rsidDel="006C5E16">
        <w:rPr>
          <w:rFonts w:cs="Arial"/>
          <w:sz w:val="16"/>
          <w:szCs w:val="16"/>
        </w:rPr>
        <w:t xml:space="preserve"> </w:t>
      </w:r>
      <w:r>
        <w:rPr>
          <w:rFonts w:cs="Arial"/>
          <w:sz w:val="16"/>
          <w:szCs w:val="16"/>
        </w:rPr>
        <w:t>M</w:t>
      </w:r>
      <w:r w:rsidRPr="00CB4F47">
        <w:rPr>
          <w:rFonts w:cs="Arial"/>
          <w:sz w:val="16"/>
          <w:szCs w:val="16"/>
        </w:rPr>
        <w:t>adness and society in Britain, 1700–1900 (Yale University Press, 2005, pages 1 and 11</w:t>
      </w:r>
      <w:r>
        <w:rPr>
          <w:rFonts w:cs="Arial"/>
          <w:sz w:val="16"/>
          <w:szCs w:val="16"/>
        </w:rPr>
        <w:t>)</w:t>
      </w:r>
      <w:r w:rsidRPr="00CB4F47">
        <w:rPr>
          <w:rFonts w:cs="Arial"/>
          <w:sz w:val="16"/>
          <w:szCs w:val="16"/>
        </w:rPr>
        <w:t xml:space="preserve">. </w:t>
      </w:r>
    </w:p>
  </w:endnote>
  <w:endnote w:id="30">
    <w:p w14:paraId="05301E97" w14:textId="3B8E495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Scull, A, The </w:t>
      </w:r>
      <w:r>
        <w:rPr>
          <w:rFonts w:cs="Arial"/>
          <w:sz w:val="16"/>
          <w:szCs w:val="16"/>
        </w:rPr>
        <w:t>m</w:t>
      </w:r>
      <w:r w:rsidRPr="00CB4F47">
        <w:rPr>
          <w:rFonts w:cs="Arial"/>
          <w:sz w:val="16"/>
          <w:szCs w:val="16"/>
        </w:rPr>
        <w:t xml:space="preserve">ost </w:t>
      </w:r>
      <w:r>
        <w:rPr>
          <w:rFonts w:cs="Arial"/>
          <w:sz w:val="16"/>
          <w:szCs w:val="16"/>
        </w:rPr>
        <w:t>s</w:t>
      </w:r>
      <w:r w:rsidRPr="00CB4F47">
        <w:rPr>
          <w:rFonts w:cs="Arial"/>
          <w:sz w:val="16"/>
          <w:szCs w:val="16"/>
        </w:rPr>
        <w:t xml:space="preserve">olitary of </w:t>
      </w:r>
      <w:r>
        <w:rPr>
          <w:rFonts w:cs="Arial"/>
          <w:sz w:val="16"/>
          <w:szCs w:val="16"/>
        </w:rPr>
        <w:t>a</w:t>
      </w:r>
      <w:r w:rsidRPr="00CB4F47">
        <w:rPr>
          <w:rFonts w:cs="Arial"/>
          <w:sz w:val="16"/>
          <w:szCs w:val="16"/>
        </w:rPr>
        <w:t>fflictions:</w:t>
      </w:r>
      <w:r w:rsidRPr="00CB4F47" w:rsidDel="006C5E16">
        <w:rPr>
          <w:rFonts w:cs="Arial"/>
          <w:sz w:val="16"/>
          <w:szCs w:val="16"/>
        </w:rPr>
        <w:t xml:space="preserve"> </w:t>
      </w:r>
      <w:r>
        <w:rPr>
          <w:rFonts w:cs="Arial"/>
          <w:sz w:val="16"/>
          <w:szCs w:val="16"/>
        </w:rPr>
        <w:t>M</w:t>
      </w:r>
      <w:r w:rsidRPr="00CB4F47">
        <w:rPr>
          <w:rFonts w:cs="Arial"/>
          <w:sz w:val="16"/>
          <w:szCs w:val="16"/>
        </w:rPr>
        <w:t>adness and society in Britain, 1700–1900 (Yale University Press, 2005, pages 11–12</w:t>
      </w:r>
      <w:r>
        <w:rPr>
          <w:rFonts w:cs="Arial"/>
          <w:sz w:val="16"/>
          <w:szCs w:val="16"/>
        </w:rPr>
        <w:t>)</w:t>
      </w:r>
      <w:r w:rsidRPr="00CB4F47">
        <w:rPr>
          <w:rFonts w:cs="Arial"/>
          <w:sz w:val="16"/>
          <w:szCs w:val="16"/>
        </w:rPr>
        <w:t xml:space="preserve">. </w:t>
      </w:r>
    </w:p>
  </w:endnote>
  <w:endnote w:id="31">
    <w:p w14:paraId="5FE5A017" w14:textId="3194D7B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Scull, A, The </w:t>
      </w:r>
      <w:r>
        <w:rPr>
          <w:rFonts w:cs="Arial"/>
          <w:sz w:val="16"/>
          <w:szCs w:val="16"/>
        </w:rPr>
        <w:t>m</w:t>
      </w:r>
      <w:r w:rsidRPr="00CB4F47">
        <w:rPr>
          <w:rFonts w:cs="Arial"/>
          <w:sz w:val="16"/>
          <w:szCs w:val="16"/>
        </w:rPr>
        <w:t xml:space="preserve">ost </w:t>
      </w:r>
      <w:r>
        <w:rPr>
          <w:rFonts w:cs="Arial"/>
          <w:sz w:val="16"/>
          <w:szCs w:val="16"/>
        </w:rPr>
        <w:t>s</w:t>
      </w:r>
      <w:r w:rsidRPr="00CB4F47">
        <w:rPr>
          <w:rFonts w:cs="Arial"/>
          <w:sz w:val="16"/>
          <w:szCs w:val="16"/>
        </w:rPr>
        <w:t xml:space="preserve">olitary of </w:t>
      </w:r>
      <w:r>
        <w:rPr>
          <w:rFonts w:cs="Arial"/>
          <w:sz w:val="16"/>
          <w:szCs w:val="16"/>
        </w:rPr>
        <w:t>a</w:t>
      </w:r>
      <w:r w:rsidRPr="00CB4F47">
        <w:rPr>
          <w:rFonts w:cs="Arial"/>
          <w:sz w:val="16"/>
          <w:szCs w:val="16"/>
        </w:rPr>
        <w:t>fflictions:</w:t>
      </w:r>
      <w:r w:rsidRPr="00CB4F47" w:rsidDel="006C5E16">
        <w:rPr>
          <w:rFonts w:cs="Arial"/>
          <w:sz w:val="16"/>
          <w:szCs w:val="16"/>
        </w:rPr>
        <w:t xml:space="preserve"> </w:t>
      </w:r>
      <w:r>
        <w:rPr>
          <w:rFonts w:cs="Arial"/>
          <w:sz w:val="16"/>
          <w:szCs w:val="16"/>
        </w:rPr>
        <w:t>M</w:t>
      </w:r>
      <w:r w:rsidRPr="00CB4F47">
        <w:rPr>
          <w:rFonts w:cs="Arial"/>
          <w:sz w:val="16"/>
          <w:szCs w:val="16"/>
        </w:rPr>
        <w:t>adness and society in Britain, 1700–1900 (Yale University Press, 2005, pages 27–3</w:t>
      </w:r>
      <w:r>
        <w:rPr>
          <w:rFonts w:cs="Arial"/>
          <w:sz w:val="16"/>
          <w:szCs w:val="16"/>
        </w:rPr>
        <w:t xml:space="preserve"> </w:t>
      </w:r>
      <w:r w:rsidRPr="00CB4F47">
        <w:rPr>
          <w:rFonts w:cs="Arial"/>
          <w:sz w:val="16"/>
          <w:szCs w:val="16"/>
        </w:rPr>
        <w:t>1</w:t>
      </w:r>
      <w:r>
        <w:rPr>
          <w:rFonts w:cs="Arial"/>
          <w:sz w:val="16"/>
          <w:szCs w:val="16"/>
        </w:rPr>
        <w:t>)</w:t>
      </w:r>
      <w:r w:rsidRPr="00CB4F47">
        <w:rPr>
          <w:rFonts w:cs="Arial"/>
          <w:sz w:val="16"/>
          <w:szCs w:val="16"/>
        </w:rPr>
        <w:t xml:space="preserve">. </w:t>
      </w:r>
    </w:p>
  </w:endnote>
  <w:endnote w:id="32">
    <w:p w14:paraId="2F4D13B9" w14:textId="750DD449" w:rsidR="00FE4E56" w:rsidRDefault="00FE4E56">
      <w:pPr>
        <w:pStyle w:val="EndnoteText"/>
      </w:pPr>
      <w:r>
        <w:rPr>
          <w:rStyle w:val="EndnoteReference"/>
        </w:rPr>
        <w:endnoteRef/>
      </w:r>
      <w:r>
        <w:t xml:space="preserve"> </w:t>
      </w:r>
      <w:r w:rsidRPr="00CB4F47">
        <w:rPr>
          <w:rFonts w:cs="Arial"/>
          <w:sz w:val="16"/>
          <w:szCs w:val="16"/>
        </w:rPr>
        <w:t>Wilson, AN, The Victorians (</w:t>
      </w:r>
      <w:r>
        <w:rPr>
          <w:rFonts w:cs="Arial"/>
          <w:sz w:val="16"/>
          <w:szCs w:val="16"/>
        </w:rPr>
        <w:t>Hutchinson</w:t>
      </w:r>
      <w:r w:rsidRPr="00CB4F47">
        <w:rPr>
          <w:rFonts w:cs="Arial"/>
          <w:sz w:val="16"/>
          <w:szCs w:val="16"/>
        </w:rPr>
        <w:t>, 2002, page 12</w:t>
      </w:r>
      <w:r>
        <w:rPr>
          <w:rFonts w:cs="Arial"/>
          <w:sz w:val="16"/>
          <w:szCs w:val="16"/>
        </w:rPr>
        <w:t>)</w:t>
      </w:r>
      <w:r w:rsidRPr="00CB4F47">
        <w:rPr>
          <w:rFonts w:cs="Arial"/>
          <w:sz w:val="16"/>
          <w:szCs w:val="16"/>
        </w:rPr>
        <w:t>.</w:t>
      </w:r>
    </w:p>
  </w:endnote>
  <w:endnote w:id="33">
    <w:p w14:paraId="498BAFB4" w14:textId="793B33B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Scull, A, The </w:t>
      </w:r>
      <w:r>
        <w:rPr>
          <w:rFonts w:cs="Arial"/>
          <w:sz w:val="16"/>
          <w:szCs w:val="16"/>
        </w:rPr>
        <w:t>m</w:t>
      </w:r>
      <w:r w:rsidRPr="00CB4F47">
        <w:rPr>
          <w:rFonts w:cs="Arial"/>
          <w:sz w:val="16"/>
          <w:szCs w:val="16"/>
        </w:rPr>
        <w:t xml:space="preserve">ost </w:t>
      </w:r>
      <w:r>
        <w:rPr>
          <w:rFonts w:cs="Arial"/>
          <w:sz w:val="16"/>
          <w:szCs w:val="16"/>
        </w:rPr>
        <w:t>s</w:t>
      </w:r>
      <w:r w:rsidRPr="00CB4F47">
        <w:rPr>
          <w:rFonts w:cs="Arial"/>
          <w:sz w:val="16"/>
          <w:szCs w:val="16"/>
        </w:rPr>
        <w:t xml:space="preserve">olitary of </w:t>
      </w:r>
      <w:r>
        <w:rPr>
          <w:rFonts w:cs="Arial"/>
          <w:sz w:val="16"/>
          <w:szCs w:val="16"/>
        </w:rPr>
        <w:t>a</w:t>
      </w:r>
      <w:r w:rsidRPr="00CB4F47">
        <w:rPr>
          <w:rFonts w:cs="Arial"/>
          <w:sz w:val="16"/>
          <w:szCs w:val="16"/>
        </w:rPr>
        <w:t>fflictions:</w:t>
      </w:r>
      <w:r w:rsidRPr="00CB4F47" w:rsidDel="006C5E16">
        <w:rPr>
          <w:rFonts w:cs="Arial"/>
          <w:sz w:val="16"/>
          <w:szCs w:val="16"/>
        </w:rPr>
        <w:t xml:space="preserve"> </w:t>
      </w:r>
      <w:r>
        <w:rPr>
          <w:rFonts w:cs="Arial"/>
          <w:sz w:val="16"/>
          <w:szCs w:val="16"/>
        </w:rPr>
        <w:t>M</w:t>
      </w:r>
      <w:r w:rsidRPr="00CB4F47">
        <w:rPr>
          <w:rFonts w:cs="Arial"/>
          <w:sz w:val="16"/>
          <w:szCs w:val="16"/>
        </w:rPr>
        <w:t>adness and society in Britain, 1700–1900 (Yale University Press, 2005, page 33</w:t>
      </w:r>
      <w:r>
        <w:rPr>
          <w:rFonts w:cs="Arial"/>
          <w:sz w:val="16"/>
          <w:szCs w:val="16"/>
        </w:rPr>
        <w:t>)</w:t>
      </w:r>
      <w:r w:rsidRPr="00CB4F47">
        <w:rPr>
          <w:rFonts w:cs="Arial"/>
          <w:sz w:val="16"/>
          <w:szCs w:val="16"/>
        </w:rPr>
        <w:t xml:space="preserve">. </w:t>
      </w:r>
    </w:p>
  </w:endnote>
  <w:endnote w:id="34">
    <w:p w14:paraId="670D533A" w14:textId="6F3B59D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Fairburn, M, The ideal society and its enemies: The foundations of modern New Zealand society 1850–1900 (Auckland University Press, 1989, page 233</w:t>
      </w:r>
      <w:r>
        <w:rPr>
          <w:rFonts w:cs="Arial"/>
          <w:sz w:val="16"/>
          <w:szCs w:val="16"/>
        </w:rPr>
        <w:t>)</w:t>
      </w:r>
      <w:r w:rsidRPr="00CB4F47">
        <w:rPr>
          <w:rFonts w:cs="Arial"/>
          <w:sz w:val="16"/>
          <w:szCs w:val="16"/>
        </w:rPr>
        <w:t xml:space="preserve">. </w:t>
      </w:r>
    </w:p>
  </w:endnote>
  <w:endnote w:id="35">
    <w:p w14:paraId="1CCCBDEC" w14:textId="341144DD" w:rsidR="00FE4E56" w:rsidRPr="00536E67" w:rsidRDefault="00FE4E56">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DD5764">
        <w:rPr>
          <w:sz w:val="16"/>
          <w:szCs w:val="16"/>
        </w:rPr>
        <w:t xml:space="preserve">Grinker, </w:t>
      </w:r>
      <w:r>
        <w:rPr>
          <w:sz w:val="16"/>
          <w:szCs w:val="16"/>
        </w:rPr>
        <w:t>RR</w:t>
      </w:r>
      <w:r w:rsidRPr="00DD5764">
        <w:rPr>
          <w:sz w:val="16"/>
          <w:szCs w:val="16"/>
        </w:rPr>
        <w:t>, Nobody’s normal – how culture created the stigma of mental illness (WW Norton and Company, 2021 pages 18–19</w:t>
      </w:r>
      <w:r>
        <w:rPr>
          <w:sz w:val="16"/>
          <w:szCs w:val="16"/>
        </w:rPr>
        <w:t>)</w:t>
      </w:r>
      <w:r w:rsidRPr="00DD5764">
        <w:rPr>
          <w:sz w:val="16"/>
          <w:szCs w:val="16"/>
        </w:rPr>
        <w:t>.</w:t>
      </w:r>
    </w:p>
  </w:endnote>
  <w:endnote w:id="36">
    <w:p w14:paraId="3DE22986" w14:textId="5B56215B" w:rsidR="00FE4E56" w:rsidRDefault="00FE4E56">
      <w:pPr>
        <w:pStyle w:val="EndnoteText"/>
      </w:pPr>
      <w:r>
        <w:rPr>
          <w:rStyle w:val="EndnoteReference"/>
        </w:rPr>
        <w:endnoteRef/>
      </w:r>
      <w:r>
        <w:rPr>
          <w:sz w:val="16"/>
          <w:szCs w:val="16"/>
        </w:rPr>
        <w:t xml:space="preserve"> Ashburn Clinic website, Ashburn Clinic History (accessed 29 April 2024), </w:t>
      </w:r>
      <w:hyperlink r:id="rId5" w:history="1">
        <w:r w:rsidRPr="002824A6">
          <w:rPr>
            <w:rStyle w:val="Hyperlink"/>
            <w:sz w:val="16"/>
            <w:szCs w:val="16"/>
          </w:rPr>
          <w:t>https://www.ashburn.co.nz/about/</w:t>
        </w:r>
      </w:hyperlink>
      <w:r>
        <w:rPr>
          <w:sz w:val="16"/>
          <w:szCs w:val="16"/>
        </w:rPr>
        <w:t>.</w:t>
      </w:r>
    </w:p>
  </w:endnote>
  <w:endnote w:id="37">
    <w:p w14:paraId="3FD3C698" w14:textId="4D30466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Fass, PS, “Is there a story in the history of childhood?</w:t>
      </w:r>
      <w:r>
        <w:rPr>
          <w:rFonts w:cs="Arial"/>
          <w:sz w:val="16"/>
          <w:szCs w:val="16"/>
        </w:rPr>
        <w:t>,</w:t>
      </w:r>
      <w:r w:rsidRPr="00CB4F47">
        <w:rPr>
          <w:rFonts w:cs="Arial"/>
          <w:sz w:val="16"/>
          <w:szCs w:val="16"/>
        </w:rPr>
        <w:t xml:space="preserve">” in Fass, PS (ed), The Routledge </w:t>
      </w:r>
      <w:r>
        <w:rPr>
          <w:rFonts w:cs="Arial"/>
          <w:sz w:val="16"/>
          <w:szCs w:val="16"/>
        </w:rPr>
        <w:t>h</w:t>
      </w:r>
      <w:r w:rsidRPr="00CB4F47">
        <w:rPr>
          <w:rFonts w:cs="Arial"/>
          <w:sz w:val="16"/>
          <w:szCs w:val="16"/>
        </w:rPr>
        <w:t xml:space="preserve">istory of </w:t>
      </w:r>
      <w:r>
        <w:rPr>
          <w:rFonts w:cs="Arial"/>
          <w:sz w:val="16"/>
          <w:szCs w:val="16"/>
        </w:rPr>
        <w:t>c</w:t>
      </w:r>
      <w:r w:rsidRPr="00CB4F47">
        <w:rPr>
          <w:rFonts w:cs="Arial"/>
          <w:sz w:val="16"/>
          <w:szCs w:val="16"/>
        </w:rPr>
        <w:t xml:space="preserve">hildhood in the Western </w:t>
      </w:r>
      <w:r>
        <w:rPr>
          <w:rFonts w:cs="Arial"/>
          <w:sz w:val="16"/>
          <w:szCs w:val="16"/>
        </w:rPr>
        <w:t>w</w:t>
      </w:r>
      <w:r w:rsidRPr="00CB4F47">
        <w:rPr>
          <w:rFonts w:cs="Arial"/>
          <w:sz w:val="16"/>
          <w:szCs w:val="16"/>
        </w:rPr>
        <w:t>orld (Routledge, 2013, page 4</w:t>
      </w:r>
      <w:r>
        <w:rPr>
          <w:rFonts w:cs="Arial"/>
          <w:sz w:val="16"/>
          <w:szCs w:val="16"/>
        </w:rPr>
        <w:t>)</w:t>
      </w:r>
      <w:r w:rsidRPr="00CB4F47">
        <w:rPr>
          <w:rFonts w:cs="Arial"/>
          <w:sz w:val="16"/>
          <w:szCs w:val="16"/>
        </w:rPr>
        <w:t>.</w:t>
      </w:r>
    </w:p>
  </w:endnote>
  <w:endnote w:id="38">
    <w:p w14:paraId="30D43C22" w14:textId="13E69AA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Fass, PS, “Is there a story in the history of childhood?</w:t>
      </w:r>
      <w:r>
        <w:rPr>
          <w:rFonts w:cs="Arial"/>
          <w:sz w:val="16"/>
          <w:szCs w:val="16"/>
        </w:rPr>
        <w:t>,</w:t>
      </w:r>
      <w:r w:rsidRPr="00CB4F47">
        <w:rPr>
          <w:rFonts w:cs="Arial"/>
          <w:sz w:val="16"/>
          <w:szCs w:val="16"/>
        </w:rPr>
        <w:t xml:space="preserve">” in Fass, PS (ed), The Routledge </w:t>
      </w:r>
      <w:r>
        <w:rPr>
          <w:rFonts w:cs="Arial"/>
          <w:sz w:val="16"/>
          <w:szCs w:val="16"/>
        </w:rPr>
        <w:t>h</w:t>
      </w:r>
      <w:r w:rsidRPr="00CB4F47">
        <w:rPr>
          <w:rFonts w:cs="Arial"/>
          <w:sz w:val="16"/>
          <w:szCs w:val="16"/>
        </w:rPr>
        <w:t xml:space="preserve">istory of </w:t>
      </w:r>
      <w:r>
        <w:rPr>
          <w:rFonts w:cs="Arial"/>
          <w:sz w:val="16"/>
          <w:szCs w:val="16"/>
        </w:rPr>
        <w:t>c</w:t>
      </w:r>
      <w:r w:rsidRPr="00CB4F47">
        <w:rPr>
          <w:rFonts w:cs="Arial"/>
          <w:sz w:val="16"/>
          <w:szCs w:val="16"/>
        </w:rPr>
        <w:t xml:space="preserve">hildhood in the Western </w:t>
      </w:r>
      <w:r>
        <w:rPr>
          <w:rFonts w:cs="Arial"/>
          <w:sz w:val="16"/>
          <w:szCs w:val="16"/>
        </w:rPr>
        <w:t>w</w:t>
      </w:r>
      <w:r w:rsidRPr="00CB4F47">
        <w:rPr>
          <w:rFonts w:cs="Arial"/>
          <w:sz w:val="16"/>
          <w:szCs w:val="16"/>
        </w:rPr>
        <w:t>orld (Routledge, 2013, page 5</w:t>
      </w:r>
      <w:r>
        <w:rPr>
          <w:rFonts w:cs="Arial"/>
          <w:sz w:val="16"/>
          <w:szCs w:val="16"/>
        </w:rPr>
        <w:t>)</w:t>
      </w:r>
      <w:r w:rsidRPr="00CB4F47">
        <w:rPr>
          <w:rFonts w:cs="Arial"/>
          <w:sz w:val="16"/>
          <w:szCs w:val="16"/>
        </w:rPr>
        <w:t>.</w:t>
      </w:r>
    </w:p>
  </w:endnote>
  <w:endnote w:id="39">
    <w:p w14:paraId="35BEA6FE" w14:textId="44CE5EE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Fass, PS, “Is there a story in the history of childhood?</w:t>
      </w:r>
      <w:r>
        <w:rPr>
          <w:rFonts w:cs="Arial"/>
          <w:sz w:val="16"/>
          <w:szCs w:val="16"/>
        </w:rPr>
        <w:t>,</w:t>
      </w:r>
      <w:r w:rsidRPr="00CB4F47">
        <w:rPr>
          <w:rFonts w:cs="Arial"/>
          <w:sz w:val="16"/>
          <w:szCs w:val="16"/>
        </w:rPr>
        <w:t xml:space="preserve">” in Fass, PS (ed), The Routledge </w:t>
      </w:r>
      <w:r>
        <w:rPr>
          <w:rFonts w:cs="Arial"/>
          <w:sz w:val="16"/>
          <w:szCs w:val="16"/>
        </w:rPr>
        <w:t>h</w:t>
      </w:r>
      <w:r w:rsidRPr="00CB4F47">
        <w:rPr>
          <w:rFonts w:cs="Arial"/>
          <w:sz w:val="16"/>
          <w:szCs w:val="16"/>
        </w:rPr>
        <w:t xml:space="preserve">istory of </w:t>
      </w:r>
      <w:r>
        <w:rPr>
          <w:rFonts w:cs="Arial"/>
          <w:sz w:val="16"/>
          <w:szCs w:val="16"/>
        </w:rPr>
        <w:t>c</w:t>
      </w:r>
      <w:r w:rsidRPr="00CB4F47">
        <w:rPr>
          <w:rFonts w:cs="Arial"/>
          <w:sz w:val="16"/>
          <w:szCs w:val="16"/>
        </w:rPr>
        <w:t xml:space="preserve">hildhood in the Western </w:t>
      </w:r>
      <w:r>
        <w:rPr>
          <w:rFonts w:cs="Arial"/>
          <w:sz w:val="16"/>
          <w:szCs w:val="16"/>
        </w:rPr>
        <w:t>w</w:t>
      </w:r>
      <w:r w:rsidRPr="00CB4F47">
        <w:rPr>
          <w:rFonts w:cs="Arial"/>
          <w:sz w:val="16"/>
          <w:szCs w:val="16"/>
        </w:rPr>
        <w:t>orld (Routledge, 2013, page 12</w:t>
      </w:r>
      <w:r>
        <w:rPr>
          <w:rFonts w:cs="Arial"/>
          <w:sz w:val="16"/>
          <w:szCs w:val="16"/>
        </w:rPr>
        <w:t>)</w:t>
      </w:r>
      <w:r w:rsidRPr="00CB4F47">
        <w:rPr>
          <w:rFonts w:cs="Arial"/>
          <w:sz w:val="16"/>
          <w:szCs w:val="16"/>
        </w:rPr>
        <w:t>.</w:t>
      </w:r>
    </w:p>
  </w:endnote>
  <w:endnote w:id="40">
    <w:p w14:paraId="2D78FE94" w14:textId="3262584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Fass, PS, “Is there a story in the history of childhood?</w:t>
      </w:r>
      <w:r>
        <w:rPr>
          <w:rFonts w:cs="Arial"/>
          <w:sz w:val="16"/>
          <w:szCs w:val="16"/>
        </w:rPr>
        <w:t>,”</w:t>
      </w:r>
      <w:r w:rsidRPr="00CB4F47">
        <w:rPr>
          <w:rFonts w:cs="Arial"/>
          <w:sz w:val="16"/>
          <w:szCs w:val="16"/>
        </w:rPr>
        <w:t xml:space="preserve"> in Fass, PS (ed), The Routledge </w:t>
      </w:r>
      <w:r>
        <w:rPr>
          <w:rFonts w:cs="Arial"/>
          <w:sz w:val="16"/>
          <w:szCs w:val="16"/>
        </w:rPr>
        <w:t>h</w:t>
      </w:r>
      <w:r w:rsidRPr="00CB4F47">
        <w:rPr>
          <w:rFonts w:cs="Arial"/>
          <w:sz w:val="16"/>
          <w:szCs w:val="16"/>
        </w:rPr>
        <w:t xml:space="preserve">istory of </w:t>
      </w:r>
      <w:r>
        <w:rPr>
          <w:rFonts w:cs="Arial"/>
          <w:sz w:val="16"/>
          <w:szCs w:val="16"/>
        </w:rPr>
        <w:t>c</w:t>
      </w:r>
      <w:r w:rsidRPr="00CB4F47">
        <w:rPr>
          <w:rFonts w:cs="Arial"/>
          <w:sz w:val="16"/>
          <w:szCs w:val="16"/>
        </w:rPr>
        <w:t xml:space="preserve">hildhood in the Western </w:t>
      </w:r>
      <w:r>
        <w:rPr>
          <w:rFonts w:cs="Arial"/>
          <w:sz w:val="16"/>
          <w:szCs w:val="16"/>
        </w:rPr>
        <w:t>w</w:t>
      </w:r>
      <w:r w:rsidRPr="00CB4F47">
        <w:rPr>
          <w:rFonts w:cs="Arial"/>
          <w:sz w:val="16"/>
          <w:szCs w:val="16"/>
        </w:rPr>
        <w:t>orld (Routledge, 2013, page 7</w:t>
      </w:r>
      <w:r>
        <w:rPr>
          <w:rFonts w:cs="Arial"/>
          <w:sz w:val="16"/>
          <w:szCs w:val="16"/>
        </w:rPr>
        <w:t>)</w:t>
      </w:r>
      <w:r w:rsidRPr="00CB4F47">
        <w:rPr>
          <w:rFonts w:cs="Arial"/>
          <w:sz w:val="16"/>
          <w:szCs w:val="16"/>
        </w:rPr>
        <w:t>.</w:t>
      </w:r>
    </w:p>
  </w:endnote>
  <w:endnote w:id="41">
    <w:p w14:paraId="01448576" w14:textId="27A8732F" w:rsidR="00FE4E56" w:rsidRPr="00CB4F47" w:rsidRDefault="00FE4E56" w:rsidP="000463A9">
      <w:pPr>
        <w:pStyle w:val="EndnoteText"/>
        <w:spacing w:line="20" w:lineRule="atLeast"/>
        <w:rPr>
          <w:lang w:eastAsia="en-US"/>
        </w:rPr>
      </w:pPr>
      <w:r w:rsidRPr="000463A9">
        <w:rPr>
          <w:rStyle w:val="StyleFootnoteReferenceFagoFunotenzeichenFagoFunotenzeichen"/>
          <w:sz w:val="16"/>
          <w:szCs w:val="16"/>
        </w:rPr>
        <w:endnoteRef/>
      </w:r>
      <w:r w:rsidRPr="00BC55E9">
        <w:rPr>
          <w:szCs w:val="16"/>
        </w:rPr>
        <w:t xml:space="preserve"> </w:t>
      </w:r>
      <w:r w:rsidRPr="00BC55E9">
        <w:rPr>
          <w:rFonts w:cs="Arial"/>
          <w:sz w:val="16"/>
          <w:szCs w:val="16"/>
        </w:rPr>
        <w:t>Armitage, A, Comparing the policy of Aboriginal assimilation: Australia, Canada, and New Zealand (University of British Columbia Press, 1995, page 8).</w:t>
      </w:r>
    </w:p>
  </w:endnote>
  <w:endnote w:id="42">
    <w:p w14:paraId="3CC0B956" w14:textId="2FE9FE8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policy of Aboriginal assimilation: Australia, Canada, and New Zealand (University of British Columbia Press, 1995, page 186</w:t>
      </w:r>
      <w:r>
        <w:rPr>
          <w:rFonts w:cs="Arial"/>
          <w:sz w:val="16"/>
          <w:szCs w:val="16"/>
        </w:rPr>
        <w:t>)</w:t>
      </w:r>
      <w:r w:rsidRPr="00CB4F47">
        <w:rPr>
          <w:rFonts w:cs="Arial"/>
          <w:sz w:val="16"/>
          <w:szCs w:val="16"/>
        </w:rPr>
        <w:t>.</w:t>
      </w:r>
    </w:p>
  </w:endnote>
  <w:endnote w:id="43">
    <w:p w14:paraId="4892FE4C" w14:textId="349689F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policy of Aboriginal assimilation: Australia, Canada, and New Zealand</w:t>
      </w:r>
      <w:r w:rsidRPr="00CB4F47">
        <w:rPr>
          <w:rFonts w:cs="Arial"/>
          <w:b/>
          <w:sz w:val="16"/>
          <w:szCs w:val="16"/>
        </w:rPr>
        <w:t xml:space="preserve"> </w:t>
      </w:r>
      <w:r w:rsidRPr="00CB4F47">
        <w:rPr>
          <w:rFonts w:cs="Arial"/>
          <w:sz w:val="16"/>
          <w:szCs w:val="16"/>
        </w:rPr>
        <w:t>(University of British Columbia Press, 1995, pages 196 and 204</w:t>
      </w:r>
      <w:r>
        <w:rPr>
          <w:rFonts w:cs="Arial"/>
          <w:sz w:val="16"/>
          <w:szCs w:val="16"/>
        </w:rPr>
        <w:t>)</w:t>
      </w:r>
      <w:r w:rsidRPr="00CB4F47">
        <w:rPr>
          <w:rFonts w:cs="Arial"/>
          <w:sz w:val="16"/>
          <w:szCs w:val="16"/>
        </w:rPr>
        <w:t>.</w:t>
      </w:r>
    </w:p>
  </w:endnote>
  <w:endnote w:id="44">
    <w:p w14:paraId="672B2FFE" w14:textId="4F86DBE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Wilson, AN, The Victorians (</w:t>
      </w:r>
      <w:r>
        <w:rPr>
          <w:rFonts w:cs="Arial"/>
          <w:sz w:val="16"/>
          <w:szCs w:val="16"/>
        </w:rPr>
        <w:t>Hutchinson</w:t>
      </w:r>
      <w:r w:rsidRPr="00CB4F47">
        <w:rPr>
          <w:rFonts w:cs="Arial"/>
          <w:sz w:val="16"/>
          <w:szCs w:val="16"/>
        </w:rPr>
        <w:t>, 2002, page 12</w:t>
      </w:r>
      <w:r>
        <w:rPr>
          <w:rFonts w:cs="Arial"/>
          <w:sz w:val="16"/>
          <w:szCs w:val="16"/>
        </w:rPr>
        <w:t>)</w:t>
      </w:r>
      <w:r w:rsidRPr="00CB4F47">
        <w:rPr>
          <w:rFonts w:cs="Arial"/>
          <w:sz w:val="16"/>
          <w:szCs w:val="16"/>
        </w:rPr>
        <w:t>.</w:t>
      </w:r>
    </w:p>
  </w:endnote>
  <w:endnote w:id="45">
    <w:p w14:paraId="35693E80" w14:textId="03AEE56B" w:rsidR="00FE4E56" w:rsidRPr="00CB4F47" w:rsidRDefault="00FE4E56" w:rsidP="00C57877">
      <w:pPr>
        <w:pStyle w:val="EndnoteText"/>
        <w:spacing w:line="20" w:lineRule="atLeast"/>
        <w:rPr>
          <w:rFonts w:cs="Arial"/>
          <w:sz w:val="16"/>
          <w:szCs w:val="16"/>
          <w:u w:val="single"/>
        </w:rPr>
      </w:pPr>
      <w:r w:rsidRPr="00536E67">
        <w:rPr>
          <w:rStyle w:val="StyleFootnoteReferenceFagoFunotenzeichenFagoFunotenzeichen"/>
          <w:sz w:val="16"/>
          <w:szCs w:val="16"/>
        </w:rPr>
        <w:endnoteRef/>
      </w:r>
      <w:r w:rsidRPr="00CB4F47">
        <w:rPr>
          <w:rFonts w:cs="Arial"/>
          <w:sz w:val="16"/>
          <w:szCs w:val="16"/>
        </w:rPr>
        <w:t xml:space="preserve"> UK Parliament, Poor Law reform website (accessed 28 November 2023),</w:t>
      </w:r>
      <w:r w:rsidRPr="00CB4F47">
        <w:rPr>
          <w:sz w:val="16"/>
          <w:szCs w:val="16"/>
        </w:rPr>
        <w:t xml:space="preserve"> </w:t>
      </w:r>
      <w:hyperlink r:id="rId6" w:history="1">
        <w:r w:rsidRPr="00CB4F47">
          <w:rPr>
            <w:rStyle w:val="Hyperlink"/>
            <w:rFonts w:cs="Arial"/>
            <w:sz w:val="16"/>
            <w:szCs w:val="16"/>
          </w:rPr>
          <w:t>https://www.parliament.uk/about/living-heritage/transformingsociety/livinglearning/19thcentury/overview/poorlaw/</w:t>
        </w:r>
      </w:hyperlink>
      <w:r w:rsidRPr="00CB4F47">
        <w:rPr>
          <w:rFonts w:cs="Arial"/>
          <w:sz w:val="16"/>
          <w:szCs w:val="16"/>
        </w:rPr>
        <w:t>.</w:t>
      </w:r>
    </w:p>
  </w:endnote>
  <w:endnote w:id="46">
    <w:p w14:paraId="00935FF1" w14:textId="3F904ED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Derin, B, The </w:t>
      </w:r>
      <w:r>
        <w:rPr>
          <w:rFonts w:cs="Arial"/>
          <w:sz w:val="16"/>
          <w:szCs w:val="16"/>
        </w:rPr>
        <w:t>n</w:t>
      </w:r>
      <w:r w:rsidRPr="00CB4F47">
        <w:rPr>
          <w:rFonts w:cs="Arial"/>
          <w:sz w:val="16"/>
          <w:szCs w:val="16"/>
        </w:rPr>
        <w:t xml:space="preserve">ineteenth </w:t>
      </w:r>
      <w:r>
        <w:rPr>
          <w:rFonts w:cs="Arial"/>
          <w:sz w:val="16"/>
          <w:szCs w:val="16"/>
        </w:rPr>
        <w:t>c</w:t>
      </w:r>
      <w:r w:rsidRPr="00CB4F47">
        <w:rPr>
          <w:rFonts w:cs="Arial"/>
          <w:sz w:val="16"/>
          <w:szCs w:val="16"/>
        </w:rPr>
        <w:t>entury British workhouse: Mission not accomplished (Dominican University of California, 2019, page 10</w:t>
      </w:r>
      <w:r>
        <w:rPr>
          <w:rFonts w:cs="Arial"/>
          <w:sz w:val="16"/>
          <w:szCs w:val="16"/>
        </w:rPr>
        <w:t>)</w:t>
      </w:r>
      <w:r w:rsidRPr="00CB4F47">
        <w:rPr>
          <w:rFonts w:cs="Arial"/>
          <w:sz w:val="16"/>
          <w:szCs w:val="16"/>
        </w:rPr>
        <w:t>.</w:t>
      </w:r>
    </w:p>
  </w:endnote>
  <w:endnote w:id="47">
    <w:p w14:paraId="30D4536E" w14:textId="719A81E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Policy of Aboriginal assimilation: Australia</w:t>
      </w:r>
      <w:r w:rsidRPr="00CB4F47">
        <w:rPr>
          <w:rFonts w:cs="Arial"/>
          <w:b/>
          <w:sz w:val="16"/>
          <w:szCs w:val="16"/>
        </w:rPr>
        <w:t>,</w:t>
      </w:r>
      <w:r w:rsidRPr="00CB4F47">
        <w:rPr>
          <w:rFonts w:cs="Arial"/>
          <w:sz w:val="16"/>
          <w:szCs w:val="16"/>
        </w:rPr>
        <w:t xml:space="preserve"> Canada, and New Zealand</w:t>
      </w:r>
      <w:r w:rsidRPr="00CB4F47">
        <w:rPr>
          <w:rFonts w:cs="Arial"/>
          <w:b/>
          <w:sz w:val="16"/>
          <w:szCs w:val="16"/>
        </w:rPr>
        <w:t xml:space="preserve"> </w:t>
      </w:r>
      <w:r w:rsidRPr="00CB4F47">
        <w:rPr>
          <w:rFonts w:cs="Arial"/>
          <w:sz w:val="16"/>
          <w:szCs w:val="16"/>
        </w:rPr>
        <w:t>(University of British Columbia Press, 1995, page 3</w:t>
      </w:r>
      <w:r>
        <w:rPr>
          <w:rFonts w:cs="Arial"/>
          <w:sz w:val="16"/>
          <w:szCs w:val="16"/>
        </w:rPr>
        <w:t>)</w:t>
      </w:r>
      <w:r w:rsidRPr="00CB4F47">
        <w:rPr>
          <w:rFonts w:cs="Arial"/>
          <w:sz w:val="16"/>
          <w:szCs w:val="16"/>
        </w:rPr>
        <w:t>.</w:t>
      </w:r>
    </w:p>
  </w:endnote>
  <w:endnote w:id="48">
    <w:p w14:paraId="72826A49" w14:textId="27CD7E22" w:rsidR="00FE4E56" w:rsidRDefault="00FE4E56">
      <w:pPr>
        <w:pStyle w:val="EndnoteText"/>
      </w:pPr>
      <w:r>
        <w:rPr>
          <w:rStyle w:val="EndnoteReference"/>
        </w:rPr>
        <w:endnoteRef/>
      </w:r>
      <w:r>
        <w:t xml:space="preserve"> </w:t>
      </w:r>
      <w:r w:rsidRPr="004919C1">
        <w:rPr>
          <w:sz w:val="16"/>
          <w:szCs w:val="16"/>
        </w:rPr>
        <w:t>Garlick, T, Social developments: An organisational history of the Ministry of Social Development and its predecessors, 1860–2011 (Steele Roberts Aotearoa, 2012, page 2</w:t>
      </w:r>
      <w:r>
        <w:rPr>
          <w:sz w:val="16"/>
          <w:szCs w:val="16"/>
        </w:rPr>
        <w:t>4)</w:t>
      </w:r>
      <w:r w:rsidRPr="004919C1">
        <w:rPr>
          <w:sz w:val="16"/>
          <w:szCs w:val="16"/>
        </w:rPr>
        <w:t>.</w:t>
      </w:r>
    </w:p>
  </w:endnote>
  <w:endnote w:id="49">
    <w:p w14:paraId="4FA1FBFD" w14:textId="6F0725B9" w:rsidR="00FE4E56" w:rsidRDefault="00FE4E56">
      <w:pPr>
        <w:pStyle w:val="EndnoteText"/>
      </w:pPr>
      <w:r>
        <w:rPr>
          <w:rStyle w:val="EndnoteReference"/>
        </w:rPr>
        <w:endnoteRef/>
      </w:r>
      <w:r>
        <w:t xml:space="preserve"> </w:t>
      </w:r>
      <w:r w:rsidRPr="004919C1">
        <w:rPr>
          <w:sz w:val="16"/>
          <w:szCs w:val="16"/>
        </w:rPr>
        <w:t>Garlick, T, Social developments: An organisational history of the Ministry of Social Development and its predecessors, 1860–2011 (Steele Roberts Aotearoa, 2012, page 2</w:t>
      </w:r>
      <w:r>
        <w:rPr>
          <w:sz w:val="16"/>
          <w:szCs w:val="16"/>
        </w:rPr>
        <w:t>7)</w:t>
      </w:r>
      <w:r w:rsidRPr="004919C1">
        <w:rPr>
          <w:sz w:val="16"/>
          <w:szCs w:val="16"/>
        </w:rPr>
        <w:t>.</w:t>
      </w:r>
    </w:p>
  </w:endnote>
  <w:endnote w:id="50">
    <w:p w14:paraId="5C916340" w14:textId="52C12E5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Arial" w:cs="Arial"/>
          <w:sz w:val="16"/>
          <w:szCs w:val="16"/>
        </w:rPr>
        <w:t>Lineham, PJ, “Trends in religious history in New Zealand: From institutional to social history</w:t>
      </w:r>
      <w:r>
        <w:rPr>
          <w:rFonts w:eastAsia="Arial" w:cs="Arial"/>
          <w:sz w:val="16"/>
          <w:szCs w:val="16"/>
        </w:rPr>
        <w:t>,</w:t>
      </w:r>
      <w:r w:rsidRPr="00CB4F47">
        <w:rPr>
          <w:rFonts w:eastAsia="Arial" w:cs="Arial"/>
          <w:sz w:val="16"/>
          <w:szCs w:val="16"/>
        </w:rPr>
        <w:t>” History Compass 12(4)</w:t>
      </w:r>
      <w:r>
        <w:rPr>
          <w:rFonts w:eastAsia="Arial" w:cs="Arial"/>
          <w:sz w:val="16"/>
          <w:szCs w:val="16"/>
        </w:rPr>
        <w:t>,</w:t>
      </w:r>
      <w:r w:rsidRPr="00CB4F47">
        <w:rPr>
          <w:rFonts w:eastAsia="Arial" w:cs="Arial"/>
          <w:sz w:val="16"/>
          <w:szCs w:val="16"/>
        </w:rPr>
        <w:t xml:space="preserve"> (2014, </w:t>
      </w:r>
      <w:r w:rsidRPr="00CB4F47">
        <w:rPr>
          <w:rFonts w:cs="Arial"/>
          <w:sz w:val="16"/>
          <w:szCs w:val="16"/>
        </w:rPr>
        <w:t>pages</w:t>
      </w:r>
      <w:r w:rsidRPr="00CB4F47">
        <w:rPr>
          <w:rFonts w:eastAsia="Arial" w:cs="Arial"/>
          <w:sz w:val="16"/>
          <w:szCs w:val="16"/>
        </w:rPr>
        <w:t xml:space="preserve"> 333</w:t>
      </w:r>
      <w:r w:rsidRPr="00CB4F47">
        <w:rPr>
          <w:rFonts w:cs="Arial"/>
          <w:sz w:val="16"/>
          <w:szCs w:val="16"/>
        </w:rPr>
        <w:t>–</w:t>
      </w:r>
      <w:r w:rsidRPr="00CB4F47">
        <w:rPr>
          <w:rFonts w:eastAsia="Arial" w:cs="Arial"/>
          <w:sz w:val="16"/>
          <w:szCs w:val="16"/>
        </w:rPr>
        <w:t xml:space="preserve">343, </w:t>
      </w:r>
      <w:r w:rsidRPr="00CB4F47">
        <w:rPr>
          <w:rFonts w:cs="Arial"/>
          <w:sz w:val="16"/>
          <w:szCs w:val="16"/>
        </w:rPr>
        <w:t>page</w:t>
      </w:r>
      <w:r w:rsidRPr="00CB4F47">
        <w:rPr>
          <w:rFonts w:eastAsia="Arial" w:cs="Arial"/>
          <w:sz w:val="16"/>
          <w:szCs w:val="16"/>
        </w:rPr>
        <w:t xml:space="preserve"> 336</w:t>
      </w:r>
      <w:r>
        <w:rPr>
          <w:rFonts w:eastAsia="Arial" w:cs="Arial"/>
          <w:sz w:val="16"/>
          <w:szCs w:val="16"/>
        </w:rPr>
        <w:t>)</w:t>
      </w:r>
      <w:r w:rsidRPr="00CB4F47">
        <w:rPr>
          <w:rFonts w:eastAsia="Arial" w:cs="Arial"/>
          <w:sz w:val="16"/>
          <w:szCs w:val="16"/>
        </w:rPr>
        <w:t>.</w:t>
      </w:r>
    </w:p>
  </w:endnote>
  <w:endnote w:id="51">
    <w:p w14:paraId="66943C7E" w14:textId="7AB573F7" w:rsidR="00FE4E56" w:rsidRDefault="00FE4E56">
      <w:pPr>
        <w:pStyle w:val="EndnoteText"/>
      </w:pPr>
      <w:r w:rsidRPr="00536E67">
        <w:rPr>
          <w:rStyle w:val="EndnoteReference"/>
          <w:sz w:val="16"/>
          <w:szCs w:val="18"/>
        </w:rPr>
        <w:endnoteRef/>
      </w:r>
      <w:r w:rsidRPr="00536E67">
        <w:rPr>
          <w:sz w:val="16"/>
          <w:szCs w:val="18"/>
        </w:rPr>
        <w:t xml:space="preserve"> Clarke, A, Orphanages and children's homes in Otago and Southland (University of Otago 2013, page 13).</w:t>
      </w:r>
    </w:p>
  </w:endnote>
  <w:endnote w:id="52">
    <w:p w14:paraId="23D5FBF4" w14:textId="590EAA4A" w:rsidR="00FE4E56" w:rsidRPr="00CB4F47" w:rsidRDefault="00FE4E56" w:rsidP="00C57877">
      <w:pPr>
        <w:pStyle w:val="EndnoteText"/>
        <w:tabs>
          <w:tab w:val="left" w:pos="6096"/>
        </w:tabs>
        <w:spacing w:line="20" w:lineRule="atLeast"/>
        <w:rPr>
          <w:rFonts w:cs="Arial"/>
          <w:color w:val="1F546B" w:themeColor="text2"/>
          <w:sz w:val="16"/>
          <w:szCs w:val="16"/>
          <w:u w:val="single"/>
        </w:rPr>
      </w:pPr>
      <w:r w:rsidRPr="00536E67">
        <w:rPr>
          <w:rStyle w:val="StyleFootnoteReferenceFagoFunotenzeichenFagoFunotenzeichen"/>
          <w:sz w:val="16"/>
          <w:szCs w:val="16"/>
        </w:rPr>
        <w:endnoteRef/>
      </w:r>
      <w:r w:rsidRPr="00CB4F47">
        <w:rPr>
          <w:rFonts w:cs="Arial"/>
          <w:sz w:val="16"/>
          <w:szCs w:val="16"/>
        </w:rPr>
        <w:t xml:space="preserve"> Bloy, M, The 1601 Elizabethan Poor Law (The Victorian Web</w:t>
      </w:r>
      <w:r>
        <w:rPr>
          <w:rFonts w:cs="Arial"/>
          <w:sz w:val="16"/>
          <w:szCs w:val="16"/>
        </w:rPr>
        <w:t>,</w:t>
      </w:r>
      <w:r w:rsidRPr="00CB4F47">
        <w:rPr>
          <w:rFonts w:cs="Arial"/>
          <w:sz w:val="16"/>
          <w:szCs w:val="16"/>
        </w:rPr>
        <w:t xml:space="preserve"> 2002).</w:t>
      </w:r>
    </w:p>
  </w:endnote>
  <w:endnote w:id="53">
    <w:p w14:paraId="20D80C0E" w14:textId="6EFFBC1C" w:rsidR="00FE4E56" w:rsidRPr="004919C1" w:rsidRDefault="00FE4E56">
      <w:pPr>
        <w:pStyle w:val="EndnoteText"/>
        <w:rPr>
          <w:sz w:val="16"/>
          <w:szCs w:val="16"/>
        </w:rPr>
      </w:pPr>
      <w:r w:rsidRPr="00536E67">
        <w:rPr>
          <w:rStyle w:val="StyleFootnoteReferenceFagoFunotenzeichenFagoFunotenzeichen"/>
          <w:sz w:val="16"/>
          <w:szCs w:val="16"/>
        </w:rPr>
        <w:endnoteRef/>
      </w:r>
      <w:r w:rsidRPr="004919C1">
        <w:rPr>
          <w:sz w:val="16"/>
          <w:szCs w:val="16"/>
        </w:rPr>
        <w:t xml:space="preserve"> Garlick, T, Social developments: An organisational history of the Ministry of Social Development and its predecessors, 1860–2011 (Steele Roberts Aotearoa, 2012, page 24</w:t>
      </w:r>
      <w:r>
        <w:rPr>
          <w:sz w:val="16"/>
          <w:szCs w:val="16"/>
        </w:rPr>
        <w:t>)</w:t>
      </w:r>
      <w:r w:rsidRPr="004919C1">
        <w:rPr>
          <w:sz w:val="16"/>
          <w:szCs w:val="16"/>
        </w:rPr>
        <w:t>.</w:t>
      </w:r>
    </w:p>
  </w:endnote>
  <w:endnote w:id="54">
    <w:p w14:paraId="2D82BEB6" w14:textId="77777777" w:rsidR="00FE4E56" w:rsidRPr="007B2BA9" w:rsidRDefault="00FE4E56" w:rsidP="00243A8B">
      <w:pPr>
        <w:pStyle w:val="EndnoteText"/>
        <w:rPr>
          <w:sz w:val="16"/>
          <w:szCs w:val="16"/>
        </w:rPr>
      </w:pPr>
      <w:r w:rsidRPr="00536E67">
        <w:rPr>
          <w:rStyle w:val="StyleFootnoteReferenceFagoFunotenzeichenFagoFunotenzeichen"/>
          <w:sz w:val="16"/>
          <w:szCs w:val="16"/>
        </w:rPr>
        <w:endnoteRef/>
      </w:r>
      <w:r w:rsidRPr="007B2BA9">
        <w:rPr>
          <w:sz w:val="16"/>
          <w:szCs w:val="16"/>
        </w:rPr>
        <w:t xml:space="preserve"> </w:t>
      </w:r>
      <w:r w:rsidRPr="00FD11CA">
        <w:rPr>
          <w:rFonts w:cs="Arial"/>
          <w:sz w:val="16"/>
          <w:szCs w:val="16"/>
        </w:rPr>
        <w:t>Dalley, B, Family matters: Child welfare in twentieth-century New Zealand (Auckland University Press, 1998, page 16</w:t>
      </w:r>
      <w:r>
        <w:rPr>
          <w:rFonts w:cs="Arial"/>
          <w:sz w:val="16"/>
          <w:szCs w:val="16"/>
        </w:rPr>
        <w:t>)</w:t>
      </w:r>
      <w:r w:rsidRPr="00FD11CA">
        <w:rPr>
          <w:rFonts w:cs="Arial"/>
          <w:sz w:val="16"/>
          <w:szCs w:val="16"/>
        </w:rPr>
        <w:t>.</w:t>
      </w:r>
    </w:p>
  </w:endnote>
  <w:endnote w:id="55">
    <w:p w14:paraId="0BDB06CA" w14:textId="581CB0ED" w:rsidR="00FE4E56" w:rsidRPr="00771FAC" w:rsidRDefault="00FE4E56" w:rsidP="00243A8B">
      <w:pPr>
        <w:pStyle w:val="EndnoteText"/>
        <w:rPr>
          <w:sz w:val="16"/>
          <w:szCs w:val="16"/>
        </w:rPr>
      </w:pPr>
      <w:r w:rsidRPr="00536E67">
        <w:rPr>
          <w:rStyle w:val="StyleFootnoteReferenceFagoFunotenzeichenFagoFunotenzeichen"/>
          <w:sz w:val="16"/>
          <w:szCs w:val="16"/>
        </w:rPr>
        <w:endnoteRef/>
      </w:r>
      <w:r w:rsidRPr="00771FAC">
        <w:rPr>
          <w:sz w:val="16"/>
          <w:szCs w:val="16"/>
        </w:rPr>
        <w:t xml:space="preserve"> </w:t>
      </w:r>
      <w:r w:rsidRPr="001A789E">
        <w:rPr>
          <w:sz w:val="16"/>
          <w:szCs w:val="16"/>
        </w:rPr>
        <w:t xml:space="preserve">Neglected and Criminal Children Act 1867, </w:t>
      </w:r>
      <w:r>
        <w:rPr>
          <w:sz w:val="16"/>
          <w:szCs w:val="16"/>
        </w:rPr>
        <w:t>section 13</w:t>
      </w:r>
      <w:r w:rsidRPr="001A789E">
        <w:rPr>
          <w:sz w:val="16"/>
          <w:szCs w:val="16"/>
        </w:rPr>
        <w:t>.</w:t>
      </w:r>
    </w:p>
  </w:endnote>
  <w:endnote w:id="56">
    <w:p w14:paraId="6CA02F79" w14:textId="77777777" w:rsidR="00FE4E56" w:rsidRPr="00771FAC" w:rsidRDefault="00FE4E56" w:rsidP="00243A8B">
      <w:pPr>
        <w:pStyle w:val="EndnoteText"/>
        <w:rPr>
          <w:sz w:val="16"/>
          <w:szCs w:val="16"/>
        </w:rPr>
      </w:pPr>
      <w:r w:rsidRPr="00536E67">
        <w:rPr>
          <w:rStyle w:val="StyleFootnoteReferenceFagoFunotenzeichenFagoFunotenzeichen"/>
          <w:sz w:val="16"/>
          <w:szCs w:val="16"/>
        </w:rPr>
        <w:endnoteRef/>
      </w:r>
      <w:r w:rsidRPr="00771FAC">
        <w:rPr>
          <w:sz w:val="16"/>
          <w:szCs w:val="16"/>
        </w:rPr>
        <w:t xml:space="preserve"> </w:t>
      </w:r>
      <w:r w:rsidRPr="00FD11CA">
        <w:rPr>
          <w:rFonts w:cs="Arial"/>
          <w:sz w:val="16"/>
          <w:szCs w:val="16"/>
        </w:rPr>
        <w:t>Dalley, B, Family matters: Child welfare in twentieth-century New Zealand (Auckland University Press, 1998, page 17</w:t>
      </w:r>
      <w:r>
        <w:rPr>
          <w:rFonts w:cs="Arial"/>
          <w:sz w:val="16"/>
          <w:szCs w:val="16"/>
        </w:rPr>
        <w:t>)</w:t>
      </w:r>
      <w:r w:rsidRPr="00FD11CA">
        <w:rPr>
          <w:rFonts w:cs="Arial"/>
          <w:sz w:val="16"/>
          <w:szCs w:val="16"/>
        </w:rPr>
        <w:t>.</w:t>
      </w:r>
    </w:p>
  </w:endnote>
  <w:endnote w:id="57">
    <w:p w14:paraId="7539EF4B" w14:textId="57CA0D8E" w:rsidR="00FE4E56" w:rsidRPr="004F5209" w:rsidRDefault="00FE4E56">
      <w:pPr>
        <w:pStyle w:val="EndnoteText"/>
        <w:rPr>
          <w:sz w:val="16"/>
          <w:szCs w:val="16"/>
        </w:rPr>
      </w:pPr>
      <w:r w:rsidRPr="00536E67">
        <w:rPr>
          <w:rStyle w:val="StyleFootnoteReferenceFagoFunotenzeichenFagoFunotenzeichen"/>
          <w:sz w:val="16"/>
          <w:szCs w:val="16"/>
        </w:rPr>
        <w:endnoteRef/>
      </w:r>
      <w:r w:rsidRPr="004F5209">
        <w:rPr>
          <w:sz w:val="16"/>
          <w:szCs w:val="16"/>
        </w:rPr>
        <w:t xml:space="preserve"> Tennant, M, Paupers &amp; providers: Charitable aid in New Zealand (Allen </w:t>
      </w:r>
      <w:r>
        <w:rPr>
          <w:sz w:val="16"/>
          <w:szCs w:val="16"/>
        </w:rPr>
        <w:t>&amp;</w:t>
      </w:r>
      <w:r w:rsidRPr="004F5209">
        <w:rPr>
          <w:sz w:val="16"/>
          <w:szCs w:val="16"/>
        </w:rPr>
        <w:t xml:space="preserve"> Unwin</w:t>
      </w:r>
      <w:r>
        <w:rPr>
          <w:sz w:val="16"/>
          <w:szCs w:val="16"/>
        </w:rPr>
        <w:t>, Department of Internal Affairs,</w:t>
      </w:r>
      <w:r w:rsidRPr="004F5209">
        <w:rPr>
          <w:sz w:val="16"/>
          <w:szCs w:val="16"/>
        </w:rPr>
        <w:t xml:space="preserve"> 1989, page 32</w:t>
      </w:r>
      <w:r>
        <w:rPr>
          <w:sz w:val="16"/>
          <w:szCs w:val="16"/>
        </w:rPr>
        <w:t>)</w:t>
      </w:r>
      <w:r w:rsidRPr="004F5209">
        <w:rPr>
          <w:sz w:val="16"/>
          <w:szCs w:val="16"/>
        </w:rPr>
        <w:t>.</w:t>
      </w:r>
    </w:p>
  </w:endnote>
  <w:endnote w:id="58">
    <w:p w14:paraId="5509B7BC" w14:textId="0104CBFE" w:rsidR="00FE4E56" w:rsidRPr="004F5209" w:rsidRDefault="00FE4E56">
      <w:pPr>
        <w:pStyle w:val="EndnoteText"/>
        <w:rPr>
          <w:sz w:val="16"/>
          <w:szCs w:val="16"/>
        </w:rPr>
      </w:pPr>
      <w:r w:rsidRPr="00536E67">
        <w:rPr>
          <w:rStyle w:val="StyleFootnoteReferenceFagoFunotenzeichenFagoFunotenzeichen"/>
          <w:sz w:val="16"/>
          <w:szCs w:val="16"/>
        </w:rPr>
        <w:endnoteRef/>
      </w:r>
      <w:r w:rsidRPr="004F5209">
        <w:rPr>
          <w:sz w:val="16"/>
          <w:szCs w:val="16"/>
        </w:rPr>
        <w:t xml:space="preserve"> Dalley, B, Family matters: Child welfare in twentieth-century New Zealand (Auckland University Press, 1998, pages 17–18</w:t>
      </w:r>
      <w:r>
        <w:rPr>
          <w:sz w:val="16"/>
          <w:szCs w:val="16"/>
        </w:rPr>
        <w:t>)</w:t>
      </w:r>
      <w:r w:rsidRPr="004F5209">
        <w:rPr>
          <w:sz w:val="16"/>
          <w:szCs w:val="16"/>
        </w:rPr>
        <w:t>.</w:t>
      </w:r>
    </w:p>
  </w:endnote>
  <w:endnote w:id="59">
    <w:p w14:paraId="732DC4F5" w14:textId="301274D0" w:rsidR="00FE4E56" w:rsidRPr="00536E67" w:rsidRDefault="00FE4E56">
      <w:pPr>
        <w:pStyle w:val="EndnoteText"/>
        <w:rPr>
          <w:sz w:val="16"/>
          <w:szCs w:val="16"/>
        </w:rPr>
      </w:pPr>
      <w:r w:rsidRPr="00536E67">
        <w:rPr>
          <w:rStyle w:val="StyleFootnoteReferenceFagoFunotenzeichenFagoFunotenzeichen"/>
          <w:sz w:val="16"/>
          <w:szCs w:val="16"/>
        </w:rPr>
        <w:endnoteRef/>
      </w:r>
      <w:r w:rsidRPr="004F5209">
        <w:rPr>
          <w:sz w:val="16"/>
          <w:szCs w:val="16"/>
        </w:rPr>
        <w:t xml:space="preserve"> Dalley, B, Family matters: Child welfare in twentieth-century New Zealand (Auckland University Press, 1998, page 18</w:t>
      </w:r>
      <w:r>
        <w:rPr>
          <w:sz w:val="16"/>
          <w:szCs w:val="16"/>
        </w:rPr>
        <w:t>)</w:t>
      </w:r>
      <w:r w:rsidRPr="004F5209">
        <w:rPr>
          <w:sz w:val="16"/>
          <w:szCs w:val="16"/>
        </w:rPr>
        <w:t>.</w:t>
      </w:r>
    </w:p>
  </w:endnote>
  <w:endnote w:id="60">
    <w:p w14:paraId="68BB8C00" w14:textId="094C706D"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Hughes, B, The </w:t>
      </w:r>
      <w:r>
        <w:rPr>
          <w:sz w:val="16"/>
          <w:szCs w:val="16"/>
        </w:rPr>
        <w:t>E</w:t>
      </w:r>
      <w:r w:rsidRPr="00536E67">
        <w:rPr>
          <w:sz w:val="16"/>
          <w:szCs w:val="16"/>
        </w:rPr>
        <w:t xml:space="preserve">nquiry into </w:t>
      </w:r>
      <w:r>
        <w:rPr>
          <w:sz w:val="16"/>
          <w:szCs w:val="16"/>
        </w:rPr>
        <w:t xml:space="preserve">the </w:t>
      </w:r>
      <w:r w:rsidRPr="00536E67">
        <w:rPr>
          <w:sz w:val="16"/>
          <w:szCs w:val="16"/>
        </w:rPr>
        <w:t xml:space="preserve">Te Oranga Girls Home, 1908, </w:t>
      </w:r>
      <w:r w:rsidRPr="00536E67">
        <w:rPr>
          <w:rFonts w:ascii="Helvetica" w:hAnsi="Helvetica" w:cs="Helvetica"/>
          <w:color w:val="000000"/>
          <w:sz w:val="16"/>
          <w:szCs w:val="16"/>
          <w:shd w:val="clear" w:color="auto" w:fill="FEFEFE"/>
        </w:rPr>
        <w:t>Women</w:t>
      </w:r>
      <w:r>
        <w:rPr>
          <w:rFonts w:ascii="Helvetica" w:hAnsi="Helvetica" w:cs="Helvetica"/>
          <w:color w:val="000000"/>
          <w:sz w:val="16"/>
          <w:szCs w:val="16"/>
          <w:shd w:val="clear" w:color="auto" w:fill="FEFEFE"/>
        </w:rPr>
        <w:t>’</w:t>
      </w:r>
      <w:r w:rsidRPr="00536E67">
        <w:rPr>
          <w:rFonts w:ascii="Helvetica" w:hAnsi="Helvetica" w:cs="Helvetica"/>
          <w:color w:val="000000"/>
          <w:sz w:val="16"/>
          <w:szCs w:val="16"/>
          <w:shd w:val="clear" w:color="auto" w:fill="FEFEFE"/>
        </w:rPr>
        <w:t xml:space="preserve">s </w:t>
      </w:r>
      <w:r>
        <w:rPr>
          <w:rFonts w:ascii="Helvetica" w:hAnsi="Helvetica" w:cs="Helvetica"/>
          <w:color w:val="000000"/>
          <w:sz w:val="16"/>
          <w:szCs w:val="16"/>
          <w:shd w:val="clear" w:color="auto" w:fill="FEFEFE"/>
        </w:rPr>
        <w:t>S</w:t>
      </w:r>
      <w:r w:rsidRPr="00536E67">
        <w:rPr>
          <w:rFonts w:ascii="Helvetica" w:hAnsi="Helvetica" w:cs="Helvetica"/>
          <w:color w:val="000000"/>
          <w:sz w:val="16"/>
          <w:szCs w:val="16"/>
          <w:shd w:val="clear" w:color="auto" w:fill="FEFEFE"/>
        </w:rPr>
        <w:t xml:space="preserve">tudies </w:t>
      </w:r>
      <w:r>
        <w:rPr>
          <w:rFonts w:ascii="Helvetica" w:hAnsi="Helvetica" w:cs="Helvetica"/>
          <w:color w:val="000000"/>
          <w:sz w:val="16"/>
          <w:szCs w:val="16"/>
          <w:shd w:val="clear" w:color="auto" w:fill="FEFEFE"/>
        </w:rPr>
        <w:t>J</w:t>
      </w:r>
      <w:r w:rsidRPr="00536E67">
        <w:rPr>
          <w:rFonts w:ascii="Helvetica" w:hAnsi="Helvetica" w:cs="Helvetica"/>
          <w:color w:val="000000"/>
          <w:sz w:val="16"/>
          <w:szCs w:val="16"/>
          <w:shd w:val="clear" w:color="auto" w:fill="FEFEFE"/>
        </w:rPr>
        <w:t>ournal</w:t>
      </w:r>
      <w:r>
        <w:rPr>
          <w:rFonts w:ascii="Helvetica" w:hAnsi="Helvetica" w:cs="Helvetica"/>
          <w:color w:val="000000"/>
          <w:sz w:val="16"/>
          <w:szCs w:val="16"/>
          <w:shd w:val="clear" w:color="auto" w:fill="FEFEFE"/>
        </w:rPr>
        <w:t>, Volume 4:1 (</w:t>
      </w:r>
      <w:r w:rsidRPr="00536E67">
        <w:rPr>
          <w:rFonts w:ascii="Helvetica" w:hAnsi="Helvetica" w:cs="Helvetica"/>
          <w:color w:val="000000"/>
          <w:sz w:val="16"/>
          <w:szCs w:val="16"/>
          <w:shd w:val="clear" w:color="auto" w:fill="FEFEFE"/>
        </w:rPr>
        <w:t>1988</w:t>
      </w:r>
      <w:r>
        <w:rPr>
          <w:rFonts w:ascii="Helvetica" w:hAnsi="Helvetica" w:cs="Helvetica"/>
          <w:color w:val="000000"/>
          <w:sz w:val="16"/>
          <w:szCs w:val="16"/>
          <w:shd w:val="clear" w:color="auto" w:fill="FEFEFE"/>
        </w:rPr>
        <w:t xml:space="preserve">, </w:t>
      </w:r>
      <w:r w:rsidRPr="00536E67">
        <w:rPr>
          <w:rFonts w:ascii="Helvetica" w:hAnsi="Helvetica" w:cs="Helvetica"/>
          <w:color w:val="000000"/>
          <w:sz w:val="16"/>
          <w:szCs w:val="16"/>
          <w:shd w:val="clear" w:color="auto" w:fill="FEFEFE"/>
        </w:rPr>
        <w:t xml:space="preserve">pages </w:t>
      </w:r>
      <w:r>
        <w:rPr>
          <w:rFonts w:ascii="Helvetica" w:hAnsi="Helvetica" w:cs="Helvetica"/>
          <w:color w:val="000000"/>
          <w:sz w:val="16"/>
          <w:szCs w:val="16"/>
          <w:shd w:val="clear" w:color="auto" w:fill="FEFEFE"/>
        </w:rPr>
        <w:t>33–34).</w:t>
      </w:r>
    </w:p>
  </w:endnote>
  <w:endnote w:id="61">
    <w:p w14:paraId="1412BC8B" w14:textId="7C457053"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Postance, P, Sunnybank – the forgotten </w:t>
      </w:r>
      <w:r>
        <w:rPr>
          <w:sz w:val="16"/>
          <w:szCs w:val="16"/>
        </w:rPr>
        <w:t>B</w:t>
      </w:r>
      <w:r w:rsidRPr="00536E67">
        <w:rPr>
          <w:sz w:val="16"/>
          <w:szCs w:val="16"/>
        </w:rPr>
        <w:t>oys</w:t>
      </w:r>
      <w:r>
        <w:rPr>
          <w:sz w:val="16"/>
          <w:szCs w:val="16"/>
        </w:rPr>
        <w:t>’</w:t>
      </w:r>
      <w:r w:rsidRPr="00536E67">
        <w:rPr>
          <w:sz w:val="16"/>
          <w:szCs w:val="16"/>
        </w:rPr>
        <w:t xml:space="preserve"> </w:t>
      </w:r>
      <w:r>
        <w:rPr>
          <w:sz w:val="16"/>
          <w:szCs w:val="16"/>
        </w:rPr>
        <w:t>H</w:t>
      </w:r>
      <w:r w:rsidRPr="00536E67">
        <w:rPr>
          <w:sz w:val="16"/>
          <w:szCs w:val="16"/>
        </w:rPr>
        <w:t xml:space="preserve">ome, </w:t>
      </w:r>
      <w:r w:rsidRPr="00536E67">
        <w:rPr>
          <w:rFonts w:ascii="Helvetica" w:hAnsi="Helvetica" w:cs="Helvetica"/>
          <w:color w:val="000000"/>
          <w:sz w:val="16"/>
          <w:szCs w:val="16"/>
          <w:shd w:val="clear" w:color="auto" w:fill="FEFEFE"/>
        </w:rPr>
        <w:t xml:space="preserve">Nelson Historical Society journal, </w:t>
      </w:r>
      <w:r>
        <w:rPr>
          <w:rFonts w:ascii="Helvetica" w:hAnsi="Helvetica" w:cs="Helvetica"/>
          <w:color w:val="000000"/>
          <w:sz w:val="16"/>
          <w:szCs w:val="16"/>
          <w:shd w:val="clear" w:color="auto" w:fill="FEFEFE"/>
        </w:rPr>
        <w:t>Volume 8:2 (</w:t>
      </w:r>
      <w:r w:rsidRPr="00536E67">
        <w:rPr>
          <w:rFonts w:ascii="Helvetica" w:hAnsi="Helvetica" w:cs="Helvetica"/>
          <w:color w:val="000000"/>
          <w:sz w:val="16"/>
          <w:szCs w:val="16"/>
          <w:shd w:val="clear" w:color="auto" w:fill="FEFEFE"/>
        </w:rPr>
        <w:t>2016</w:t>
      </w:r>
      <w:r>
        <w:rPr>
          <w:rFonts w:ascii="Helvetica" w:hAnsi="Helvetica" w:cs="Helvetica"/>
          <w:color w:val="000000"/>
          <w:sz w:val="16"/>
          <w:szCs w:val="16"/>
          <w:shd w:val="clear" w:color="auto" w:fill="FEFEFE"/>
        </w:rPr>
        <w:t>,</w:t>
      </w:r>
      <w:r w:rsidRPr="00536E67">
        <w:rPr>
          <w:rFonts w:ascii="Helvetica" w:hAnsi="Helvetica" w:cs="Helvetica"/>
          <w:color w:val="000000"/>
          <w:sz w:val="16"/>
          <w:szCs w:val="16"/>
          <w:shd w:val="clear" w:color="auto" w:fill="FEFEFE"/>
        </w:rPr>
        <w:t xml:space="preserve"> pages 60</w:t>
      </w:r>
      <w:r>
        <w:rPr>
          <w:rFonts w:ascii="Helvetica" w:hAnsi="Helvetica" w:cs="Helvetica"/>
          <w:color w:val="000000"/>
          <w:sz w:val="16"/>
          <w:szCs w:val="16"/>
          <w:shd w:val="clear" w:color="auto" w:fill="FEFEFE"/>
        </w:rPr>
        <w:t>–</w:t>
      </w:r>
      <w:r w:rsidRPr="00536E67">
        <w:rPr>
          <w:rFonts w:ascii="Helvetica" w:hAnsi="Helvetica" w:cs="Helvetica"/>
          <w:color w:val="000000"/>
          <w:sz w:val="16"/>
          <w:szCs w:val="16"/>
          <w:shd w:val="clear" w:color="auto" w:fill="FEFEFE"/>
        </w:rPr>
        <w:t>71</w:t>
      </w:r>
      <w:r>
        <w:rPr>
          <w:rFonts w:ascii="Helvetica" w:hAnsi="Helvetica" w:cs="Helvetica"/>
          <w:color w:val="000000"/>
          <w:sz w:val="16"/>
          <w:szCs w:val="16"/>
          <w:shd w:val="clear" w:color="auto" w:fill="FEFEFE"/>
        </w:rPr>
        <w:t>).</w:t>
      </w:r>
    </w:p>
  </w:endnote>
  <w:endnote w:id="62">
    <w:p w14:paraId="0374665A" w14:textId="39F1F4E4" w:rsidR="00FE4E56" w:rsidRPr="00120E85" w:rsidRDefault="00FE4E56" w:rsidP="00D817C3">
      <w:pPr>
        <w:pStyle w:val="paragraph"/>
        <w:spacing w:before="0" w:beforeAutospacing="0" w:after="0" w:afterAutospacing="0"/>
        <w:textAlignment w:val="baseline"/>
        <w:rPr>
          <w:rFonts w:ascii="Segoe UI" w:hAnsi="Segoe UI" w:cs="Segoe UI"/>
          <w:sz w:val="16"/>
          <w:szCs w:val="16"/>
        </w:rPr>
      </w:pPr>
      <w:r w:rsidRPr="00536E67">
        <w:rPr>
          <w:rStyle w:val="EndnoteReference"/>
          <w:sz w:val="16"/>
          <w:szCs w:val="16"/>
        </w:rPr>
        <w:endnoteRef/>
      </w:r>
      <w:r w:rsidRPr="00536E67">
        <w:rPr>
          <w:sz w:val="16"/>
          <w:szCs w:val="16"/>
        </w:rPr>
        <w:t xml:space="preserve"> </w:t>
      </w:r>
      <w:r w:rsidRPr="00120E85">
        <w:rPr>
          <w:rStyle w:val="normaltextrun"/>
          <w:rFonts w:ascii="Arial" w:hAnsi="Arial" w:cs="Arial"/>
          <w:sz w:val="16"/>
          <w:szCs w:val="16"/>
        </w:rPr>
        <w:t>Witness statement of Whiti Ronaki (20 June 2022). </w:t>
      </w:r>
      <w:r w:rsidRPr="00120E85">
        <w:rPr>
          <w:rStyle w:val="eop"/>
          <w:rFonts w:ascii="Arial" w:hAnsi="Arial" w:cs="Arial"/>
          <w:sz w:val="16"/>
          <w:szCs w:val="16"/>
        </w:rPr>
        <w:t> </w:t>
      </w:r>
    </w:p>
    <w:p w14:paraId="6E1E5C3E" w14:textId="23874C42" w:rsidR="00FE4E56" w:rsidRPr="00536E67" w:rsidRDefault="00FE4E56">
      <w:pPr>
        <w:pStyle w:val="EndnoteText"/>
        <w:rPr>
          <w:sz w:val="16"/>
          <w:szCs w:val="16"/>
        </w:rPr>
      </w:pPr>
    </w:p>
  </w:endnote>
  <w:endnote w:id="63">
    <w:p w14:paraId="5697BBED" w14:textId="6CFC117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 xml:space="preserve">Waitangi Tribunal, Muriwhenua Land Report (1997, </w:t>
      </w:r>
      <w:r w:rsidRPr="00CB4F47">
        <w:rPr>
          <w:rFonts w:cs="Arial"/>
          <w:sz w:val="16"/>
          <w:szCs w:val="16"/>
        </w:rPr>
        <w:t>page</w:t>
      </w:r>
      <w:r w:rsidRPr="00CB4F47">
        <w:rPr>
          <w:rStyle w:val="normaltextrun"/>
          <w:rFonts w:cs="Arial"/>
          <w:sz w:val="16"/>
          <w:szCs w:val="16"/>
          <w:shd w:val="clear" w:color="auto" w:fill="FFFFFF"/>
        </w:rPr>
        <w:t xml:space="preserve"> 48</w:t>
      </w:r>
      <w:r>
        <w:rPr>
          <w:rStyle w:val="normaltextrun"/>
          <w:rFonts w:cs="Arial"/>
          <w:sz w:val="16"/>
          <w:szCs w:val="16"/>
          <w:shd w:val="clear" w:color="auto" w:fill="FFFFFF"/>
        </w:rPr>
        <w:t>)</w:t>
      </w:r>
      <w:r w:rsidRPr="00CB4F47">
        <w:rPr>
          <w:rStyle w:val="normaltextrun"/>
          <w:rFonts w:cs="Arial"/>
          <w:sz w:val="16"/>
          <w:szCs w:val="16"/>
          <w:shd w:val="clear" w:color="auto" w:fill="FFFFFF"/>
        </w:rPr>
        <w:t>.</w:t>
      </w:r>
    </w:p>
  </w:endnote>
  <w:endnote w:id="64">
    <w:p w14:paraId="338D24A9" w14:textId="002E4F4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 xml:space="preserve">Waitangi Tribunal, Muriwhenua Land Report (1997, </w:t>
      </w:r>
      <w:r w:rsidRPr="00CB4F47">
        <w:rPr>
          <w:rFonts w:cs="Arial"/>
          <w:sz w:val="16"/>
          <w:szCs w:val="16"/>
        </w:rPr>
        <w:t>page</w:t>
      </w:r>
      <w:r w:rsidRPr="00CB4F47">
        <w:rPr>
          <w:rStyle w:val="normaltextrun"/>
          <w:rFonts w:cs="Arial"/>
          <w:sz w:val="16"/>
          <w:szCs w:val="16"/>
          <w:shd w:val="clear" w:color="auto" w:fill="FFFFFF"/>
        </w:rPr>
        <w:t xml:space="preserve"> 48</w:t>
      </w:r>
      <w:r>
        <w:rPr>
          <w:rStyle w:val="normaltextrun"/>
          <w:rFonts w:cs="Arial"/>
          <w:sz w:val="16"/>
          <w:szCs w:val="16"/>
          <w:shd w:val="clear" w:color="auto" w:fill="FFFFFF"/>
        </w:rPr>
        <w:t>)</w:t>
      </w:r>
      <w:r w:rsidRPr="00CB4F47">
        <w:rPr>
          <w:rStyle w:val="normaltextrun"/>
          <w:rFonts w:cs="Arial"/>
          <w:sz w:val="16"/>
          <w:szCs w:val="16"/>
          <w:shd w:val="clear" w:color="auto" w:fill="FFFFFF"/>
        </w:rPr>
        <w:t xml:space="preserve">; </w:t>
      </w:r>
      <w:r w:rsidRPr="00CB4F47">
        <w:rPr>
          <w:rFonts w:cs="Arial"/>
          <w:sz w:val="16"/>
          <w:szCs w:val="16"/>
        </w:rPr>
        <w:t>Waitangi Tribunal, He Whakaputanga me te Tiriti: The Declaration and the Treaty: Report on stage 1 of the Te Paparahi o Te Raki Inquiry (2014, page</w:t>
      </w:r>
      <w:r w:rsidRPr="00CB4F47">
        <w:rPr>
          <w:rStyle w:val="normaltextrun"/>
          <w:rFonts w:cs="Arial"/>
          <w:sz w:val="16"/>
          <w:szCs w:val="16"/>
        </w:rPr>
        <w:t xml:space="preserve"> 251</w:t>
      </w:r>
      <w:r>
        <w:rPr>
          <w:rStyle w:val="normaltextrun"/>
          <w:rFonts w:cs="Arial"/>
          <w:sz w:val="16"/>
          <w:szCs w:val="16"/>
        </w:rPr>
        <w:t>)</w:t>
      </w:r>
      <w:r w:rsidRPr="00CB4F47">
        <w:rPr>
          <w:rStyle w:val="normaltextrun"/>
          <w:rFonts w:cs="Arial"/>
          <w:sz w:val="16"/>
          <w:szCs w:val="16"/>
        </w:rPr>
        <w:t>.</w:t>
      </w:r>
    </w:p>
  </w:endnote>
  <w:endnote w:id="65">
    <w:p w14:paraId="48C42416" w14:textId="530F94A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vertAlign w:val="superscript"/>
        </w:rPr>
        <w:t xml:space="preserve"> </w:t>
      </w:r>
      <w:r w:rsidRPr="00CB4F47">
        <w:rPr>
          <w:rFonts w:cs="Arial"/>
          <w:sz w:val="16"/>
          <w:szCs w:val="16"/>
        </w:rPr>
        <w:t>Rigby, B, The Muriwhenua North Area and the Muriwhenua claim: A historical report commissioned by the Waitangi Tribunal (Wai 45)</w:t>
      </w:r>
      <w:r>
        <w:rPr>
          <w:rFonts w:cs="Arial"/>
          <w:sz w:val="16"/>
          <w:szCs w:val="16"/>
        </w:rPr>
        <w:t>,</w:t>
      </w:r>
      <w:r w:rsidRPr="00CB4F47">
        <w:rPr>
          <w:rFonts w:cs="Arial"/>
          <w:sz w:val="16"/>
          <w:szCs w:val="16"/>
        </w:rPr>
        <w:t xml:space="preserve"> (1990, page 6</w:t>
      </w:r>
      <w:r>
        <w:rPr>
          <w:rFonts w:cs="Arial"/>
          <w:sz w:val="16"/>
          <w:szCs w:val="16"/>
        </w:rPr>
        <w:t>)</w:t>
      </w:r>
      <w:r w:rsidRPr="00CB4F47">
        <w:rPr>
          <w:rFonts w:cs="Arial"/>
          <w:sz w:val="16"/>
          <w:szCs w:val="16"/>
        </w:rPr>
        <w:t>.</w:t>
      </w:r>
    </w:p>
  </w:endnote>
  <w:endnote w:id="66">
    <w:p w14:paraId="27A93EC7" w14:textId="09E17C8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 xml:space="preserve">Waitangi Tribunal, Muriwhenua Land Report (1997, </w:t>
      </w:r>
      <w:r w:rsidRPr="00CB4F47">
        <w:rPr>
          <w:rFonts w:cs="Arial"/>
          <w:sz w:val="16"/>
          <w:szCs w:val="16"/>
        </w:rPr>
        <w:t>page</w:t>
      </w:r>
      <w:r w:rsidRPr="00CB4F47">
        <w:rPr>
          <w:rStyle w:val="normaltextrun"/>
          <w:rFonts w:cs="Arial"/>
          <w:sz w:val="16"/>
          <w:szCs w:val="16"/>
          <w:shd w:val="clear" w:color="auto" w:fill="FFFFFF"/>
        </w:rPr>
        <w:t xml:space="preserve"> 48</w:t>
      </w:r>
      <w:r>
        <w:rPr>
          <w:rStyle w:val="normaltextrun"/>
          <w:rFonts w:cs="Arial"/>
          <w:sz w:val="16"/>
          <w:szCs w:val="16"/>
          <w:shd w:val="clear" w:color="auto" w:fill="FFFFFF"/>
        </w:rPr>
        <w:t>)</w:t>
      </w:r>
      <w:r w:rsidRPr="00CB4F47">
        <w:rPr>
          <w:rStyle w:val="normaltextrun"/>
          <w:rFonts w:cs="Arial"/>
          <w:sz w:val="16"/>
          <w:szCs w:val="16"/>
          <w:shd w:val="clear" w:color="auto" w:fill="FFFFFF"/>
        </w:rPr>
        <w:t>.</w:t>
      </w:r>
    </w:p>
  </w:endnote>
  <w:endnote w:id="67">
    <w:p w14:paraId="22DA2984" w14:textId="32C09DE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Brookes, B, A </w:t>
      </w:r>
      <w:r>
        <w:rPr>
          <w:rFonts w:cs="Arial"/>
          <w:sz w:val="16"/>
          <w:szCs w:val="16"/>
        </w:rPr>
        <w:t>h</w:t>
      </w:r>
      <w:r w:rsidRPr="00CB4F47">
        <w:rPr>
          <w:rFonts w:cs="Arial"/>
          <w:sz w:val="16"/>
          <w:szCs w:val="16"/>
        </w:rPr>
        <w:t>istory of New Zealand women (Bridget Williams Books, 2016, page 47</w:t>
      </w:r>
      <w:r>
        <w:rPr>
          <w:rFonts w:cs="Arial"/>
          <w:sz w:val="16"/>
          <w:szCs w:val="16"/>
        </w:rPr>
        <w:t>)</w:t>
      </w:r>
      <w:r w:rsidRPr="00CB4F47">
        <w:rPr>
          <w:rFonts w:cs="Arial"/>
          <w:sz w:val="16"/>
          <w:szCs w:val="16"/>
        </w:rPr>
        <w:t xml:space="preserve">. </w:t>
      </w:r>
    </w:p>
  </w:endnote>
  <w:endnote w:id="68">
    <w:p w14:paraId="53640CA8" w14:textId="515A88E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D03A9A">
        <w:rPr>
          <w:rFonts w:cs="Arial"/>
          <w:sz w:val="16"/>
          <w:szCs w:val="16"/>
        </w:rPr>
        <w:t>Ballantyne, T, Entanglements of empire: Missionaries, Māori, and the question of the body</w:t>
      </w:r>
      <w:r>
        <w:rPr>
          <w:rFonts w:cs="Arial"/>
          <w:sz w:val="16"/>
          <w:szCs w:val="16"/>
        </w:rPr>
        <w:t xml:space="preserve"> (Auckland University Press</w:t>
      </w:r>
      <w:r w:rsidRPr="00D03A9A">
        <w:rPr>
          <w:rFonts w:cs="Arial"/>
          <w:sz w:val="16"/>
          <w:szCs w:val="16"/>
        </w:rPr>
        <w:t>,</w:t>
      </w:r>
      <w:r>
        <w:rPr>
          <w:rFonts w:cs="Arial"/>
          <w:sz w:val="16"/>
          <w:szCs w:val="16"/>
        </w:rPr>
        <w:t xml:space="preserve"> 2015,</w:t>
      </w:r>
      <w:r w:rsidRPr="00D03A9A">
        <w:rPr>
          <w:rFonts w:cs="Arial"/>
          <w:sz w:val="16"/>
          <w:szCs w:val="16"/>
        </w:rPr>
        <w:t xml:space="preserve"> page 6</w:t>
      </w:r>
      <w:r>
        <w:rPr>
          <w:rFonts w:cs="Arial"/>
          <w:sz w:val="16"/>
          <w:szCs w:val="16"/>
        </w:rPr>
        <w:t>)</w:t>
      </w:r>
      <w:r w:rsidRPr="00D03A9A">
        <w:rPr>
          <w:rFonts w:cs="Arial"/>
          <w:sz w:val="16"/>
          <w:szCs w:val="16"/>
        </w:rPr>
        <w:t>.</w:t>
      </w:r>
    </w:p>
  </w:endnote>
  <w:endnote w:id="69">
    <w:p w14:paraId="69A22B05" w14:textId="65D54B2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 xml:space="preserve">Waitangi Tribunal, </w:t>
      </w:r>
      <w:r w:rsidRPr="00CB4F47">
        <w:rPr>
          <w:rFonts w:cs="Arial"/>
          <w:sz w:val="16"/>
          <w:szCs w:val="16"/>
        </w:rPr>
        <w:t>He Whakaputanga me te Tiriti: The Declaration and the Treaty: Report on stage 1 of the Te Paparahi o Te Raki Inquiry (2014,</w:t>
      </w:r>
      <w:r w:rsidRPr="00CB4F47">
        <w:rPr>
          <w:rFonts w:eastAsia="Calibri" w:cs="Arial"/>
          <w:sz w:val="16"/>
          <w:szCs w:val="16"/>
        </w:rPr>
        <w:t xml:space="preserve"> </w:t>
      </w:r>
      <w:r w:rsidRPr="00CB4F47">
        <w:rPr>
          <w:rFonts w:cs="Arial"/>
          <w:sz w:val="16"/>
          <w:szCs w:val="16"/>
        </w:rPr>
        <w:t>page</w:t>
      </w:r>
      <w:r w:rsidRPr="00CB4F47">
        <w:rPr>
          <w:rFonts w:eastAsia="Calibri" w:cs="Arial"/>
          <w:sz w:val="16"/>
          <w:szCs w:val="16"/>
        </w:rPr>
        <w:t xml:space="preserve"> 254</w:t>
      </w:r>
      <w:r>
        <w:rPr>
          <w:rFonts w:eastAsia="Calibri" w:cs="Arial"/>
          <w:sz w:val="16"/>
          <w:szCs w:val="16"/>
        </w:rPr>
        <w:t>)</w:t>
      </w:r>
      <w:r w:rsidRPr="00CB4F47">
        <w:rPr>
          <w:rFonts w:eastAsia="Calibri" w:cs="Arial"/>
          <w:sz w:val="16"/>
          <w:szCs w:val="16"/>
        </w:rPr>
        <w:t>.</w:t>
      </w:r>
    </w:p>
  </w:endnote>
  <w:endnote w:id="70">
    <w:p w14:paraId="0D59483E" w14:textId="17C6446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Kaa, H, Te Hahi Mihinare: </w:t>
      </w:r>
      <w:r>
        <w:rPr>
          <w:rFonts w:cs="Arial"/>
          <w:sz w:val="16"/>
          <w:szCs w:val="16"/>
        </w:rPr>
        <w:t>T</w:t>
      </w:r>
      <w:r w:rsidRPr="00CB4F47">
        <w:rPr>
          <w:rFonts w:cs="Arial"/>
          <w:sz w:val="16"/>
          <w:szCs w:val="16"/>
        </w:rPr>
        <w:t>he Maori Anglican Church (Bridget Williams Books, 2020, pages 26–29 and 37</w:t>
      </w:r>
      <w:r>
        <w:rPr>
          <w:rFonts w:cs="Arial"/>
          <w:sz w:val="16"/>
          <w:szCs w:val="16"/>
        </w:rPr>
        <w:t>)</w:t>
      </w:r>
      <w:r w:rsidRPr="00CB4F47">
        <w:rPr>
          <w:rFonts w:cs="Arial"/>
          <w:sz w:val="16"/>
          <w:szCs w:val="16"/>
        </w:rPr>
        <w:t>.</w:t>
      </w:r>
    </w:p>
  </w:endnote>
  <w:endnote w:id="71">
    <w:p w14:paraId="35353BCE" w14:textId="2C39E6D3"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Kaa, H, Te Hahi Mihinare: </w:t>
      </w:r>
      <w:r>
        <w:rPr>
          <w:rFonts w:cs="Arial"/>
          <w:sz w:val="16"/>
          <w:szCs w:val="16"/>
        </w:rPr>
        <w:t>T</w:t>
      </w:r>
      <w:r w:rsidRPr="00CB4F47">
        <w:rPr>
          <w:rFonts w:cs="Arial"/>
          <w:sz w:val="16"/>
          <w:szCs w:val="16"/>
        </w:rPr>
        <w:t>he Maori Anglican Church (Bridget Williams Books, 2020, pages 47–49</w:t>
      </w:r>
      <w:r>
        <w:rPr>
          <w:rFonts w:cs="Arial"/>
          <w:sz w:val="16"/>
          <w:szCs w:val="16"/>
        </w:rPr>
        <w:t>)</w:t>
      </w:r>
      <w:r w:rsidRPr="00CB4F47">
        <w:rPr>
          <w:rFonts w:cs="Arial"/>
          <w:sz w:val="16"/>
          <w:szCs w:val="16"/>
        </w:rPr>
        <w:t>.</w:t>
      </w:r>
    </w:p>
  </w:endnote>
  <w:endnote w:id="72">
    <w:p w14:paraId="56441A09" w14:textId="18A1340C" w:rsidR="00FE4E56" w:rsidRPr="00CB4F47" w:rsidRDefault="00FE4E56" w:rsidP="00C57877">
      <w:pPr>
        <w:pStyle w:val="EndnoteText"/>
        <w:spacing w:line="20" w:lineRule="atLeast"/>
        <w:rPr>
          <w:rFonts w:ascii="Arial" w:hAnsi="Arial" w:cs="Arial"/>
          <w:sz w:val="16"/>
          <w:szCs w:val="16"/>
        </w:rPr>
      </w:pPr>
      <w:r w:rsidRPr="00072B30">
        <w:rPr>
          <w:rStyle w:val="StyleFootnoteReferenceFagoFunotenzeichenFagoFunotenzeichen"/>
          <w:sz w:val="16"/>
          <w:szCs w:val="16"/>
        </w:rPr>
        <w:endnoteRef/>
      </w:r>
      <w:r w:rsidRPr="00CB4F47">
        <w:rPr>
          <w:rFonts w:ascii="Arial" w:hAnsi="Arial" w:cs="Arial"/>
          <w:sz w:val="16"/>
          <w:szCs w:val="16"/>
        </w:rPr>
        <w:t xml:space="preserve"> Pihama, L, Tīhei mauri ora honouring our voices – mana wahine as a kaupapa Māori theoretical framework,</w:t>
      </w:r>
      <w:r w:rsidRPr="00E10E19">
        <w:rPr>
          <w:rFonts w:ascii="Arial" w:hAnsi="Arial" w:cs="Arial"/>
          <w:sz w:val="16"/>
          <w:szCs w:val="16"/>
        </w:rPr>
        <w:t xml:space="preserve"> </w:t>
      </w:r>
      <w:r w:rsidRPr="00CB4F47">
        <w:rPr>
          <w:rFonts w:ascii="Arial" w:hAnsi="Arial" w:cs="Arial"/>
          <w:sz w:val="16"/>
          <w:szCs w:val="16"/>
        </w:rPr>
        <w:t xml:space="preserve">Doctoral </w:t>
      </w:r>
      <w:r>
        <w:rPr>
          <w:rFonts w:ascii="Arial" w:hAnsi="Arial" w:cs="Arial"/>
          <w:sz w:val="16"/>
          <w:szCs w:val="16"/>
        </w:rPr>
        <w:t>T</w:t>
      </w:r>
      <w:r w:rsidRPr="00CB4F47">
        <w:rPr>
          <w:rFonts w:ascii="Arial" w:hAnsi="Arial" w:cs="Arial"/>
          <w:sz w:val="16"/>
          <w:szCs w:val="16"/>
        </w:rPr>
        <w:t>hesis</w:t>
      </w:r>
      <w:r>
        <w:rPr>
          <w:rFonts w:ascii="Arial" w:hAnsi="Arial" w:cs="Arial"/>
          <w:sz w:val="16"/>
          <w:szCs w:val="16"/>
        </w:rPr>
        <w:t>,</w:t>
      </w:r>
      <w:r w:rsidRPr="00CB4F47">
        <w:rPr>
          <w:rFonts w:ascii="Arial" w:hAnsi="Arial" w:cs="Arial"/>
          <w:sz w:val="16"/>
          <w:szCs w:val="16"/>
        </w:rPr>
        <w:t xml:space="preserve"> University of Auckland</w:t>
      </w:r>
      <w:r>
        <w:rPr>
          <w:rFonts w:ascii="Arial" w:hAnsi="Arial" w:cs="Arial"/>
          <w:sz w:val="16"/>
          <w:szCs w:val="16"/>
        </w:rPr>
        <w:t xml:space="preserve"> (</w:t>
      </w:r>
      <w:r w:rsidRPr="00CB4F47">
        <w:rPr>
          <w:rFonts w:ascii="Arial" w:hAnsi="Arial" w:cs="Arial"/>
          <w:sz w:val="16"/>
          <w:szCs w:val="16"/>
        </w:rPr>
        <w:t xml:space="preserve">2001, </w:t>
      </w:r>
      <w:r w:rsidRPr="00CB4F47">
        <w:rPr>
          <w:rFonts w:cs="Arial"/>
          <w:sz w:val="16"/>
          <w:szCs w:val="16"/>
        </w:rPr>
        <w:t>page</w:t>
      </w:r>
      <w:r w:rsidRPr="00CB4F47">
        <w:rPr>
          <w:rFonts w:ascii="Arial" w:hAnsi="Arial" w:cs="Arial"/>
          <w:sz w:val="16"/>
          <w:szCs w:val="16"/>
        </w:rPr>
        <w:t xml:space="preserve"> 208</w:t>
      </w:r>
      <w:r>
        <w:rPr>
          <w:rFonts w:ascii="Arial" w:hAnsi="Arial" w:cs="Arial"/>
          <w:sz w:val="16"/>
          <w:szCs w:val="16"/>
        </w:rPr>
        <w:t>)</w:t>
      </w:r>
      <w:r w:rsidRPr="00CB4F47">
        <w:rPr>
          <w:rFonts w:ascii="Arial" w:hAnsi="Arial" w:cs="Arial"/>
          <w:sz w:val="16"/>
          <w:szCs w:val="16"/>
        </w:rPr>
        <w:t>.</w:t>
      </w:r>
    </w:p>
  </w:endnote>
  <w:endnote w:id="73">
    <w:p w14:paraId="77A6249A" w14:textId="6571D20E"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Pihama, L, Tīhei mauri ora honouring our voices – mana wahine as a kaupapa Māori theoretical framework, Doctoral </w:t>
      </w:r>
      <w:r>
        <w:rPr>
          <w:rFonts w:cs="Arial"/>
          <w:sz w:val="16"/>
          <w:szCs w:val="16"/>
        </w:rPr>
        <w:t>T</w:t>
      </w:r>
      <w:r w:rsidRPr="00CB4F47">
        <w:rPr>
          <w:rFonts w:cs="Arial"/>
          <w:sz w:val="16"/>
          <w:szCs w:val="16"/>
        </w:rPr>
        <w:t>hesis</w:t>
      </w:r>
      <w:r>
        <w:rPr>
          <w:rFonts w:cs="Arial"/>
          <w:sz w:val="16"/>
          <w:szCs w:val="16"/>
        </w:rPr>
        <w:t>,</w:t>
      </w:r>
      <w:r w:rsidRPr="00CB4F47">
        <w:rPr>
          <w:rFonts w:cs="Arial"/>
          <w:sz w:val="16"/>
          <w:szCs w:val="16"/>
        </w:rPr>
        <w:t xml:space="preserve"> University of Auckland </w:t>
      </w:r>
      <w:r>
        <w:rPr>
          <w:rFonts w:cs="Arial"/>
          <w:sz w:val="16"/>
          <w:szCs w:val="16"/>
        </w:rPr>
        <w:t>(</w:t>
      </w:r>
      <w:r w:rsidRPr="00CB4F47">
        <w:rPr>
          <w:rFonts w:cs="Arial"/>
          <w:sz w:val="16"/>
          <w:szCs w:val="16"/>
        </w:rPr>
        <w:t>2001, page 208</w:t>
      </w:r>
      <w:r>
        <w:rPr>
          <w:rFonts w:cs="Arial"/>
          <w:sz w:val="16"/>
          <w:szCs w:val="16"/>
        </w:rPr>
        <w:t>)</w:t>
      </w:r>
      <w:r w:rsidRPr="00CB4F47">
        <w:rPr>
          <w:rFonts w:cs="Arial"/>
          <w:sz w:val="16"/>
          <w:szCs w:val="16"/>
        </w:rPr>
        <w:t>.</w:t>
      </w:r>
    </w:p>
  </w:endnote>
  <w:endnote w:id="74">
    <w:p w14:paraId="3BD72513" w14:textId="70907E6C"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Walker, R, “Reclaiming Māori education” in Hutchings</w:t>
      </w:r>
      <w:r>
        <w:rPr>
          <w:rFonts w:cs="Arial"/>
          <w:sz w:val="16"/>
          <w:szCs w:val="16"/>
        </w:rPr>
        <w:t>, J</w:t>
      </w:r>
      <w:r w:rsidRPr="00CB4F47">
        <w:rPr>
          <w:rFonts w:cs="Arial"/>
          <w:sz w:val="16"/>
          <w:szCs w:val="16"/>
        </w:rPr>
        <w:t xml:space="preserve"> &amp; Lee-Morgan</w:t>
      </w:r>
      <w:r>
        <w:rPr>
          <w:rFonts w:cs="Arial"/>
          <w:sz w:val="16"/>
          <w:szCs w:val="16"/>
        </w:rPr>
        <w:t>, J</w:t>
      </w:r>
      <w:r w:rsidRPr="00CB4F47">
        <w:rPr>
          <w:rFonts w:cs="Arial"/>
          <w:sz w:val="16"/>
          <w:szCs w:val="16"/>
        </w:rPr>
        <w:t xml:space="preserve"> (eds), Decolonisation in Aotearoa: Education, research and practice (2016, pages 23–24</w:t>
      </w:r>
      <w:r>
        <w:rPr>
          <w:rFonts w:cs="Arial"/>
          <w:sz w:val="16"/>
          <w:szCs w:val="16"/>
        </w:rPr>
        <w:t>)</w:t>
      </w:r>
      <w:r w:rsidRPr="00CB4F47">
        <w:rPr>
          <w:rFonts w:cs="Arial"/>
          <w:sz w:val="16"/>
          <w:szCs w:val="16"/>
        </w:rPr>
        <w:t>.</w:t>
      </w:r>
    </w:p>
  </w:endnote>
  <w:endnote w:id="75">
    <w:p w14:paraId="330CC478" w14:textId="695BB1C8"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Pōtiki, MK, Te Hū o Moho – The contributing factors to the death of the Māori language at Ōtākou, Doctoral Thesis, University of Otago (2023, page 201).</w:t>
      </w:r>
    </w:p>
  </w:endnote>
  <w:endnote w:id="76">
    <w:p w14:paraId="47B630EE" w14:textId="7537B788" w:rsidR="00FE4E56" w:rsidRPr="00FC5F93"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FC5F93">
        <w:rPr>
          <w:rFonts w:cs="Arial"/>
          <w:sz w:val="16"/>
          <w:szCs w:val="16"/>
        </w:rPr>
        <w:t xml:space="preserve"> </w:t>
      </w:r>
      <w:r w:rsidRPr="00FC5F93">
        <w:rPr>
          <w:rFonts w:eastAsia="Arial" w:cs="Arial"/>
          <w:sz w:val="16"/>
          <w:szCs w:val="16"/>
        </w:rPr>
        <w:t xml:space="preserve">Barrington, JM &amp; Beaglehole, TH, Māori schools in a changing society – An historical review, No 52 (New Zealand Council for Educational Research, 1974, </w:t>
      </w:r>
      <w:r w:rsidRPr="00FC5F93">
        <w:rPr>
          <w:rFonts w:cs="Arial"/>
          <w:sz w:val="16"/>
          <w:szCs w:val="16"/>
        </w:rPr>
        <w:t xml:space="preserve">page 68). </w:t>
      </w:r>
    </w:p>
  </w:endnote>
  <w:endnote w:id="77">
    <w:p w14:paraId="219B2428" w14:textId="2781C297" w:rsidR="00FE4E56" w:rsidRDefault="00FE4E56">
      <w:pPr>
        <w:pStyle w:val="EndnoteText"/>
      </w:pPr>
      <w:r w:rsidRPr="00536E67">
        <w:rPr>
          <w:rStyle w:val="EndnoteReference"/>
          <w:sz w:val="16"/>
          <w:szCs w:val="16"/>
        </w:rPr>
        <w:endnoteRef/>
      </w:r>
      <w:r w:rsidRPr="00536E67">
        <w:rPr>
          <w:sz w:val="16"/>
          <w:szCs w:val="16"/>
        </w:rPr>
        <w:t xml:space="preserve"> Barrington, JM &amp; Beaglehole, TH, Maori Schools in a Changing society, An Historical Review (Wellington, 1974, page 106), cited in Pōtiki, MK, Te Hū o Moho – The contributing factors to the death of the Māori language at Ōtākou, Doctoral Thesis, University of Otago (2023, page 2002).</w:t>
      </w:r>
    </w:p>
  </w:endnote>
  <w:endnote w:id="78">
    <w:p w14:paraId="2AB98200" w14:textId="4599C799"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Walker, R, “Reclaiming Māori education” in Hutchings, J </w:t>
      </w:r>
      <w:r>
        <w:rPr>
          <w:rFonts w:cs="Arial"/>
          <w:sz w:val="16"/>
          <w:szCs w:val="16"/>
        </w:rPr>
        <w:t>&amp;</w:t>
      </w:r>
      <w:r w:rsidRPr="00CB4F47">
        <w:rPr>
          <w:rFonts w:cs="Arial"/>
          <w:sz w:val="16"/>
          <w:szCs w:val="16"/>
        </w:rPr>
        <w:t xml:space="preserve"> Lee-Morgan, J (eds), Decolonisation in Aotearoa: Education, research and practice (2016, page 24</w:t>
      </w:r>
      <w:r>
        <w:rPr>
          <w:rFonts w:cs="Arial"/>
          <w:sz w:val="16"/>
          <w:szCs w:val="16"/>
        </w:rPr>
        <w:t>)</w:t>
      </w:r>
      <w:r w:rsidRPr="00CB4F47">
        <w:rPr>
          <w:rFonts w:cs="Arial"/>
          <w:sz w:val="16"/>
          <w:szCs w:val="16"/>
        </w:rPr>
        <w:t>.</w:t>
      </w:r>
    </w:p>
  </w:endnote>
  <w:endnote w:id="79">
    <w:p w14:paraId="29BCFFC3" w14:textId="6E3D202B" w:rsidR="00FE4E56" w:rsidRPr="00CB4F47" w:rsidRDefault="00FE4E56" w:rsidP="00C57877">
      <w:pPr>
        <w:pStyle w:val="EndnoteText"/>
        <w:shd w:val="clear" w:color="auto" w:fill="FFFFFF" w:themeFill="background1"/>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Walker, R, “Reclaiming Māori education” in Hutchings, J &amp; Lee-Morgan, J (eds), Decolonisation in Aotearoa: Education, research and practice (2016, page 24</w:t>
      </w:r>
      <w:r>
        <w:rPr>
          <w:rFonts w:cs="Arial"/>
          <w:sz w:val="16"/>
          <w:szCs w:val="16"/>
        </w:rPr>
        <w:t>)</w:t>
      </w:r>
      <w:r w:rsidRPr="00CB4F47">
        <w:rPr>
          <w:rFonts w:cs="Arial"/>
          <w:sz w:val="16"/>
          <w:szCs w:val="16"/>
        </w:rPr>
        <w:t>.</w:t>
      </w:r>
    </w:p>
  </w:endnote>
  <w:endnote w:id="80">
    <w:p w14:paraId="52AC9370" w14:textId="4458FF39"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Yengoyan, AA, “Christianity and Austronesian transformations: Church, polity and culture in the Philippines and the Pacific” in Bellwood, P, Fox, JJ &amp; Tryon, D (eds), The Austronesians: Historical and comparative perspectives (The Australian National University Press, 2006, page 361</w:t>
      </w:r>
      <w:r>
        <w:rPr>
          <w:rFonts w:cs="Arial"/>
          <w:sz w:val="16"/>
          <w:szCs w:val="16"/>
        </w:rPr>
        <w:t>)</w:t>
      </w:r>
      <w:r w:rsidRPr="00CB4F47">
        <w:rPr>
          <w:rFonts w:cs="Arial"/>
          <w:sz w:val="16"/>
          <w:szCs w:val="16"/>
        </w:rPr>
        <w:t>.</w:t>
      </w:r>
    </w:p>
  </w:endnote>
  <w:endnote w:id="81">
    <w:p w14:paraId="41A100FC" w14:textId="25440DFE" w:rsidR="00FE4E56" w:rsidRPr="00CB4F47" w:rsidRDefault="00FE4E56" w:rsidP="00C57877">
      <w:pPr>
        <w:pStyle w:val="EndnoteText"/>
        <w:spacing w:line="20" w:lineRule="atLeast"/>
        <w:rPr>
          <w:rFonts w:cs="Arial"/>
          <w:sz w:val="16"/>
          <w:szCs w:val="16"/>
        </w:rPr>
      </w:pPr>
      <w:r w:rsidRPr="00072B30">
        <w:rPr>
          <w:rStyle w:val="StyleFootnoteReferenceFagoFunotenzeichenFagoFunotenzeichen"/>
          <w:sz w:val="16"/>
          <w:szCs w:val="16"/>
        </w:rPr>
        <w:endnoteRef/>
      </w:r>
      <w:r w:rsidRPr="00CB4F47">
        <w:rPr>
          <w:rFonts w:cs="Arial"/>
          <w:sz w:val="16"/>
          <w:szCs w:val="16"/>
        </w:rPr>
        <w:t xml:space="preserve"> Schoeffel, P &amp; Meleisa, M, “Pacific Island Polynesian attitudes to child training and discipline in New Zealand: Some policy implications for Social Welfare and Education</w:t>
      </w:r>
      <w:r>
        <w:rPr>
          <w:rFonts w:cs="Arial"/>
          <w:sz w:val="16"/>
          <w:szCs w:val="16"/>
        </w:rPr>
        <w:t>,</w:t>
      </w:r>
      <w:r w:rsidRPr="00CB4F47">
        <w:rPr>
          <w:rFonts w:cs="Arial"/>
          <w:sz w:val="16"/>
          <w:szCs w:val="16"/>
        </w:rPr>
        <w:t xml:space="preserve">” Social Policy Journal of New Zealand, </w:t>
      </w:r>
      <w:r>
        <w:rPr>
          <w:rFonts w:cs="Arial"/>
          <w:sz w:val="16"/>
          <w:szCs w:val="16"/>
        </w:rPr>
        <w:t>N</w:t>
      </w:r>
      <w:r w:rsidRPr="00CB4F47">
        <w:rPr>
          <w:rFonts w:cs="Arial"/>
          <w:sz w:val="16"/>
          <w:szCs w:val="16"/>
        </w:rPr>
        <w:t>o 6 (1996, page 6</w:t>
      </w:r>
      <w:r>
        <w:rPr>
          <w:rFonts w:cs="Arial"/>
          <w:sz w:val="16"/>
          <w:szCs w:val="16"/>
        </w:rPr>
        <w:t>)</w:t>
      </w:r>
      <w:r w:rsidRPr="00CB4F47">
        <w:rPr>
          <w:rFonts w:cs="Arial"/>
          <w:sz w:val="16"/>
          <w:szCs w:val="16"/>
        </w:rPr>
        <w:t>.</w:t>
      </w:r>
    </w:p>
  </w:endnote>
  <w:endnote w:id="82">
    <w:p w14:paraId="63EC555F" w14:textId="27DDBED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Waitangi Tribunal, He Whakaputanga me te Tiriti, The Declaration and the Treaty: Report on stage 1 of the Te Paparahi o Te Raki Inquiry</w:t>
      </w:r>
      <w:r w:rsidRPr="00CB4F47">
        <w:rPr>
          <w:rFonts w:cs="Arial"/>
          <w:sz w:val="16"/>
          <w:szCs w:val="16"/>
        </w:rPr>
        <w:t xml:space="preserve"> </w:t>
      </w:r>
      <w:r w:rsidRPr="00CB4F47">
        <w:rPr>
          <w:rStyle w:val="normaltextrun"/>
          <w:rFonts w:cs="Arial"/>
          <w:sz w:val="16"/>
          <w:szCs w:val="16"/>
          <w:shd w:val="clear" w:color="auto" w:fill="FFFFFF"/>
        </w:rPr>
        <w:t xml:space="preserve">(2014, </w:t>
      </w:r>
      <w:r w:rsidRPr="00CB4F47">
        <w:rPr>
          <w:rFonts w:cs="Arial"/>
          <w:sz w:val="16"/>
          <w:szCs w:val="16"/>
        </w:rPr>
        <w:t xml:space="preserve">pages </w:t>
      </w:r>
      <w:r w:rsidRPr="00CB4F47">
        <w:rPr>
          <w:rStyle w:val="normaltextrun"/>
          <w:rFonts w:cs="Arial"/>
          <w:sz w:val="16"/>
          <w:szCs w:val="16"/>
          <w:shd w:val="clear" w:color="auto" w:fill="FFFFFF"/>
        </w:rPr>
        <w:t>12, 154 and 501</w:t>
      </w:r>
      <w:r>
        <w:rPr>
          <w:rStyle w:val="normaltextrun"/>
          <w:rFonts w:cs="Arial"/>
          <w:sz w:val="16"/>
          <w:szCs w:val="16"/>
          <w:shd w:val="clear" w:color="auto" w:fill="FFFFFF"/>
        </w:rPr>
        <w:t>)</w:t>
      </w:r>
      <w:r w:rsidRPr="00CB4F47">
        <w:rPr>
          <w:rStyle w:val="normaltextrun"/>
          <w:rFonts w:cs="Arial"/>
          <w:sz w:val="16"/>
          <w:szCs w:val="16"/>
          <w:shd w:val="clear" w:color="auto" w:fill="FFFFFF"/>
        </w:rPr>
        <w:t>.</w:t>
      </w:r>
    </w:p>
  </w:endnote>
  <w:endnote w:id="83">
    <w:p w14:paraId="7C941565" w14:textId="1AB9DE4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 xml:space="preserve">Waitangi Tribunal, He Whakaputanga me te Tiriti, The Declaration and the Treaty: Report on stage 1 of the Te Paparahi o Te Raki Inquiry (2014, </w:t>
      </w:r>
      <w:r w:rsidRPr="00CB4F47">
        <w:rPr>
          <w:rFonts w:cs="Arial"/>
          <w:sz w:val="16"/>
          <w:szCs w:val="16"/>
        </w:rPr>
        <w:t>page 176</w:t>
      </w:r>
      <w:r>
        <w:rPr>
          <w:rFonts w:cs="Arial"/>
          <w:sz w:val="16"/>
          <w:szCs w:val="16"/>
        </w:rPr>
        <w:t>)</w:t>
      </w:r>
      <w:r w:rsidRPr="00CB4F47">
        <w:rPr>
          <w:rFonts w:cs="Arial"/>
          <w:sz w:val="16"/>
          <w:szCs w:val="16"/>
        </w:rPr>
        <w:t>.</w:t>
      </w:r>
    </w:p>
  </w:endnote>
  <w:endnote w:id="84">
    <w:p w14:paraId="5805B582" w14:textId="01EBEE3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Orange, C, The Treaty of Waitangi (Bridget Williams Books, 2011, pages 21, 30–32</w:t>
      </w:r>
      <w:r w:rsidRPr="00CB4F47" w:rsidDel="00DE19C6">
        <w:rPr>
          <w:rFonts w:cs="Arial"/>
          <w:sz w:val="16"/>
          <w:szCs w:val="16"/>
        </w:rPr>
        <w:t>)</w:t>
      </w:r>
      <w:r w:rsidRPr="00CB4F47">
        <w:rPr>
          <w:rFonts w:cs="Arial"/>
          <w:sz w:val="16"/>
          <w:szCs w:val="16"/>
        </w:rPr>
        <w:t>.</w:t>
      </w:r>
    </w:p>
  </w:endnote>
  <w:endnote w:id="85">
    <w:p w14:paraId="3C30A596" w14:textId="2ED4D027" w:rsidR="00FE4E56" w:rsidRDefault="00FE4E56">
      <w:pPr>
        <w:pStyle w:val="EndnoteText"/>
      </w:pPr>
      <w:r>
        <w:rPr>
          <w:rStyle w:val="EndnoteReference"/>
        </w:rPr>
        <w:endnoteRef/>
      </w:r>
      <w:r>
        <w:t xml:space="preserve"> </w:t>
      </w:r>
      <w:r w:rsidRPr="00FC5F93">
        <w:rPr>
          <w:rFonts w:eastAsia="Times New Roman" w:cs="Arial"/>
          <w:sz w:val="16"/>
          <w:szCs w:val="16"/>
        </w:rPr>
        <w:t xml:space="preserve">Fletcher, N, The English text of the Treaty of Waitangi (Bridget Williams Books, 2022, </w:t>
      </w:r>
      <w:r w:rsidRPr="00FC5F93">
        <w:rPr>
          <w:rFonts w:cs="Arial"/>
          <w:sz w:val="16"/>
          <w:szCs w:val="16"/>
        </w:rPr>
        <w:t>pages 470–471</w:t>
      </w:r>
      <w:r w:rsidRPr="00FC5F93" w:rsidDel="00134AEF">
        <w:rPr>
          <w:rFonts w:cs="Arial"/>
          <w:sz w:val="16"/>
          <w:szCs w:val="16"/>
        </w:rPr>
        <w:t>)</w:t>
      </w:r>
      <w:r w:rsidRPr="00FC5F93">
        <w:rPr>
          <w:rFonts w:cs="Arial"/>
          <w:sz w:val="16"/>
          <w:szCs w:val="16"/>
        </w:rPr>
        <w:t>.</w:t>
      </w:r>
    </w:p>
  </w:endnote>
  <w:endnote w:id="86">
    <w:p w14:paraId="2009E18A" w14:textId="38105E13" w:rsidR="00FE4E56" w:rsidRPr="00CB4F47" w:rsidRDefault="00FE4E56" w:rsidP="00C57877">
      <w:pPr>
        <w:pStyle w:val="EndnoteText"/>
        <w:spacing w:line="20" w:lineRule="atLeast"/>
        <w:contextualSpacing/>
        <w:rPr>
          <w:rFonts w:cs="Arial"/>
          <w:sz w:val="16"/>
          <w:szCs w:val="16"/>
        </w:rPr>
      </w:pPr>
      <w:r w:rsidRPr="00536E67">
        <w:rPr>
          <w:rStyle w:val="StyleFootnoteReferenceFagoFunotenzeichenFagoFunotenzeichen"/>
          <w:sz w:val="16"/>
          <w:szCs w:val="16"/>
        </w:rPr>
        <w:endnoteRef/>
      </w:r>
      <w:r w:rsidRPr="00CB4F47">
        <w:rPr>
          <w:rFonts w:eastAsia="Consolas" w:cs="Arial"/>
          <w:sz w:val="16"/>
          <w:szCs w:val="16"/>
        </w:rPr>
        <w:t xml:space="preserve"> </w:t>
      </w:r>
      <w:r w:rsidRPr="00CB4F47">
        <w:rPr>
          <w:rFonts w:eastAsia="BatangChe" w:cs="Arial"/>
          <w:sz w:val="16"/>
          <w:szCs w:val="16"/>
        </w:rPr>
        <w:t>Waitangi Tribunal, Te Mana Whatu Ahuru: Report on Te Rohe Pōtae claims parts I and II (2018,</w:t>
      </w:r>
      <w:r w:rsidRPr="00CB4F47">
        <w:rPr>
          <w:rFonts w:eastAsia="BatangChe" w:cs="Arial"/>
          <w:sz w:val="16"/>
          <w:szCs w:val="16"/>
          <w:lang w:val="mi-NZ"/>
        </w:rPr>
        <w:t xml:space="preserve"> </w:t>
      </w:r>
      <w:r w:rsidRPr="00CB4F47">
        <w:rPr>
          <w:rFonts w:cs="Arial"/>
          <w:sz w:val="16"/>
          <w:szCs w:val="16"/>
        </w:rPr>
        <w:t>page</w:t>
      </w:r>
      <w:r w:rsidRPr="00CB4F47">
        <w:rPr>
          <w:rFonts w:eastAsia="Consolas" w:cs="Arial"/>
          <w:sz w:val="16"/>
          <w:szCs w:val="16"/>
        </w:rPr>
        <w:t xml:space="preserve"> 189</w:t>
      </w:r>
      <w:r>
        <w:rPr>
          <w:rFonts w:eastAsia="Consolas" w:cs="Arial"/>
          <w:sz w:val="16"/>
          <w:szCs w:val="16"/>
        </w:rPr>
        <w:t>)</w:t>
      </w:r>
      <w:r w:rsidRPr="00CB4F47">
        <w:rPr>
          <w:rFonts w:eastAsia="Consolas" w:cs="Arial"/>
          <w:sz w:val="16"/>
          <w:szCs w:val="16"/>
        </w:rPr>
        <w:t>.</w:t>
      </w:r>
    </w:p>
  </w:endnote>
  <w:endnote w:id="87">
    <w:p w14:paraId="361E3A2F" w14:textId="0001A8C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Style w:val="normaltextrun"/>
          <w:rFonts w:cs="Arial"/>
          <w:sz w:val="16"/>
          <w:szCs w:val="16"/>
          <w:shd w:val="clear" w:color="auto" w:fill="FFFFFF"/>
        </w:rPr>
        <w:t xml:space="preserve"> Waitangi Tribunal, </w:t>
      </w:r>
      <w:r w:rsidRPr="00CB4F47">
        <w:rPr>
          <w:rFonts w:cs="Arial"/>
          <w:sz w:val="16"/>
          <w:szCs w:val="16"/>
        </w:rPr>
        <w:t>He Whakaputanga me te Tiriti: The Declaration and the Treaty: Report on stage 1 of the Te Paparahi o Te Raki Inquiry (2014</w:t>
      </w:r>
      <w:r w:rsidRPr="00CB4F47">
        <w:rPr>
          <w:rStyle w:val="normaltextrun"/>
          <w:rFonts w:cs="Arial"/>
          <w:sz w:val="16"/>
          <w:szCs w:val="16"/>
          <w:shd w:val="clear" w:color="auto" w:fill="FFFFFF"/>
        </w:rPr>
        <w:t xml:space="preserve">, </w:t>
      </w:r>
      <w:r w:rsidRPr="00CB4F47">
        <w:rPr>
          <w:rFonts w:cs="Arial"/>
          <w:sz w:val="16"/>
          <w:szCs w:val="16"/>
        </w:rPr>
        <w:t>page</w:t>
      </w:r>
      <w:r w:rsidRPr="00CB4F47">
        <w:rPr>
          <w:rStyle w:val="normaltextrun"/>
          <w:rFonts w:cs="Arial"/>
          <w:sz w:val="16"/>
          <w:szCs w:val="16"/>
          <w:shd w:val="clear" w:color="auto" w:fill="FFFFFF"/>
        </w:rPr>
        <w:t xml:space="preserve"> 499</w:t>
      </w:r>
      <w:r>
        <w:rPr>
          <w:rStyle w:val="normaltextrun"/>
          <w:rFonts w:cs="Arial"/>
          <w:sz w:val="16"/>
          <w:szCs w:val="16"/>
          <w:shd w:val="clear" w:color="auto" w:fill="FFFFFF"/>
        </w:rPr>
        <w:t>)</w:t>
      </w:r>
      <w:r w:rsidRPr="00CB4F47">
        <w:rPr>
          <w:rStyle w:val="normaltextrun"/>
          <w:rFonts w:cs="Arial"/>
          <w:sz w:val="16"/>
          <w:szCs w:val="16"/>
          <w:shd w:val="clear" w:color="auto" w:fill="FFFFFF"/>
        </w:rPr>
        <w:t>.</w:t>
      </w:r>
    </w:p>
  </w:endnote>
  <w:endnote w:id="88">
    <w:p w14:paraId="40AAE8C1" w14:textId="0092A46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Waitangi Tribunal, Report of the Waitangi Tribunal on the Motunui-Waitara claim (1983, page 52</w:t>
      </w:r>
      <w:r w:rsidRPr="00CB4F47" w:rsidDel="00134AEF">
        <w:rPr>
          <w:rStyle w:val="normaltextrun"/>
          <w:rFonts w:cs="Arial"/>
          <w:sz w:val="16"/>
          <w:szCs w:val="16"/>
          <w:shd w:val="clear" w:color="auto" w:fill="FFFFFF"/>
        </w:rPr>
        <w:t>)</w:t>
      </w:r>
      <w:r w:rsidRPr="00CB4F47">
        <w:rPr>
          <w:rStyle w:val="normaltextrun"/>
          <w:rFonts w:cs="Arial"/>
          <w:sz w:val="16"/>
          <w:szCs w:val="16"/>
          <w:shd w:val="clear" w:color="auto" w:fill="FFFFFF"/>
        </w:rPr>
        <w:t xml:space="preserve">. </w:t>
      </w:r>
    </w:p>
  </w:endnote>
  <w:endnote w:id="89">
    <w:p w14:paraId="34F4FF44" w14:textId="4AC3E22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Times New Roman" w:cs="Arial"/>
          <w:sz w:val="16"/>
          <w:szCs w:val="16"/>
        </w:rPr>
        <w:t xml:space="preserve">Fletcher, N, The English text of the Treaty of Waitangi (Bridget Williams Books, 2022, </w:t>
      </w:r>
      <w:r w:rsidRPr="00CB4F47">
        <w:rPr>
          <w:rFonts w:cs="Arial"/>
          <w:sz w:val="16"/>
          <w:szCs w:val="16"/>
        </w:rPr>
        <w:t>pages 470–471</w:t>
      </w:r>
      <w:r w:rsidRPr="00CB4F47" w:rsidDel="00134AEF">
        <w:rPr>
          <w:rFonts w:cs="Arial"/>
          <w:sz w:val="16"/>
          <w:szCs w:val="16"/>
        </w:rPr>
        <w:t>)</w:t>
      </w:r>
      <w:r w:rsidRPr="00CB4F47">
        <w:rPr>
          <w:rFonts w:cs="Arial"/>
          <w:sz w:val="16"/>
          <w:szCs w:val="16"/>
        </w:rPr>
        <w:t>.</w:t>
      </w:r>
    </w:p>
  </w:endnote>
  <w:endnote w:id="90">
    <w:p w14:paraId="35F1A7D9" w14:textId="55CF8E3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Waitangi Tribunal, Te Roroa Report (1992, page 28</w:t>
      </w:r>
      <w:r>
        <w:rPr>
          <w:rFonts w:cs="Arial"/>
          <w:sz w:val="16"/>
          <w:szCs w:val="16"/>
        </w:rPr>
        <w:t>)</w:t>
      </w:r>
      <w:r w:rsidRPr="00CB4F47">
        <w:rPr>
          <w:rFonts w:cs="Arial"/>
          <w:sz w:val="16"/>
          <w:szCs w:val="16"/>
        </w:rPr>
        <w:t>.</w:t>
      </w:r>
    </w:p>
  </w:endnote>
  <w:endnote w:id="91">
    <w:p w14:paraId="12C10900" w14:textId="3ED98C6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William</w:t>
      </w:r>
      <w:r>
        <w:rPr>
          <w:rFonts w:cs="Arial"/>
          <w:sz w:val="16"/>
          <w:szCs w:val="16"/>
        </w:rPr>
        <w:t>s</w:t>
      </w:r>
      <w:r w:rsidRPr="00CB4F47">
        <w:rPr>
          <w:rFonts w:cs="Arial"/>
          <w:sz w:val="16"/>
          <w:szCs w:val="16"/>
        </w:rPr>
        <w:t>, DV, “The continuing impact of amalgamation, assimilation and integration policies</w:t>
      </w:r>
      <w:r>
        <w:rPr>
          <w:rFonts w:cs="Arial"/>
          <w:sz w:val="16"/>
          <w:szCs w:val="16"/>
        </w:rPr>
        <w:t>,</w:t>
      </w:r>
      <w:r w:rsidRPr="00CB4F47">
        <w:rPr>
          <w:rFonts w:cs="Arial"/>
          <w:sz w:val="16"/>
          <w:szCs w:val="16"/>
        </w:rPr>
        <w:t>” Journal of the Royal Society of New Zealand 49(1) (2019, page 3</w:t>
      </w:r>
      <w:r>
        <w:rPr>
          <w:rFonts w:cs="Arial"/>
          <w:sz w:val="16"/>
          <w:szCs w:val="16"/>
        </w:rPr>
        <w:t>);</w:t>
      </w:r>
      <w:r w:rsidRPr="00CB4F47">
        <w:rPr>
          <w:rFonts w:cs="Arial"/>
          <w:sz w:val="16"/>
          <w:szCs w:val="16"/>
        </w:rPr>
        <w:t xml:space="preserve"> </w:t>
      </w:r>
      <w:r w:rsidRPr="008A5F31">
        <w:rPr>
          <w:rFonts w:cs="Arial"/>
          <w:sz w:val="16"/>
          <w:szCs w:val="16"/>
        </w:rPr>
        <w:t xml:space="preserve">Boast, R, Te tango whenua: Māori land alienation (Te Ara – </w:t>
      </w:r>
      <w:r>
        <w:rPr>
          <w:rFonts w:cs="Arial"/>
          <w:sz w:val="16"/>
          <w:szCs w:val="16"/>
        </w:rPr>
        <w:t>T</w:t>
      </w:r>
      <w:r w:rsidRPr="008A5F31">
        <w:rPr>
          <w:rFonts w:cs="Arial"/>
          <w:sz w:val="16"/>
          <w:szCs w:val="16"/>
        </w:rPr>
        <w:t>he Encyclopedia of New Zealand, 2008, updated 2015)</w:t>
      </w:r>
      <w:r>
        <w:rPr>
          <w:rFonts w:cs="Arial"/>
          <w:sz w:val="16"/>
          <w:szCs w:val="16"/>
        </w:rPr>
        <w:t xml:space="preserve">, </w:t>
      </w:r>
      <w:hyperlink r:id="rId7" w:history="1">
        <w:r w:rsidRPr="00DD5764">
          <w:rPr>
            <w:rStyle w:val="Hyperlink"/>
            <w:rFonts w:cs="Arial"/>
            <w:sz w:val="16"/>
            <w:szCs w:val="16"/>
          </w:rPr>
          <w:t>http://www.TeAra.govt.nz/en/te-tango-whenua-maori-land-alienation</w:t>
        </w:r>
      </w:hyperlink>
      <w:r>
        <w:rPr>
          <w:rFonts w:cs="Arial"/>
          <w:sz w:val="16"/>
          <w:szCs w:val="16"/>
        </w:rPr>
        <w:t>.</w:t>
      </w:r>
    </w:p>
  </w:endnote>
  <w:endnote w:id="92">
    <w:p w14:paraId="1282FE53" w14:textId="1A6DB2C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w:t>
      </w:r>
      <w:r>
        <w:rPr>
          <w:rFonts w:cs="Arial"/>
          <w:sz w:val="16"/>
          <w:szCs w:val="16"/>
        </w:rPr>
        <w:t>p</w:t>
      </w:r>
      <w:r w:rsidRPr="00CB4F47">
        <w:rPr>
          <w:rFonts w:cs="Arial"/>
          <w:sz w:val="16"/>
          <w:szCs w:val="16"/>
        </w:rPr>
        <w:t>olicy of Aboriginal assimilation: Australia</w:t>
      </w:r>
      <w:r w:rsidRPr="00CB4F47">
        <w:rPr>
          <w:rFonts w:cs="Arial"/>
          <w:b/>
          <w:sz w:val="16"/>
          <w:szCs w:val="16"/>
        </w:rPr>
        <w:t>,</w:t>
      </w:r>
      <w:r w:rsidRPr="00CB4F47">
        <w:rPr>
          <w:rFonts w:cs="Arial"/>
          <w:sz w:val="16"/>
          <w:szCs w:val="16"/>
        </w:rPr>
        <w:t xml:space="preserve"> Canada, and New Zealand (University of British Columbia Press, 1995, page 155); Waitangi Tribunal, Te Roroa Report (1992, page 28</w:t>
      </w:r>
      <w:r>
        <w:rPr>
          <w:rFonts w:cs="Arial"/>
          <w:sz w:val="16"/>
          <w:szCs w:val="16"/>
        </w:rPr>
        <w:t>)</w:t>
      </w:r>
      <w:r w:rsidRPr="00CB4F47">
        <w:rPr>
          <w:rFonts w:cs="Arial"/>
          <w:sz w:val="16"/>
          <w:szCs w:val="16"/>
        </w:rPr>
        <w:t>.</w:t>
      </w:r>
    </w:p>
  </w:endnote>
  <w:endnote w:id="93">
    <w:p w14:paraId="466367E8" w14:textId="35EAE3E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w:t>
      </w:r>
      <w:r>
        <w:rPr>
          <w:rFonts w:cs="Arial"/>
          <w:sz w:val="16"/>
          <w:szCs w:val="16"/>
        </w:rPr>
        <w:t>p</w:t>
      </w:r>
      <w:r w:rsidRPr="00CB4F47">
        <w:rPr>
          <w:rFonts w:cs="Arial"/>
          <w:sz w:val="16"/>
          <w:szCs w:val="16"/>
        </w:rPr>
        <w:t>olicy of Aboriginal assimilation: Australia</w:t>
      </w:r>
      <w:r w:rsidRPr="00CB4F47">
        <w:rPr>
          <w:rFonts w:cs="Arial"/>
          <w:b/>
          <w:sz w:val="16"/>
          <w:szCs w:val="16"/>
        </w:rPr>
        <w:t>,</w:t>
      </w:r>
      <w:r w:rsidRPr="00CB4F47">
        <w:rPr>
          <w:rFonts w:cs="Arial"/>
          <w:sz w:val="16"/>
          <w:szCs w:val="16"/>
        </w:rPr>
        <w:t xml:space="preserve"> Canada, and New Zealand</w:t>
      </w:r>
      <w:r w:rsidRPr="00CB4F47">
        <w:rPr>
          <w:rFonts w:cs="Arial"/>
          <w:b/>
          <w:sz w:val="16"/>
          <w:szCs w:val="16"/>
        </w:rPr>
        <w:t xml:space="preserve"> </w:t>
      </w:r>
      <w:r w:rsidRPr="00CB4F47">
        <w:rPr>
          <w:rFonts w:cs="Arial"/>
          <w:sz w:val="16"/>
          <w:szCs w:val="16"/>
        </w:rPr>
        <w:t>(University of British Columbia Press, 1995, page 171</w:t>
      </w:r>
      <w:r>
        <w:rPr>
          <w:rFonts w:cs="Arial"/>
          <w:sz w:val="16"/>
          <w:szCs w:val="16"/>
        </w:rPr>
        <w:t>)</w:t>
      </w:r>
      <w:r w:rsidRPr="00CB4F47">
        <w:rPr>
          <w:rFonts w:cs="Arial"/>
          <w:sz w:val="16"/>
          <w:szCs w:val="16"/>
        </w:rPr>
        <w:t>.</w:t>
      </w:r>
    </w:p>
  </w:endnote>
  <w:endnote w:id="94">
    <w:p w14:paraId="307BDF3B" w14:textId="21A0E7B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w:t>
      </w:r>
      <w:r>
        <w:rPr>
          <w:rFonts w:cs="Arial"/>
          <w:sz w:val="16"/>
          <w:szCs w:val="16"/>
        </w:rPr>
        <w:t>p</w:t>
      </w:r>
      <w:r w:rsidRPr="00CB4F47">
        <w:rPr>
          <w:rFonts w:cs="Arial"/>
          <w:sz w:val="16"/>
          <w:szCs w:val="16"/>
        </w:rPr>
        <w:t>olicy of Aboriginal assimilation: Australia</w:t>
      </w:r>
      <w:r w:rsidRPr="00CB4F47">
        <w:rPr>
          <w:rFonts w:cs="Arial"/>
          <w:b/>
          <w:sz w:val="16"/>
          <w:szCs w:val="16"/>
        </w:rPr>
        <w:t>,</w:t>
      </w:r>
      <w:r w:rsidRPr="00CB4F47">
        <w:rPr>
          <w:rFonts w:cs="Arial"/>
          <w:sz w:val="16"/>
          <w:szCs w:val="16"/>
        </w:rPr>
        <w:t xml:space="preserve"> Canada, and New Zealand (University of British Columbia Press, 1995, page 156</w:t>
      </w:r>
      <w:r>
        <w:rPr>
          <w:rFonts w:cs="Arial"/>
          <w:sz w:val="16"/>
          <w:szCs w:val="16"/>
        </w:rPr>
        <w:t>)</w:t>
      </w:r>
      <w:r w:rsidRPr="00CB4F47">
        <w:rPr>
          <w:rFonts w:cs="Arial"/>
          <w:sz w:val="16"/>
          <w:szCs w:val="16"/>
        </w:rPr>
        <w:t>.</w:t>
      </w:r>
    </w:p>
  </w:endnote>
  <w:endnote w:id="95">
    <w:p w14:paraId="716F1114" w14:textId="7D7025BA" w:rsidR="00FE4E56" w:rsidRPr="00CB4F47" w:rsidRDefault="00FE4E56" w:rsidP="00E84482">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Boast, R, Te tango whenua: Māori land alienation (Te Ara – the Encyclopedia of New Zealand, 2008, updated 2015) </w:t>
      </w:r>
      <w:hyperlink r:id="rId8" w:history="1">
        <w:r w:rsidRPr="00A24536">
          <w:rPr>
            <w:rStyle w:val="Hyperlink"/>
            <w:rFonts w:cs="Arial"/>
            <w:sz w:val="16"/>
            <w:szCs w:val="16"/>
          </w:rPr>
          <w:t>http://www.TeAra.govt.nz/en/te-tango-whenua-maori-land-alienation</w:t>
        </w:r>
      </w:hyperlink>
      <w:r w:rsidRPr="00CB4F47">
        <w:rPr>
          <w:rFonts w:cs="Arial"/>
          <w:sz w:val="16"/>
          <w:szCs w:val="16"/>
        </w:rPr>
        <w:t xml:space="preserve">.  </w:t>
      </w:r>
    </w:p>
  </w:endnote>
  <w:endnote w:id="96">
    <w:p w14:paraId="10C1CBFE" w14:textId="52643B9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Williams, J, “Build a bridge and get over it – the role of colonial dispossession in contemporary indigenous offending and what we should do about it</w:t>
      </w:r>
      <w:r>
        <w:rPr>
          <w:rFonts w:cs="Arial"/>
          <w:sz w:val="16"/>
          <w:szCs w:val="16"/>
        </w:rPr>
        <w:t>,</w:t>
      </w:r>
      <w:r w:rsidRPr="00CB4F47">
        <w:rPr>
          <w:rFonts w:cs="Arial"/>
          <w:sz w:val="16"/>
          <w:szCs w:val="16"/>
        </w:rPr>
        <w:t>”</w:t>
      </w:r>
      <w:r w:rsidRPr="00CB4F47" w:rsidDel="00A02407">
        <w:rPr>
          <w:rFonts w:cs="Arial"/>
          <w:sz w:val="16"/>
          <w:szCs w:val="16"/>
        </w:rPr>
        <w:t xml:space="preserve"> </w:t>
      </w:r>
      <w:r>
        <w:rPr>
          <w:rFonts w:cs="Arial"/>
          <w:sz w:val="16"/>
          <w:szCs w:val="16"/>
        </w:rPr>
        <w:t>s</w:t>
      </w:r>
      <w:r w:rsidRPr="00CB4F47">
        <w:rPr>
          <w:rFonts w:cs="Arial"/>
          <w:sz w:val="16"/>
          <w:szCs w:val="16"/>
        </w:rPr>
        <w:t>peech for the Robin Cooke Memorial Lecture 2019, reproduced in the New Zealand Journal of Public and International Law 18 (2020, page 3</w:t>
      </w:r>
      <w:r>
        <w:rPr>
          <w:rFonts w:cs="Arial"/>
          <w:sz w:val="16"/>
          <w:szCs w:val="16"/>
        </w:rPr>
        <w:t>)</w:t>
      </w:r>
      <w:r w:rsidRPr="00CB4F47">
        <w:rPr>
          <w:rFonts w:cs="Arial"/>
          <w:sz w:val="16"/>
          <w:szCs w:val="16"/>
        </w:rPr>
        <w:t xml:space="preserve">. </w:t>
      </w:r>
    </w:p>
  </w:endnote>
  <w:endnote w:id="97">
    <w:p w14:paraId="75BB85D1" w14:textId="0712D617" w:rsidR="00FE4E56" w:rsidRPr="00CB4F47" w:rsidRDefault="00FE4E56" w:rsidP="00C57877">
      <w:pPr>
        <w:spacing w:before="0" w:after="0" w:line="20" w:lineRule="atLeast"/>
        <w:textAlignment w:val="baseline"/>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Binney, J, Basset, J &amp; Olssen, E, The </w:t>
      </w:r>
      <w:r>
        <w:rPr>
          <w:rFonts w:ascii="Arial" w:hAnsi="Arial" w:cs="Arial"/>
          <w:sz w:val="16"/>
          <w:szCs w:val="16"/>
        </w:rPr>
        <w:t>p</w:t>
      </w:r>
      <w:r w:rsidRPr="00CB4F47">
        <w:rPr>
          <w:rFonts w:ascii="Arial" w:hAnsi="Arial" w:cs="Arial"/>
          <w:sz w:val="16"/>
          <w:szCs w:val="16"/>
        </w:rPr>
        <w:t xml:space="preserve">eople and the </w:t>
      </w:r>
      <w:r>
        <w:rPr>
          <w:rFonts w:ascii="Arial" w:hAnsi="Arial" w:cs="Arial"/>
          <w:sz w:val="16"/>
          <w:szCs w:val="16"/>
        </w:rPr>
        <w:t>l</w:t>
      </w:r>
      <w:r w:rsidRPr="00CB4F47">
        <w:rPr>
          <w:rFonts w:ascii="Arial" w:hAnsi="Arial" w:cs="Arial"/>
          <w:sz w:val="16"/>
          <w:szCs w:val="16"/>
        </w:rPr>
        <w:t>and, Te Tangata me te Whenua: An illustrated history of New Zealand 1820–1920 (Bridget Williams Books, New Zealand 1993, page 214</w:t>
      </w:r>
      <w:r>
        <w:rPr>
          <w:rFonts w:ascii="Arial" w:hAnsi="Arial" w:cs="Arial"/>
          <w:sz w:val="16"/>
          <w:szCs w:val="16"/>
        </w:rPr>
        <w:t>)</w:t>
      </w:r>
      <w:r w:rsidRPr="00CB4F47">
        <w:rPr>
          <w:rFonts w:ascii="Arial" w:hAnsi="Arial" w:cs="Arial"/>
          <w:sz w:val="16"/>
          <w:szCs w:val="16"/>
        </w:rPr>
        <w:t>.</w:t>
      </w:r>
    </w:p>
  </w:endnote>
  <w:endnote w:id="98">
    <w:p w14:paraId="3609AC1F" w14:textId="73142DC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Williams, J, “Build a bridge and get over it – the role of colonial dispossession in contemporary indigenous offending and what we should do about it</w:t>
      </w:r>
      <w:r>
        <w:rPr>
          <w:rFonts w:cs="Arial"/>
          <w:sz w:val="16"/>
          <w:szCs w:val="16"/>
        </w:rPr>
        <w:t>,</w:t>
      </w:r>
      <w:r w:rsidRPr="00CB4F47">
        <w:rPr>
          <w:rFonts w:cs="Arial"/>
          <w:sz w:val="16"/>
          <w:szCs w:val="16"/>
        </w:rPr>
        <w:t>”</w:t>
      </w:r>
      <w:r w:rsidRPr="00CB4F47" w:rsidDel="00A02407">
        <w:rPr>
          <w:rFonts w:cs="Arial"/>
          <w:sz w:val="16"/>
          <w:szCs w:val="16"/>
        </w:rPr>
        <w:t xml:space="preserve"> </w:t>
      </w:r>
      <w:r>
        <w:rPr>
          <w:rFonts w:cs="Arial"/>
          <w:sz w:val="16"/>
          <w:szCs w:val="16"/>
        </w:rPr>
        <w:t>s</w:t>
      </w:r>
      <w:r w:rsidRPr="00CB4F47">
        <w:rPr>
          <w:rFonts w:cs="Arial"/>
          <w:sz w:val="16"/>
          <w:szCs w:val="16"/>
        </w:rPr>
        <w:t>peech for the Robin Cooke Memorial Lecture 2019, reproduced in the New Zealand Journal of Public and International Law 18 (2020, page 12); Shirley, I, Koopman-Boyden, P, Pool, I &amp; St John, S, “Family change and family policies: New Zealand</w:t>
      </w:r>
      <w:r>
        <w:rPr>
          <w:rFonts w:cs="Arial"/>
          <w:sz w:val="16"/>
          <w:szCs w:val="16"/>
        </w:rPr>
        <w:t>,</w:t>
      </w:r>
      <w:r w:rsidRPr="00CB4F47">
        <w:rPr>
          <w:rFonts w:cs="Arial"/>
          <w:sz w:val="16"/>
          <w:szCs w:val="16"/>
        </w:rPr>
        <w:t>” in Kamerman, SB &amp; Kahn, AJ (eds), Family change and family policies in Great Britain, Canada, New Zealand and the United States (Clarendon Press, 2007, page 209</w:t>
      </w:r>
      <w:r>
        <w:rPr>
          <w:rFonts w:cs="Arial"/>
          <w:sz w:val="16"/>
          <w:szCs w:val="16"/>
        </w:rPr>
        <w:t>)</w:t>
      </w:r>
      <w:r w:rsidRPr="00CB4F47">
        <w:rPr>
          <w:rFonts w:cs="Arial"/>
          <w:sz w:val="16"/>
          <w:szCs w:val="16"/>
        </w:rPr>
        <w:t>.</w:t>
      </w:r>
    </w:p>
  </w:endnote>
  <w:endnote w:id="99">
    <w:p w14:paraId="2C1CEB38" w14:textId="682D5FF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Ross, M, “The throat of Parata</w:t>
      </w:r>
      <w:r>
        <w:rPr>
          <w:rFonts w:cs="Arial"/>
          <w:sz w:val="16"/>
          <w:szCs w:val="16"/>
        </w:rPr>
        <w:t>,</w:t>
      </w:r>
      <w:r w:rsidRPr="00CB4F47">
        <w:rPr>
          <w:rFonts w:cs="Arial"/>
          <w:sz w:val="16"/>
          <w:szCs w:val="16"/>
        </w:rPr>
        <w:t>” in Kiddle, R, Elkington, B, Jackson, M, Mercier, O R, Ross, M, Smeaton, J &amp; Thomas, A, Imagining decolonisation (Bridget Williams Books, 2020, page 30</w:t>
      </w:r>
      <w:r>
        <w:rPr>
          <w:rFonts w:cs="Arial"/>
          <w:sz w:val="16"/>
          <w:szCs w:val="16"/>
        </w:rPr>
        <w:t>)</w:t>
      </w:r>
      <w:r w:rsidRPr="00CB4F47">
        <w:rPr>
          <w:rFonts w:cs="Arial"/>
          <w:sz w:val="16"/>
          <w:szCs w:val="16"/>
        </w:rPr>
        <w:t>.</w:t>
      </w:r>
    </w:p>
  </w:endnote>
  <w:endnote w:id="100">
    <w:p w14:paraId="77F099F7" w14:textId="1BF89091" w:rsidR="00FE4E56" w:rsidRPr="005A280B" w:rsidRDefault="00FE4E56">
      <w:pPr>
        <w:pStyle w:val="EndnoteText"/>
        <w:rPr>
          <w:sz w:val="16"/>
          <w:szCs w:val="16"/>
        </w:rPr>
      </w:pPr>
      <w:r w:rsidRPr="00536E67">
        <w:rPr>
          <w:rStyle w:val="StyleFootnoteReferenceFagoFunotenzeichenFagoFunotenzeichen"/>
          <w:sz w:val="16"/>
          <w:szCs w:val="16"/>
        </w:rPr>
        <w:endnoteRef/>
      </w:r>
      <w:r w:rsidRPr="005A280B">
        <w:rPr>
          <w:sz w:val="16"/>
          <w:szCs w:val="16"/>
        </w:rPr>
        <w:t xml:space="preserve"> Tennant, M, “Magdalens and moral imbeciles: Women’s homes in nineteenth-century New Zealand</w:t>
      </w:r>
      <w:r>
        <w:rPr>
          <w:sz w:val="16"/>
          <w:szCs w:val="16"/>
        </w:rPr>
        <w:t>,</w:t>
      </w:r>
      <w:r w:rsidRPr="005A280B">
        <w:rPr>
          <w:sz w:val="16"/>
          <w:szCs w:val="16"/>
        </w:rPr>
        <w:t>” Women</w:t>
      </w:r>
      <w:r>
        <w:rPr>
          <w:sz w:val="16"/>
          <w:szCs w:val="16"/>
        </w:rPr>
        <w:t>’</w:t>
      </w:r>
      <w:r w:rsidRPr="005A280B">
        <w:rPr>
          <w:sz w:val="16"/>
          <w:szCs w:val="16"/>
        </w:rPr>
        <w:t>s Studies International Forum, 9(5-6), (1986, pages 493-494</w:t>
      </w:r>
      <w:r>
        <w:rPr>
          <w:sz w:val="16"/>
          <w:szCs w:val="16"/>
        </w:rPr>
        <w:t>)</w:t>
      </w:r>
      <w:r w:rsidRPr="005A280B">
        <w:rPr>
          <w:sz w:val="16"/>
          <w:szCs w:val="16"/>
        </w:rPr>
        <w:t xml:space="preserve">; Lineham, P, “Trends in </w:t>
      </w:r>
      <w:r>
        <w:rPr>
          <w:sz w:val="16"/>
          <w:szCs w:val="16"/>
        </w:rPr>
        <w:t>r</w:t>
      </w:r>
      <w:r w:rsidRPr="005A280B">
        <w:rPr>
          <w:sz w:val="16"/>
          <w:szCs w:val="16"/>
        </w:rPr>
        <w:t xml:space="preserve">eligious </w:t>
      </w:r>
      <w:r>
        <w:rPr>
          <w:sz w:val="16"/>
          <w:szCs w:val="16"/>
        </w:rPr>
        <w:t>h</w:t>
      </w:r>
      <w:r w:rsidRPr="005A280B">
        <w:rPr>
          <w:sz w:val="16"/>
          <w:szCs w:val="16"/>
        </w:rPr>
        <w:t>istory in New Zealand: From institutional to social history</w:t>
      </w:r>
      <w:r>
        <w:rPr>
          <w:sz w:val="16"/>
          <w:szCs w:val="16"/>
        </w:rPr>
        <w:t>,</w:t>
      </w:r>
      <w:r w:rsidRPr="005A280B">
        <w:rPr>
          <w:sz w:val="16"/>
          <w:szCs w:val="16"/>
        </w:rPr>
        <w:t>” History Compass 12(4), (2014, page 336</w:t>
      </w:r>
      <w:r>
        <w:rPr>
          <w:sz w:val="16"/>
          <w:szCs w:val="16"/>
        </w:rPr>
        <w:t>)</w:t>
      </w:r>
      <w:r w:rsidRPr="005A280B">
        <w:rPr>
          <w:sz w:val="16"/>
          <w:szCs w:val="16"/>
        </w:rPr>
        <w:t>.</w:t>
      </w:r>
    </w:p>
  </w:endnote>
  <w:endnote w:id="101">
    <w:p w14:paraId="74BAF1E3" w14:textId="7F02261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Times New Roman" w:cs="Arial"/>
          <w:sz w:val="16"/>
          <w:szCs w:val="16"/>
        </w:rPr>
        <w:t>Guy, L, “‘Straightening the queers’ – medical perspectives on homosexuality in mid-twentieth century New Zealand</w:t>
      </w:r>
      <w:r>
        <w:rPr>
          <w:rFonts w:eastAsia="Times New Roman" w:cs="Arial"/>
          <w:sz w:val="16"/>
          <w:szCs w:val="16"/>
        </w:rPr>
        <w:t>,</w:t>
      </w:r>
      <w:r w:rsidRPr="00CB4F47">
        <w:rPr>
          <w:rFonts w:eastAsia="Times New Roman" w:cs="Arial"/>
          <w:sz w:val="16"/>
          <w:szCs w:val="16"/>
        </w:rPr>
        <w:t>” in Health and History, Vol</w:t>
      </w:r>
      <w:r>
        <w:rPr>
          <w:rFonts w:eastAsia="Times New Roman" w:cs="Arial"/>
          <w:sz w:val="16"/>
          <w:szCs w:val="16"/>
        </w:rPr>
        <w:t>ume</w:t>
      </w:r>
      <w:r w:rsidRPr="00CB4F47">
        <w:rPr>
          <w:rFonts w:eastAsia="Times New Roman" w:cs="Arial"/>
          <w:sz w:val="16"/>
          <w:szCs w:val="16"/>
        </w:rPr>
        <w:t xml:space="preserve"> 2, No 1 (2000, </w:t>
      </w:r>
      <w:r w:rsidRPr="00CB4F47">
        <w:rPr>
          <w:rFonts w:cs="Arial"/>
          <w:sz w:val="16"/>
          <w:szCs w:val="16"/>
        </w:rPr>
        <w:t>pages</w:t>
      </w:r>
      <w:r w:rsidRPr="00CB4F47">
        <w:rPr>
          <w:rFonts w:eastAsia="Times New Roman" w:cs="Arial"/>
          <w:sz w:val="16"/>
          <w:szCs w:val="16"/>
        </w:rPr>
        <w:t xml:space="preserve"> 101</w:t>
      </w:r>
      <w:r w:rsidRPr="00CB4F47">
        <w:rPr>
          <w:rFonts w:cs="Arial"/>
          <w:sz w:val="16"/>
          <w:szCs w:val="16"/>
        </w:rPr>
        <w:t>–</w:t>
      </w:r>
      <w:r w:rsidRPr="00CB4F47">
        <w:rPr>
          <w:rFonts w:eastAsia="Times New Roman" w:cs="Arial"/>
          <w:sz w:val="16"/>
          <w:szCs w:val="16"/>
        </w:rPr>
        <w:t xml:space="preserve">120, </w:t>
      </w:r>
      <w:r w:rsidRPr="00CB4F47">
        <w:rPr>
          <w:rFonts w:cs="Arial"/>
          <w:sz w:val="16"/>
          <w:szCs w:val="16"/>
        </w:rPr>
        <w:t>page</w:t>
      </w:r>
      <w:r w:rsidRPr="00CB4F47">
        <w:rPr>
          <w:rFonts w:eastAsia="Times New Roman" w:cs="Arial"/>
          <w:sz w:val="16"/>
          <w:szCs w:val="16"/>
        </w:rPr>
        <w:t xml:space="preserve"> 108</w:t>
      </w:r>
      <w:r>
        <w:rPr>
          <w:rFonts w:eastAsia="Times New Roman" w:cs="Arial"/>
          <w:sz w:val="16"/>
          <w:szCs w:val="16"/>
        </w:rPr>
        <w:t>)</w:t>
      </w:r>
      <w:r w:rsidRPr="00CB4F47">
        <w:rPr>
          <w:rFonts w:eastAsia="Times New Roman" w:cs="Arial"/>
          <w:sz w:val="16"/>
          <w:szCs w:val="16"/>
        </w:rPr>
        <w:t xml:space="preserve">; </w:t>
      </w:r>
      <w:r w:rsidRPr="00CB4F47">
        <w:rPr>
          <w:rFonts w:cs="Arial"/>
          <w:sz w:val="16"/>
          <w:szCs w:val="16"/>
        </w:rPr>
        <w:t>Pratt, J, “The dark side of paradise: Explaining New Zealand’s history of high imprisonment</w:t>
      </w:r>
      <w:r>
        <w:rPr>
          <w:rFonts w:cs="Arial"/>
          <w:sz w:val="16"/>
          <w:szCs w:val="16"/>
        </w:rPr>
        <w:t>,</w:t>
      </w:r>
      <w:r w:rsidRPr="00CB4F47">
        <w:rPr>
          <w:rFonts w:cs="Arial"/>
          <w:sz w:val="16"/>
          <w:szCs w:val="16"/>
        </w:rPr>
        <w:t>” British Journal of Criminology 46 (2006, page 553</w:t>
      </w:r>
      <w:r>
        <w:rPr>
          <w:rFonts w:cs="Arial"/>
          <w:sz w:val="16"/>
          <w:szCs w:val="16"/>
        </w:rPr>
        <w:t>)</w:t>
      </w:r>
      <w:r w:rsidRPr="00CB4F47">
        <w:rPr>
          <w:rFonts w:cs="Arial"/>
          <w:sz w:val="16"/>
          <w:szCs w:val="16"/>
        </w:rPr>
        <w:t>.</w:t>
      </w:r>
    </w:p>
  </w:endnote>
  <w:endnote w:id="102">
    <w:p w14:paraId="42DE8E38" w14:textId="107B3F2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Times New Roman" w:cs="Arial"/>
          <w:sz w:val="16"/>
          <w:szCs w:val="16"/>
        </w:rPr>
        <w:t>Guy, L</w:t>
      </w:r>
      <w:r>
        <w:rPr>
          <w:rFonts w:eastAsia="Times New Roman" w:cs="Arial"/>
          <w:sz w:val="16"/>
          <w:szCs w:val="16"/>
        </w:rPr>
        <w:t>,</w:t>
      </w:r>
      <w:r w:rsidRPr="00CB4F47">
        <w:rPr>
          <w:rFonts w:eastAsia="Times New Roman" w:cs="Arial"/>
          <w:sz w:val="16"/>
          <w:szCs w:val="16"/>
        </w:rPr>
        <w:t xml:space="preserve"> “‘Straightening the queers’ – medical perspectives on homosexuality in mid-twentieth century New Zealand</w:t>
      </w:r>
      <w:r>
        <w:rPr>
          <w:rFonts w:eastAsia="Times New Roman" w:cs="Arial"/>
          <w:sz w:val="16"/>
          <w:szCs w:val="16"/>
        </w:rPr>
        <w:t>,</w:t>
      </w:r>
      <w:r w:rsidRPr="00CB4F47">
        <w:rPr>
          <w:rFonts w:eastAsia="Times New Roman" w:cs="Arial"/>
          <w:sz w:val="16"/>
          <w:szCs w:val="16"/>
        </w:rPr>
        <w:t>” in Health and History, Vol</w:t>
      </w:r>
      <w:r>
        <w:rPr>
          <w:rFonts w:eastAsia="Times New Roman" w:cs="Arial"/>
          <w:sz w:val="16"/>
          <w:szCs w:val="16"/>
        </w:rPr>
        <w:t>ume</w:t>
      </w:r>
      <w:r w:rsidRPr="00CB4F47">
        <w:rPr>
          <w:rFonts w:eastAsia="Times New Roman" w:cs="Arial"/>
          <w:sz w:val="16"/>
          <w:szCs w:val="16"/>
        </w:rPr>
        <w:t xml:space="preserve"> 2, No 1 (2000, </w:t>
      </w:r>
      <w:r w:rsidRPr="00CB4F47">
        <w:rPr>
          <w:rFonts w:cs="Arial"/>
          <w:sz w:val="16"/>
          <w:szCs w:val="16"/>
        </w:rPr>
        <w:t>pages</w:t>
      </w:r>
      <w:r w:rsidRPr="00CB4F47">
        <w:rPr>
          <w:rFonts w:eastAsia="Times New Roman" w:cs="Arial"/>
          <w:sz w:val="16"/>
          <w:szCs w:val="16"/>
        </w:rPr>
        <w:t xml:space="preserve"> 101</w:t>
      </w:r>
      <w:r w:rsidRPr="00CB4F47">
        <w:rPr>
          <w:rFonts w:cs="Arial"/>
          <w:sz w:val="16"/>
          <w:szCs w:val="16"/>
        </w:rPr>
        <w:t>–</w:t>
      </w:r>
      <w:r w:rsidRPr="00CB4F47">
        <w:rPr>
          <w:rFonts w:eastAsia="Times New Roman" w:cs="Arial"/>
          <w:sz w:val="16"/>
          <w:szCs w:val="16"/>
        </w:rPr>
        <w:t>120, page 108</w:t>
      </w:r>
      <w:r>
        <w:rPr>
          <w:rFonts w:eastAsia="Times New Roman" w:cs="Arial"/>
          <w:sz w:val="16"/>
          <w:szCs w:val="16"/>
        </w:rPr>
        <w:t>)</w:t>
      </w:r>
      <w:r w:rsidRPr="00CB4F47">
        <w:rPr>
          <w:rFonts w:eastAsia="Times New Roman" w:cs="Arial"/>
          <w:sz w:val="16"/>
          <w:szCs w:val="16"/>
        </w:rPr>
        <w:t xml:space="preserve">. </w:t>
      </w:r>
    </w:p>
  </w:endnote>
  <w:endnote w:id="103">
    <w:p w14:paraId="6F02E4D0" w14:textId="4DEEF9B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Pratt, J, “The dark side of paradise: Explaining New Zealand’s history of high imprisonment</w:t>
      </w:r>
      <w:r>
        <w:rPr>
          <w:rFonts w:cs="Arial"/>
          <w:sz w:val="16"/>
          <w:szCs w:val="16"/>
        </w:rPr>
        <w:t>,</w:t>
      </w:r>
      <w:r w:rsidRPr="00CB4F47">
        <w:rPr>
          <w:rFonts w:cs="Arial"/>
          <w:sz w:val="16"/>
          <w:szCs w:val="16"/>
        </w:rPr>
        <w:t>” British Journal of Criminology 46 (2006, page 553</w:t>
      </w:r>
      <w:r>
        <w:rPr>
          <w:rFonts w:cs="Arial"/>
          <w:sz w:val="16"/>
          <w:szCs w:val="16"/>
        </w:rPr>
        <w:t>)</w:t>
      </w:r>
      <w:r w:rsidRPr="00CB4F47">
        <w:rPr>
          <w:rFonts w:cs="Arial"/>
          <w:sz w:val="16"/>
          <w:szCs w:val="16"/>
        </w:rPr>
        <w:t>.</w:t>
      </w:r>
    </w:p>
  </w:endnote>
  <w:endnote w:id="104">
    <w:p w14:paraId="29EAA589" w14:textId="3B4633A7" w:rsidR="00FE4E56" w:rsidRPr="00CB4F47" w:rsidRDefault="00FE4E56" w:rsidP="002F3A8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Brookes, B, “Cherishing hopes of the impossible: Mothers, fathers, and disability at birth in mid-twentieth century New Zealand</w:t>
      </w:r>
      <w:r>
        <w:rPr>
          <w:rFonts w:cs="Arial"/>
          <w:sz w:val="16"/>
          <w:szCs w:val="16"/>
        </w:rPr>
        <w:t>,”</w:t>
      </w:r>
      <w:r w:rsidRPr="00CB4F47">
        <w:rPr>
          <w:rFonts w:cs="Arial"/>
          <w:sz w:val="16"/>
          <w:szCs w:val="16"/>
        </w:rPr>
        <w:t xml:space="preserve"> in Light, T, Brookes, B &amp; Mitchinson, W (eds), Bodily subjects: Essay</w:t>
      </w:r>
      <w:r>
        <w:rPr>
          <w:rFonts w:cs="Arial"/>
          <w:sz w:val="16"/>
          <w:szCs w:val="16"/>
        </w:rPr>
        <w:t>s</w:t>
      </w:r>
      <w:r w:rsidRPr="00CB4F47">
        <w:rPr>
          <w:rFonts w:cs="Arial"/>
          <w:sz w:val="16"/>
          <w:szCs w:val="16"/>
        </w:rPr>
        <w:t xml:space="preserve"> on gender and health, 1800</w:t>
      </w:r>
      <w:r>
        <w:rPr>
          <w:rFonts w:cs="Arial"/>
          <w:sz w:val="16"/>
          <w:szCs w:val="16"/>
        </w:rPr>
        <w:t>–</w:t>
      </w:r>
      <w:r w:rsidRPr="00CB4F47">
        <w:rPr>
          <w:rFonts w:cs="Arial"/>
          <w:sz w:val="16"/>
          <w:szCs w:val="16"/>
        </w:rPr>
        <w:t>2000 (</w:t>
      </w:r>
      <w:r w:rsidRPr="009A1787">
        <w:rPr>
          <w:rFonts w:cs="Arial"/>
          <w:sz w:val="16"/>
          <w:szCs w:val="16"/>
        </w:rPr>
        <w:t>McGill-Queen's University Press</w:t>
      </w:r>
      <w:r w:rsidRPr="00CB4F47">
        <w:rPr>
          <w:rFonts w:cs="Arial"/>
          <w:sz w:val="16"/>
          <w:szCs w:val="16"/>
        </w:rPr>
        <w:t>, 2014</w:t>
      </w:r>
      <w:r>
        <w:rPr>
          <w:rFonts w:cs="Arial"/>
          <w:sz w:val="16"/>
          <w:szCs w:val="16"/>
        </w:rPr>
        <w:t xml:space="preserve">, </w:t>
      </w:r>
      <w:r w:rsidRPr="00CB4F47">
        <w:rPr>
          <w:rFonts w:cs="Arial"/>
          <w:sz w:val="16"/>
          <w:szCs w:val="16"/>
        </w:rPr>
        <w:t>pages 187–90), cited in Kaiwai, H &amp; Allport, T, Māori with disabilities (Part two): Report commissioned by the Waitangi Tribunal for the Health Services and Outcomes Inquiry (Wai 2575)</w:t>
      </w:r>
      <w:r>
        <w:rPr>
          <w:rFonts w:cs="Arial"/>
          <w:sz w:val="16"/>
          <w:szCs w:val="16"/>
        </w:rPr>
        <w:t>,</w:t>
      </w:r>
      <w:r w:rsidRPr="00CB4F47">
        <w:rPr>
          <w:rFonts w:cs="Arial"/>
          <w:sz w:val="16"/>
          <w:szCs w:val="16"/>
        </w:rPr>
        <w:t xml:space="preserve"> (2019, page 28</w:t>
      </w:r>
      <w:r>
        <w:rPr>
          <w:rFonts w:cs="Arial"/>
          <w:sz w:val="16"/>
          <w:szCs w:val="16"/>
        </w:rPr>
        <w:t>)</w:t>
      </w:r>
      <w:r w:rsidRPr="00CB4F47">
        <w:rPr>
          <w:rFonts w:cs="Arial"/>
          <w:sz w:val="16"/>
          <w:szCs w:val="16"/>
        </w:rPr>
        <w:t>.</w:t>
      </w:r>
    </w:p>
  </w:endnote>
  <w:endnote w:id="105">
    <w:p w14:paraId="29DD3623" w14:textId="7EDF9AD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sz w:val="16"/>
          <w:szCs w:val="16"/>
        </w:rPr>
        <w:t xml:space="preserve">Royal Commission of Inquiry into Abuse in Care, Beautiful </w:t>
      </w:r>
      <w:r>
        <w:rPr>
          <w:rFonts w:eastAsia="BatangChe"/>
          <w:sz w:val="16"/>
          <w:szCs w:val="16"/>
        </w:rPr>
        <w:t>c</w:t>
      </w:r>
      <w:r w:rsidRPr="00CB4F47">
        <w:rPr>
          <w:rFonts w:eastAsia="BatangChe"/>
          <w:sz w:val="16"/>
          <w:szCs w:val="16"/>
        </w:rPr>
        <w:t xml:space="preserve">hildren: Inquiry into the Lake Alice Child and Adolescent Unit (2022, </w:t>
      </w:r>
      <w:r w:rsidRPr="00CB4F47">
        <w:rPr>
          <w:rFonts w:cs="Arial"/>
          <w:sz w:val="16"/>
          <w:szCs w:val="16"/>
        </w:rPr>
        <w:t>pages 35 and 254</w:t>
      </w:r>
      <w:r>
        <w:rPr>
          <w:rFonts w:cs="Arial"/>
          <w:sz w:val="16"/>
          <w:szCs w:val="16"/>
        </w:rPr>
        <w:t>)</w:t>
      </w:r>
      <w:r w:rsidRPr="00CB4F47">
        <w:rPr>
          <w:rFonts w:cs="Arial"/>
          <w:sz w:val="16"/>
          <w:szCs w:val="16"/>
        </w:rPr>
        <w:t>.</w:t>
      </w:r>
    </w:p>
  </w:endnote>
  <w:endnote w:id="106">
    <w:p w14:paraId="2672AD7D" w14:textId="0EE5167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color w:val="000000"/>
          <w:sz w:val="16"/>
          <w:szCs w:val="16"/>
          <w:shd w:val="clear" w:color="auto" w:fill="FFFFFF"/>
        </w:rPr>
        <w:t xml:space="preserve">Royal Commission of Inquiry into Abuse in Care, Stolen </w:t>
      </w:r>
      <w:r>
        <w:rPr>
          <w:rStyle w:val="normaltextrun"/>
          <w:color w:val="000000"/>
          <w:sz w:val="16"/>
          <w:szCs w:val="16"/>
          <w:shd w:val="clear" w:color="auto" w:fill="FFFFFF"/>
        </w:rPr>
        <w:t>L</w:t>
      </w:r>
      <w:r w:rsidRPr="00CB4F47">
        <w:rPr>
          <w:rStyle w:val="normaltextrun"/>
          <w:color w:val="000000"/>
          <w:sz w:val="16"/>
          <w:szCs w:val="16"/>
          <w:shd w:val="clear" w:color="auto" w:fill="FFFFFF"/>
        </w:rPr>
        <w:t xml:space="preserve">ives, </w:t>
      </w:r>
      <w:r>
        <w:rPr>
          <w:rStyle w:val="normaltextrun"/>
          <w:color w:val="000000"/>
          <w:sz w:val="16"/>
          <w:szCs w:val="16"/>
          <w:shd w:val="clear" w:color="auto" w:fill="FFFFFF"/>
        </w:rPr>
        <w:t>M</w:t>
      </w:r>
      <w:r w:rsidRPr="00CB4F47">
        <w:rPr>
          <w:rStyle w:val="normaltextrun"/>
          <w:color w:val="000000"/>
          <w:sz w:val="16"/>
          <w:szCs w:val="16"/>
          <w:shd w:val="clear" w:color="auto" w:fill="FFFFFF"/>
        </w:rPr>
        <w:t xml:space="preserve">arked </w:t>
      </w:r>
      <w:r>
        <w:rPr>
          <w:rStyle w:val="normaltextrun"/>
          <w:color w:val="000000"/>
          <w:sz w:val="16"/>
          <w:szCs w:val="16"/>
          <w:shd w:val="clear" w:color="auto" w:fill="FFFFFF"/>
        </w:rPr>
        <w:t>S</w:t>
      </w:r>
      <w:r w:rsidRPr="00CB4F47">
        <w:rPr>
          <w:rStyle w:val="normaltextrun"/>
          <w:color w:val="000000"/>
          <w:sz w:val="16"/>
          <w:szCs w:val="16"/>
          <w:shd w:val="clear" w:color="auto" w:fill="FFFFFF"/>
        </w:rPr>
        <w:t xml:space="preserve">ouls: The </w:t>
      </w:r>
      <w:r w:rsidRPr="00CB4F47">
        <w:rPr>
          <w:rStyle w:val="normaltextrun"/>
          <w:rFonts w:cs="Arial"/>
          <w:color w:val="000000"/>
          <w:sz w:val="16"/>
          <w:szCs w:val="16"/>
          <w:shd w:val="clear" w:color="auto" w:fill="FFFFFF"/>
        </w:rPr>
        <w:t xml:space="preserve">inquiry into the Order of the Brothers of St John of God at Marylands School and Hebron Trust </w:t>
      </w:r>
      <w:r w:rsidRPr="00CB4F47">
        <w:rPr>
          <w:rFonts w:cs="Arial"/>
          <w:sz w:val="16"/>
          <w:szCs w:val="16"/>
        </w:rPr>
        <w:t>(2023, page 323</w:t>
      </w:r>
      <w:r>
        <w:rPr>
          <w:rFonts w:cs="Arial"/>
          <w:sz w:val="16"/>
          <w:szCs w:val="16"/>
        </w:rPr>
        <w:t>)</w:t>
      </w:r>
      <w:r w:rsidRPr="00CB4F47">
        <w:rPr>
          <w:rFonts w:cs="Arial"/>
          <w:sz w:val="16"/>
          <w:szCs w:val="16"/>
        </w:rPr>
        <w:t xml:space="preserve">. </w:t>
      </w:r>
    </w:p>
  </w:endnote>
  <w:endnote w:id="107">
    <w:p w14:paraId="443E0D30" w14:textId="14D4594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pages 18 and 57</w:t>
      </w:r>
      <w:r>
        <w:rPr>
          <w:rFonts w:cs="Arial"/>
          <w:sz w:val="16"/>
          <w:szCs w:val="16"/>
        </w:rPr>
        <w:t>)</w:t>
      </w:r>
      <w:r w:rsidRPr="00CB4F47">
        <w:rPr>
          <w:rFonts w:cs="Arial"/>
          <w:sz w:val="16"/>
          <w:szCs w:val="16"/>
        </w:rPr>
        <w:t xml:space="preserve">. </w:t>
      </w:r>
    </w:p>
  </w:endnote>
  <w:endnote w:id="108">
    <w:p w14:paraId="1B8CC494" w14:textId="12B3FF9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18</w:t>
      </w:r>
      <w:r>
        <w:rPr>
          <w:rFonts w:cs="Arial"/>
          <w:sz w:val="16"/>
          <w:szCs w:val="16"/>
        </w:rPr>
        <w:t>)</w:t>
      </w:r>
      <w:r w:rsidRPr="00CB4F47">
        <w:rPr>
          <w:rFonts w:cs="Arial"/>
          <w:sz w:val="16"/>
          <w:szCs w:val="16"/>
        </w:rPr>
        <w:t xml:space="preserve">. </w:t>
      </w:r>
    </w:p>
  </w:endnote>
  <w:endnote w:id="109">
    <w:p w14:paraId="187666E9" w14:textId="278990F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vertAlign w:val="superscript"/>
        </w:rPr>
        <w:t xml:space="preserve"> </w:t>
      </w:r>
      <w:r w:rsidRPr="00CB4F47">
        <w:rPr>
          <w:rFonts w:cs="Arial"/>
          <w:sz w:val="16"/>
          <w:szCs w:val="16"/>
        </w:rPr>
        <w:t>National Museum of African American History and Culture</w:t>
      </w:r>
      <w:r>
        <w:rPr>
          <w:rFonts w:cs="Arial"/>
          <w:sz w:val="16"/>
          <w:szCs w:val="16"/>
        </w:rPr>
        <w:t xml:space="preserve"> website</w:t>
      </w:r>
      <w:r w:rsidRPr="00CB4F47">
        <w:rPr>
          <w:rFonts w:cs="Arial"/>
          <w:sz w:val="16"/>
          <w:szCs w:val="16"/>
        </w:rPr>
        <w:t>, Being antiracist (accessed 5 May 2022)</w:t>
      </w:r>
      <w:r>
        <w:rPr>
          <w:rFonts w:cs="Arial"/>
          <w:sz w:val="16"/>
          <w:szCs w:val="16"/>
        </w:rPr>
        <w:t xml:space="preserve">, </w:t>
      </w:r>
      <w:hyperlink r:id="rId9" w:history="1">
        <w:r w:rsidRPr="00DC5F03">
          <w:rPr>
            <w:rStyle w:val="Hyperlink"/>
            <w:rFonts w:cs="Arial"/>
            <w:sz w:val="16"/>
            <w:szCs w:val="16"/>
          </w:rPr>
          <w:t>https://nmaahc.si.edu/learn/talking-about-race/topics/being-antiracist</w:t>
        </w:r>
      </w:hyperlink>
      <w:r w:rsidRPr="00CB4F47">
        <w:rPr>
          <w:rStyle w:val="Hyperlink"/>
          <w:rFonts w:cs="Arial"/>
          <w:color w:val="auto"/>
          <w:sz w:val="16"/>
          <w:szCs w:val="16"/>
          <w:u w:val="none"/>
        </w:rPr>
        <w:t>.</w:t>
      </w:r>
    </w:p>
  </w:endnote>
  <w:endnote w:id="110">
    <w:p w14:paraId="1156AB99" w14:textId="18D5331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Lee, J, Jade Taniwha: Māori-Chinese identity and schooling (Rautaki, 2007, pages 29–30</w:t>
      </w:r>
      <w:r>
        <w:rPr>
          <w:rFonts w:cs="Arial"/>
          <w:sz w:val="16"/>
          <w:szCs w:val="16"/>
        </w:rPr>
        <w:t>)</w:t>
      </w:r>
      <w:r w:rsidRPr="00CB4F47">
        <w:rPr>
          <w:rFonts w:cs="Arial"/>
          <w:sz w:val="16"/>
          <w:szCs w:val="16"/>
        </w:rPr>
        <w:t>.</w:t>
      </w:r>
    </w:p>
  </w:endnote>
  <w:endnote w:id="111">
    <w:p w14:paraId="4501D3D7" w14:textId="33F9865D" w:rsidR="00FE4E56" w:rsidRPr="00CB4F47" w:rsidRDefault="00FE4E56" w:rsidP="00DD5764">
      <w:pPr>
        <w:pStyle w:val="EndnoteText"/>
        <w:spacing w:before="240"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19</w:t>
      </w:r>
      <w:r>
        <w:rPr>
          <w:rFonts w:cs="Arial"/>
          <w:sz w:val="16"/>
          <w:szCs w:val="16"/>
        </w:rPr>
        <w:t>)</w:t>
      </w:r>
      <w:r w:rsidRPr="00CB4F47">
        <w:rPr>
          <w:rFonts w:cs="Arial"/>
          <w:sz w:val="16"/>
          <w:szCs w:val="16"/>
        </w:rPr>
        <w:t>.</w:t>
      </w:r>
    </w:p>
  </w:endnote>
  <w:endnote w:id="112">
    <w:p w14:paraId="7EB2421C" w14:textId="22A5D813" w:rsidR="00FE4E56" w:rsidRPr="00DD5764" w:rsidRDefault="00FE4E56">
      <w:pPr>
        <w:pStyle w:val="EndnoteText"/>
        <w:rPr>
          <w:sz w:val="16"/>
          <w:szCs w:val="16"/>
        </w:rPr>
      </w:pPr>
      <w:r w:rsidRPr="00536E67">
        <w:rPr>
          <w:rStyle w:val="StyleFootnoteReferenceFagoFunotenzeichenFagoFunotenzeichen"/>
          <w:sz w:val="16"/>
          <w:szCs w:val="16"/>
        </w:rPr>
        <w:endnoteRef/>
      </w:r>
      <w:r w:rsidRPr="00CB4F47" w:rsidDel="00B57D9F">
        <w:rPr>
          <w:sz w:val="16"/>
          <w:szCs w:val="16"/>
        </w:rPr>
        <w:t xml:space="preserve"> </w:t>
      </w:r>
      <w:r w:rsidRPr="00DD5764">
        <w:rPr>
          <w:sz w:val="16"/>
          <w:szCs w:val="16"/>
        </w:rPr>
        <w:t xml:space="preserve">Hampton, RE, Delinquency and social processes: labelling theory and the police decision to prosecute juveniles, Master’s Thesis, </w:t>
      </w:r>
      <w:r>
        <w:rPr>
          <w:sz w:val="16"/>
          <w:szCs w:val="16"/>
        </w:rPr>
        <w:t>(</w:t>
      </w:r>
      <w:r w:rsidRPr="00DD5764">
        <w:rPr>
          <w:sz w:val="16"/>
          <w:szCs w:val="16"/>
        </w:rPr>
        <w:t>University of Auckland 1973)</w:t>
      </w:r>
      <w:r>
        <w:rPr>
          <w:sz w:val="16"/>
          <w:szCs w:val="16"/>
        </w:rPr>
        <w:t>;</w:t>
      </w:r>
      <w:r w:rsidRPr="00DD5764" w:rsidDel="00FD12CF">
        <w:rPr>
          <w:sz w:val="16"/>
          <w:szCs w:val="16"/>
        </w:rPr>
        <w:t xml:space="preserve"> </w:t>
      </w:r>
      <w:r w:rsidRPr="00DD5764">
        <w:rPr>
          <w:sz w:val="16"/>
          <w:szCs w:val="16"/>
        </w:rPr>
        <w:t xml:space="preserve">in </w:t>
      </w:r>
      <w:r>
        <w:rPr>
          <w:sz w:val="16"/>
          <w:szCs w:val="16"/>
        </w:rPr>
        <w:t>W</w:t>
      </w:r>
      <w:r w:rsidRPr="00DD5764">
        <w:rPr>
          <w:sz w:val="16"/>
          <w:szCs w:val="16"/>
        </w:rPr>
        <w:t xml:space="preserve">itness statement of Dr Oliver Sutherland (15 October 2019, page 2); Savage, C, Moyle, P, Kus-Harbord, L, Ahuriri-Driscoll, A, Hynds, A, Paipa, K, Leonard, G, Maraki, J &amp; Leonard, J, Hāhā-uri, hāhā-tea: Māori involvement in State </w:t>
      </w:r>
      <w:r>
        <w:rPr>
          <w:sz w:val="16"/>
          <w:szCs w:val="16"/>
        </w:rPr>
        <w:t>c</w:t>
      </w:r>
      <w:r w:rsidRPr="00DD5764">
        <w:rPr>
          <w:sz w:val="16"/>
          <w:szCs w:val="16"/>
        </w:rPr>
        <w:t>are 1950–1999 (Ihi Research, 2021, pages 136, 149, 231, 271</w:t>
      </w:r>
      <w:r>
        <w:rPr>
          <w:sz w:val="16"/>
          <w:szCs w:val="16"/>
        </w:rPr>
        <w:t>)</w:t>
      </w:r>
      <w:r w:rsidRPr="00DD5764">
        <w:rPr>
          <w:sz w:val="16"/>
          <w:szCs w:val="16"/>
        </w:rPr>
        <w:t>; Māori Perspective Advisory Committee, Puao-te-ata-tu (day break): The report of the Ministerial Advisory Committee on a Māori perspective for the Department of Social Welfare (Department of Social Welfare, 1988, pages 16, 24</w:t>
      </w:r>
      <w:r>
        <w:rPr>
          <w:sz w:val="16"/>
          <w:szCs w:val="16"/>
        </w:rPr>
        <w:t>)</w:t>
      </w:r>
      <w:r w:rsidRPr="00DD5764">
        <w:rPr>
          <w:sz w:val="16"/>
          <w:szCs w:val="16"/>
        </w:rPr>
        <w:t>.</w:t>
      </w:r>
    </w:p>
  </w:endnote>
  <w:endnote w:id="113">
    <w:p w14:paraId="018872C5" w14:textId="67D4696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Royal Commission of Inquiry into Abuse in Care, Stolen </w:t>
      </w:r>
      <w:r>
        <w:rPr>
          <w:rFonts w:cs="Arial"/>
          <w:sz w:val="16"/>
          <w:szCs w:val="16"/>
        </w:rPr>
        <w:t>L</w:t>
      </w:r>
      <w:r w:rsidRPr="00CB4F47">
        <w:rPr>
          <w:rFonts w:cs="Arial"/>
          <w:sz w:val="16"/>
          <w:szCs w:val="16"/>
        </w:rPr>
        <w:t xml:space="preserve">ives, </w:t>
      </w:r>
      <w:r>
        <w:rPr>
          <w:rFonts w:cs="Arial"/>
          <w:sz w:val="16"/>
          <w:szCs w:val="16"/>
        </w:rPr>
        <w:t>M</w:t>
      </w:r>
      <w:r w:rsidRPr="00CB4F47">
        <w:rPr>
          <w:rFonts w:cs="Arial"/>
          <w:sz w:val="16"/>
          <w:szCs w:val="16"/>
        </w:rPr>
        <w:t xml:space="preserve">arked </w:t>
      </w:r>
      <w:r>
        <w:rPr>
          <w:rFonts w:cs="Arial"/>
          <w:sz w:val="16"/>
          <w:szCs w:val="16"/>
        </w:rPr>
        <w:t>S</w:t>
      </w:r>
      <w:r w:rsidRPr="00CB4F47">
        <w:rPr>
          <w:rFonts w:cs="Arial"/>
          <w:sz w:val="16"/>
          <w:szCs w:val="16"/>
        </w:rPr>
        <w:t>ouls: The Inquiry into the Order of the Brothers of St John of God at Marylands School and Hebron Trust (2023, pages 152–153</w:t>
      </w:r>
      <w:r>
        <w:rPr>
          <w:rFonts w:cs="Arial"/>
          <w:sz w:val="16"/>
          <w:szCs w:val="16"/>
        </w:rPr>
        <w:t>)</w:t>
      </w:r>
      <w:r w:rsidRPr="00CB4F47">
        <w:rPr>
          <w:rFonts w:cs="Arial"/>
          <w:sz w:val="16"/>
          <w:szCs w:val="16"/>
        </w:rPr>
        <w:t xml:space="preserve">. </w:t>
      </w:r>
    </w:p>
  </w:endnote>
  <w:endnote w:id="114">
    <w:p w14:paraId="3AE4BD27" w14:textId="26C20D2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19</w:t>
      </w:r>
      <w:r>
        <w:rPr>
          <w:rFonts w:cs="Arial"/>
          <w:sz w:val="16"/>
          <w:szCs w:val="16"/>
        </w:rPr>
        <w:t>)</w:t>
      </w:r>
      <w:r w:rsidRPr="00CB4F47">
        <w:rPr>
          <w:rFonts w:cs="Arial"/>
          <w:sz w:val="16"/>
          <w:szCs w:val="16"/>
        </w:rPr>
        <w:t>.</w:t>
      </w:r>
    </w:p>
  </w:endnote>
  <w:endnote w:id="115">
    <w:p w14:paraId="74396738" w14:textId="1DCE622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pages 18, 57 and 77</w:t>
      </w:r>
      <w:r>
        <w:rPr>
          <w:rFonts w:cs="Arial"/>
          <w:sz w:val="16"/>
          <w:szCs w:val="16"/>
        </w:rPr>
        <w:t>)</w:t>
      </w:r>
      <w:r w:rsidRPr="00CB4F47">
        <w:rPr>
          <w:rFonts w:cs="Arial"/>
          <w:sz w:val="16"/>
          <w:szCs w:val="16"/>
        </w:rPr>
        <w:t>.</w:t>
      </w:r>
    </w:p>
  </w:endnote>
  <w:endnote w:id="116">
    <w:p w14:paraId="5939B851" w14:textId="2F68CB6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77</w:t>
      </w:r>
      <w:r>
        <w:rPr>
          <w:rFonts w:cs="Arial"/>
          <w:sz w:val="16"/>
          <w:szCs w:val="16"/>
        </w:rPr>
        <w:t>)</w:t>
      </w:r>
      <w:r w:rsidRPr="00CB4F47">
        <w:rPr>
          <w:rFonts w:cs="Arial"/>
          <w:sz w:val="16"/>
          <w:szCs w:val="16"/>
        </w:rPr>
        <w:t>.</w:t>
      </w:r>
    </w:p>
  </w:endnote>
  <w:endnote w:id="117">
    <w:p w14:paraId="1660E7B3" w14:textId="23BAF70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Royal Commission of Inquiry into Abuse in Care, He Purapura Ora, he Māra Tipu: From </w:t>
      </w:r>
      <w:r>
        <w:rPr>
          <w:rFonts w:cs="Arial"/>
          <w:sz w:val="16"/>
          <w:szCs w:val="16"/>
        </w:rPr>
        <w:t>R</w:t>
      </w:r>
      <w:r w:rsidRPr="00CB4F47">
        <w:rPr>
          <w:rFonts w:cs="Arial"/>
          <w:sz w:val="16"/>
          <w:szCs w:val="16"/>
        </w:rPr>
        <w:t>edress to Puretumu Torowhānui, Volume 1 (2021, pages</w:t>
      </w:r>
      <w:r w:rsidRPr="00CB4F47">
        <w:rPr>
          <w:rFonts w:eastAsia="Calibri" w:cs="Arial"/>
          <w:sz w:val="16"/>
          <w:szCs w:val="16"/>
        </w:rPr>
        <w:t xml:space="preserve"> 36</w:t>
      </w:r>
      <w:r w:rsidRPr="00CB4F47">
        <w:rPr>
          <w:rFonts w:cs="Arial"/>
          <w:sz w:val="16"/>
          <w:szCs w:val="16"/>
        </w:rPr>
        <w:t>–</w:t>
      </w:r>
      <w:r w:rsidRPr="00CB4F47">
        <w:rPr>
          <w:rFonts w:eastAsia="Calibri" w:cs="Arial"/>
          <w:sz w:val="16"/>
          <w:szCs w:val="16"/>
        </w:rPr>
        <w:t>39</w:t>
      </w:r>
      <w:r>
        <w:rPr>
          <w:rFonts w:eastAsia="Calibri" w:cs="Arial"/>
          <w:sz w:val="16"/>
          <w:szCs w:val="16"/>
        </w:rPr>
        <w:t>)</w:t>
      </w:r>
      <w:r w:rsidRPr="00CB4F47">
        <w:rPr>
          <w:rFonts w:cs="Arial"/>
          <w:sz w:val="16"/>
          <w:szCs w:val="16"/>
        </w:rPr>
        <w:t>; Royal Commission of Inquiry into Abuse in Care, Beautiful children: Inquiry into the Lake Alice child and adolescent unit (2022,</w:t>
      </w:r>
      <w:r w:rsidRPr="00CB4F47">
        <w:rPr>
          <w:rFonts w:eastAsia="BatangChe" w:cs="Arial"/>
          <w:sz w:val="16"/>
          <w:szCs w:val="16"/>
        </w:rPr>
        <w:t xml:space="preserve"> </w:t>
      </w:r>
      <w:r w:rsidRPr="00CB4F47">
        <w:rPr>
          <w:rFonts w:cs="Arial"/>
          <w:sz w:val="16"/>
          <w:szCs w:val="16"/>
        </w:rPr>
        <w:t>pages 136–138</w:t>
      </w:r>
      <w:r>
        <w:rPr>
          <w:rFonts w:cs="Arial"/>
          <w:sz w:val="16"/>
          <w:szCs w:val="16"/>
        </w:rPr>
        <w:t>)</w:t>
      </w:r>
      <w:r w:rsidRPr="00CB4F47">
        <w:rPr>
          <w:rFonts w:eastAsia="Calibri" w:cs="Arial"/>
          <w:sz w:val="16"/>
          <w:szCs w:val="16"/>
        </w:rPr>
        <w:t xml:space="preserve">; </w:t>
      </w:r>
      <w:r w:rsidRPr="00CB4F47">
        <w:rPr>
          <w:rFonts w:cs="Arial"/>
          <w:sz w:val="16"/>
          <w:szCs w:val="16"/>
        </w:rPr>
        <w:t xml:space="preserve">Royal Commission of Inquiry into Abuse in Care, Stolen </w:t>
      </w:r>
      <w:r>
        <w:rPr>
          <w:rFonts w:cs="Arial"/>
          <w:sz w:val="16"/>
          <w:szCs w:val="16"/>
        </w:rPr>
        <w:t>L</w:t>
      </w:r>
      <w:r w:rsidRPr="00CB4F47">
        <w:rPr>
          <w:rFonts w:cs="Arial"/>
          <w:sz w:val="16"/>
          <w:szCs w:val="16"/>
        </w:rPr>
        <w:t xml:space="preserve">ives, </w:t>
      </w:r>
      <w:r>
        <w:rPr>
          <w:rFonts w:cs="Arial"/>
          <w:sz w:val="16"/>
          <w:szCs w:val="16"/>
        </w:rPr>
        <w:t>M</w:t>
      </w:r>
      <w:r w:rsidRPr="00CB4F47">
        <w:rPr>
          <w:rFonts w:cs="Arial"/>
          <w:sz w:val="16"/>
          <w:szCs w:val="16"/>
        </w:rPr>
        <w:t xml:space="preserve">arked </w:t>
      </w:r>
      <w:r>
        <w:rPr>
          <w:rFonts w:cs="Arial"/>
          <w:sz w:val="16"/>
          <w:szCs w:val="16"/>
        </w:rPr>
        <w:t>S</w:t>
      </w:r>
      <w:r w:rsidRPr="00CB4F47">
        <w:rPr>
          <w:rFonts w:cs="Arial"/>
          <w:sz w:val="16"/>
          <w:szCs w:val="16"/>
        </w:rPr>
        <w:t>ouls: The Inquiry into the Order of the Brothers of St John of God at Marylands School and Hebron Trust (2023, page 153</w:t>
      </w:r>
      <w:r>
        <w:rPr>
          <w:rFonts w:cs="Arial"/>
          <w:sz w:val="16"/>
          <w:szCs w:val="16"/>
        </w:rPr>
        <w:t>)</w:t>
      </w:r>
      <w:r w:rsidRPr="00CB4F47">
        <w:rPr>
          <w:rFonts w:cs="Arial"/>
          <w:sz w:val="16"/>
          <w:szCs w:val="16"/>
        </w:rPr>
        <w:t xml:space="preserve">. </w:t>
      </w:r>
    </w:p>
  </w:endnote>
  <w:endnote w:id="118">
    <w:p w14:paraId="1789BAD9" w14:textId="77777777" w:rsidR="00FE4E56" w:rsidRPr="00CB4F47" w:rsidRDefault="00FE4E56" w:rsidP="008A4E4C">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Kaiwai, H &amp; Allport, T, Māori with disabilities (Part two): Report commissioned by the Waitangi Tribunal for the Health Services and Outcomes Inquiry (Wai 2575), (2019, page 18</w:t>
      </w:r>
      <w:r>
        <w:rPr>
          <w:rFonts w:cs="Arial"/>
          <w:sz w:val="16"/>
          <w:szCs w:val="16"/>
        </w:rPr>
        <w:t>)</w:t>
      </w:r>
      <w:r w:rsidRPr="00CB4F47">
        <w:rPr>
          <w:rFonts w:cs="Arial"/>
          <w:sz w:val="16"/>
          <w:szCs w:val="16"/>
        </w:rPr>
        <w:t>.</w:t>
      </w:r>
    </w:p>
  </w:endnote>
  <w:endnote w:id="119">
    <w:p w14:paraId="57375D06" w14:textId="77777777" w:rsidR="00FE4E56" w:rsidRPr="00CB4F47" w:rsidRDefault="00FE4E56" w:rsidP="00DE2789">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Sense: The National Deafblind and Rubella Association website, Ableism and disablism (November 2022), </w:t>
      </w:r>
      <w:hyperlink r:id="rId10" w:history="1">
        <w:r w:rsidRPr="00CB4F47">
          <w:rPr>
            <w:rStyle w:val="Hyperlink"/>
            <w:rFonts w:cs="Arial"/>
            <w:sz w:val="16"/>
            <w:szCs w:val="16"/>
            <w:shd w:val="clear" w:color="auto" w:fill="FFFFFF"/>
          </w:rPr>
          <w:t>https://www.sense.org.uk/information-and-advice/ableism-and-disablism</w:t>
        </w:r>
      </w:hyperlink>
      <w:r w:rsidRPr="00CB4F47">
        <w:rPr>
          <w:rFonts w:cs="Arial"/>
          <w:sz w:val="16"/>
          <w:szCs w:val="16"/>
        </w:rPr>
        <w:t>.</w:t>
      </w:r>
    </w:p>
  </w:endnote>
  <w:endnote w:id="120">
    <w:p w14:paraId="19D1E356" w14:textId="77777777" w:rsidR="00FE4E56" w:rsidRPr="00CB4F47" w:rsidRDefault="00FE4E56" w:rsidP="008A4E4C">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Mirfin-Veitch, B, Tikao, K, Asaka, U, Tuisaula, E, Stace, H, Watene, FR &amp; Frawley, P, Tell me about you: A life story approach to understanding disabled people’s experiences in care (1950–1999), (Donald Beasley Institute, 2022, page 15</w:t>
      </w:r>
      <w:r>
        <w:rPr>
          <w:rFonts w:cs="Arial"/>
          <w:sz w:val="16"/>
          <w:szCs w:val="16"/>
        </w:rPr>
        <w:t>)</w:t>
      </w:r>
      <w:r w:rsidRPr="00CB4F47">
        <w:rPr>
          <w:rFonts w:cs="Arial"/>
          <w:sz w:val="16"/>
          <w:szCs w:val="16"/>
        </w:rPr>
        <w:t xml:space="preserve">. </w:t>
      </w:r>
    </w:p>
  </w:endnote>
  <w:endnote w:id="121">
    <w:p w14:paraId="7C1B9FF0" w14:textId="0BDCECC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w:t>
      </w:r>
      <w:r>
        <w:rPr>
          <w:rFonts w:cs="Arial"/>
          <w:sz w:val="16"/>
          <w:szCs w:val="16"/>
        </w:rPr>
        <w:t>Dr</w:t>
      </w:r>
      <w:r w:rsidRPr="00CB4F47">
        <w:rPr>
          <w:rFonts w:cs="Arial"/>
          <w:sz w:val="16"/>
          <w:szCs w:val="16"/>
        </w:rPr>
        <w:t xml:space="preserve"> Hilary Stace to support evidence given </w:t>
      </w:r>
      <w:r>
        <w:rPr>
          <w:rFonts w:cs="Arial"/>
          <w:sz w:val="16"/>
          <w:szCs w:val="16"/>
        </w:rPr>
        <w:t>f</w:t>
      </w:r>
      <w:r w:rsidRPr="00CB4F47">
        <w:rPr>
          <w:rFonts w:cs="Arial"/>
          <w:sz w:val="16"/>
          <w:szCs w:val="16"/>
        </w:rPr>
        <w:t xml:space="preserve"> the </w:t>
      </w:r>
      <w:r>
        <w:rPr>
          <w:rFonts w:cs="Arial"/>
          <w:sz w:val="16"/>
          <w:szCs w:val="16"/>
        </w:rPr>
        <w:t>Inquiry’s</w:t>
      </w:r>
      <w:r w:rsidRPr="00CB4F47">
        <w:rPr>
          <w:rFonts w:cs="Arial"/>
          <w:sz w:val="16"/>
          <w:szCs w:val="16"/>
        </w:rPr>
        <w:t xml:space="preserve"> Contextual Hearing</w:t>
      </w:r>
      <w:r>
        <w:rPr>
          <w:rFonts w:cs="Arial"/>
          <w:sz w:val="16"/>
          <w:szCs w:val="16"/>
        </w:rPr>
        <w:t xml:space="preserve"> (</w:t>
      </w:r>
      <w:r w:rsidRPr="00CB4F47">
        <w:rPr>
          <w:rFonts w:cs="Arial"/>
          <w:sz w:val="16"/>
          <w:szCs w:val="16"/>
        </w:rPr>
        <w:t>1 November 2019, paras 24–37</w:t>
      </w:r>
      <w:r w:rsidRPr="00CB4F47" w:rsidDel="00FE6285">
        <w:rPr>
          <w:rFonts w:cs="Arial"/>
          <w:sz w:val="16"/>
          <w:szCs w:val="16"/>
        </w:rPr>
        <w:t>)</w:t>
      </w:r>
      <w:r w:rsidRPr="00CB4F47">
        <w:rPr>
          <w:rFonts w:cs="Arial"/>
          <w:sz w:val="16"/>
          <w:szCs w:val="16"/>
        </w:rPr>
        <w:t>; Moore, A &amp; Tennant, M, Who is responsible for the provision of support services for people with disabilities? A discussion paper commissioned by the National Health Committee (1997, page 17</w:t>
      </w:r>
      <w:r>
        <w:rPr>
          <w:rFonts w:cs="Arial"/>
          <w:sz w:val="16"/>
          <w:szCs w:val="16"/>
        </w:rPr>
        <w:t>)</w:t>
      </w:r>
      <w:r w:rsidRPr="00CB4F47">
        <w:rPr>
          <w:rFonts w:cs="Arial"/>
          <w:sz w:val="16"/>
          <w:szCs w:val="16"/>
        </w:rPr>
        <w:t>.</w:t>
      </w:r>
    </w:p>
  </w:endnote>
  <w:endnote w:id="122">
    <w:p w14:paraId="4AD3C1E2" w14:textId="3DEA916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Swarbrick, N, Care and carers: Care of people with disabilities (Te Ara –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2011, page 4</w:t>
      </w:r>
      <w:r>
        <w:rPr>
          <w:rFonts w:cs="Arial"/>
          <w:sz w:val="16"/>
          <w:szCs w:val="16"/>
        </w:rPr>
        <w:t xml:space="preserve">), </w:t>
      </w:r>
      <w:hyperlink r:id="rId11" w:history="1">
        <w:r w:rsidRPr="00DD5764">
          <w:rPr>
            <w:rStyle w:val="Hyperlink"/>
            <w:rFonts w:cs="Arial"/>
            <w:sz w:val="16"/>
            <w:szCs w:val="16"/>
          </w:rPr>
          <w:t>http://www.TeAra.govt.nz/en/care-and-carers/page-4</w:t>
        </w:r>
      </w:hyperlink>
      <w:r w:rsidRPr="00CB4F47">
        <w:rPr>
          <w:rFonts w:cs="Arial"/>
          <w:sz w:val="16"/>
          <w:szCs w:val="16"/>
        </w:rPr>
        <w:t>.</w:t>
      </w:r>
    </w:p>
  </w:endnote>
  <w:endnote w:id="123">
    <w:p w14:paraId="38C1D325" w14:textId="42BF684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Sullivan, M &amp; Stace, H, A brief history of disability in Aotearoa New Zealand (Office for Disability Issues, 2020, page 18</w:t>
      </w:r>
      <w:r>
        <w:rPr>
          <w:rFonts w:cs="Arial"/>
          <w:sz w:val="16"/>
          <w:szCs w:val="16"/>
        </w:rPr>
        <w:t>)</w:t>
      </w:r>
      <w:r w:rsidRPr="00CB4F47">
        <w:rPr>
          <w:rFonts w:cs="Arial"/>
          <w:sz w:val="16"/>
          <w:szCs w:val="16"/>
        </w:rPr>
        <w:t>.</w:t>
      </w:r>
    </w:p>
  </w:endnote>
  <w:endnote w:id="124">
    <w:p w14:paraId="7ECDF653" w14:textId="44111C8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Royal Commission of Inquiry into Abuse in Care, Beautiful children: Inquiry into the Lake Alice child and adolescent unit (2022). </w:t>
      </w:r>
    </w:p>
  </w:endnote>
  <w:endnote w:id="125">
    <w:p w14:paraId="5A53F047" w14:textId="7B23B22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Smiler, K &amp; McKee, RL, “Perceptions of Māori deaf identity in New Zealand</w:t>
      </w:r>
      <w:r>
        <w:rPr>
          <w:rFonts w:cs="Arial"/>
          <w:sz w:val="16"/>
          <w:szCs w:val="16"/>
        </w:rPr>
        <w:t>,</w:t>
      </w:r>
      <w:r w:rsidRPr="00CB4F47">
        <w:rPr>
          <w:rFonts w:cs="Arial"/>
          <w:sz w:val="16"/>
          <w:szCs w:val="16"/>
        </w:rPr>
        <w:t>” Journal of Deaf Studies and Deaf Education 12(1)</w:t>
      </w:r>
      <w:r>
        <w:rPr>
          <w:rFonts w:cs="Arial"/>
          <w:sz w:val="16"/>
          <w:szCs w:val="16"/>
        </w:rPr>
        <w:t>,</w:t>
      </w:r>
      <w:r w:rsidRPr="00CB4F47">
        <w:rPr>
          <w:rFonts w:cs="Arial"/>
          <w:sz w:val="16"/>
          <w:szCs w:val="16"/>
        </w:rPr>
        <w:t xml:space="preserve"> (2007, pages 93–111</w:t>
      </w:r>
      <w:r>
        <w:rPr>
          <w:rFonts w:cs="Arial"/>
          <w:sz w:val="16"/>
          <w:szCs w:val="16"/>
        </w:rPr>
        <w:t>)</w:t>
      </w:r>
      <w:r w:rsidRPr="00CB4F47">
        <w:rPr>
          <w:rFonts w:cs="Arial"/>
          <w:sz w:val="16"/>
          <w:szCs w:val="16"/>
        </w:rPr>
        <w:t>.</w:t>
      </w:r>
    </w:p>
  </w:endnote>
  <w:endnote w:id="126">
    <w:p w14:paraId="6135BC64" w14:textId="346205DE" w:rsidR="00FE4E56" w:rsidRPr="00CB4F47" w:rsidRDefault="00FE4E56" w:rsidP="00C57877">
      <w:pPr>
        <w:pStyle w:val="EndnoteText"/>
        <w:spacing w:line="20" w:lineRule="atLeast"/>
        <w:rPr>
          <w:rFonts w:cs="Arial"/>
          <w:sz w:val="16"/>
          <w:szCs w:val="16"/>
          <w:u w:val="single"/>
        </w:rPr>
      </w:pPr>
      <w:r w:rsidRPr="00536E67">
        <w:rPr>
          <w:rStyle w:val="StyleFootnoteReferenceFagoFunotenzeichenFagoFunotenzeichen"/>
          <w:sz w:val="16"/>
          <w:szCs w:val="16"/>
        </w:rPr>
        <w:endnoteRef/>
      </w:r>
      <w:r w:rsidRPr="00CB4F47">
        <w:rPr>
          <w:rFonts w:cs="Arial"/>
          <w:sz w:val="16"/>
          <w:szCs w:val="16"/>
        </w:rPr>
        <w:t xml:space="preserve"> McKee, R, People of the </w:t>
      </w:r>
      <w:r>
        <w:rPr>
          <w:rFonts w:cs="Arial"/>
          <w:sz w:val="16"/>
          <w:szCs w:val="16"/>
        </w:rPr>
        <w:t>e</w:t>
      </w:r>
      <w:r w:rsidRPr="00CB4F47">
        <w:rPr>
          <w:rFonts w:cs="Arial"/>
          <w:sz w:val="16"/>
          <w:szCs w:val="16"/>
        </w:rPr>
        <w:t xml:space="preserve">ye: Stories from the Deaf </w:t>
      </w:r>
      <w:r>
        <w:rPr>
          <w:rFonts w:cs="Arial"/>
          <w:sz w:val="16"/>
          <w:szCs w:val="16"/>
        </w:rPr>
        <w:t>w</w:t>
      </w:r>
      <w:r w:rsidRPr="00CB4F47">
        <w:rPr>
          <w:rFonts w:cs="Arial"/>
          <w:sz w:val="16"/>
          <w:szCs w:val="16"/>
        </w:rPr>
        <w:t>orld (2001), in Powell</w:t>
      </w:r>
      <w:r>
        <w:rPr>
          <w:rFonts w:cs="Arial"/>
          <w:sz w:val="16"/>
          <w:szCs w:val="16"/>
        </w:rPr>
        <w:t>,</w:t>
      </w:r>
      <w:r w:rsidRPr="00CB4F47">
        <w:rPr>
          <w:rFonts w:cs="Arial"/>
          <w:sz w:val="16"/>
          <w:szCs w:val="16"/>
        </w:rPr>
        <w:t xml:space="preserve"> D &amp; Hyde</w:t>
      </w:r>
      <w:r>
        <w:rPr>
          <w:rFonts w:cs="Arial"/>
          <w:sz w:val="16"/>
          <w:szCs w:val="16"/>
        </w:rPr>
        <w:t>,</w:t>
      </w:r>
      <w:r w:rsidRPr="00CB4F47">
        <w:rPr>
          <w:rFonts w:cs="Arial"/>
          <w:sz w:val="16"/>
          <w:szCs w:val="16"/>
        </w:rPr>
        <w:t xml:space="preserve"> M, “Deaf Education in New Zealand: Where we have been and where we are going</w:t>
      </w:r>
      <w:r>
        <w:rPr>
          <w:rFonts w:cs="Arial"/>
          <w:sz w:val="16"/>
          <w:szCs w:val="16"/>
        </w:rPr>
        <w:t>,</w:t>
      </w:r>
      <w:r w:rsidRPr="00CB4F47">
        <w:rPr>
          <w:rFonts w:cs="Arial"/>
          <w:sz w:val="16"/>
          <w:szCs w:val="16"/>
        </w:rPr>
        <w:t>” Deafness &amp; Education International, 16(3)</w:t>
      </w:r>
      <w:r>
        <w:rPr>
          <w:rFonts w:cs="Arial"/>
          <w:sz w:val="16"/>
          <w:szCs w:val="16"/>
        </w:rPr>
        <w:t>,</w:t>
      </w:r>
      <w:r w:rsidRPr="00CB4F47">
        <w:rPr>
          <w:rFonts w:cs="Arial"/>
          <w:sz w:val="16"/>
          <w:szCs w:val="16"/>
        </w:rPr>
        <w:t xml:space="preserve"> (2014, pages 129–145, page 130</w:t>
      </w:r>
      <w:r>
        <w:rPr>
          <w:rFonts w:cs="Arial"/>
          <w:sz w:val="16"/>
          <w:szCs w:val="16"/>
        </w:rPr>
        <w:t>)</w:t>
      </w:r>
      <w:r w:rsidRPr="00CB4F47">
        <w:rPr>
          <w:rFonts w:cs="Arial"/>
          <w:sz w:val="16"/>
          <w:szCs w:val="16"/>
        </w:rPr>
        <w:t xml:space="preserve">. </w:t>
      </w:r>
    </w:p>
  </w:endnote>
  <w:endnote w:id="127">
    <w:p w14:paraId="2998F58F" w14:textId="0784F1B3" w:rsidR="00FE4E56" w:rsidRPr="00CB4F47" w:rsidRDefault="00FE4E56">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Powell</w:t>
      </w:r>
      <w:r>
        <w:rPr>
          <w:rFonts w:cs="Arial"/>
          <w:sz w:val="16"/>
          <w:szCs w:val="16"/>
        </w:rPr>
        <w:t>,</w:t>
      </w:r>
      <w:r w:rsidRPr="00CB4F47">
        <w:rPr>
          <w:rFonts w:cs="Arial"/>
          <w:sz w:val="16"/>
          <w:szCs w:val="16"/>
        </w:rPr>
        <w:t xml:space="preserve"> D &amp; Hyde</w:t>
      </w:r>
      <w:r>
        <w:rPr>
          <w:rFonts w:cs="Arial"/>
          <w:sz w:val="16"/>
          <w:szCs w:val="16"/>
        </w:rPr>
        <w:t>,</w:t>
      </w:r>
      <w:r w:rsidRPr="00CB4F47">
        <w:rPr>
          <w:rFonts w:cs="Arial"/>
          <w:sz w:val="16"/>
          <w:szCs w:val="16"/>
        </w:rPr>
        <w:t xml:space="preserve"> M, “Deaf Education in New Zealand: Where we have been and where we are going</w:t>
      </w:r>
      <w:r>
        <w:rPr>
          <w:rFonts w:cs="Arial"/>
          <w:sz w:val="16"/>
          <w:szCs w:val="16"/>
        </w:rPr>
        <w:t>,</w:t>
      </w:r>
      <w:r w:rsidRPr="00CB4F47">
        <w:rPr>
          <w:rFonts w:cs="Arial"/>
          <w:sz w:val="16"/>
          <w:szCs w:val="16"/>
        </w:rPr>
        <w:t>” Deafness &amp; Education International, 16(3)</w:t>
      </w:r>
      <w:r>
        <w:rPr>
          <w:rFonts w:cs="Arial"/>
          <w:sz w:val="16"/>
          <w:szCs w:val="16"/>
        </w:rPr>
        <w:t>,</w:t>
      </w:r>
      <w:r w:rsidRPr="00CB4F47">
        <w:rPr>
          <w:rFonts w:cs="Arial"/>
          <w:sz w:val="16"/>
          <w:szCs w:val="16"/>
        </w:rPr>
        <w:t xml:space="preserve"> (2014, pages 129–145, page 130</w:t>
      </w:r>
      <w:r>
        <w:rPr>
          <w:rFonts w:cs="Arial"/>
          <w:sz w:val="16"/>
          <w:szCs w:val="16"/>
        </w:rPr>
        <w:t>)</w:t>
      </w:r>
      <w:r w:rsidRPr="00CB4F47">
        <w:rPr>
          <w:rFonts w:cs="Arial"/>
          <w:sz w:val="16"/>
          <w:szCs w:val="16"/>
        </w:rPr>
        <w:t>.</w:t>
      </w:r>
    </w:p>
  </w:endnote>
  <w:endnote w:id="128">
    <w:p w14:paraId="5C37F787" w14:textId="174D484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Hopkins, R, Listening eyes, speaking </w:t>
      </w:r>
      <w:r>
        <w:rPr>
          <w:rFonts w:cs="Arial"/>
          <w:sz w:val="16"/>
          <w:szCs w:val="16"/>
        </w:rPr>
        <w:t>h</w:t>
      </w:r>
      <w:r w:rsidRPr="00CB4F47">
        <w:rPr>
          <w:rFonts w:cs="Arial"/>
          <w:sz w:val="16"/>
          <w:szCs w:val="16"/>
        </w:rPr>
        <w:t>ands: The story of Deaf education in New Zealand (Ministry of Education, 2018).</w:t>
      </w:r>
    </w:p>
  </w:endnote>
  <w:endnote w:id="129">
    <w:p w14:paraId="69FC7B8B" w14:textId="5F89CBB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Teuila Percival (6 June 2022, page 10</w:t>
      </w:r>
      <w:r>
        <w:rPr>
          <w:rFonts w:cs="Arial"/>
          <w:sz w:val="16"/>
          <w:szCs w:val="16"/>
        </w:rPr>
        <w:t>)</w:t>
      </w:r>
      <w:r w:rsidRPr="00CB4F47">
        <w:rPr>
          <w:rFonts w:cs="Arial"/>
          <w:sz w:val="16"/>
          <w:szCs w:val="16"/>
        </w:rPr>
        <w:t>.</w:t>
      </w:r>
    </w:p>
  </w:endnote>
  <w:endnote w:id="130">
    <w:p w14:paraId="161C7D7B" w14:textId="3492B28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Webb, OJ, The likely impact of prevailing conditions and environments on people now considered to be neurodiverse, between 1950 and 1990</w:t>
      </w:r>
      <w:r>
        <w:rPr>
          <w:rFonts w:cs="Arial"/>
          <w:sz w:val="16"/>
          <w:szCs w:val="16"/>
        </w:rPr>
        <w:t xml:space="preserve">, </w:t>
      </w:r>
      <w:r w:rsidRPr="00CB4F47">
        <w:rPr>
          <w:rFonts w:cs="Arial"/>
          <w:sz w:val="16"/>
          <w:szCs w:val="16"/>
        </w:rPr>
        <w:t>Paper prepared for the Royal Commission</w:t>
      </w:r>
      <w:r>
        <w:rPr>
          <w:rFonts w:cs="Arial"/>
          <w:sz w:val="16"/>
          <w:szCs w:val="16"/>
        </w:rPr>
        <w:t xml:space="preserve"> of Inquiry into Abuse in Care</w:t>
      </w:r>
      <w:r w:rsidRPr="00CB4F47">
        <w:rPr>
          <w:rFonts w:cs="Arial"/>
          <w:sz w:val="16"/>
          <w:szCs w:val="16"/>
        </w:rPr>
        <w:t xml:space="preserve"> (2022, page 10</w:t>
      </w:r>
      <w:r>
        <w:rPr>
          <w:rFonts w:cs="Arial"/>
          <w:sz w:val="16"/>
          <w:szCs w:val="16"/>
        </w:rPr>
        <w:t>)</w:t>
      </w:r>
      <w:r w:rsidRPr="00CB4F47">
        <w:rPr>
          <w:rFonts w:cs="Arial"/>
          <w:sz w:val="16"/>
          <w:szCs w:val="16"/>
        </w:rPr>
        <w:t xml:space="preserve">. </w:t>
      </w:r>
    </w:p>
  </w:endnote>
  <w:endnote w:id="131">
    <w:p w14:paraId="402BC67E" w14:textId="295098C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Webb, OJ, The likely impact of prevailing conditions and environments on people now considered to be neurodiverse, between 1950 and 1990</w:t>
      </w:r>
      <w:r>
        <w:rPr>
          <w:rFonts w:cs="Arial"/>
          <w:sz w:val="16"/>
          <w:szCs w:val="16"/>
        </w:rPr>
        <w:t xml:space="preserve">, </w:t>
      </w:r>
      <w:r w:rsidRPr="00CB4F47">
        <w:rPr>
          <w:rFonts w:cs="Arial"/>
          <w:sz w:val="16"/>
          <w:szCs w:val="16"/>
        </w:rPr>
        <w:t>Paper prepared for the Royal Commission</w:t>
      </w:r>
      <w:r>
        <w:rPr>
          <w:rFonts w:cs="Arial"/>
          <w:sz w:val="16"/>
          <w:szCs w:val="16"/>
        </w:rPr>
        <w:t xml:space="preserve"> of Inquiry into Abuse in Care</w:t>
      </w:r>
      <w:r w:rsidRPr="00CB4F47">
        <w:rPr>
          <w:rFonts w:cs="Arial"/>
          <w:sz w:val="16"/>
          <w:szCs w:val="16"/>
        </w:rPr>
        <w:t xml:space="preserve"> (2022, pages 8–9</w:t>
      </w:r>
      <w:r>
        <w:rPr>
          <w:rFonts w:cs="Arial"/>
          <w:sz w:val="16"/>
          <w:szCs w:val="16"/>
        </w:rPr>
        <w:t>)</w:t>
      </w:r>
      <w:r w:rsidRPr="00CB4F47">
        <w:rPr>
          <w:rFonts w:cs="Arial"/>
          <w:sz w:val="16"/>
          <w:szCs w:val="16"/>
        </w:rPr>
        <w:t>.</w:t>
      </w:r>
    </w:p>
  </w:endnote>
  <w:endnote w:id="132">
    <w:p w14:paraId="255B0BFE" w14:textId="77777777" w:rsidR="00FE4E56" w:rsidRPr="00CB4F47" w:rsidRDefault="00FE4E56" w:rsidP="00341C79">
      <w:pPr>
        <w:pStyle w:val="EndnoteText"/>
        <w:spacing w:line="20" w:lineRule="atLeast"/>
        <w:rPr>
          <w:rFonts w:cs="Arial"/>
          <w:sz w:val="16"/>
          <w:szCs w:val="16"/>
        </w:rPr>
      </w:pPr>
      <w:r w:rsidRPr="00EE5539">
        <w:rPr>
          <w:rStyle w:val="StyleFootnoteReferenceFagoFunotenzeichenFagoFunotenzeichen"/>
          <w:sz w:val="16"/>
          <w:szCs w:val="16"/>
        </w:rPr>
        <w:endnoteRef/>
      </w:r>
      <w:r w:rsidRPr="00CB4F47">
        <w:rPr>
          <w:rFonts w:cs="Arial"/>
          <w:sz w:val="16"/>
          <w:szCs w:val="16"/>
        </w:rPr>
        <w:t xml:space="preserve"> Webb, OJ, The likely impact of prevailing conditions and environments on people now considered to be neurodiverse, between 1950 and 1990</w:t>
      </w:r>
      <w:r>
        <w:rPr>
          <w:rFonts w:cs="Arial"/>
          <w:sz w:val="16"/>
          <w:szCs w:val="16"/>
        </w:rPr>
        <w:t xml:space="preserve">, </w:t>
      </w:r>
      <w:r w:rsidRPr="00CB4F47">
        <w:rPr>
          <w:rFonts w:cs="Arial"/>
          <w:sz w:val="16"/>
          <w:szCs w:val="16"/>
        </w:rPr>
        <w:t>Paper prepared for the Royal Commission</w:t>
      </w:r>
      <w:r>
        <w:rPr>
          <w:rFonts w:cs="Arial"/>
          <w:sz w:val="16"/>
          <w:szCs w:val="16"/>
        </w:rPr>
        <w:t xml:space="preserve"> of Inquiry into Abuse in Care</w:t>
      </w:r>
      <w:r w:rsidRPr="00CB4F47">
        <w:rPr>
          <w:rFonts w:cs="Arial"/>
          <w:sz w:val="16"/>
          <w:szCs w:val="16"/>
        </w:rPr>
        <w:t xml:space="preserve"> (2022, page 10</w:t>
      </w:r>
      <w:r>
        <w:rPr>
          <w:rFonts w:cs="Arial"/>
          <w:sz w:val="16"/>
          <w:szCs w:val="16"/>
        </w:rPr>
        <w:t>)</w:t>
      </w:r>
      <w:r w:rsidRPr="00CB4F47">
        <w:rPr>
          <w:rFonts w:cs="Arial"/>
          <w:sz w:val="16"/>
          <w:szCs w:val="16"/>
        </w:rPr>
        <w:t>.</w:t>
      </w:r>
    </w:p>
  </w:endnote>
  <w:endnote w:id="133">
    <w:p w14:paraId="6A6AA544" w14:textId="1402367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Webb, OJ, The likely impact of prevailing conditions and environments on people now considered to be neurodiverse, between 1950 and 1990</w:t>
      </w:r>
      <w:r>
        <w:rPr>
          <w:rFonts w:cs="Arial"/>
          <w:sz w:val="16"/>
          <w:szCs w:val="16"/>
        </w:rPr>
        <w:t xml:space="preserve">, </w:t>
      </w:r>
      <w:r w:rsidRPr="00CB4F47">
        <w:rPr>
          <w:rFonts w:cs="Arial"/>
          <w:sz w:val="16"/>
          <w:szCs w:val="16"/>
        </w:rPr>
        <w:t>Paper prepared for the Royal Commission</w:t>
      </w:r>
      <w:r>
        <w:rPr>
          <w:rFonts w:cs="Arial"/>
          <w:sz w:val="16"/>
          <w:szCs w:val="16"/>
        </w:rPr>
        <w:t xml:space="preserve"> of Inquiry into Abuse in Care</w:t>
      </w:r>
      <w:r w:rsidRPr="00CB4F47">
        <w:rPr>
          <w:rFonts w:cs="Arial"/>
          <w:sz w:val="16"/>
          <w:szCs w:val="16"/>
        </w:rPr>
        <w:t xml:space="preserve"> (2022, page 12</w:t>
      </w:r>
      <w:r>
        <w:rPr>
          <w:rFonts w:cs="Arial"/>
          <w:sz w:val="16"/>
          <w:szCs w:val="16"/>
        </w:rPr>
        <w:t>)</w:t>
      </w:r>
      <w:r w:rsidRPr="00CB4F47">
        <w:rPr>
          <w:rFonts w:cs="Arial"/>
          <w:sz w:val="16"/>
          <w:szCs w:val="16"/>
        </w:rPr>
        <w:t>.</w:t>
      </w:r>
    </w:p>
  </w:endnote>
  <w:endnote w:id="134">
    <w:p w14:paraId="18530536" w14:textId="20EB627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Teuila Percival (6 June 2022, page 9</w:t>
      </w:r>
      <w:r>
        <w:rPr>
          <w:rFonts w:cs="Arial"/>
          <w:sz w:val="16"/>
          <w:szCs w:val="16"/>
        </w:rPr>
        <w:t>)</w:t>
      </w:r>
      <w:r w:rsidRPr="00CB4F47">
        <w:rPr>
          <w:rFonts w:cs="Arial"/>
          <w:sz w:val="16"/>
          <w:szCs w:val="16"/>
        </w:rPr>
        <w:t>.</w:t>
      </w:r>
    </w:p>
  </w:endnote>
  <w:endnote w:id="135">
    <w:p w14:paraId="43FBA47C" w14:textId="1EFA351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Teuila Percival (6 June 2022, page 12</w:t>
      </w:r>
      <w:r>
        <w:rPr>
          <w:rFonts w:cs="Arial"/>
          <w:sz w:val="16"/>
          <w:szCs w:val="16"/>
        </w:rPr>
        <w:t>)</w:t>
      </w:r>
      <w:r w:rsidRPr="00CB4F47">
        <w:rPr>
          <w:rFonts w:cs="Arial"/>
          <w:sz w:val="16"/>
          <w:szCs w:val="16"/>
        </w:rPr>
        <w:t>.</w:t>
      </w:r>
    </w:p>
  </w:endnote>
  <w:endnote w:id="136">
    <w:p w14:paraId="5BD9F9CE" w14:textId="0EF30EF0" w:rsidR="00FE4E56" w:rsidRDefault="00FE4E56">
      <w:pPr>
        <w:pStyle w:val="EndnoteText"/>
      </w:pPr>
      <w:r>
        <w:rPr>
          <w:rStyle w:val="EndnoteReference"/>
        </w:rPr>
        <w:endnoteRef/>
      </w:r>
      <w:r>
        <w:t xml:space="preserve"> </w:t>
      </w:r>
      <w:r w:rsidRPr="001142DD">
        <w:rPr>
          <w:rFonts w:cs="Arial"/>
          <w:sz w:val="16"/>
          <w:szCs w:val="16"/>
        </w:rPr>
        <w:t>Feigin</w:t>
      </w:r>
      <w:r>
        <w:rPr>
          <w:rFonts w:cs="Arial"/>
          <w:sz w:val="16"/>
          <w:szCs w:val="16"/>
        </w:rPr>
        <w:t>,</w:t>
      </w:r>
      <w:r w:rsidRPr="001142DD">
        <w:rPr>
          <w:rFonts w:cs="Arial"/>
          <w:sz w:val="16"/>
          <w:szCs w:val="16"/>
        </w:rPr>
        <w:t xml:space="preserve"> VL, Theadom</w:t>
      </w:r>
      <w:r>
        <w:rPr>
          <w:rFonts w:cs="Arial"/>
          <w:sz w:val="16"/>
          <w:szCs w:val="16"/>
        </w:rPr>
        <w:t>,</w:t>
      </w:r>
      <w:r w:rsidRPr="001142DD">
        <w:rPr>
          <w:rFonts w:cs="Arial"/>
          <w:sz w:val="16"/>
          <w:szCs w:val="16"/>
        </w:rPr>
        <w:t xml:space="preserve"> A, Barker-Collo</w:t>
      </w:r>
      <w:r>
        <w:rPr>
          <w:rFonts w:cs="Arial"/>
          <w:sz w:val="16"/>
          <w:szCs w:val="16"/>
        </w:rPr>
        <w:t>,</w:t>
      </w:r>
      <w:r w:rsidRPr="001142DD">
        <w:rPr>
          <w:rFonts w:cs="Arial"/>
          <w:sz w:val="16"/>
          <w:szCs w:val="16"/>
        </w:rPr>
        <w:t xml:space="preserve"> S, Starkey</w:t>
      </w:r>
      <w:r>
        <w:rPr>
          <w:rFonts w:cs="Arial"/>
          <w:sz w:val="16"/>
          <w:szCs w:val="16"/>
        </w:rPr>
        <w:t>,</w:t>
      </w:r>
      <w:r w:rsidRPr="001142DD">
        <w:rPr>
          <w:rFonts w:cs="Arial"/>
          <w:sz w:val="16"/>
          <w:szCs w:val="16"/>
        </w:rPr>
        <w:t xml:space="preserve"> NJ, McPherson</w:t>
      </w:r>
      <w:r>
        <w:rPr>
          <w:rFonts w:cs="Arial"/>
          <w:sz w:val="16"/>
          <w:szCs w:val="16"/>
        </w:rPr>
        <w:t>,</w:t>
      </w:r>
      <w:r w:rsidRPr="001142DD">
        <w:rPr>
          <w:rFonts w:cs="Arial"/>
          <w:sz w:val="16"/>
          <w:szCs w:val="16"/>
        </w:rPr>
        <w:t xml:space="preserve"> K, Kahan</w:t>
      </w:r>
      <w:r>
        <w:rPr>
          <w:rFonts w:cs="Arial"/>
          <w:sz w:val="16"/>
          <w:szCs w:val="16"/>
        </w:rPr>
        <w:t>,</w:t>
      </w:r>
      <w:r w:rsidRPr="001142DD">
        <w:rPr>
          <w:rFonts w:cs="Arial"/>
          <w:sz w:val="16"/>
          <w:szCs w:val="16"/>
        </w:rPr>
        <w:t xml:space="preserve"> M, Dowell</w:t>
      </w:r>
      <w:r>
        <w:rPr>
          <w:rFonts w:cs="Arial"/>
          <w:sz w:val="16"/>
          <w:szCs w:val="16"/>
        </w:rPr>
        <w:t>,</w:t>
      </w:r>
      <w:r w:rsidRPr="001142DD">
        <w:rPr>
          <w:rFonts w:cs="Arial"/>
          <w:sz w:val="16"/>
          <w:szCs w:val="16"/>
        </w:rPr>
        <w:t xml:space="preserve"> A, Brown</w:t>
      </w:r>
      <w:r>
        <w:rPr>
          <w:rFonts w:cs="Arial"/>
          <w:sz w:val="16"/>
          <w:szCs w:val="16"/>
        </w:rPr>
        <w:t>,</w:t>
      </w:r>
      <w:r w:rsidRPr="001142DD">
        <w:rPr>
          <w:rFonts w:cs="Arial"/>
          <w:sz w:val="16"/>
          <w:szCs w:val="16"/>
        </w:rPr>
        <w:t xml:space="preserve"> P, Parag</w:t>
      </w:r>
      <w:r>
        <w:rPr>
          <w:rFonts w:cs="Arial"/>
          <w:sz w:val="16"/>
          <w:szCs w:val="16"/>
        </w:rPr>
        <w:t>,</w:t>
      </w:r>
      <w:r w:rsidRPr="001142DD">
        <w:rPr>
          <w:rFonts w:cs="Arial"/>
          <w:sz w:val="16"/>
          <w:szCs w:val="16"/>
        </w:rPr>
        <w:t xml:space="preserve"> V, Kydd</w:t>
      </w:r>
      <w:r>
        <w:rPr>
          <w:rFonts w:cs="Arial"/>
          <w:sz w:val="16"/>
          <w:szCs w:val="16"/>
        </w:rPr>
        <w:t>,</w:t>
      </w:r>
      <w:r w:rsidRPr="001142DD">
        <w:rPr>
          <w:rFonts w:cs="Arial"/>
          <w:sz w:val="16"/>
          <w:szCs w:val="16"/>
        </w:rPr>
        <w:t xml:space="preserve"> R, Jones</w:t>
      </w:r>
      <w:r>
        <w:rPr>
          <w:rFonts w:cs="Arial"/>
          <w:sz w:val="16"/>
          <w:szCs w:val="16"/>
        </w:rPr>
        <w:t>,</w:t>
      </w:r>
      <w:r w:rsidRPr="001142DD">
        <w:rPr>
          <w:rFonts w:cs="Arial"/>
          <w:sz w:val="16"/>
          <w:szCs w:val="16"/>
        </w:rPr>
        <w:t xml:space="preserve"> K, Jones</w:t>
      </w:r>
      <w:r>
        <w:rPr>
          <w:rFonts w:cs="Arial"/>
          <w:sz w:val="16"/>
          <w:szCs w:val="16"/>
        </w:rPr>
        <w:t>,</w:t>
      </w:r>
      <w:r w:rsidRPr="001142DD">
        <w:rPr>
          <w:rFonts w:cs="Arial"/>
          <w:sz w:val="16"/>
          <w:szCs w:val="16"/>
        </w:rPr>
        <w:t xml:space="preserve"> A, Ameratunga</w:t>
      </w:r>
      <w:r>
        <w:rPr>
          <w:rFonts w:cs="Arial"/>
          <w:sz w:val="16"/>
          <w:szCs w:val="16"/>
        </w:rPr>
        <w:t>,</w:t>
      </w:r>
      <w:r w:rsidRPr="001142DD">
        <w:rPr>
          <w:rFonts w:cs="Arial"/>
          <w:sz w:val="16"/>
          <w:szCs w:val="16"/>
        </w:rPr>
        <w:t xml:space="preserve"> </w:t>
      </w:r>
      <w:r>
        <w:rPr>
          <w:rFonts w:cs="Arial"/>
          <w:sz w:val="16"/>
          <w:szCs w:val="16"/>
        </w:rPr>
        <w:t>S &amp; BIONIC Study Group, Incidence of traumatic brain injury in New Zealand: a population-based study, The Lancet Neurology, Volume 12:1 (2013, pages 53–64).</w:t>
      </w:r>
    </w:p>
  </w:endnote>
  <w:endnote w:id="137">
    <w:p w14:paraId="27E207E8" w14:textId="5F80C7C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Teuila </w:t>
      </w:r>
      <w:r w:rsidRPr="00D7126F">
        <w:rPr>
          <w:rFonts w:cs="Arial"/>
          <w:sz w:val="16"/>
          <w:szCs w:val="16"/>
        </w:rPr>
        <w:t>Percival (6 June 2022, page</w:t>
      </w:r>
      <w:r w:rsidRPr="00CB4F47">
        <w:rPr>
          <w:rFonts w:cs="Arial"/>
          <w:sz w:val="16"/>
          <w:szCs w:val="16"/>
        </w:rPr>
        <w:t xml:space="preserve"> 12</w:t>
      </w:r>
      <w:r>
        <w:rPr>
          <w:rFonts w:cs="Arial"/>
          <w:sz w:val="16"/>
          <w:szCs w:val="16"/>
        </w:rPr>
        <w:t>)</w:t>
      </w:r>
      <w:r w:rsidRPr="00CB4F47">
        <w:rPr>
          <w:rFonts w:cs="Arial"/>
          <w:sz w:val="16"/>
          <w:szCs w:val="16"/>
        </w:rPr>
        <w:t>.</w:t>
      </w:r>
    </w:p>
  </w:endnote>
  <w:endnote w:id="138">
    <w:p w14:paraId="31E4514A" w14:textId="1328AFB6" w:rsidR="00FE4E56" w:rsidRPr="00CB4F47" w:rsidRDefault="00FE4E56" w:rsidP="00C57877">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D7126F">
        <w:rPr>
          <w:sz w:val="16"/>
          <w:szCs w:val="16"/>
        </w:rPr>
        <w:t xml:space="preserve">Horspool, N, Crawford, L &amp; Rutherford, L, Traumatic brain injury and the criminal justice system: Crime and justice insights (Justice Sector, 2017, </w:t>
      </w:r>
      <w:r w:rsidRPr="00D7126F">
        <w:rPr>
          <w:rFonts w:cs="Arial"/>
          <w:sz w:val="16"/>
          <w:szCs w:val="16"/>
        </w:rPr>
        <w:t>page</w:t>
      </w:r>
      <w:r w:rsidRPr="00D7126F">
        <w:rPr>
          <w:sz w:val="16"/>
          <w:szCs w:val="16"/>
        </w:rPr>
        <w:t xml:space="preserve"> 1).</w:t>
      </w:r>
    </w:p>
  </w:endnote>
  <w:endnote w:id="139">
    <w:p w14:paraId="25562779" w14:textId="0E4A634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D7126F">
        <w:rPr>
          <w:rFonts w:cs="Arial"/>
          <w:sz w:val="16"/>
          <w:szCs w:val="16"/>
        </w:rPr>
        <w:t xml:space="preserve">Witness statement of Dr Teuila Percival </w:t>
      </w:r>
      <w:r w:rsidRPr="00CB4F47">
        <w:rPr>
          <w:rFonts w:cs="Arial"/>
          <w:sz w:val="16"/>
          <w:szCs w:val="16"/>
        </w:rPr>
        <w:t>(6 June 2022, page 9</w:t>
      </w:r>
      <w:r>
        <w:rPr>
          <w:rFonts w:cs="Arial"/>
          <w:sz w:val="16"/>
          <w:szCs w:val="16"/>
        </w:rPr>
        <w:t>)</w:t>
      </w:r>
      <w:r w:rsidRPr="00CB4F47">
        <w:rPr>
          <w:rFonts w:cs="Arial"/>
          <w:sz w:val="16"/>
          <w:szCs w:val="16"/>
        </w:rPr>
        <w:t>.</w:t>
      </w:r>
    </w:p>
  </w:endnote>
  <w:endnote w:id="140">
    <w:p w14:paraId="75351EC7" w14:textId="1466562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Lambie, I, What were they thinking? A discussion paper on brain and behaviour in relation to the justice system in New Zealand (Office of the Prime Minister’s Chief Science Advisor, 2020, page 24</w:t>
      </w:r>
      <w:r>
        <w:rPr>
          <w:rFonts w:cs="Arial"/>
          <w:sz w:val="16"/>
          <w:szCs w:val="16"/>
        </w:rPr>
        <w:t>)</w:t>
      </w:r>
      <w:r w:rsidRPr="00CB4F47">
        <w:rPr>
          <w:rFonts w:cs="Arial"/>
          <w:sz w:val="16"/>
          <w:szCs w:val="16"/>
        </w:rPr>
        <w:t>.</w:t>
      </w:r>
    </w:p>
  </w:endnote>
  <w:endnote w:id="141">
    <w:p w14:paraId="11EA9F9F" w14:textId="687648F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Valerie McGinn (29 May 2022, page 6</w:t>
      </w:r>
      <w:r>
        <w:rPr>
          <w:rFonts w:cs="Arial"/>
          <w:sz w:val="16"/>
          <w:szCs w:val="16"/>
        </w:rPr>
        <w:t>)</w:t>
      </w:r>
      <w:r w:rsidRPr="00CB4F47">
        <w:rPr>
          <w:rFonts w:cs="Arial"/>
          <w:sz w:val="16"/>
          <w:szCs w:val="16"/>
        </w:rPr>
        <w:t>.</w:t>
      </w:r>
    </w:p>
  </w:endnote>
  <w:endnote w:id="142">
    <w:p w14:paraId="3C2092DA" w14:textId="23BE8486" w:rsidR="00FE4E56" w:rsidRPr="00A97F96" w:rsidRDefault="00FE4E56">
      <w:pPr>
        <w:pStyle w:val="EndnoteText"/>
        <w:rPr>
          <w:sz w:val="16"/>
          <w:szCs w:val="16"/>
        </w:rPr>
      </w:pPr>
      <w:r w:rsidRPr="00536E67">
        <w:rPr>
          <w:rStyle w:val="StyleFootnoteReferenceFagoFunotenzeichenFagoFunotenzeichen"/>
          <w:sz w:val="16"/>
          <w:szCs w:val="16"/>
        </w:rPr>
        <w:endnoteRef/>
      </w:r>
      <w:r w:rsidRPr="00A97F96">
        <w:rPr>
          <w:sz w:val="16"/>
          <w:szCs w:val="16"/>
        </w:rPr>
        <w:t xml:space="preserve"> Salmond, </w:t>
      </w:r>
      <w:r>
        <w:rPr>
          <w:sz w:val="16"/>
          <w:szCs w:val="16"/>
        </w:rPr>
        <w:t>A</w:t>
      </w:r>
      <w:r w:rsidRPr="00A97F96">
        <w:rPr>
          <w:sz w:val="16"/>
          <w:szCs w:val="16"/>
        </w:rPr>
        <w:t>, Tears of Rangi: Experiments across worlds (Auckland University Press, 2017, pages 388, 390</w:t>
      </w:r>
      <w:r>
        <w:rPr>
          <w:sz w:val="16"/>
          <w:szCs w:val="16"/>
        </w:rPr>
        <w:t>)</w:t>
      </w:r>
      <w:r w:rsidRPr="00A97F96">
        <w:rPr>
          <w:sz w:val="16"/>
          <w:szCs w:val="16"/>
        </w:rPr>
        <w:t>.</w:t>
      </w:r>
    </w:p>
  </w:endnote>
  <w:endnote w:id="143">
    <w:p w14:paraId="4C0D463E" w14:textId="77777777" w:rsidR="00FE4E56" w:rsidRPr="001142DD" w:rsidRDefault="00FE4E56" w:rsidP="001142DD">
      <w:pPr>
        <w:pStyle w:val="EndnoteText"/>
        <w:rPr>
          <w:sz w:val="16"/>
          <w:szCs w:val="16"/>
        </w:rPr>
      </w:pPr>
      <w:r>
        <w:rPr>
          <w:rStyle w:val="EndnoteReference"/>
        </w:rPr>
        <w:endnoteRef/>
      </w:r>
      <w:r>
        <w:t xml:space="preserve"> </w:t>
      </w:r>
      <w:r w:rsidRPr="00254E30">
        <w:rPr>
          <w:rFonts w:cs="Arial"/>
          <w:sz w:val="16"/>
          <w:szCs w:val="16"/>
        </w:rPr>
        <w:t>Brookes, B, A, history of New Zealand women (Bridget Williams Books, 2016, page</w:t>
      </w:r>
      <w:r>
        <w:rPr>
          <w:rFonts w:cs="Arial"/>
          <w:sz w:val="16"/>
          <w:szCs w:val="16"/>
        </w:rPr>
        <w:t>s</w:t>
      </w:r>
      <w:r w:rsidRPr="00254E30">
        <w:rPr>
          <w:rFonts w:cs="Arial"/>
          <w:sz w:val="16"/>
          <w:szCs w:val="16"/>
        </w:rPr>
        <w:t xml:space="preserve"> </w:t>
      </w:r>
      <w:r>
        <w:rPr>
          <w:rFonts w:cs="Arial"/>
          <w:sz w:val="16"/>
          <w:szCs w:val="16"/>
        </w:rPr>
        <w:t>16 and 18 – 19)</w:t>
      </w:r>
      <w:r w:rsidRPr="00254E30">
        <w:rPr>
          <w:rFonts w:cs="Arial"/>
          <w:sz w:val="16"/>
          <w:szCs w:val="16"/>
        </w:rPr>
        <w:t>.</w:t>
      </w:r>
    </w:p>
  </w:endnote>
  <w:endnote w:id="144">
    <w:p w14:paraId="534AC8D1" w14:textId="0C69860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Dalley, B, Family matters: Child welfare in </w:t>
      </w:r>
      <w:r>
        <w:rPr>
          <w:rFonts w:cs="Arial"/>
          <w:sz w:val="16"/>
          <w:szCs w:val="16"/>
        </w:rPr>
        <w:t>t</w:t>
      </w:r>
      <w:r w:rsidRPr="00CB4F47">
        <w:rPr>
          <w:rFonts w:cs="Arial"/>
          <w:sz w:val="16"/>
          <w:szCs w:val="16"/>
        </w:rPr>
        <w:t>wentieth-century New Zealand (Auckland University Press, 1998, pages 190–191</w:t>
      </w:r>
      <w:r>
        <w:rPr>
          <w:rFonts w:cs="Arial"/>
          <w:sz w:val="16"/>
          <w:szCs w:val="16"/>
        </w:rPr>
        <w:t>)</w:t>
      </w:r>
      <w:r w:rsidRPr="00CB4F47">
        <w:rPr>
          <w:rFonts w:cs="Arial"/>
          <w:sz w:val="16"/>
          <w:szCs w:val="16"/>
        </w:rPr>
        <w:t>.</w:t>
      </w:r>
    </w:p>
  </w:endnote>
  <w:endnote w:id="145">
    <w:p w14:paraId="6F39138A" w14:textId="7D138F1A" w:rsidR="00FE4E56" w:rsidRPr="00CA0B86" w:rsidRDefault="00FE4E56" w:rsidP="00FD039C">
      <w:pPr>
        <w:pStyle w:val="EndnoteText"/>
        <w:rPr>
          <w:sz w:val="16"/>
          <w:szCs w:val="16"/>
        </w:rPr>
      </w:pPr>
      <w:r w:rsidRPr="00536E67">
        <w:rPr>
          <w:rStyle w:val="StyleFootnoteReferenceFagoFunotenzeichenFagoFunotenzeichen"/>
          <w:sz w:val="16"/>
          <w:szCs w:val="16"/>
        </w:rPr>
        <w:endnoteRef/>
      </w:r>
      <w:r w:rsidRPr="00CA0B86">
        <w:rPr>
          <w:sz w:val="16"/>
          <w:szCs w:val="16"/>
        </w:rPr>
        <w:t xml:space="preserve"> Smyth, Helen, Rocking the cradle: contraception, sex and politics in New Zealand (Steele Roberts Ltd, 2000, pages 67</w:t>
      </w:r>
      <w:r>
        <w:rPr>
          <w:sz w:val="16"/>
          <w:szCs w:val="16"/>
        </w:rPr>
        <w:t>–</w:t>
      </w:r>
      <w:r w:rsidRPr="00CA0B86">
        <w:rPr>
          <w:sz w:val="16"/>
          <w:szCs w:val="16"/>
        </w:rPr>
        <w:t>70</w:t>
      </w:r>
      <w:r>
        <w:rPr>
          <w:sz w:val="16"/>
          <w:szCs w:val="16"/>
        </w:rPr>
        <w:t>)</w:t>
      </w:r>
      <w:r w:rsidRPr="003D7BC4">
        <w:rPr>
          <w:sz w:val="16"/>
          <w:szCs w:val="16"/>
        </w:rPr>
        <w:t>.</w:t>
      </w:r>
    </w:p>
  </w:endnote>
  <w:endnote w:id="146">
    <w:p w14:paraId="7BAF9628" w14:textId="7265CEFB" w:rsidR="00FE4E56" w:rsidRPr="00CA0B86" w:rsidRDefault="00FE4E56" w:rsidP="00FD039C">
      <w:pPr>
        <w:pStyle w:val="EndnoteText"/>
        <w:rPr>
          <w:sz w:val="16"/>
          <w:szCs w:val="16"/>
        </w:rPr>
      </w:pPr>
      <w:r w:rsidRPr="00536E67">
        <w:rPr>
          <w:rStyle w:val="StyleFootnoteReferenceFagoFunotenzeichenFagoFunotenzeichen"/>
          <w:sz w:val="16"/>
          <w:szCs w:val="16"/>
        </w:rPr>
        <w:endnoteRef/>
      </w:r>
      <w:r w:rsidRPr="00CA0B86">
        <w:rPr>
          <w:sz w:val="16"/>
          <w:szCs w:val="16"/>
        </w:rPr>
        <w:t xml:space="preserve"> Smyth, Helen, Rocking the cradle: contraception, sex and politics in New Zealand (Steele Roberts Ltd, 2000, page 29</w:t>
      </w:r>
      <w:r>
        <w:rPr>
          <w:sz w:val="16"/>
          <w:szCs w:val="16"/>
        </w:rPr>
        <w:t>)</w:t>
      </w:r>
      <w:r w:rsidRPr="003D7BC4">
        <w:rPr>
          <w:sz w:val="16"/>
          <w:szCs w:val="16"/>
        </w:rPr>
        <w:t>.</w:t>
      </w:r>
    </w:p>
  </w:endnote>
  <w:endnote w:id="147">
    <w:p w14:paraId="6A279802" w14:textId="1D90C2EA" w:rsidR="00FE4E56" w:rsidRPr="00536E67" w:rsidRDefault="00FE4E56" w:rsidP="00FD039C">
      <w:pPr>
        <w:pStyle w:val="EndnoteText"/>
        <w:rPr>
          <w:sz w:val="16"/>
          <w:szCs w:val="16"/>
        </w:rPr>
      </w:pPr>
      <w:r w:rsidRPr="00536E67">
        <w:rPr>
          <w:rStyle w:val="StyleFootnoteReferenceFagoFunotenzeichenFagoFunotenzeichen"/>
          <w:sz w:val="16"/>
          <w:szCs w:val="16"/>
        </w:rPr>
        <w:endnoteRef/>
      </w:r>
      <w:r w:rsidRPr="00CA0B86">
        <w:rPr>
          <w:sz w:val="16"/>
          <w:szCs w:val="16"/>
        </w:rPr>
        <w:t xml:space="preserve"> </w:t>
      </w:r>
      <w:r w:rsidRPr="00254E30">
        <w:rPr>
          <w:rFonts w:cs="Arial"/>
          <w:sz w:val="16"/>
          <w:szCs w:val="16"/>
        </w:rPr>
        <w:t>Brookes, B, A history of New Zealand women (Bridget Williams Books, 2016, page</w:t>
      </w:r>
      <w:r>
        <w:rPr>
          <w:rFonts w:cs="Arial"/>
          <w:sz w:val="16"/>
          <w:szCs w:val="16"/>
        </w:rPr>
        <w:t>s</w:t>
      </w:r>
      <w:r w:rsidRPr="00254E30">
        <w:rPr>
          <w:rFonts w:cs="Arial"/>
          <w:sz w:val="16"/>
          <w:szCs w:val="16"/>
        </w:rPr>
        <w:t xml:space="preserve"> 309</w:t>
      </w:r>
      <w:r>
        <w:rPr>
          <w:rFonts w:cs="Arial"/>
          <w:sz w:val="16"/>
          <w:szCs w:val="16"/>
        </w:rPr>
        <w:t>, 425)</w:t>
      </w:r>
      <w:r w:rsidRPr="00254E30">
        <w:rPr>
          <w:rFonts w:cs="Arial"/>
          <w:sz w:val="16"/>
          <w:szCs w:val="16"/>
        </w:rPr>
        <w:t>.</w:t>
      </w:r>
    </w:p>
  </w:endnote>
  <w:endnote w:id="148">
    <w:p w14:paraId="0BFF7C2A" w14:textId="5592478D" w:rsidR="00FE4E56" w:rsidRPr="00536E67" w:rsidRDefault="00FE4E56" w:rsidP="00FD039C">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CB4F47">
        <w:rPr>
          <w:rFonts w:cs="Arial"/>
          <w:sz w:val="16"/>
          <w:szCs w:val="16"/>
        </w:rPr>
        <w:t>Brookes, B, A history of New Zealand women (Bridget Williams Books, 2016,</w:t>
      </w:r>
      <w:r>
        <w:rPr>
          <w:rFonts w:cs="Arial"/>
          <w:sz w:val="16"/>
          <w:szCs w:val="16"/>
        </w:rPr>
        <w:t xml:space="preserve"> page 386)</w:t>
      </w:r>
      <w:r w:rsidRPr="003D7BC4">
        <w:rPr>
          <w:rFonts w:cs="Arial"/>
          <w:sz w:val="16"/>
          <w:szCs w:val="16"/>
        </w:rPr>
        <w:t>.</w:t>
      </w:r>
    </w:p>
  </w:endnote>
  <w:endnote w:id="149">
    <w:p w14:paraId="5BD3C408" w14:textId="14A04D47" w:rsidR="00FE4E56" w:rsidRDefault="00FE4E56">
      <w:pPr>
        <w:pStyle w:val="EndnoteText"/>
      </w:pPr>
      <w:r>
        <w:rPr>
          <w:rStyle w:val="EndnoteReference"/>
        </w:rPr>
        <w:endnoteRef/>
      </w:r>
      <w:r>
        <w:t xml:space="preserve"> </w:t>
      </w:r>
      <w:r w:rsidRPr="001142DD">
        <w:rPr>
          <w:rFonts w:cs="Arial"/>
          <w:sz w:val="16"/>
          <w:szCs w:val="16"/>
        </w:rPr>
        <w:t xml:space="preserve">Dann, C, Up from under: women and liberation in New Zealand 1970–1985 (Allan and </w:t>
      </w:r>
      <w:r w:rsidRPr="00056FB2">
        <w:rPr>
          <w:rFonts w:cs="Arial"/>
          <w:sz w:val="16"/>
          <w:szCs w:val="16"/>
        </w:rPr>
        <w:t>Unwin</w:t>
      </w:r>
      <w:r>
        <w:rPr>
          <w:rFonts w:cs="Arial"/>
          <w:sz w:val="16"/>
          <w:szCs w:val="16"/>
        </w:rPr>
        <w:t>,</w:t>
      </w:r>
      <w:r w:rsidRPr="001142DD">
        <w:rPr>
          <w:rFonts w:cs="Arial"/>
          <w:sz w:val="16"/>
          <w:szCs w:val="16"/>
        </w:rPr>
        <w:t xml:space="preserve"> 1985, pages 5, 8–9, 10, 14).</w:t>
      </w:r>
      <w:r>
        <w:t xml:space="preserve"> </w:t>
      </w:r>
    </w:p>
  </w:endnote>
  <w:endnote w:id="150">
    <w:p w14:paraId="6C740AF5" w14:textId="1BE9CD9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Included in the Diagnostic and Statistical Manual of Mental Disorders (DSM) until 1973.</w:t>
      </w:r>
    </w:p>
  </w:endnote>
  <w:endnote w:id="151">
    <w:p w14:paraId="46CFE71F" w14:textId="0EB56D5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Bennett, J &amp; Brickell, C, Surveilling the mind and body: Medicalising and de-medicalising homosexuality in 1970s New Zealand (Cambridge University Press, 2018, page 199</w:t>
      </w:r>
      <w:r>
        <w:rPr>
          <w:rFonts w:cs="Arial"/>
          <w:sz w:val="16"/>
          <w:szCs w:val="16"/>
        </w:rPr>
        <w:t>)</w:t>
      </w:r>
      <w:r w:rsidRPr="00CB4F47">
        <w:rPr>
          <w:rFonts w:cs="Arial"/>
          <w:sz w:val="16"/>
          <w:szCs w:val="16"/>
        </w:rPr>
        <w:t>.</w:t>
      </w:r>
    </w:p>
  </w:endnote>
  <w:endnote w:id="152">
    <w:p w14:paraId="2173A9FA" w14:textId="07B7551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Human Rights Act 1993.</w:t>
      </w:r>
    </w:p>
  </w:endnote>
  <w:endnote w:id="153">
    <w:p w14:paraId="755EB9DB" w14:textId="000299B8" w:rsidR="00FE4E56" w:rsidRPr="00CB4F47" w:rsidRDefault="00FE4E56" w:rsidP="001356B0">
      <w:pPr>
        <w:spacing w:before="0" w:after="0" w:line="20" w:lineRule="atLeast"/>
        <w:rPr>
          <w:rFonts w:ascii="Arial" w:hAnsi="Arial" w:cs="Arial"/>
          <w:sz w:val="16"/>
          <w:szCs w:val="16"/>
        </w:rPr>
      </w:pPr>
      <w:r w:rsidRPr="00536E67">
        <w:rPr>
          <w:rStyle w:val="StyleFootnoteReferenceFagoFunotenzeichenFagoFunotenzeichen"/>
          <w:sz w:val="16"/>
          <w:szCs w:val="16"/>
        </w:rPr>
        <w:endnoteRef/>
      </w:r>
      <w:r w:rsidRPr="00CB4F47">
        <w:rPr>
          <w:rStyle w:val="EndnoteReference"/>
          <w:rFonts w:ascii="Arial" w:hAnsi="Arial"/>
          <w:sz w:val="16"/>
          <w:szCs w:val="16"/>
        </w:rPr>
        <w:t xml:space="preserve"> </w:t>
      </w:r>
      <w:r w:rsidRPr="00CB4F47">
        <w:rPr>
          <w:rFonts w:ascii="Arial" w:hAnsi="Arial" w:cs="Arial"/>
          <w:sz w:val="16"/>
          <w:szCs w:val="16"/>
        </w:rPr>
        <w:t>Ausubel, D, The fern and the tiki: an American view of New Zealand national character, social attitudes and race relations (Holt, Rinehart and Winston Inc, 1960, page 42</w:t>
      </w:r>
      <w:r>
        <w:rPr>
          <w:rFonts w:ascii="Arial" w:hAnsi="Arial" w:cs="Arial"/>
          <w:sz w:val="16"/>
          <w:szCs w:val="16"/>
        </w:rPr>
        <w:t>)</w:t>
      </w:r>
      <w:r w:rsidRPr="00CB4F47">
        <w:rPr>
          <w:rFonts w:ascii="Arial" w:hAnsi="Arial" w:cs="Arial"/>
          <w:sz w:val="16"/>
          <w:szCs w:val="16"/>
        </w:rPr>
        <w:t>.</w:t>
      </w:r>
    </w:p>
  </w:endnote>
  <w:endnote w:id="154">
    <w:p w14:paraId="4E0CF321" w14:textId="04FE62E9" w:rsidR="00FE4E56" w:rsidRPr="00CB4F47" w:rsidRDefault="00FE4E56" w:rsidP="001356B0">
      <w:pPr>
        <w:pStyle w:val="EndnoteText"/>
        <w:spacing w:line="20" w:lineRule="atLeast"/>
        <w:rPr>
          <w:rFonts w:eastAsia="Calibri" w:cs="Arial"/>
          <w:sz w:val="16"/>
          <w:szCs w:val="16"/>
        </w:rPr>
      </w:pPr>
      <w:r w:rsidRPr="00536E67">
        <w:rPr>
          <w:rStyle w:val="StyleFootnoteReferenceFagoFunotenzeichenFagoFunotenzeichen"/>
          <w:sz w:val="16"/>
          <w:szCs w:val="16"/>
        </w:rPr>
        <w:endnoteRef/>
      </w:r>
      <w:r w:rsidRPr="00CB4F47">
        <w:rPr>
          <w:rFonts w:cs="Arial"/>
          <w:sz w:val="16"/>
          <w:szCs w:val="16"/>
        </w:rPr>
        <w:t xml:space="preserve"> Ausubel, D, The fern and the tiki: an American view of New Zealand national character, social attitudes and race relations (Holt, Rinehart and Winston Inc, 1960, page</w:t>
      </w:r>
      <w:r w:rsidRPr="00CB4F47">
        <w:rPr>
          <w:rFonts w:eastAsia="Calibri" w:cs="Arial"/>
          <w:sz w:val="16"/>
          <w:szCs w:val="16"/>
        </w:rPr>
        <w:t xml:space="preserve"> 54</w:t>
      </w:r>
      <w:r>
        <w:rPr>
          <w:rFonts w:eastAsia="Calibri" w:cs="Arial"/>
          <w:sz w:val="16"/>
          <w:szCs w:val="16"/>
        </w:rPr>
        <w:t>)</w:t>
      </w:r>
      <w:r w:rsidRPr="00CB4F47">
        <w:rPr>
          <w:rFonts w:eastAsia="Calibri" w:cs="Arial"/>
          <w:sz w:val="16"/>
          <w:szCs w:val="16"/>
        </w:rPr>
        <w:t>.</w:t>
      </w:r>
    </w:p>
  </w:endnote>
  <w:endnote w:id="155">
    <w:p w14:paraId="61D81A78" w14:textId="62E725F4" w:rsidR="00FE4E56" w:rsidRPr="00CB4F47" w:rsidRDefault="00FE4E56" w:rsidP="001356B0">
      <w:pPr>
        <w:pStyle w:val="EndnoteText"/>
        <w:spacing w:line="20" w:lineRule="atLeast"/>
        <w:rPr>
          <w:rFonts w:eastAsia="Calibri" w:cs="Arial"/>
          <w:sz w:val="16"/>
          <w:szCs w:val="16"/>
        </w:rPr>
      </w:pPr>
      <w:r w:rsidRPr="00536E67">
        <w:rPr>
          <w:rStyle w:val="StyleFootnoteReferenceFagoFunotenzeichenFagoFunotenzeichen"/>
          <w:sz w:val="16"/>
          <w:szCs w:val="16"/>
        </w:rPr>
        <w:endnoteRef/>
      </w:r>
      <w:r w:rsidRPr="00CB4F47">
        <w:rPr>
          <w:rFonts w:eastAsia="Calibri" w:cs="Arial"/>
          <w:sz w:val="16"/>
          <w:szCs w:val="16"/>
        </w:rPr>
        <w:t xml:space="preserve"> Ausubel, D, The fern and the tiki: an American view of New Zealand national character, social attitudes and race relations (Holt, Rinehart and Winston Inc, 1960</w:t>
      </w:r>
      <w:r>
        <w:rPr>
          <w:rFonts w:eastAsia="Calibri" w:cs="Arial"/>
          <w:sz w:val="16"/>
          <w:szCs w:val="16"/>
        </w:rPr>
        <w:t>,</w:t>
      </w:r>
      <w:r w:rsidRPr="00CB4F47">
        <w:rPr>
          <w:rFonts w:eastAsia="Calibri" w:cs="Arial"/>
          <w:sz w:val="16"/>
          <w:szCs w:val="16"/>
        </w:rPr>
        <w:t xml:space="preserve"> </w:t>
      </w:r>
      <w:r w:rsidRPr="00CB4F47">
        <w:rPr>
          <w:rFonts w:cs="Arial"/>
          <w:sz w:val="16"/>
          <w:szCs w:val="16"/>
        </w:rPr>
        <w:t>pages</w:t>
      </w:r>
      <w:r w:rsidRPr="00CB4F47">
        <w:rPr>
          <w:rFonts w:eastAsia="Calibri" w:cs="Arial"/>
          <w:sz w:val="16"/>
          <w:szCs w:val="16"/>
        </w:rPr>
        <w:t xml:space="preserve"> 54</w:t>
      </w:r>
      <w:r w:rsidRPr="00CB4F47">
        <w:rPr>
          <w:rFonts w:cs="Arial"/>
          <w:sz w:val="16"/>
          <w:szCs w:val="16"/>
        </w:rPr>
        <w:t>–</w:t>
      </w:r>
      <w:r w:rsidRPr="00CB4F47">
        <w:rPr>
          <w:rFonts w:eastAsia="Calibri" w:cs="Arial"/>
          <w:sz w:val="16"/>
          <w:szCs w:val="16"/>
        </w:rPr>
        <w:t>55</w:t>
      </w:r>
      <w:r>
        <w:rPr>
          <w:rFonts w:eastAsia="Calibri" w:cs="Arial"/>
          <w:sz w:val="16"/>
          <w:szCs w:val="16"/>
        </w:rPr>
        <w:t>)</w:t>
      </w:r>
      <w:r w:rsidRPr="00CB4F47">
        <w:rPr>
          <w:rFonts w:eastAsia="Calibri" w:cs="Arial"/>
          <w:sz w:val="16"/>
          <w:szCs w:val="16"/>
        </w:rPr>
        <w:t>.</w:t>
      </w:r>
    </w:p>
  </w:endnote>
  <w:endnote w:id="156">
    <w:p w14:paraId="34D38401" w14:textId="0DC0A160" w:rsidR="00FE4E56" w:rsidRPr="00CB4F47" w:rsidRDefault="00FE4E56" w:rsidP="001E1D95">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Crimes Act 1961, section 21.</w:t>
      </w:r>
    </w:p>
  </w:endnote>
  <w:endnote w:id="157">
    <w:p w14:paraId="317BE31F" w14:textId="3BBFFCAC" w:rsidR="00FE4E56" w:rsidRPr="00CB4F47" w:rsidRDefault="00FE4E56" w:rsidP="001E1D95">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Crimes Act 1961, section 22(1).</w:t>
      </w:r>
    </w:p>
  </w:endnote>
  <w:endnote w:id="158">
    <w:p w14:paraId="2611C0B8" w14:textId="6A92356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Maxwell, G, Youth offenders: Treatment of young offenders, 1840 to 1980s (Te Ara –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2011</w:t>
      </w:r>
      <w:r>
        <w:rPr>
          <w:rFonts w:cs="Arial"/>
          <w:sz w:val="16"/>
          <w:szCs w:val="16"/>
        </w:rPr>
        <w:t xml:space="preserve">, page 2), </w:t>
      </w:r>
      <w:hyperlink r:id="rId12" w:history="1">
        <w:r w:rsidRPr="00DD5764">
          <w:rPr>
            <w:rStyle w:val="Hyperlink"/>
            <w:rFonts w:cs="Arial"/>
            <w:sz w:val="16"/>
            <w:szCs w:val="16"/>
          </w:rPr>
          <w:t>http://www.TeAra.govt.nz/en/youth-offenders/page-2</w:t>
        </w:r>
      </w:hyperlink>
      <w:r>
        <w:rPr>
          <w:rFonts w:cs="Arial"/>
          <w:sz w:val="16"/>
          <w:szCs w:val="16"/>
        </w:rPr>
        <w:t>.</w:t>
      </w:r>
    </w:p>
  </w:endnote>
  <w:endnote w:id="159">
    <w:p w14:paraId="3269827A" w14:textId="7C279E5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Von Dadelszen, J, Sexual abuse study: an examination of the histories of sexual abuse among girls currently in the care of the Department of Social Welfare (</w:t>
      </w:r>
      <w:r>
        <w:rPr>
          <w:rFonts w:cs="Arial"/>
          <w:sz w:val="16"/>
          <w:szCs w:val="16"/>
        </w:rPr>
        <w:t xml:space="preserve">Department of Social Welfare, </w:t>
      </w:r>
      <w:r w:rsidRPr="00CB4F47">
        <w:rPr>
          <w:rFonts w:cs="Arial"/>
          <w:sz w:val="16"/>
          <w:szCs w:val="16"/>
        </w:rPr>
        <w:t>1987).</w:t>
      </w:r>
    </w:p>
  </w:endnote>
  <w:endnote w:id="160">
    <w:p w14:paraId="14BF635B" w14:textId="14F162C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Dalley, B, Family </w:t>
      </w:r>
      <w:r>
        <w:rPr>
          <w:rFonts w:cs="Arial"/>
          <w:sz w:val="16"/>
          <w:szCs w:val="16"/>
        </w:rPr>
        <w:t>m</w:t>
      </w:r>
      <w:r w:rsidRPr="00CB4F47">
        <w:rPr>
          <w:rFonts w:cs="Arial"/>
          <w:sz w:val="16"/>
          <w:szCs w:val="16"/>
        </w:rPr>
        <w:t xml:space="preserve">atters: Child </w:t>
      </w:r>
      <w:r>
        <w:rPr>
          <w:rFonts w:cs="Arial"/>
          <w:sz w:val="16"/>
          <w:szCs w:val="16"/>
        </w:rPr>
        <w:t>w</w:t>
      </w:r>
      <w:r w:rsidRPr="00CB4F47">
        <w:rPr>
          <w:rFonts w:cs="Arial"/>
          <w:sz w:val="16"/>
          <w:szCs w:val="16"/>
        </w:rPr>
        <w:t xml:space="preserve">elfare in </w:t>
      </w:r>
      <w:r>
        <w:rPr>
          <w:rFonts w:cs="Arial"/>
          <w:sz w:val="16"/>
          <w:szCs w:val="16"/>
        </w:rPr>
        <w:t>t</w:t>
      </w:r>
      <w:r w:rsidRPr="00CB4F47">
        <w:rPr>
          <w:rFonts w:cs="Arial"/>
          <w:sz w:val="16"/>
          <w:szCs w:val="16"/>
        </w:rPr>
        <w:t>wentieth-century New Zealand (Auckland University Press, 1998, pages 190–191</w:t>
      </w:r>
      <w:r>
        <w:rPr>
          <w:rFonts w:cs="Arial"/>
          <w:sz w:val="16"/>
          <w:szCs w:val="16"/>
        </w:rPr>
        <w:t>)</w:t>
      </w:r>
      <w:r w:rsidRPr="00CB4F47">
        <w:rPr>
          <w:rFonts w:cs="Arial"/>
          <w:sz w:val="16"/>
          <w:szCs w:val="16"/>
        </w:rPr>
        <w:t>.</w:t>
      </w:r>
    </w:p>
  </w:endnote>
  <w:endnote w:id="161">
    <w:p w14:paraId="4291CFEE" w14:textId="0E3B90C4" w:rsidR="00FE4E56" w:rsidRPr="00CB4F47" w:rsidRDefault="00FE4E56" w:rsidP="00B76E8C">
      <w:pPr>
        <w:pStyle w:val="EndnoteText"/>
        <w:spacing w:line="20" w:lineRule="atLeast"/>
        <w:rPr>
          <w:rFonts w:cs="Arial"/>
          <w:sz w:val="16"/>
          <w:szCs w:val="16"/>
          <w:lang w:val="mi-NZ"/>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color w:val="262626"/>
          <w:sz w:val="16"/>
          <w:szCs w:val="16"/>
        </w:rPr>
        <w:t xml:space="preserve">Rashbrook, M &amp; Wilkinson, A, Cracks in the </w:t>
      </w:r>
      <w:r>
        <w:rPr>
          <w:rFonts w:cs="Arial"/>
          <w:color w:val="262626"/>
          <w:sz w:val="16"/>
          <w:szCs w:val="16"/>
        </w:rPr>
        <w:t>d</w:t>
      </w:r>
      <w:r w:rsidRPr="00CB4F47">
        <w:rPr>
          <w:rFonts w:cs="Arial"/>
          <w:color w:val="262626"/>
          <w:sz w:val="16"/>
          <w:szCs w:val="16"/>
        </w:rPr>
        <w:t xml:space="preserve">am: The social and economic forces behind the placement of children into care (2019, </w:t>
      </w:r>
      <w:r w:rsidRPr="00CB4F47">
        <w:rPr>
          <w:rFonts w:cs="Arial"/>
          <w:sz w:val="16"/>
          <w:szCs w:val="16"/>
        </w:rPr>
        <w:t xml:space="preserve">pages </w:t>
      </w:r>
      <w:r w:rsidRPr="00CB4F47">
        <w:rPr>
          <w:rFonts w:cs="Arial"/>
          <w:color w:val="262626"/>
          <w:sz w:val="16"/>
          <w:szCs w:val="16"/>
        </w:rPr>
        <w:t>4</w:t>
      </w:r>
      <w:r w:rsidRPr="00CB4F47">
        <w:rPr>
          <w:rFonts w:cs="Arial"/>
          <w:sz w:val="16"/>
          <w:szCs w:val="16"/>
        </w:rPr>
        <w:t>–</w:t>
      </w:r>
      <w:r w:rsidRPr="00CB4F47">
        <w:rPr>
          <w:rFonts w:cs="Arial"/>
          <w:color w:val="262626"/>
          <w:sz w:val="16"/>
          <w:szCs w:val="16"/>
        </w:rPr>
        <w:t>5</w:t>
      </w:r>
      <w:r>
        <w:rPr>
          <w:rFonts w:cs="Arial"/>
          <w:color w:val="262626"/>
          <w:sz w:val="16"/>
          <w:szCs w:val="16"/>
        </w:rPr>
        <w:t>)</w:t>
      </w:r>
      <w:r w:rsidRPr="00CB4F47">
        <w:rPr>
          <w:rFonts w:cs="Arial"/>
          <w:color w:val="262626"/>
          <w:sz w:val="16"/>
          <w:szCs w:val="16"/>
        </w:rPr>
        <w:t>.</w:t>
      </w:r>
    </w:p>
  </w:endnote>
  <w:endnote w:id="162">
    <w:p w14:paraId="3D12C2F7" w14:textId="782953E8" w:rsidR="00FE4E56" w:rsidRPr="00CB4F47" w:rsidRDefault="00FE4E56" w:rsidP="003F327E">
      <w:pPr>
        <w:keepLines w:val="0"/>
        <w:pBdr>
          <w:bottom w:val="single" w:sz="6" w:space="1" w:color="auto"/>
        </w:pBdr>
        <w:spacing w:before="0" w:after="0"/>
        <w:rPr>
          <w:sz w:val="16"/>
          <w:szCs w:val="16"/>
        </w:rPr>
      </w:pPr>
      <w:r w:rsidRPr="00536E67">
        <w:rPr>
          <w:rStyle w:val="StyleFootnoteReferenceFagoFunotenzeichenFagoFunotenzeichen"/>
          <w:sz w:val="16"/>
          <w:szCs w:val="16"/>
        </w:rPr>
        <w:endnoteRef/>
      </w:r>
      <w:r w:rsidRPr="00CB4F47">
        <w:rPr>
          <w:rStyle w:val="EndnoteReference"/>
          <w:rFonts w:ascii="Arial" w:hAnsi="Arial"/>
          <w:color w:val="000000" w:themeColor="text1"/>
          <w:sz w:val="16"/>
          <w:szCs w:val="16"/>
        </w:rPr>
        <w:t xml:space="preserve"> </w:t>
      </w:r>
      <w:r w:rsidRPr="00CB4F47">
        <w:rPr>
          <w:rFonts w:ascii="Arial" w:hAnsi="Arial" w:cs="Arial"/>
          <w:sz w:val="16"/>
          <w:szCs w:val="16"/>
        </w:rPr>
        <w:t xml:space="preserve">Beddoe, L, </w:t>
      </w:r>
      <w:r>
        <w:rPr>
          <w:rFonts w:ascii="Arial" w:hAnsi="Arial" w:cs="Arial"/>
          <w:sz w:val="16"/>
          <w:szCs w:val="16"/>
        </w:rPr>
        <w:t>"</w:t>
      </w:r>
      <w:r w:rsidRPr="00CB4F47">
        <w:rPr>
          <w:rFonts w:ascii="Arial" w:hAnsi="Arial" w:cs="Arial"/>
          <w:sz w:val="16"/>
          <w:szCs w:val="16"/>
        </w:rPr>
        <w:t>Feral families, troubled families: The spectre of the underclass in New Zealand,</w:t>
      </w:r>
      <w:r>
        <w:rPr>
          <w:rFonts w:ascii="Arial" w:hAnsi="Arial" w:cs="Arial"/>
          <w:sz w:val="16"/>
          <w:szCs w:val="16"/>
        </w:rPr>
        <w:t>"</w:t>
      </w:r>
      <w:r w:rsidRPr="00CB4F47">
        <w:rPr>
          <w:rFonts w:ascii="Arial" w:hAnsi="Arial" w:cs="Arial"/>
          <w:sz w:val="16"/>
          <w:szCs w:val="16"/>
        </w:rPr>
        <w:t xml:space="preserve"> New Zealand Sociology</w:t>
      </w:r>
      <w:r>
        <w:rPr>
          <w:rFonts w:ascii="Arial" w:hAnsi="Arial" w:cs="Arial"/>
          <w:sz w:val="16"/>
          <w:szCs w:val="16"/>
        </w:rPr>
        <w:t>,</w:t>
      </w:r>
      <w:r w:rsidRPr="00CB4F47">
        <w:rPr>
          <w:rFonts w:ascii="Arial" w:hAnsi="Arial" w:cs="Arial"/>
          <w:sz w:val="16"/>
          <w:szCs w:val="16"/>
        </w:rPr>
        <w:t xml:space="preserve"> Volume 29</w:t>
      </w:r>
      <w:r>
        <w:rPr>
          <w:rFonts w:ascii="Arial" w:hAnsi="Arial" w:cs="Arial"/>
          <w:sz w:val="16"/>
          <w:szCs w:val="16"/>
        </w:rPr>
        <w:t>,</w:t>
      </w:r>
      <w:r w:rsidRPr="00CB4F47">
        <w:rPr>
          <w:rFonts w:ascii="Arial" w:hAnsi="Arial" w:cs="Arial"/>
          <w:sz w:val="16"/>
          <w:szCs w:val="16"/>
        </w:rPr>
        <w:t xml:space="preserve"> Issue 3</w:t>
      </w:r>
      <w:r>
        <w:rPr>
          <w:rFonts w:ascii="Arial" w:hAnsi="Arial" w:cs="Arial"/>
          <w:sz w:val="16"/>
          <w:szCs w:val="16"/>
        </w:rPr>
        <w:t xml:space="preserve"> (</w:t>
      </w:r>
      <w:r w:rsidRPr="00CB4F47">
        <w:rPr>
          <w:rFonts w:ascii="Arial" w:hAnsi="Arial" w:cs="Arial"/>
          <w:sz w:val="16"/>
          <w:szCs w:val="16"/>
        </w:rPr>
        <w:t>2014, pages 52–53</w:t>
      </w:r>
      <w:r>
        <w:rPr>
          <w:rFonts w:ascii="Arial" w:hAnsi="Arial" w:cs="Arial"/>
          <w:sz w:val="16"/>
          <w:szCs w:val="16"/>
        </w:rPr>
        <w:t>)</w:t>
      </w:r>
      <w:r w:rsidRPr="00CB4F47">
        <w:rPr>
          <w:rFonts w:asciiTheme="minorHAnsi" w:hAnsiTheme="minorHAnsi"/>
          <w:sz w:val="16"/>
          <w:szCs w:val="16"/>
        </w:rPr>
        <w:t>.</w:t>
      </w:r>
    </w:p>
  </w:endnote>
  <w:endnote w:id="163">
    <w:p w14:paraId="5C5323DD" w14:textId="74C7A2B1" w:rsidR="00FE4E56" w:rsidRPr="00CB4F47" w:rsidRDefault="00FE4E56" w:rsidP="00C57877">
      <w:pPr>
        <w:pStyle w:val="EndnoteText"/>
        <w:spacing w:line="20" w:lineRule="atLeast"/>
        <w:rPr>
          <w:rFonts w:cs="Arial"/>
          <w:sz w:val="16"/>
          <w:szCs w:val="16"/>
          <w:lang w:val="mi-NZ"/>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color w:val="262626"/>
          <w:sz w:val="16"/>
          <w:szCs w:val="16"/>
        </w:rPr>
        <w:t xml:space="preserve">Rashbrook, M &amp; Wilkinson, A, Cracks in the </w:t>
      </w:r>
      <w:r>
        <w:rPr>
          <w:rFonts w:cs="Arial"/>
          <w:color w:val="262626"/>
          <w:sz w:val="16"/>
          <w:szCs w:val="16"/>
        </w:rPr>
        <w:t>d</w:t>
      </w:r>
      <w:r w:rsidRPr="00CB4F47">
        <w:rPr>
          <w:rFonts w:cs="Arial"/>
          <w:color w:val="262626"/>
          <w:sz w:val="16"/>
          <w:szCs w:val="16"/>
        </w:rPr>
        <w:t xml:space="preserve">am: The social and economic forces behind the placement of children into care (2019, </w:t>
      </w:r>
      <w:r w:rsidRPr="00CB4F47">
        <w:rPr>
          <w:rFonts w:cs="Arial"/>
          <w:sz w:val="16"/>
          <w:szCs w:val="16"/>
        </w:rPr>
        <w:t>page</w:t>
      </w:r>
      <w:r w:rsidRPr="00CB4F47">
        <w:rPr>
          <w:rFonts w:cs="Arial"/>
          <w:color w:val="262626"/>
          <w:sz w:val="16"/>
          <w:szCs w:val="16"/>
        </w:rPr>
        <w:t xml:space="preserve"> 6</w:t>
      </w:r>
      <w:r>
        <w:rPr>
          <w:rFonts w:cs="Arial"/>
          <w:color w:val="262626"/>
          <w:sz w:val="16"/>
          <w:szCs w:val="16"/>
        </w:rPr>
        <w:t>)</w:t>
      </w:r>
      <w:r w:rsidRPr="00CB4F47">
        <w:rPr>
          <w:rFonts w:cs="Arial"/>
          <w:color w:val="262626"/>
          <w:sz w:val="16"/>
          <w:szCs w:val="16"/>
        </w:rPr>
        <w:t>.</w:t>
      </w:r>
    </w:p>
  </w:endnote>
  <w:endnote w:id="164">
    <w:p w14:paraId="7C93CE97" w14:textId="3B91F26F" w:rsidR="00FE4E56" w:rsidRPr="00CB4F47" w:rsidRDefault="00FE4E56" w:rsidP="00C57877">
      <w:pPr>
        <w:pStyle w:val="EndnoteText"/>
        <w:spacing w:line="20" w:lineRule="atLeast"/>
        <w:rPr>
          <w:rFonts w:cs="Arial"/>
          <w:sz w:val="16"/>
          <w:szCs w:val="16"/>
          <w:lang w:val="mi-NZ"/>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color w:val="262626"/>
          <w:sz w:val="16"/>
          <w:szCs w:val="16"/>
        </w:rPr>
        <w:t xml:space="preserve">Rashbrook, M &amp; Wilkinson, A, Cracks in the </w:t>
      </w:r>
      <w:r>
        <w:rPr>
          <w:rFonts w:cs="Arial"/>
          <w:color w:val="262626"/>
          <w:sz w:val="16"/>
          <w:szCs w:val="16"/>
        </w:rPr>
        <w:t>d</w:t>
      </w:r>
      <w:r w:rsidRPr="00CB4F47">
        <w:rPr>
          <w:rFonts w:cs="Arial"/>
          <w:color w:val="262626"/>
          <w:sz w:val="16"/>
          <w:szCs w:val="16"/>
        </w:rPr>
        <w:t>am: The social and economic forces behind the placement of children into care (</w:t>
      </w:r>
      <w:r>
        <w:rPr>
          <w:rFonts w:cs="Arial"/>
          <w:color w:val="262626"/>
          <w:sz w:val="16"/>
          <w:szCs w:val="16"/>
        </w:rPr>
        <w:t xml:space="preserve">2019, </w:t>
      </w:r>
      <w:r w:rsidRPr="00CB4F47">
        <w:rPr>
          <w:rFonts w:cs="Arial"/>
          <w:sz w:val="16"/>
          <w:szCs w:val="16"/>
        </w:rPr>
        <w:t>page</w:t>
      </w:r>
      <w:r w:rsidRPr="00CB4F47">
        <w:rPr>
          <w:rFonts w:cs="Arial"/>
          <w:color w:val="262626"/>
          <w:sz w:val="16"/>
          <w:szCs w:val="16"/>
        </w:rPr>
        <w:t xml:space="preserve"> 6); Hyslop, I &amp; Keddell, E, Changes needed to the current system of child protection and care in Aotearoa</w:t>
      </w:r>
      <w:r>
        <w:rPr>
          <w:rFonts w:cs="Arial"/>
          <w:color w:val="262626"/>
          <w:sz w:val="16"/>
          <w:szCs w:val="16"/>
        </w:rPr>
        <w:t>,</w:t>
      </w:r>
      <w:r w:rsidRPr="00CB4F47">
        <w:rPr>
          <w:rFonts w:cs="Arial"/>
          <w:color w:val="262626"/>
          <w:sz w:val="16"/>
          <w:szCs w:val="16"/>
        </w:rPr>
        <w:t xml:space="preserve"> Expert opinion</w:t>
      </w:r>
      <w:r>
        <w:rPr>
          <w:rFonts w:cs="Arial"/>
          <w:color w:val="262626"/>
          <w:sz w:val="16"/>
          <w:szCs w:val="16"/>
        </w:rPr>
        <w:t xml:space="preserve"> prepared for the Royal Commission of Inquiry into Abuse in Care</w:t>
      </w:r>
      <w:r w:rsidRPr="00CB4F47">
        <w:rPr>
          <w:rFonts w:cs="Arial"/>
          <w:color w:val="262626"/>
          <w:sz w:val="16"/>
          <w:szCs w:val="16"/>
        </w:rPr>
        <w:t xml:space="preserve"> (7 June 2022, </w:t>
      </w:r>
      <w:r w:rsidRPr="00CB4F47">
        <w:rPr>
          <w:rFonts w:cs="Arial"/>
          <w:sz w:val="16"/>
          <w:szCs w:val="16"/>
        </w:rPr>
        <w:t>page</w:t>
      </w:r>
      <w:r w:rsidRPr="00CB4F47">
        <w:rPr>
          <w:rFonts w:cs="Arial"/>
          <w:color w:val="262626"/>
          <w:sz w:val="16"/>
          <w:szCs w:val="16"/>
        </w:rPr>
        <w:t xml:space="preserve"> 8</w:t>
      </w:r>
      <w:r>
        <w:rPr>
          <w:rFonts w:cs="Arial"/>
          <w:color w:val="262626"/>
          <w:sz w:val="16"/>
          <w:szCs w:val="16"/>
        </w:rPr>
        <w:t>)</w:t>
      </w:r>
      <w:r w:rsidRPr="00CB4F47">
        <w:rPr>
          <w:rFonts w:cs="Arial"/>
          <w:color w:val="262626"/>
          <w:sz w:val="16"/>
          <w:szCs w:val="16"/>
        </w:rPr>
        <w:t>.</w:t>
      </w:r>
    </w:p>
  </w:endnote>
  <w:endnote w:id="165">
    <w:p w14:paraId="6679FC20" w14:textId="17FF285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McCreanor, T, Rankine J, Moewaka Barnes, A, Borell, B, Nairn, R &amp; McManus A-L, “The association of crime stories and Māori in Aotearoa New Zealand print media</w:t>
      </w:r>
      <w:r>
        <w:rPr>
          <w:rFonts w:cs="Arial"/>
          <w:sz w:val="16"/>
          <w:szCs w:val="16"/>
        </w:rPr>
        <w:t>,</w:t>
      </w:r>
      <w:r w:rsidRPr="00CB4F47">
        <w:rPr>
          <w:rFonts w:cs="Arial"/>
          <w:sz w:val="16"/>
          <w:szCs w:val="16"/>
        </w:rPr>
        <w:t xml:space="preserve">” Sites: New Series 11(1) </w:t>
      </w:r>
      <w:r w:rsidRPr="00CB4F47">
        <w:rPr>
          <w:rFonts w:cs="Arial"/>
          <w:color w:val="000000"/>
          <w:sz w:val="16"/>
          <w:szCs w:val="16"/>
        </w:rPr>
        <w:t>(</w:t>
      </w:r>
      <w:r w:rsidRPr="00CB4F47">
        <w:rPr>
          <w:rFonts w:cs="Arial"/>
          <w:sz w:val="16"/>
          <w:szCs w:val="16"/>
        </w:rPr>
        <w:t>2014</w:t>
      </w:r>
      <w:r w:rsidRPr="00CB4F47">
        <w:rPr>
          <w:rFonts w:cs="Arial"/>
          <w:color w:val="000000"/>
          <w:sz w:val="16"/>
          <w:szCs w:val="16"/>
        </w:rPr>
        <w:t>,</w:t>
      </w:r>
      <w:r w:rsidRPr="00CB4F47">
        <w:rPr>
          <w:rFonts w:cs="Arial"/>
          <w:sz w:val="16"/>
          <w:szCs w:val="16"/>
        </w:rPr>
        <w:t xml:space="preserve"> pages 121–144, page 123</w:t>
      </w:r>
      <w:r>
        <w:rPr>
          <w:rFonts w:cs="Arial"/>
          <w:sz w:val="16"/>
          <w:szCs w:val="16"/>
        </w:rPr>
        <w:t>)</w:t>
      </w:r>
      <w:r w:rsidRPr="00CB4F47">
        <w:rPr>
          <w:rFonts w:cs="Arial"/>
          <w:sz w:val="16"/>
          <w:szCs w:val="16"/>
        </w:rPr>
        <w:t>.</w:t>
      </w:r>
    </w:p>
  </w:endnote>
  <w:endnote w:id="166">
    <w:p w14:paraId="70CA5294" w14:textId="32BC17C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“Health of Maori children: Shorter expectation of life</w:t>
      </w:r>
      <w:r>
        <w:rPr>
          <w:rFonts w:cs="Arial"/>
          <w:sz w:val="16"/>
          <w:szCs w:val="16"/>
        </w:rPr>
        <w:t>,</w:t>
      </w:r>
      <w:r w:rsidRPr="00CB4F47">
        <w:rPr>
          <w:rFonts w:cs="Arial"/>
          <w:sz w:val="16"/>
          <w:szCs w:val="16"/>
        </w:rPr>
        <w:t>” The Press</w:t>
      </w:r>
      <w:r w:rsidRPr="00CB4F47" w:rsidDel="00262BF6">
        <w:rPr>
          <w:rFonts w:cs="Arial"/>
          <w:sz w:val="16"/>
          <w:szCs w:val="16"/>
        </w:rPr>
        <w:t xml:space="preserve"> </w:t>
      </w:r>
      <w:r w:rsidRPr="00CB4F47">
        <w:rPr>
          <w:rFonts w:cs="Arial"/>
          <w:sz w:val="16"/>
          <w:szCs w:val="16"/>
        </w:rPr>
        <w:t>(5 April 1952, page 2</w:t>
      </w:r>
      <w:r>
        <w:rPr>
          <w:rFonts w:cs="Arial"/>
          <w:sz w:val="16"/>
          <w:szCs w:val="16"/>
        </w:rPr>
        <w:t>)</w:t>
      </w:r>
      <w:r w:rsidRPr="00CB4F47">
        <w:rPr>
          <w:rFonts w:cs="Arial"/>
          <w:sz w:val="16"/>
          <w:szCs w:val="16"/>
        </w:rPr>
        <w:t>.</w:t>
      </w:r>
    </w:p>
  </w:endnote>
  <w:endnote w:id="167">
    <w:p w14:paraId="4B7611FB" w14:textId="74E91CA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McCreanor, T, Rankine J, Moewaka Barnes, A, Borell, B, Nairn, R &amp; McManus A-L, “The association of crime stories and Māori in Aotearoa New Zealand print media</w:t>
      </w:r>
      <w:r>
        <w:rPr>
          <w:rFonts w:cs="Arial"/>
          <w:sz w:val="16"/>
          <w:szCs w:val="16"/>
        </w:rPr>
        <w:t>,</w:t>
      </w:r>
      <w:r w:rsidRPr="00CB4F47">
        <w:rPr>
          <w:rFonts w:cs="Arial"/>
          <w:sz w:val="16"/>
          <w:szCs w:val="16"/>
        </w:rPr>
        <w:t xml:space="preserve">” Sites: New Series 11(1) </w:t>
      </w:r>
      <w:r w:rsidRPr="00CB4F47">
        <w:rPr>
          <w:rFonts w:cs="Arial"/>
          <w:color w:val="000000"/>
          <w:sz w:val="16"/>
          <w:szCs w:val="16"/>
        </w:rPr>
        <w:t>(</w:t>
      </w:r>
      <w:r w:rsidRPr="00CB4F47">
        <w:rPr>
          <w:rFonts w:cs="Arial"/>
          <w:sz w:val="16"/>
          <w:szCs w:val="16"/>
        </w:rPr>
        <w:t>2014</w:t>
      </w:r>
      <w:r w:rsidRPr="00CB4F47">
        <w:rPr>
          <w:rFonts w:cs="Arial"/>
          <w:color w:val="000000"/>
          <w:sz w:val="16"/>
          <w:szCs w:val="16"/>
        </w:rPr>
        <w:t>,</w:t>
      </w:r>
      <w:r w:rsidRPr="00CB4F47">
        <w:rPr>
          <w:rFonts w:cs="Arial"/>
          <w:sz w:val="16"/>
          <w:szCs w:val="16"/>
        </w:rPr>
        <w:t xml:space="preserve"> pages 121–144</w:t>
      </w:r>
      <w:r w:rsidRPr="00CB4F47">
        <w:rPr>
          <w:rFonts w:cs="Arial"/>
          <w:color w:val="000000"/>
          <w:sz w:val="16"/>
          <w:szCs w:val="16"/>
        </w:rPr>
        <w:t xml:space="preserve">, </w:t>
      </w:r>
      <w:r w:rsidRPr="00CB4F47">
        <w:rPr>
          <w:rFonts w:cs="Arial"/>
          <w:sz w:val="16"/>
          <w:szCs w:val="16"/>
        </w:rPr>
        <w:t>page 125</w:t>
      </w:r>
      <w:r>
        <w:rPr>
          <w:rFonts w:cs="Arial"/>
          <w:sz w:val="16"/>
          <w:szCs w:val="16"/>
        </w:rPr>
        <w:t>)</w:t>
      </w:r>
      <w:r w:rsidRPr="00CB4F47">
        <w:rPr>
          <w:rFonts w:cs="Arial"/>
          <w:sz w:val="16"/>
          <w:szCs w:val="16"/>
        </w:rPr>
        <w:t>.</w:t>
      </w:r>
    </w:p>
  </w:endnote>
  <w:endnote w:id="168">
    <w:p w14:paraId="0B9CA48D" w14:textId="021284F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Rankine, J, Nairn, R, Moewaka Barnes,A, Gregory, M, Kaiwai, H, Borell, B &amp; McCreanor, T, Media &amp; Te Tiriti o Waitangi 2007 (Tamaki Makaurau/Auckland: Kupu Taea: Media and Te Tiriti Project, 2008, page 10</w:t>
      </w:r>
      <w:r>
        <w:rPr>
          <w:rFonts w:cs="Arial"/>
          <w:sz w:val="16"/>
          <w:szCs w:val="16"/>
        </w:rPr>
        <w:t>)</w:t>
      </w:r>
      <w:r w:rsidRPr="00CB4F47">
        <w:rPr>
          <w:rFonts w:cs="Arial"/>
          <w:sz w:val="16"/>
          <w:szCs w:val="16"/>
        </w:rPr>
        <w:t xml:space="preserve">. </w:t>
      </w:r>
    </w:p>
  </w:endnote>
  <w:endnote w:id="169">
    <w:p w14:paraId="6DC6B1D7" w14:textId="45D775B9" w:rsidR="00FE4E56" w:rsidRDefault="00FE4E56">
      <w:pPr>
        <w:pStyle w:val="EndnoteText"/>
      </w:pPr>
      <w:r>
        <w:rPr>
          <w:rStyle w:val="EndnoteReference"/>
        </w:rPr>
        <w:endnoteRef/>
      </w:r>
      <w:r>
        <w:t xml:space="preserve"> </w:t>
      </w:r>
      <w:r w:rsidRPr="001142DD">
        <w:rPr>
          <w:sz w:val="16"/>
          <w:szCs w:val="18"/>
        </w:rPr>
        <w:t>Hokowhitu, B, Tack</w:t>
      </w:r>
      <w:r>
        <w:rPr>
          <w:sz w:val="16"/>
          <w:szCs w:val="18"/>
        </w:rPr>
        <w:t>l</w:t>
      </w:r>
      <w:r w:rsidRPr="001142DD">
        <w:rPr>
          <w:sz w:val="16"/>
          <w:szCs w:val="18"/>
        </w:rPr>
        <w:t>ing M</w:t>
      </w:r>
      <w:r>
        <w:rPr>
          <w:sz w:val="16"/>
          <w:szCs w:val="18"/>
        </w:rPr>
        <w:t>ā</w:t>
      </w:r>
      <w:r w:rsidRPr="001142DD">
        <w:rPr>
          <w:sz w:val="16"/>
          <w:szCs w:val="18"/>
        </w:rPr>
        <w:t xml:space="preserve">ori </w:t>
      </w:r>
      <w:r>
        <w:rPr>
          <w:sz w:val="16"/>
          <w:szCs w:val="18"/>
        </w:rPr>
        <w:t>M</w:t>
      </w:r>
      <w:r w:rsidRPr="001142DD">
        <w:rPr>
          <w:sz w:val="16"/>
          <w:szCs w:val="18"/>
        </w:rPr>
        <w:t xml:space="preserve">asculinity: </w:t>
      </w:r>
      <w:r>
        <w:rPr>
          <w:sz w:val="16"/>
          <w:szCs w:val="18"/>
        </w:rPr>
        <w:t>A</w:t>
      </w:r>
      <w:r w:rsidRPr="001142DD">
        <w:rPr>
          <w:sz w:val="16"/>
          <w:szCs w:val="18"/>
        </w:rPr>
        <w:t xml:space="preserve"> </w:t>
      </w:r>
      <w:r>
        <w:rPr>
          <w:sz w:val="16"/>
          <w:szCs w:val="18"/>
        </w:rPr>
        <w:t>C</w:t>
      </w:r>
      <w:r w:rsidRPr="001142DD">
        <w:rPr>
          <w:sz w:val="16"/>
          <w:szCs w:val="18"/>
        </w:rPr>
        <w:t xml:space="preserve">olonial </w:t>
      </w:r>
      <w:r>
        <w:rPr>
          <w:sz w:val="16"/>
          <w:szCs w:val="18"/>
        </w:rPr>
        <w:t>G</w:t>
      </w:r>
      <w:r w:rsidRPr="001142DD">
        <w:rPr>
          <w:sz w:val="16"/>
          <w:szCs w:val="18"/>
        </w:rPr>
        <w:t xml:space="preserve">enealogy of </w:t>
      </w:r>
      <w:r>
        <w:rPr>
          <w:sz w:val="16"/>
          <w:szCs w:val="18"/>
        </w:rPr>
        <w:t>Savager</w:t>
      </w:r>
      <w:r w:rsidRPr="001142DD">
        <w:rPr>
          <w:sz w:val="16"/>
          <w:szCs w:val="18"/>
        </w:rPr>
        <w:t xml:space="preserve">y and </w:t>
      </w:r>
      <w:r>
        <w:rPr>
          <w:sz w:val="16"/>
          <w:szCs w:val="18"/>
        </w:rPr>
        <w:t>S</w:t>
      </w:r>
      <w:r w:rsidRPr="001142DD">
        <w:rPr>
          <w:sz w:val="16"/>
          <w:szCs w:val="18"/>
        </w:rPr>
        <w:t>port, The Contemporary Pacific</w:t>
      </w:r>
      <w:r>
        <w:rPr>
          <w:sz w:val="16"/>
          <w:szCs w:val="18"/>
        </w:rPr>
        <w:t>, Volume 4:2</w:t>
      </w:r>
      <w:r w:rsidRPr="001142DD">
        <w:rPr>
          <w:sz w:val="16"/>
          <w:szCs w:val="18"/>
        </w:rPr>
        <w:t xml:space="preserve"> (2004, pages 264–265). </w:t>
      </w:r>
    </w:p>
  </w:endnote>
  <w:endnote w:id="170">
    <w:p w14:paraId="7B92306F" w14:textId="4C92DD8C" w:rsidR="00FE4E56" w:rsidRPr="00CB4F47" w:rsidRDefault="00FE4E56">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Beddoe, L, Feral families, troubled families: The spectre of the underclass in New Zealand, New Zealand Sociology</w:t>
      </w:r>
      <w:r>
        <w:rPr>
          <w:rFonts w:cs="Arial"/>
          <w:sz w:val="16"/>
          <w:szCs w:val="16"/>
        </w:rPr>
        <w:t>,</w:t>
      </w:r>
      <w:r w:rsidRPr="00CB4F47">
        <w:rPr>
          <w:rFonts w:cs="Arial"/>
          <w:sz w:val="16"/>
          <w:szCs w:val="16"/>
        </w:rPr>
        <w:t xml:space="preserve"> Volume 29</w:t>
      </w:r>
      <w:r>
        <w:rPr>
          <w:rFonts w:cs="Arial"/>
          <w:sz w:val="16"/>
          <w:szCs w:val="16"/>
        </w:rPr>
        <w:t>,</w:t>
      </w:r>
      <w:r w:rsidRPr="00CB4F47">
        <w:rPr>
          <w:rFonts w:cs="Arial"/>
          <w:sz w:val="16"/>
          <w:szCs w:val="16"/>
        </w:rPr>
        <w:t xml:space="preserve"> Issue 3</w:t>
      </w:r>
      <w:r>
        <w:rPr>
          <w:rFonts w:cs="Arial"/>
          <w:sz w:val="16"/>
          <w:szCs w:val="16"/>
        </w:rPr>
        <w:t xml:space="preserve"> (</w:t>
      </w:r>
      <w:r w:rsidRPr="00CB4F47">
        <w:rPr>
          <w:rFonts w:cs="Arial"/>
          <w:sz w:val="16"/>
          <w:szCs w:val="16"/>
        </w:rPr>
        <w:t>2014, page 53</w:t>
      </w:r>
      <w:r>
        <w:rPr>
          <w:rFonts w:cs="Arial"/>
          <w:sz w:val="16"/>
          <w:szCs w:val="16"/>
        </w:rPr>
        <w:t>)</w:t>
      </w:r>
      <w:r w:rsidRPr="00CB4F47">
        <w:rPr>
          <w:rFonts w:asciiTheme="minorHAnsi" w:hAnsiTheme="minorHAnsi"/>
          <w:sz w:val="16"/>
          <w:szCs w:val="16"/>
        </w:rPr>
        <w:t>.</w:t>
      </w:r>
    </w:p>
  </w:endnote>
  <w:endnote w:id="171">
    <w:p w14:paraId="1B50A8D2" w14:textId="14D4C60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Goodger, K</w:t>
      </w:r>
      <w:r>
        <w:rPr>
          <w:rFonts w:cs="Arial"/>
          <w:sz w:val="16"/>
          <w:szCs w:val="16"/>
        </w:rPr>
        <w:t>,</w:t>
      </w:r>
      <w:r w:rsidRPr="00CB4F47">
        <w:rPr>
          <w:rFonts w:cs="Arial"/>
          <w:sz w:val="16"/>
          <w:szCs w:val="16"/>
        </w:rPr>
        <w:t xml:space="preserve"> “Maintaining sole parent families in New Zealand: An historical review</w:t>
      </w:r>
      <w:r>
        <w:rPr>
          <w:rFonts w:cs="Arial"/>
          <w:sz w:val="16"/>
          <w:szCs w:val="16"/>
        </w:rPr>
        <w:t>,</w:t>
      </w:r>
      <w:r w:rsidRPr="00CB4F47">
        <w:rPr>
          <w:rFonts w:cs="Arial"/>
          <w:sz w:val="16"/>
          <w:szCs w:val="16"/>
        </w:rPr>
        <w:t>” Social Policy Journal of New Zealand, Issue 10 (June 1988</w:t>
      </w:r>
      <w:r w:rsidRPr="00CB4F47">
        <w:rPr>
          <w:rFonts w:cs="Arial"/>
          <w:color w:val="000000"/>
          <w:sz w:val="16"/>
          <w:szCs w:val="16"/>
          <w:shd w:val="clear" w:color="auto" w:fill="FFFFFF"/>
        </w:rPr>
        <w:t xml:space="preserve">, </w:t>
      </w:r>
      <w:r w:rsidRPr="00CB4F47">
        <w:rPr>
          <w:rFonts w:cs="Arial"/>
          <w:sz w:val="16"/>
          <w:szCs w:val="16"/>
        </w:rPr>
        <w:t>page 15</w:t>
      </w:r>
      <w:r>
        <w:rPr>
          <w:rFonts w:cs="Arial"/>
          <w:sz w:val="16"/>
          <w:szCs w:val="16"/>
        </w:rPr>
        <w:t>)</w:t>
      </w:r>
      <w:r w:rsidRPr="00CB4F47">
        <w:rPr>
          <w:rFonts w:cs="Arial"/>
          <w:sz w:val="16"/>
          <w:szCs w:val="16"/>
        </w:rPr>
        <w:t>.</w:t>
      </w:r>
    </w:p>
  </w:endnote>
  <w:endnote w:id="172">
    <w:p w14:paraId="00695124" w14:textId="421D40C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Goodger, K, “Maintaining sole parent families in New Zealand: An historical review</w:t>
      </w:r>
      <w:r>
        <w:rPr>
          <w:rFonts w:cs="Arial"/>
          <w:sz w:val="16"/>
          <w:szCs w:val="16"/>
        </w:rPr>
        <w:t>,</w:t>
      </w:r>
      <w:r w:rsidRPr="00CB4F47">
        <w:rPr>
          <w:rFonts w:cs="Arial"/>
          <w:sz w:val="16"/>
          <w:szCs w:val="16"/>
        </w:rPr>
        <w:t xml:space="preserve">” Social Policy Journal of New Zealand, Issue 10 </w:t>
      </w:r>
      <w:r w:rsidRPr="00CB4F47">
        <w:rPr>
          <w:rFonts w:cs="Arial"/>
          <w:color w:val="000000"/>
          <w:sz w:val="16"/>
          <w:szCs w:val="16"/>
          <w:shd w:val="clear" w:color="auto" w:fill="FFFFFF"/>
        </w:rPr>
        <w:t>(</w:t>
      </w:r>
      <w:r w:rsidRPr="00CB4F47">
        <w:rPr>
          <w:rFonts w:cs="Arial"/>
          <w:sz w:val="16"/>
          <w:szCs w:val="16"/>
        </w:rPr>
        <w:t>June 1988</w:t>
      </w:r>
      <w:r w:rsidRPr="00CB4F47">
        <w:rPr>
          <w:rFonts w:cs="Arial"/>
          <w:color w:val="000000"/>
          <w:sz w:val="16"/>
          <w:szCs w:val="16"/>
          <w:shd w:val="clear" w:color="auto" w:fill="FFFFFF"/>
        </w:rPr>
        <w:t xml:space="preserve">, </w:t>
      </w:r>
      <w:r w:rsidRPr="00CB4F47">
        <w:rPr>
          <w:rFonts w:cs="Arial"/>
          <w:sz w:val="16"/>
          <w:szCs w:val="16"/>
        </w:rPr>
        <w:t>pages 15–16</w:t>
      </w:r>
      <w:r>
        <w:rPr>
          <w:rFonts w:cs="Arial"/>
          <w:sz w:val="16"/>
          <w:szCs w:val="16"/>
        </w:rPr>
        <w:t>)</w:t>
      </w:r>
      <w:r w:rsidRPr="00CB4F47">
        <w:rPr>
          <w:rFonts w:cs="Arial"/>
          <w:sz w:val="16"/>
          <w:szCs w:val="16"/>
        </w:rPr>
        <w:t>.</w:t>
      </w:r>
    </w:p>
  </w:endnote>
  <w:endnote w:id="173">
    <w:p w14:paraId="635A852D" w14:textId="028636E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Brown, K, “Pregnant teenagers</w:t>
      </w:r>
      <w:r>
        <w:rPr>
          <w:rFonts w:cs="Arial"/>
          <w:sz w:val="16"/>
          <w:szCs w:val="16"/>
        </w:rPr>
        <w:t>,</w:t>
      </w:r>
      <w:r w:rsidRPr="00CB4F47">
        <w:rPr>
          <w:rFonts w:cs="Arial"/>
          <w:sz w:val="16"/>
          <w:szCs w:val="16"/>
        </w:rPr>
        <w:t>” The Press (18 December 1981, page 12</w:t>
      </w:r>
      <w:r w:rsidRPr="00CB4F47" w:rsidDel="00046BBC">
        <w:rPr>
          <w:rFonts w:cs="Arial"/>
          <w:sz w:val="16"/>
          <w:szCs w:val="16"/>
        </w:rPr>
        <w:t>)</w:t>
      </w:r>
      <w:r w:rsidRPr="00CB4F47">
        <w:rPr>
          <w:rFonts w:cs="Arial"/>
          <w:sz w:val="16"/>
          <w:szCs w:val="16"/>
        </w:rPr>
        <w:t>; “Effects of the DPB</w:t>
      </w:r>
      <w:r>
        <w:rPr>
          <w:rFonts w:cs="Arial"/>
          <w:sz w:val="16"/>
          <w:szCs w:val="16"/>
        </w:rPr>
        <w:t>,</w:t>
      </w:r>
      <w:r w:rsidRPr="00CB4F47">
        <w:rPr>
          <w:rFonts w:cs="Arial"/>
          <w:sz w:val="16"/>
          <w:szCs w:val="16"/>
        </w:rPr>
        <w:t>” The Press (15 December 1984,</w:t>
      </w:r>
      <w:r>
        <w:rPr>
          <w:rFonts w:cs="Arial"/>
          <w:sz w:val="16"/>
          <w:szCs w:val="16"/>
        </w:rPr>
        <w:t xml:space="preserve"> </w:t>
      </w:r>
      <w:r w:rsidRPr="00CB4F47">
        <w:rPr>
          <w:rFonts w:cs="Arial"/>
          <w:sz w:val="16"/>
          <w:szCs w:val="16"/>
        </w:rPr>
        <w:t>page 18</w:t>
      </w:r>
      <w:r w:rsidRPr="00CB4F47" w:rsidDel="008070A9">
        <w:rPr>
          <w:rFonts w:cs="Arial"/>
          <w:sz w:val="16"/>
          <w:szCs w:val="16"/>
        </w:rPr>
        <w:t>)</w:t>
      </w:r>
      <w:r w:rsidRPr="00CB4F47">
        <w:rPr>
          <w:rFonts w:cs="Arial"/>
          <w:sz w:val="16"/>
          <w:szCs w:val="16"/>
        </w:rPr>
        <w:t>; “Benefit cost deplored</w:t>
      </w:r>
      <w:r>
        <w:rPr>
          <w:rFonts w:cs="Arial"/>
          <w:sz w:val="16"/>
          <w:szCs w:val="16"/>
        </w:rPr>
        <w:t>,</w:t>
      </w:r>
      <w:r w:rsidRPr="00CB4F47">
        <w:rPr>
          <w:rFonts w:cs="Arial"/>
          <w:sz w:val="16"/>
          <w:szCs w:val="16"/>
        </w:rPr>
        <w:t>” The Press (23 May 1977, page 2</w:t>
      </w:r>
      <w:r w:rsidRPr="00CB4F47" w:rsidDel="008070A9">
        <w:rPr>
          <w:rFonts w:cs="Arial"/>
          <w:sz w:val="16"/>
          <w:szCs w:val="16"/>
        </w:rPr>
        <w:t>)</w:t>
      </w:r>
      <w:r w:rsidRPr="00CB4F47">
        <w:rPr>
          <w:rFonts w:cs="Arial"/>
          <w:sz w:val="16"/>
          <w:szCs w:val="16"/>
        </w:rPr>
        <w:t xml:space="preserve">; “Spending </w:t>
      </w:r>
      <w:r>
        <w:rPr>
          <w:rFonts w:cs="Arial"/>
          <w:sz w:val="16"/>
          <w:szCs w:val="16"/>
        </w:rPr>
        <w:t>‘</w:t>
      </w:r>
      <w:r w:rsidRPr="00CB4F47">
        <w:rPr>
          <w:rFonts w:cs="Arial"/>
          <w:sz w:val="16"/>
          <w:szCs w:val="16"/>
        </w:rPr>
        <w:t>must be pared</w:t>
      </w:r>
      <w:r>
        <w:rPr>
          <w:rFonts w:cs="Arial"/>
          <w:sz w:val="16"/>
          <w:szCs w:val="16"/>
        </w:rPr>
        <w:t>’,</w:t>
      </w:r>
      <w:r w:rsidRPr="00CB4F47">
        <w:rPr>
          <w:rFonts w:cs="Arial"/>
          <w:sz w:val="16"/>
          <w:szCs w:val="16"/>
        </w:rPr>
        <w:t>” The Press (</w:t>
      </w:r>
      <w:r>
        <w:rPr>
          <w:rFonts w:cs="Arial"/>
          <w:sz w:val="16"/>
          <w:szCs w:val="16"/>
        </w:rPr>
        <w:t>8</w:t>
      </w:r>
      <w:r w:rsidRPr="00CB4F47">
        <w:rPr>
          <w:rFonts w:cs="Arial"/>
          <w:sz w:val="16"/>
          <w:szCs w:val="16"/>
        </w:rPr>
        <w:t xml:space="preserve"> May 19</w:t>
      </w:r>
      <w:r>
        <w:rPr>
          <w:rFonts w:cs="Arial"/>
          <w:sz w:val="16"/>
          <w:szCs w:val="16"/>
        </w:rPr>
        <w:t>89</w:t>
      </w:r>
      <w:r w:rsidRPr="00CB4F47">
        <w:rPr>
          <w:rFonts w:cs="Arial"/>
          <w:sz w:val="16"/>
          <w:szCs w:val="16"/>
        </w:rPr>
        <w:t xml:space="preserve">, page </w:t>
      </w:r>
      <w:r>
        <w:rPr>
          <w:rFonts w:cs="Arial"/>
          <w:sz w:val="16"/>
          <w:szCs w:val="16"/>
        </w:rPr>
        <w:t>3)</w:t>
      </w:r>
      <w:r w:rsidRPr="00CB4F47">
        <w:rPr>
          <w:rFonts w:cs="Arial"/>
          <w:sz w:val="16"/>
          <w:szCs w:val="16"/>
        </w:rPr>
        <w:t>.</w:t>
      </w:r>
    </w:p>
  </w:endnote>
  <w:endnote w:id="174">
    <w:p w14:paraId="22B40AE8" w14:textId="2DFC6FE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Swain, D, “Children, families, law and social policy in Aotearoa New Zealand</w:t>
      </w:r>
      <w:r>
        <w:rPr>
          <w:rFonts w:cs="Arial"/>
          <w:sz w:val="16"/>
          <w:szCs w:val="16"/>
        </w:rPr>
        <w:t>,</w:t>
      </w:r>
      <w:r w:rsidRPr="00CB4F47">
        <w:rPr>
          <w:rFonts w:cs="Arial"/>
          <w:sz w:val="16"/>
          <w:szCs w:val="16"/>
        </w:rPr>
        <w:t>” Journal of Comparative Family Studies, 18(2) (1987,</w:t>
      </w:r>
      <w:r w:rsidRPr="00CB4F47">
        <w:rPr>
          <w:rFonts w:cs="Arial"/>
          <w:color w:val="000000"/>
          <w:sz w:val="16"/>
          <w:szCs w:val="16"/>
          <w:shd w:val="clear" w:color="auto" w:fill="FFFFFF"/>
        </w:rPr>
        <w:t xml:space="preserve"> </w:t>
      </w:r>
      <w:r w:rsidRPr="00CB4F47">
        <w:rPr>
          <w:rFonts w:cs="Arial"/>
          <w:sz w:val="16"/>
          <w:szCs w:val="16"/>
        </w:rPr>
        <w:t>pages 175–206, page 195</w:t>
      </w:r>
      <w:r w:rsidRPr="00CB4F47" w:rsidDel="008616F2">
        <w:rPr>
          <w:rFonts w:cs="Arial"/>
          <w:sz w:val="16"/>
          <w:szCs w:val="16"/>
        </w:rPr>
        <w:t>)</w:t>
      </w:r>
      <w:r w:rsidRPr="00CB4F47">
        <w:rPr>
          <w:rFonts w:cs="Arial"/>
          <w:sz w:val="16"/>
          <w:szCs w:val="16"/>
        </w:rPr>
        <w:t>; Saville-Smith, K, “Women and the state</w:t>
      </w:r>
      <w:r>
        <w:rPr>
          <w:rFonts w:cs="Arial"/>
          <w:sz w:val="16"/>
          <w:szCs w:val="16"/>
        </w:rPr>
        <w:t>,</w:t>
      </w:r>
      <w:r w:rsidRPr="00CB4F47">
        <w:rPr>
          <w:rFonts w:cs="Arial"/>
          <w:sz w:val="16"/>
          <w:szCs w:val="16"/>
        </w:rPr>
        <w:t>” in Cox, S (ed)</w:t>
      </w:r>
      <w:r>
        <w:rPr>
          <w:rFonts w:cs="Arial"/>
          <w:sz w:val="16"/>
          <w:szCs w:val="16"/>
        </w:rPr>
        <w:t>,</w:t>
      </w:r>
      <w:r w:rsidRPr="00CB4F47">
        <w:rPr>
          <w:rFonts w:cs="Arial"/>
          <w:sz w:val="16"/>
          <w:szCs w:val="16"/>
        </w:rPr>
        <w:t xml:space="preserve"> Public and private worlds: Women in contemporary New Zealand (Allen and Unwin, 1987, page 206</w:t>
      </w:r>
      <w:r w:rsidRPr="00CB4F47" w:rsidDel="008616F2">
        <w:rPr>
          <w:rFonts w:cs="Arial"/>
          <w:sz w:val="16"/>
          <w:szCs w:val="16"/>
        </w:rPr>
        <w:t>)</w:t>
      </w:r>
      <w:r w:rsidRPr="00CB4F47">
        <w:rPr>
          <w:rFonts w:cs="Arial"/>
          <w:sz w:val="16"/>
          <w:szCs w:val="16"/>
        </w:rPr>
        <w:t>; “Minister defends counselling</w:t>
      </w:r>
      <w:r>
        <w:rPr>
          <w:rFonts w:cs="Arial"/>
          <w:sz w:val="16"/>
          <w:szCs w:val="16"/>
        </w:rPr>
        <w:t>,</w:t>
      </w:r>
      <w:r w:rsidRPr="00CB4F47">
        <w:rPr>
          <w:rFonts w:cs="Arial"/>
          <w:sz w:val="16"/>
          <w:szCs w:val="16"/>
        </w:rPr>
        <w:t>” The Press, (15 July 1977, page 4</w:t>
      </w:r>
      <w:r>
        <w:rPr>
          <w:rFonts w:cs="Arial"/>
          <w:sz w:val="16"/>
          <w:szCs w:val="16"/>
        </w:rPr>
        <w:t>)</w:t>
      </w:r>
      <w:r w:rsidRPr="00CB4F47">
        <w:rPr>
          <w:rFonts w:cs="Arial"/>
          <w:sz w:val="16"/>
          <w:szCs w:val="16"/>
        </w:rPr>
        <w:t>; “Mr Walker promises to prevent abuses</w:t>
      </w:r>
      <w:r>
        <w:rPr>
          <w:rFonts w:cs="Arial"/>
          <w:sz w:val="16"/>
          <w:szCs w:val="16"/>
        </w:rPr>
        <w:t>,</w:t>
      </w:r>
      <w:r w:rsidRPr="00CB4F47">
        <w:rPr>
          <w:rFonts w:cs="Arial"/>
          <w:sz w:val="16"/>
          <w:szCs w:val="16"/>
        </w:rPr>
        <w:t>” The Press (24 March 1977, page 4</w:t>
      </w:r>
      <w:r>
        <w:rPr>
          <w:rFonts w:cs="Arial"/>
          <w:sz w:val="16"/>
          <w:szCs w:val="16"/>
        </w:rPr>
        <w:t>)</w:t>
      </w:r>
      <w:r w:rsidRPr="00CB4F47">
        <w:rPr>
          <w:rFonts w:cs="Arial"/>
          <w:sz w:val="16"/>
          <w:szCs w:val="16"/>
        </w:rPr>
        <w:t>.</w:t>
      </w:r>
    </w:p>
  </w:endnote>
  <w:endnote w:id="175">
    <w:p w14:paraId="70133C4C" w14:textId="7F40FE5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“Mr Walker promises to prevent abuses</w:t>
      </w:r>
      <w:r>
        <w:rPr>
          <w:rFonts w:cs="Arial"/>
          <w:sz w:val="16"/>
          <w:szCs w:val="16"/>
        </w:rPr>
        <w:t>,</w:t>
      </w:r>
      <w:r w:rsidRPr="00CB4F47">
        <w:rPr>
          <w:rFonts w:cs="Arial"/>
          <w:sz w:val="16"/>
          <w:szCs w:val="16"/>
        </w:rPr>
        <w:t>” The Press (24 March 1977, page 4</w:t>
      </w:r>
      <w:r>
        <w:rPr>
          <w:rFonts w:cs="Arial"/>
          <w:sz w:val="16"/>
          <w:szCs w:val="16"/>
        </w:rPr>
        <w:t>)</w:t>
      </w:r>
      <w:r w:rsidRPr="00CB4F47">
        <w:rPr>
          <w:rFonts w:cs="Arial"/>
          <w:sz w:val="16"/>
          <w:szCs w:val="16"/>
        </w:rPr>
        <w:t>; “Illegal benefit admissions</w:t>
      </w:r>
      <w:r>
        <w:rPr>
          <w:rFonts w:cs="Arial"/>
          <w:sz w:val="16"/>
          <w:szCs w:val="16"/>
        </w:rPr>
        <w:t>,</w:t>
      </w:r>
      <w:r w:rsidRPr="00CB4F47">
        <w:rPr>
          <w:rFonts w:cs="Arial"/>
          <w:sz w:val="16"/>
          <w:szCs w:val="16"/>
        </w:rPr>
        <w:t>” The Press</w:t>
      </w:r>
      <w:r w:rsidRPr="00CB4F47" w:rsidDel="001B14B6">
        <w:rPr>
          <w:rFonts w:cs="Arial"/>
          <w:sz w:val="16"/>
          <w:szCs w:val="16"/>
        </w:rPr>
        <w:t xml:space="preserve"> </w:t>
      </w:r>
      <w:r w:rsidRPr="00CB4F47">
        <w:rPr>
          <w:rFonts w:cs="Arial"/>
          <w:sz w:val="16"/>
          <w:szCs w:val="16"/>
        </w:rPr>
        <w:t>(27 March 1976, page 2</w:t>
      </w:r>
      <w:r>
        <w:rPr>
          <w:rFonts w:cs="Arial"/>
          <w:sz w:val="16"/>
          <w:szCs w:val="16"/>
        </w:rPr>
        <w:t>)</w:t>
      </w:r>
      <w:r w:rsidRPr="00CB4F47">
        <w:rPr>
          <w:rFonts w:cs="Arial"/>
          <w:sz w:val="16"/>
          <w:szCs w:val="16"/>
        </w:rPr>
        <w:t>; “Police will not prosecute</w:t>
      </w:r>
      <w:r>
        <w:rPr>
          <w:rFonts w:cs="Arial"/>
          <w:sz w:val="16"/>
          <w:szCs w:val="16"/>
        </w:rPr>
        <w:t>,</w:t>
      </w:r>
      <w:r w:rsidRPr="00CB4F47">
        <w:rPr>
          <w:rFonts w:cs="Arial"/>
          <w:sz w:val="16"/>
          <w:szCs w:val="16"/>
        </w:rPr>
        <w:t>” The Press (25 May 1976, page 12</w:t>
      </w:r>
      <w:r>
        <w:rPr>
          <w:rFonts w:cs="Arial"/>
          <w:sz w:val="16"/>
          <w:szCs w:val="16"/>
        </w:rPr>
        <w:t>)</w:t>
      </w:r>
      <w:r w:rsidRPr="00CB4F47">
        <w:rPr>
          <w:rFonts w:cs="Arial"/>
          <w:sz w:val="16"/>
          <w:szCs w:val="16"/>
        </w:rPr>
        <w:t>.</w:t>
      </w:r>
    </w:p>
  </w:endnote>
  <w:endnote w:id="176">
    <w:p w14:paraId="2CFD1D88" w14:textId="5ED4928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“Spending </w:t>
      </w:r>
      <w:r>
        <w:rPr>
          <w:rFonts w:cs="Arial"/>
          <w:sz w:val="16"/>
          <w:szCs w:val="16"/>
        </w:rPr>
        <w:t>‘</w:t>
      </w:r>
      <w:r w:rsidRPr="00CB4F47">
        <w:rPr>
          <w:rFonts w:cs="Arial"/>
          <w:sz w:val="16"/>
          <w:szCs w:val="16"/>
        </w:rPr>
        <w:t>must be pared</w:t>
      </w:r>
      <w:r>
        <w:rPr>
          <w:rFonts w:cs="Arial"/>
          <w:sz w:val="16"/>
          <w:szCs w:val="16"/>
        </w:rPr>
        <w:t>’,</w:t>
      </w:r>
      <w:r w:rsidRPr="00CB4F47">
        <w:rPr>
          <w:rFonts w:cs="Arial"/>
          <w:sz w:val="16"/>
          <w:szCs w:val="16"/>
        </w:rPr>
        <w:t>” The Press (</w:t>
      </w:r>
      <w:r>
        <w:rPr>
          <w:rFonts w:cs="Arial"/>
          <w:sz w:val="16"/>
          <w:szCs w:val="16"/>
        </w:rPr>
        <w:t>8</w:t>
      </w:r>
      <w:r w:rsidRPr="00CB4F47">
        <w:rPr>
          <w:rFonts w:cs="Arial"/>
          <w:sz w:val="16"/>
          <w:szCs w:val="16"/>
        </w:rPr>
        <w:t xml:space="preserve"> May 19</w:t>
      </w:r>
      <w:r>
        <w:rPr>
          <w:rFonts w:cs="Arial"/>
          <w:sz w:val="16"/>
          <w:szCs w:val="16"/>
        </w:rPr>
        <w:t>89</w:t>
      </w:r>
      <w:r w:rsidRPr="00CB4F47">
        <w:rPr>
          <w:rFonts w:cs="Arial"/>
          <w:sz w:val="16"/>
          <w:szCs w:val="16"/>
        </w:rPr>
        <w:t xml:space="preserve">, page </w:t>
      </w:r>
      <w:r>
        <w:rPr>
          <w:rFonts w:cs="Arial"/>
          <w:sz w:val="16"/>
          <w:szCs w:val="16"/>
        </w:rPr>
        <w:t>3)</w:t>
      </w:r>
      <w:r w:rsidRPr="00CB4F47">
        <w:rPr>
          <w:rFonts w:cs="Arial"/>
          <w:sz w:val="16"/>
          <w:szCs w:val="16"/>
        </w:rPr>
        <w:t>.</w:t>
      </w:r>
    </w:p>
  </w:endnote>
  <w:endnote w:id="177">
    <w:p w14:paraId="0562AFDE" w14:textId="00D80FD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“Mr Walker promises to prevent abuses</w:t>
      </w:r>
      <w:r>
        <w:rPr>
          <w:rFonts w:cs="Arial"/>
          <w:sz w:val="16"/>
          <w:szCs w:val="16"/>
        </w:rPr>
        <w:t>,</w:t>
      </w:r>
      <w:r w:rsidRPr="00CB4F47">
        <w:rPr>
          <w:rFonts w:cs="Arial"/>
          <w:sz w:val="16"/>
          <w:szCs w:val="16"/>
        </w:rPr>
        <w:t>” The Press (24 March 1977, page 4</w:t>
      </w:r>
      <w:r>
        <w:rPr>
          <w:rFonts w:cs="Arial"/>
          <w:sz w:val="16"/>
          <w:szCs w:val="16"/>
        </w:rPr>
        <w:t>)</w:t>
      </w:r>
      <w:r w:rsidRPr="00CB4F47">
        <w:rPr>
          <w:rFonts w:cs="Arial"/>
          <w:sz w:val="16"/>
          <w:szCs w:val="16"/>
        </w:rPr>
        <w:t>.</w:t>
      </w:r>
    </w:p>
  </w:endnote>
  <w:endnote w:id="178">
    <w:p w14:paraId="360199BC" w14:textId="15D2215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“Mr Walker promises to prevent abuses</w:t>
      </w:r>
      <w:r>
        <w:rPr>
          <w:rFonts w:cs="Arial"/>
          <w:sz w:val="16"/>
          <w:szCs w:val="16"/>
        </w:rPr>
        <w:t>,</w:t>
      </w:r>
      <w:r w:rsidRPr="00CB4F47">
        <w:rPr>
          <w:rFonts w:cs="Arial"/>
          <w:sz w:val="16"/>
          <w:szCs w:val="16"/>
        </w:rPr>
        <w:t>” The Press (24 March 1977, page 4</w:t>
      </w:r>
      <w:r>
        <w:rPr>
          <w:rFonts w:cs="Arial"/>
          <w:sz w:val="16"/>
          <w:szCs w:val="16"/>
        </w:rPr>
        <w:t>)</w:t>
      </w:r>
      <w:r w:rsidRPr="00CB4F47">
        <w:rPr>
          <w:rFonts w:cs="Arial"/>
          <w:sz w:val="16"/>
          <w:szCs w:val="16"/>
        </w:rPr>
        <w:t>.</w:t>
      </w:r>
    </w:p>
  </w:endnote>
  <w:endnote w:id="179">
    <w:p w14:paraId="5367F9A2" w14:textId="3B7152C0" w:rsidR="00FE4E56" w:rsidRPr="00DD5764" w:rsidRDefault="00FE4E56">
      <w:pPr>
        <w:pStyle w:val="EndnoteText"/>
        <w:rPr>
          <w:sz w:val="16"/>
          <w:szCs w:val="16"/>
        </w:rPr>
      </w:pPr>
      <w:r w:rsidRPr="00536E67">
        <w:rPr>
          <w:rStyle w:val="StyleFootnoteReferenceFagoFunotenzeichenFagoFunotenzeichen"/>
          <w:sz w:val="16"/>
          <w:szCs w:val="16"/>
        </w:rPr>
        <w:endnoteRef/>
      </w:r>
      <w:r w:rsidRPr="00DD5764">
        <w:rPr>
          <w:sz w:val="16"/>
          <w:szCs w:val="16"/>
        </w:rPr>
        <w:t xml:space="preserve"> Berenston-Shaw, </w:t>
      </w:r>
      <w:r>
        <w:rPr>
          <w:sz w:val="16"/>
          <w:szCs w:val="16"/>
        </w:rPr>
        <w:t>J</w:t>
      </w:r>
      <w:r w:rsidRPr="00DD5764">
        <w:rPr>
          <w:sz w:val="16"/>
          <w:szCs w:val="16"/>
        </w:rPr>
        <w:t>, Telling a new story about child poverty in New Zealand, report prepared for the Policy Observatory (Auckland University Press, 2018, page 5</w:t>
      </w:r>
      <w:r>
        <w:rPr>
          <w:sz w:val="16"/>
          <w:szCs w:val="16"/>
        </w:rPr>
        <w:t>)</w:t>
      </w:r>
      <w:r w:rsidRPr="00DD5764">
        <w:rPr>
          <w:sz w:val="16"/>
          <w:szCs w:val="16"/>
        </w:rPr>
        <w:t>.</w:t>
      </w:r>
    </w:p>
  </w:endnote>
  <w:endnote w:id="180">
    <w:p w14:paraId="4D4411AD" w14:textId="29B37D4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Nairn, R, Coverdale, J &amp; Claasen, D, “From source material to news story in New Zealand print media: a prospective study of the stigmatizing processes in depicting mental illness</w:t>
      </w:r>
      <w:r>
        <w:rPr>
          <w:rFonts w:cs="Arial"/>
          <w:sz w:val="16"/>
          <w:szCs w:val="16"/>
        </w:rPr>
        <w:t>,</w:t>
      </w:r>
      <w:r w:rsidRPr="00CB4F47">
        <w:rPr>
          <w:rFonts w:cs="Arial"/>
          <w:sz w:val="16"/>
          <w:szCs w:val="16"/>
        </w:rPr>
        <w:t>” Australian and New Zealand Journal of Psychiatry, 35(5), (2001, pages 654–659, page 654</w:t>
      </w:r>
      <w:r>
        <w:rPr>
          <w:rFonts w:cs="Arial"/>
          <w:sz w:val="16"/>
          <w:szCs w:val="16"/>
        </w:rPr>
        <w:t>)</w:t>
      </w:r>
      <w:r w:rsidRPr="00CB4F47">
        <w:rPr>
          <w:rFonts w:cs="Arial"/>
          <w:sz w:val="16"/>
          <w:szCs w:val="16"/>
        </w:rPr>
        <w:t>.</w:t>
      </w:r>
    </w:p>
  </w:endnote>
  <w:endnote w:id="181">
    <w:p w14:paraId="47670AC4" w14:textId="485DF74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Nairn, R, Coverdale, J &amp; Claasen, D, “From source material to news story in New Zealand print media: a prospective study of the stigmatizing processes in depicting mental illness</w:t>
      </w:r>
      <w:r>
        <w:rPr>
          <w:rFonts w:cs="Arial"/>
          <w:sz w:val="16"/>
          <w:szCs w:val="16"/>
        </w:rPr>
        <w:t>,</w:t>
      </w:r>
      <w:r w:rsidRPr="00CB4F47">
        <w:rPr>
          <w:rFonts w:cs="Arial"/>
          <w:sz w:val="16"/>
          <w:szCs w:val="16"/>
        </w:rPr>
        <w:t>” Australian and New Zealand Journal of Psychiatry, 35(5) (2001) pages 654–659, page 654</w:t>
      </w:r>
      <w:r>
        <w:rPr>
          <w:rFonts w:cs="Arial"/>
          <w:sz w:val="16"/>
          <w:szCs w:val="16"/>
        </w:rPr>
        <w:t>)</w:t>
      </w:r>
      <w:r w:rsidRPr="00CB4F47">
        <w:rPr>
          <w:rFonts w:cs="Arial"/>
          <w:sz w:val="16"/>
          <w:szCs w:val="16"/>
        </w:rPr>
        <w:t>.</w:t>
      </w:r>
    </w:p>
  </w:endnote>
  <w:endnote w:id="182">
    <w:p w14:paraId="5714D0C7" w14:textId="7AAFB31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Nairn, R, “Does the use of psychiatrists as sources of information improve media depictions of mental illness? A pilot study</w:t>
      </w:r>
      <w:r>
        <w:rPr>
          <w:rFonts w:cs="Arial"/>
          <w:sz w:val="16"/>
          <w:szCs w:val="16"/>
        </w:rPr>
        <w:t>,</w:t>
      </w:r>
      <w:r w:rsidRPr="00CB4F47">
        <w:rPr>
          <w:rFonts w:cs="Arial"/>
          <w:sz w:val="16"/>
          <w:szCs w:val="16"/>
        </w:rPr>
        <w:t>” Australian and New Zealand Journal of Psychiatry, 33(4), (1999</w:t>
      </w:r>
      <w:r w:rsidRPr="00CB4F47">
        <w:rPr>
          <w:rFonts w:cs="Arial"/>
          <w:color w:val="000000"/>
          <w:sz w:val="16"/>
          <w:szCs w:val="16"/>
        </w:rPr>
        <w:t xml:space="preserve">, </w:t>
      </w:r>
      <w:r w:rsidRPr="00CB4F47">
        <w:rPr>
          <w:rFonts w:cs="Arial"/>
          <w:sz w:val="16"/>
          <w:szCs w:val="16"/>
        </w:rPr>
        <w:t>pages 583–589, page 584).</w:t>
      </w:r>
    </w:p>
  </w:endnote>
  <w:endnote w:id="183">
    <w:p w14:paraId="549A3862" w14:textId="57E3B95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Mason, K, Report of the Ministerial Inquiry to the Minister of Health Hon Jenny Shipley – Inquiry under section 47 of the Health and Disability Services Act 1993 in respect of certain mental health services (Information Centre, Ministry of Health, 1996, page</w:t>
      </w:r>
      <w:r w:rsidRPr="00CB4F47">
        <w:rPr>
          <w:rStyle w:val="normaltextrun"/>
          <w:rFonts w:cs="Arial"/>
          <w:sz w:val="16"/>
          <w:szCs w:val="16"/>
          <w:shd w:val="clear" w:color="auto" w:fill="FFFFFF"/>
        </w:rPr>
        <w:t xml:space="preserve"> 163).</w:t>
      </w:r>
    </w:p>
  </w:endnote>
  <w:endnote w:id="184">
    <w:p w14:paraId="6C3CFC6B" w14:textId="3574E9E9" w:rsidR="00FE4E56" w:rsidRDefault="00FE4E56">
      <w:pPr>
        <w:pStyle w:val="EndnoteText"/>
      </w:pPr>
      <w:r>
        <w:rPr>
          <w:rStyle w:val="EndnoteReference"/>
        </w:rPr>
        <w:endnoteRef/>
      </w:r>
      <w:r>
        <w:t xml:space="preserve"> </w:t>
      </w:r>
      <w:r w:rsidRPr="00EF4FEC">
        <w:t>Witness statement</w:t>
      </w:r>
      <w:r>
        <w:t xml:space="preserve"> of </w:t>
      </w:r>
      <w:r w:rsidRPr="00EF4FEC">
        <w:t>Deborah Morris-Jenkins (21 June 2022).</w:t>
      </w:r>
    </w:p>
  </w:endnote>
  <w:endnote w:id="185">
    <w:p w14:paraId="1AC3BECF" w14:textId="613E5208" w:rsidR="00FE4E56" w:rsidRDefault="00FE4E56">
      <w:pPr>
        <w:pStyle w:val="EndnoteText"/>
      </w:pPr>
      <w:r>
        <w:rPr>
          <w:rStyle w:val="EndnoteReference"/>
        </w:rPr>
        <w:endnoteRef/>
      </w:r>
      <w:r>
        <w:t xml:space="preserve"> </w:t>
      </w:r>
      <w:r w:rsidRPr="00B935CD">
        <w:t>Witness statement</w:t>
      </w:r>
      <w:r>
        <w:t xml:space="preserve"> of </w:t>
      </w:r>
      <w:r w:rsidRPr="00B935CD">
        <w:t>Ms OF (21 November 2022</w:t>
      </w:r>
      <w:r>
        <w:t xml:space="preserve">). </w:t>
      </w:r>
    </w:p>
  </w:endnote>
  <w:endnote w:id="186">
    <w:p w14:paraId="4EBEF2D0" w14:textId="41F9189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Mathew, HC, The institutional care of dependent children in New Zealand (New Zealand Council for Educational Research, 1942, page 83).</w:t>
      </w:r>
    </w:p>
  </w:endnote>
  <w:endnote w:id="187">
    <w:p w14:paraId="0E75F972" w14:textId="3C47E53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Mathew, HC, The institutional care of dependent children in New Zealand (New Zealand Council for Educational Research, 1942, page 85).</w:t>
      </w:r>
    </w:p>
  </w:endnote>
  <w:endnote w:id="188">
    <w:p w14:paraId="215A5BC9" w14:textId="4177078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Gassin, T, Māori Mental Health – A report commissioned by the Waitangi Tribunal for the Health Services and Outcomes Kaupapa Inquiry (W</w:t>
      </w:r>
      <w:r>
        <w:rPr>
          <w:rFonts w:cs="Arial"/>
          <w:sz w:val="16"/>
          <w:szCs w:val="16"/>
        </w:rPr>
        <w:t>ai</w:t>
      </w:r>
      <w:r w:rsidRPr="00CB4F47">
        <w:rPr>
          <w:rFonts w:cs="Arial"/>
          <w:sz w:val="16"/>
          <w:szCs w:val="16"/>
        </w:rPr>
        <w:t xml:space="preserve"> 2575, B26), (Waitangi Tribunal, 2019, page 6).</w:t>
      </w:r>
    </w:p>
  </w:endnote>
  <w:endnote w:id="189">
    <w:p w14:paraId="227FEE3C" w14:textId="0E695FB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Gassin, T, Māori Mental Health – A report commissioned by the Waitangi Tribunal for the Health Services and Outcomes Kaupapa Inquiry (W</w:t>
      </w:r>
      <w:r>
        <w:rPr>
          <w:rFonts w:cs="Arial"/>
          <w:sz w:val="16"/>
          <w:szCs w:val="16"/>
        </w:rPr>
        <w:t>ai</w:t>
      </w:r>
      <w:r w:rsidRPr="00CB4F47">
        <w:rPr>
          <w:rFonts w:cs="Arial"/>
          <w:sz w:val="16"/>
          <w:szCs w:val="16"/>
        </w:rPr>
        <w:t xml:space="preserve"> 2575, B26), (Waitangi Tribunal, 2019, page 6).</w:t>
      </w:r>
    </w:p>
  </w:endnote>
  <w:endnote w:id="190">
    <w:p w14:paraId="20E340D3" w14:textId="7B8927B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Gassin, T, Māori Mental Health – A report commissioned by the Waitangi Tribunal for the Health Services and Outcomes Kaupapa Inquiry (W</w:t>
      </w:r>
      <w:r>
        <w:rPr>
          <w:rFonts w:cs="Arial"/>
          <w:sz w:val="16"/>
          <w:szCs w:val="16"/>
        </w:rPr>
        <w:t>ai</w:t>
      </w:r>
      <w:r w:rsidRPr="00CB4F47">
        <w:rPr>
          <w:rFonts w:cs="Arial"/>
          <w:sz w:val="16"/>
          <w:szCs w:val="16"/>
        </w:rPr>
        <w:t xml:space="preserve"> 2575, B26), (Waitangi Tribunal, 2019, page 6).</w:t>
      </w:r>
    </w:p>
  </w:endnote>
  <w:endnote w:id="191">
    <w:p w14:paraId="493AAE00" w14:textId="4C3A610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Cram, F, Te Huia, B, Te Huia, T, Williams, M &amp; Williams, N, Oranga and Māori Health Inequities 1769</w:t>
      </w:r>
      <w:r>
        <w:rPr>
          <w:rFonts w:cs="Arial"/>
          <w:sz w:val="16"/>
          <w:szCs w:val="16"/>
        </w:rPr>
        <w:t>–</w:t>
      </w:r>
      <w:r w:rsidRPr="00CB4F47">
        <w:rPr>
          <w:rFonts w:cs="Arial"/>
          <w:sz w:val="16"/>
          <w:szCs w:val="16"/>
        </w:rPr>
        <w:t xml:space="preserve">1992: A </w:t>
      </w:r>
      <w:r>
        <w:rPr>
          <w:rFonts w:cs="Arial"/>
          <w:sz w:val="16"/>
          <w:szCs w:val="16"/>
        </w:rPr>
        <w:t>r</w:t>
      </w:r>
      <w:r w:rsidRPr="00CB4F47">
        <w:rPr>
          <w:rFonts w:cs="Arial"/>
          <w:sz w:val="16"/>
          <w:szCs w:val="16"/>
        </w:rPr>
        <w:t xml:space="preserve">eport commissioned by the Ministry of Health for stage two of the Waitangi Tribunal’s Health Services and Outcomes Kaupapa Inquiry </w:t>
      </w:r>
      <w:r w:rsidRPr="00120E85">
        <w:rPr>
          <w:rFonts w:cs="Arial"/>
          <w:sz w:val="16"/>
          <w:szCs w:val="16"/>
        </w:rPr>
        <w:t>(Wai 2575, B25),</w:t>
      </w:r>
      <w:r w:rsidRPr="00120E85">
        <w:rPr>
          <w:rFonts w:cs="Arial"/>
          <w:sz w:val="16"/>
          <w:szCs w:val="16"/>
          <w:shd w:val="clear" w:color="auto" w:fill="FFFFFF"/>
        </w:rPr>
        <w:t xml:space="preserve"> </w:t>
      </w:r>
      <w:r w:rsidRPr="00CB4F47">
        <w:rPr>
          <w:rFonts w:cs="Arial"/>
          <w:sz w:val="16"/>
          <w:szCs w:val="16"/>
        </w:rPr>
        <w:t>(Waitangi Tribunal, 2019, page 31).</w:t>
      </w:r>
    </w:p>
  </w:endnote>
  <w:endnote w:id="192">
    <w:p w14:paraId="6B321D8C" w14:textId="76A950E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Lange, R, Te hauora Māori i mua – </w:t>
      </w:r>
      <w:r>
        <w:rPr>
          <w:rFonts w:cs="Arial"/>
          <w:sz w:val="16"/>
          <w:szCs w:val="16"/>
        </w:rPr>
        <w:t>H</w:t>
      </w:r>
      <w:r w:rsidRPr="00CB4F47">
        <w:rPr>
          <w:rFonts w:cs="Arial"/>
          <w:sz w:val="16"/>
          <w:szCs w:val="16"/>
        </w:rPr>
        <w:t>istory of Māori health</w:t>
      </w:r>
      <w:r>
        <w:rPr>
          <w:rFonts w:cs="Arial"/>
          <w:sz w:val="16"/>
          <w:szCs w:val="16"/>
        </w:rPr>
        <w:t>:</w:t>
      </w:r>
      <w:r w:rsidRPr="00CB4F47" w:rsidDel="00600F9F">
        <w:rPr>
          <w:rFonts w:cs="Arial"/>
          <w:sz w:val="16"/>
          <w:szCs w:val="16"/>
        </w:rPr>
        <w:t xml:space="preserve"> </w:t>
      </w:r>
      <w:r w:rsidRPr="00CB4F47">
        <w:rPr>
          <w:rFonts w:cs="Arial"/>
          <w:sz w:val="16"/>
          <w:szCs w:val="16"/>
        </w:rPr>
        <w:t xml:space="preserve">Health improves, 1900 to 1920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2011</w:t>
      </w:r>
      <w:r>
        <w:rPr>
          <w:rFonts w:cs="Arial"/>
          <w:sz w:val="16"/>
          <w:szCs w:val="16"/>
        </w:rPr>
        <w:t>, page 3</w:t>
      </w:r>
      <w:r w:rsidRPr="00CB4F47">
        <w:rPr>
          <w:rFonts w:cs="Arial"/>
          <w:sz w:val="16"/>
          <w:szCs w:val="16"/>
        </w:rPr>
        <w:t>)</w:t>
      </w:r>
      <w:r>
        <w:rPr>
          <w:rFonts w:cs="Arial"/>
          <w:sz w:val="16"/>
          <w:szCs w:val="16"/>
        </w:rPr>
        <w:t xml:space="preserve">, </w:t>
      </w:r>
      <w:hyperlink r:id="rId13" w:history="1">
        <w:r w:rsidRPr="00443249">
          <w:rPr>
            <w:rStyle w:val="Hyperlink"/>
            <w:rFonts w:cs="Arial"/>
            <w:sz w:val="16"/>
            <w:szCs w:val="16"/>
          </w:rPr>
          <w:t>https://teara.govt.nz/en/te-hauora-maori-i-mua-history-of-maori-health/page-3</w:t>
        </w:r>
      </w:hyperlink>
      <w:r w:rsidRPr="00CB4F47">
        <w:rPr>
          <w:rFonts w:cs="Arial"/>
          <w:sz w:val="16"/>
          <w:szCs w:val="16"/>
        </w:rPr>
        <w:t>.</w:t>
      </w:r>
    </w:p>
  </w:endnote>
  <w:endnote w:id="193">
    <w:p w14:paraId="7CA4851B" w14:textId="5892E9A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Lange, R, Te hauora Māori i mua – </w:t>
      </w:r>
      <w:r>
        <w:rPr>
          <w:rFonts w:cs="Arial"/>
          <w:sz w:val="16"/>
          <w:szCs w:val="16"/>
        </w:rPr>
        <w:t>H</w:t>
      </w:r>
      <w:r w:rsidRPr="00CB4F47">
        <w:rPr>
          <w:rFonts w:cs="Arial"/>
          <w:sz w:val="16"/>
          <w:szCs w:val="16"/>
        </w:rPr>
        <w:t>istory of Māori health</w:t>
      </w:r>
      <w:r>
        <w:rPr>
          <w:rFonts w:cs="Arial"/>
          <w:sz w:val="16"/>
          <w:szCs w:val="16"/>
        </w:rPr>
        <w:t>:</w:t>
      </w:r>
      <w:r w:rsidRPr="00CB4F47" w:rsidDel="00600F9F">
        <w:rPr>
          <w:rFonts w:cs="Arial"/>
          <w:sz w:val="16"/>
          <w:szCs w:val="16"/>
        </w:rPr>
        <w:t xml:space="preserve"> </w:t>
      </w:r>
      <w:r w:rsidRPr="00CB4F47">
        <w:rPr>
          <w:rFonts w:cs="Arial"/>
          <w:sz w:val="16"/>
          <w:szCs w:val="16"/>
        </w:rPr>
        <w:t xml:space="preserve">Health improves, 1900 to 1920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2011</w:t>
      </w:r>
      <w:r>
        <w:rPr>
          <w:rFonts w:cs="Arial"/>
          <w:sz w:val="16"/>
          <w:szCs w:val="16"/>
        </w:rPr>
        <w:t>, page 3</w:t>
      </w:r>
      <w:r w:rsidRPr="00CB4F47">
        <w:rPr>
          <w:rFonts w:cs="Arial"/>
          <w:sz w:val="16"/>
          <w:szCs w:val="16"/>
        </w:rPr>
        <w:t>)</w:t>
      </w:r>
      <w:r>
        <w:rPr>
          <w:rFonts w:cs="Arial"/>
          <w:sz w:val="16"/>
          <w:szCs w:val="16"/>
        </w:rPr>
        <w:t xml:space="preserve">, </w:t>
      </w:r>
      <w:hyperlink r:id="rId14" w:history="1">
        <w:r w:rsidRPr="00443249">
          <w:rPr>
            <w:rStyle w:val="Hyperlink"/>
            <w:rFonts w:cs="Arial"/>
            <w:sz w:val="16"/>
            <w:szCs w:val="16"/>
          </w:rPr>
          <w:t>https://teara.govt.nz/en/te-hauora-maori-i-mua-history-of-maori-health/page-3</w:t>
        </w:r>
      </w:hyperlink>
      <w:r w:rsidRPr="00CB4F47">
        <w:rPr>
          <w:rFonts w:cs="Arial"/>
          <w:sz w:val="16"/>
          <w:szCs w:val="16"/>
        </w:rPr>
        <w:t>.</w:t>
      </w:r>
    </w:p>
  </w:endnote>
  <w:endnote w:id="194">
    <w:p w14:paraId="4E9369C0" w14:textId="6A1D777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15" w:history="1">
        <w:r w:rsidRPr="00CB4F47">
          <w:rPr>
            <w:rFonts w:cs="Arial"/>
            <w:sz w:val="16"/>
            <w:szCs w:val="16"/>
          </w:rPr>
          <w:t>RS,</w:t>
        </w:r>
      </w:hyperlink>
      <w:r w:rsidRPr="00CB4F47">
        <w:rPr>
          <w:rFonts w:cs="Arial"/>
          <w:sz w:val="16"/>
          <w:szCs w:val="16"/>
        </w:rPr>
        <w:t xml:space="preserve"> </w:t>
      </w:r>
      <w:hyperlink r:id="rId16"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17" w:history="1">
        <w:r w:rsidRPr="00CB4F47">
          <w:rPr>
            <w:rFonts w:cs="Arial"/>
            <w:sz w:val="16"/>
            <w:szCs w:val="16"/>
          </w:rPr>
          <w:t>Victoria University Press</w:t>
        </w:r>
      </w:hyperlink>
      <w:r w:rsidRPr="00CB4F47">
        <w:rPr>
          <w:rFonts w:cs="Arial"/>
          <w:sz w:val="16"/>
          <w:szCs w:val="16"/>
        </w:rPr>
        <w:t>, 2009, page 2).</w:t>
      </w:r>
    </w:p>
  </w:endnote>
  <w:endnote w:id="195">
    <w:p w14:paraId="454E0F81" w14:textId="3F87DF74" w:rsidR="00FE4E56" w:rsidRDefault="00FE4E56">
      <w:pPr>
        <w:pStyle w:val="EndnoteText"/>
      </w:pPr>
      <w:r>
        <w:rPr>
          <w:rStyle w:val="EndnoteReference"/>
        </w:rPr>
        <w:endnoteRef/>
      </w:r>
      <w:r>
        <w:t xml:space="preserve"> </w:t>
      </w:r>
      <w:r w:rsidRPr="001142DD">
        <w:rPr>
          <w:sz w:val="16"/>
          <w:szCs w:val="18"/>
        </w:rPr>
        <w:t>Night</w:t>
      </w:r>
      <w:r>
        <w:rPr>
          <w:sz w:val="16"/>
          <w:szCs w:val="18"/>
        </w:rPr>
        <w:t>i</w:t>
      </w:r>
      <w:r w:rsidRPr="001142DD">
        <w:rPr>
          <w:sz w:val="16"/>
          <w:szCs w:val="18"/>
        </w:rPr>
        <w:t xml:space="preserve">ngale, RB, Maori at work: the shaping of a Maori workforce within the New Zealand state 1935–1975, Doctoral </w:t>
      </w:r>
      <w:r>
        <w:rPr>
          <w:sz w:val="16"/>
          <w:szCs w:val="18"/>
        </w:rPr>
        <w:t>T</w:t>
      </w:r>
      <w:r w:rsidRPr="001142DD">
        <w:rPr>
          <w:sz w:val="16"/>
          <w:szCs w:val="18"/>
        </w:rPr>
        <w:t>hesis</w:t>
      </w:r>
      <w:r>
        <w:rPr>
          <w:sz w:val="16"/>
          <w:szCs w:val="18"/>
        </w:rPr>
        <w:t>,</w:t>
      </w:r>
      <w:r w:rsidRPr="001142DD">
        <w:rPr>
          <w:sz w:val="16"/>
          <w:szCs w:val="18"/>
        </w:rPr>
        <w:t xml:space="preserve"> Massey </w:t>
      </w:r>
      <w:r>
        <w:rPr>
          <w:sz w:val="16"/>
          <w:szCs w:val="18"/>
        </w:rPr>
        <w:t>University (</w:t>
      </w:r>
      <w:r w:rsidRPr="001142DD">
        <w:rPr>
          <w:sz w:val="16"/>
          <w:szCs w:val="18"/>
        </w:rPr>
        <w:t>2007, pages 135 and 137)</w:t>
      </w:r>
      <w:r>
        <w:rPr>
          <w:sz w:val="16"/>
          <w:szCs w:val="18"/>
        </w:rPr>
        <w:t>.</w:t>
      </w:r>
    </w:p>
  </w:endnote>
  <w:endnote w:id="196">
    <w:p w14:paraId="084CB7DB" w14:textId="52933745" w:rsidR="00FE4E56" w:rsidRPr="00CB4F47" w:rsidRDefault="00FE4E56" w:rsidP="00C57877">
      <w:pPr>
        <w:keepLines w:val="0"/>
        <w:spacing w:before="0" w:after="0" w:line="20" w:lineRule="atLeast"/>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Williams, M, Panguru and the city: Kainga Tahi, Kainga Rua (Bridget Williams Books, 2014, pages</w:t>
      </w:r>
      <w:r w:rsidRPr="00CB4F47">
        <w:rPr>
          <w:rFonts w:cs="Arial"/>
          <w:sz w:val="16"/>
          <w:szCs w:val="16"/>
        </w:rPr>
        <w:t xml:space="preserve"> </w:t>
      </w:r>
      <w:r w:rsidRPr="00CB4F47">
        <w:rPr>
          <w:rFonts w:ascii="Arial" w:hAnsi="Arial" w:cs="Arial"/>
          <w:sz w:val="16"/>
          <w:szCs w:val="16"/>
        </w:rPr>
        <w:t>162–163).</w:t>
      </w:r>
    </w:p>
  </w:endnote>
  <w:endnote w:id="197">
    <w:p w14:paraId="0235FC84" w14:textId="282A8E1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18" w:history="1">
        <w:r w:rsidRPr="00CB4F47">
          <w:rPr>
            <w:rFonts w:cs="Arial"/>
            <w:sz w:val="16"/>
            <w:szCs w:val="16"/>
          </w:rPr>
          <w:t>RS,</w:t>
        </w:r>
      </w:hyperlink>
      <w:r w:rsidRPr="00CB4F47">
        <w:rPr>
          <w:rFonts w:cs="Arial"/>
          <w:sz w:val="16"/>
          <w:szCs w:val="16"/>
        </w:rPr>
        <w:t xml:space="preserve"> </w:t>
      </w:r>
      <w:hyperlink r:id="rId19"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20" w:history="1">
        <w:r w:rsidRPr="00CB4F47">
          <w:rPr>
            <w:rFonts w:cs="Arial"/>
            <w:sz w:val="16"/>
            <w:szCs w:val="16"/>
          </w:rPr>
          <w:t>Victoria University Press</w:t>
        </w:r>
      </w:hyperlink>
      <w:r w:rsidRPr="00CB4F47">
        <w:rPr>
          <w:rFonts w:cs="Arial"/>
          <w:sz w:val="16"/>
          <w:szCs w:val="16"/>
        </w:rPr>
        <w:t>, 2009, page 2).</w:t>
      </w:r>
    </w:p>
  </w:endnote>
  <w:endnote w:id="198">
    <w:p w14:paraId="6C251104" w14:textId="171A2C7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policy of Aboriginal assimilation: Australia, Canada, and New Zealand (</w:t>
      </w:r>
      <w:r>
        <w:rPr>
          <w:rFonts w:cs="Arial"/>
          <w:sz w:val="16"/>
          <w:szCs w:val="16"/>
        </w:rPr>
        <w:t>University of British Columbia</w:t>
      </w:r>
      <w:r w:rsidRPr="00CB4F47">
        <w:rPr>
          <w:rFonts w:cs="Arial"/>
          <w:sz w:val="16"/>
          <w:szCs w:val="16"/>
        </w:rPr>
        <w:t xml:space="preserve"> Press, 1995, page 241).</w:t>
      </w:r>
    </w:p>
  </w:endnote>
  <w:endnote w:id="199">
    <w:p w14:paraId="650AC814" w14:textId="6229B78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Armitage, A, Comparing the policy of Aboriginal assimilation: Australia, Canada, and New Zealand (</w:t>
      </w:r>
      <w:r>
        <w:rPr>
          <w:rFonts w:cs="Arial"/>
          <w:sz w:val="16"/>
          <w:szCs w:val="16"/>
        </w:rPr>
        <w:t>University of British Columbia</w:t>
      </w:r>
      <w:r w:rsidRPr="00CB4F47">
        <w:rPr>
          <w:rFonts w:cs="Arial"/>
          <w:sz w:val="16"/>
          <w:szCs w:val="16"/>
        </w:rPr>
        <w:t xml:space="preserve"> Press, 1995, page 241).</w:t>
      </w:r>
    </w:p>
  </w:endnote>
  <w:endnote w:id="200">
    <w:p w14:paraId="69AAA152" w14:textId="619B179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21" w:history="1">
        <w:r w:rsidRPr="00CB4F47">
          <w:rPr>
            <w:rFonts w:cs="Arial"/>
            <w:sz w:val="16"/>
            <w:szCs w:val="16"/>
          </w:rPr>
          <w:t>RS,</w:t>
        </w:r>
      </w:hyperlink>
      <w:r w:rsidRPr="00CB4F47">
        <w:rPr>
          <w:rFonts w:cs="Arial"/>
          <w:sz w:val="16"/>
          <w:szCs w:val="16"/>
        </w:rPr>
        <w:t xml:space="preserve"> </w:t>
      </w:r>
      <w:hyperlink r:id="rId22"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23" w:history="1">
        <w:r w:rsidRPr="00CB4F47">
          <w:rPr>
            <w:rFonts w:cs="Arial"/>
            <w:sz w:val="16"/>
            <w:szCs w:val="16"/>
          </w:rPr>
          <w:t>Victoria University Press</w:t>
        </w:r>
      </w:hyperlink>
      <w:r w:rsidRPr="00CB4F47">
        <w:rPr>
          <w:rFonts w:cs="Arial"/>
          <w:sz w:val="16"/>
          <w:szCs w:val="16"/>
        </w:rPr>
        <w:t>, 2009, pages 12–13).</w:t>
      </w:r>
    </w:p>
  </w:endnote>
  <w:endnote w:id="201">
    <w:p w14:paraId="51FBC2DF" w14:textId="02824E2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24" w:history="1">
        <w:r w:rsidRPr="00CB4F47">
          <w:rPr>
            <w:rFonts w:cs="Arial"/>
            <w:sz w:val="16"/>
            <w:szCs w:val="16"/>
          </w:rPr>
          <w:t>RS,</w:t>
        </w:r>
      </w:hyperlink>
      <w:r w:rsidRPr="00CB4F47">
        <w:rPr>
          <w:rFonts w:cs="Arial"/>
          <w:sz w:val="16"/>
          <w:szCs w:val="16"/>
        </w:rPr>
        <w:t xml:space="preserve"> </w:t>
      </w:r>
      <w:hyperlink r:id="rId25"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26" w:history="1">
        <w:r w:rsidRPr="00CB4F47">
          <w:rPr>
            <w:rFonts w:cs="Arial"/>
            <w:sz w:val="16"/>
            <w:szCs w:val="16"/>
          </w:rPr>
          <w:t>Victoria University Press</w:t>
        </w:r>
      </w:hyperlink>
      <w:r w:rsidRPr="00CB4F47">
        <w:rPr>
          <w:rFonts w:cs="Arial"/>
          <w:sz w:val="16"/>
          <w:szCs w:val="16"/>
        </w:rPr>
        <w:t>, 2009, page 1).</w:t>
      </w:r>
    </w:p>
  </w:endnote>
  <w:endnote w:id="202">
    <w:p w14:paraId="426FB70F" w14:textId="616E24A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27" w:history="1">
        <w:r w:rsidRPr="00CB4F47">
          <w:rPr>
            <w:rFonts w:cs="Arial"/>
            <w:sz w:val="16"/>
            <w:szCs w:val="16"/>
          </w:rPr>
          <w:t>RS,</w:t>
        </w:r>
      </w:hyperlink>
      <w:r w:rsidRPr="00CB4F47">
        <w:rPr>
          <w:rFonts w:cs="Arial"/>
          <w:sz w:val="16"/>
          <w:szCs w:val="16"/>
        </w:rPr>
        <w:t xml:space="preserve"> </w:t>
      </w:r>
      <w:hyperlink r:id="rId28"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29" w:history="1">
        <w:r w:rsidRPr="00CB4F47">
          <w:rPr>
            <w:rFonts w:cs="Arial"/>
            <w:sz w:val="16"/>
            <w:szCs w:val="16"/>
          </w:rPr>
          <w:t>Victoria University Press</w:t>
        </w:r>
      </w:hyperlink>
      <w:r w:rsidRPr="00CB4F47">
        <w:rPr>
          <w:rFonts w:cs="Arial"/>
          <w:sz w:val="16"/>
          <w:szCs w:val="16"/>
        </w:rPr>
        <w:t>, 2009, page 13).</w:t>
      </w:r>
    </w:p>
  </w:endnote>
  <w:endnote w:id="203">
    <w:p w14:paraId="52CE9051" w14:textId="4796B88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30" w:history="1">
        <w:r w:rsidRPr="00CB4F47">
          <w:rPr>
            <w:rFonts w:cs="Arial"/>
            <w:sz w:val="16"/>
            <w:szCs w:val="16"/>
          </w:rPr>
          <w:t>RS,</w:t>
        </w:r>
      </w:hyperlink>
      <w:r w:rsidRPr="00CB4F47">
        <w:rPr>
          <w:rFonts w:cs="Arial"/>
          <w:sz w:val="16"/>
          <w:szCs w:val="16"/>
        </w:rPr>
        <w:t xml:space="preserve"> </w:t>
      </w:r>
      <w:hyperlink r:id="rId31"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32" w:history="1">
        <w:r w:rsidRPr="00CB4F47">
          <w:rPr>
            <w:rFonts w:cs="Arial"/>
            <w:sz w:val="16"/>
            <w:szCs w:val="16"/>
          </w:rPr>
          <w:t>Victoria University Press</w:t>
        </w:r>
      </w:hyperlink>
      <w:r w:rsidRPr="00CB4F47">
        <w:rPr>
          <w:rFonts w:cs="Arial"/>
          <w:sz w:val="16"/>
          <w:szCs w:val="16"/>
        </w:rPr>
        <w:t>, 2009</w:t>
      </w:r>
      <w:r w:rsidRPr="00D7126F">
        <w:rPr>
          <w:rFonts w:cs="Arial"/>
          <w:sz w:val="16"/>
          <w:szCs w:val="16"/>
        </w:rPr>
        <w:t>, page</w:t>
      </w:r>
      <w:r w:rsidRPr="00CB4F47">
        <w:rPr>
          <w:rFonts w:cs="Arial"/>
          <w:sz w:val="16"/>
          <w:szCs w:val="16"/>
        </w:rPr>
        <w:t xml:space="preserve"> 17).</w:t>
      </w:r>
    </w:p>
  </w:endnote>
  <w:endnote w:id="204">
    <w:p w14:paraId="7BB3BC27" w14:textId="5A944725" w:rsidR="00FE4E56" w:rsidRPr="00CB4F47" w:rsidRDefault="00FE4E56" w:rsidP="00C57877">
      <w:pPr>
        <w:pStyle w:val="EndnoteText"/>
        <w:spacing w:line="20" w:lineRule="atLeast"/>
        <w:rPr>
          <w:rFonts w:cs="Arial"/>
          <w:color w:val="1F546B" w:themeColor="text2"/>
          <w:sz w:val="16"/>
          <w:szCs w:val="16"/>
          <w:u w:val="single"/>
        </w:rPr>
      </w:pPr>
      <w:r w:rsidRPr="00536E67">
        <w:rPr>
          <w:rStyle w:val="StyleFootnoteReferenceFagoFunotenzeichenFagoFunotenzeichen"/>
          <w:sz w:val="16"/>
          <w:szCs w:val="16"/>
        </w:rPr>
        <w:endnoteRef/>
      </w:r>
      <w:r w:rsidRPr="00CB4F47">
        <w:rPr>
          <w:rFonts w:cs="Arial"/>
          <w:sz w:val="16"/>
          <w:szCs w:val="16"/>
        </w:rPr>
        <w:t xml:space="preserve"> </w:t>
      </w:r>
      <w:r w:rsidRPr="00D7126F">
        <w:rPr>
          <w:rFonts w:cs="Arial"/>
          <w:sz w:val="16"/>
          <w:szCs w:val="16"/>
        </w:rPr>
        <w:t xml:space="preserve">Māori Women’s Welfare League website, About us (2023), </w:t>
      </w:r>
      <w:hyperlink r:id="rId33" w:history="1">
        <w:r w:rsidRPr="00D7126F">
          <w:rPr>
            <w:rStyle w:val="Hyperlink"/>
            <w:rFonts w:cs="Arial"/>
            <w:sz w:val="16"/>
            <w:szCs w:val="16"/>
          </w:rPr>
          <w:t>https://www.mwwl.org.nz/about</w:t>
        </w:r>
      </w:hyperlink>
      <w:r>
        <w:rPr>
          <w:rFonts w:cs="Arial"/>
          <w:sz w:val="16"/>
          <w:szCs w:val="16"/>
        </w:rPr>
        <w:t xml:space="preserve">; </w:t>
      </w:r>
      <w:r w:rsidRPr="00CF3B7E">
        <w:rPr>
          <w:rFonts w:cs="Arial"/>
          <w:sz w:val="16"/>
          <w:szCs w:val="16"/>
        </w:rPr>
        <w:t xml:space="preserve"> </w:t>
      </w:r>
      <w:r w:rsidRPr="00CB4F47">
        <w:rPr>
          <w:rFonts w:cs="Arial"/>
          <w:sz w:val="16"/>
          <w:szCs w:val="16"/>
        </w:rPr>
        <w:t xml:space="preserve">Brookes, B, </w:t>
      </w:r>
      <w:r w:rsidRPr="00F84707">
        <w:rPr>
          <w:rFonts w:cs="Arial"/>
          <w:sz w:val="16"/>
          <w:szCs w:val="16"/>
        </w:rPr>
        <w:t>A history</w:t>
      </w:r>
      <w:r w:rsidRPr="00CB4F47">
        <w:rPr>
          <w:rFonts w:cs="Arial"/>
          <w:sz w:val="16"/>
          <w:szCs w:val="16"/>
        </w:rPr>
        <w:t xml:space="preserve"> of New Zealand women (Bridget Williams Books, 2016, page </w:t>
      </w:r>
      <w:r>
        <w:rPr>
          <w:rFonts w:cs="Arial"/>
          <w:sz w:val="16"/>
          <w:szCs w:val="16"/>
        </w:rPr>
        <w:t>289)</w:t>
      </w:r>
      <w:r w:rsidRPr="00CB4F47">
        <w:rPr>
          <w:rFonts w:cs="Arial"/>
          <w:sz w:val="16"/>
          <w:szCs w:val="16"/>
        </w:rPr>
        <w:t>.</w:t>
      </w:r>
    </w:p>
  </w:endnote>
  <w:endnote w:id="205">
    <w:p w14:paraId="666DBF6E" w14:textId="7A98EC4A" w:rsidR="00FE4E56" w:rsidRPr="00CB4F47" w:rsidDel="00740BDC" w:rsidRDefault="00FE4E56" w:rsidP="00C57877">
      <w:pPr>
        <w:pStyle w:val="ListParagraph"/>
        <w:numPr>
          <w:ilvl w:val="0"/>
          <w:numId w:val="0"/>
        </w:numPr>
        <w:spacing w:before="0" w:after="0" w:line="20" w:lineRule="atLeast"/>
        <w:rPr>
          <w:rFonts w:ascii="Arial" w:hAnsi="Arial" w:cs="Arial"/>
          <w:sz w:val="16"/>
          <w:szCs w:val="16"/>
        </w:rPr>
      </w:pPr>
      <w:r w:rsidRPr="00536E67" w:rsidDel="00740BDC">
        <w:rPr>
          <w:rStyle w:val="StyleFootnoteReferenceFagoFunotenzeichenFagoFunotenzeichen"/>
          <w:sz w:val="16"/>
          <w:szCs w:val="16"/>
        </w:rPr>
        <w:endnoteRef/>
      </w:r>
      <w:r w:rsidRPr="00CB4F47">
        <w:rPr>
          <w:rFonts w:ascii="Arial" w:hAnsi="Arial" w:cs="Arial"/>
          <w:sz w:val="16"/>
          <w:szCs w:val="16"/>
        </w:rPr>
        <w:t xml:space="preserve"> Tennant, M, “Disability in New Zealand: An historical survey” New Zealand Journal of Disability Studies, 2 (1996, pages 3–33, pages </w:t>
      </w:r>
      <w:r w:rsidRPr="00CB4F47" w:rsidDel="00740BDC">
        <w:rPr>
          <w:rFonts w:ascii="Arial" w:hAnsi="Arial" w:cs="Arial"/>
          <w:sz w:val="16"/>
          <w:szCs w:val="16"/>
        </w:rPr>
        <w:t>12</w:t>
      </w:r>
      <w:r w:rsidRPr="00CB4F47">
        <w:rPr>
          <w:rFonts w:ascii="Arial" w:hAnsi="Arial" w:cs="Arial"/>
          <w:sz w:val="16"/>
          <w:szCs w:val="16"/>
        </w:rPr>
        <w:t>–</w:t>
      </w:r>
      <w:r w:rsidRPr="00CB4F47" w:rsidDel="00740BDC">
        <w:rPr>
          <w:rFonts w:ascii="Arial" w:hAnsi="Arial" w:cs="Arial"/>
          <w:sz w:val="16"/>
          <w:szCs w:val="16"/>
        </w:rPr>
        <w:t>14</w:t>
      </w:r>
      <w:r w:rsidRPr="00CB4F47">
        <w:rPr>
          <w:rFonts w:ascii="Arial" w:hAnsi="Arial" w:cs="Arial"/>
          <w:sz w:val="16"/>
          <w:szCs w:val="16"/>
        </w:rPr>
        <w:t>)</w:t>
      </w:r>
      <w:r w:rsidRPr="00CB4F47" w:rsidDel="00740BDC">
        <w:rPr>
          <w:rFonts w:ascii="Arial" w:hAnsi="Arial" w:cs="Arial"/>
          <w:sz w:val="16"/>
          <w:szCs w:val="16"/>
        </w:rPr>
        <w:t>.</w:t>
      </w:r>
    </w:p>
  </w:endnote>
  <w:endnote w:id="206">
    <w:p w14:paraId="1B55CDEF" w14:textId="18F642A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Tennant, M, “Disability in New Zealand: An historical survey” New Zealand Journal of Disability Studies, 2 (1996, pages 3–33, page 14).</w:t>
      </w:r>
    </w:p>
  </w:endnote>
  <w:endnote w:id="207">
    <w:p w14:paraId="6FF4FF70" w14:textId="541343B3"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color w:val="FF0000"/>
          <w:sz w:val="16"/>
          <w:szCs w:val="16"/>
        </w:rPr>
        <w:t xml:space="preserve"> </w:t>
      </w:r>
      <w:r w:rsidRPr="00CB4F47">
        <w:rPr>
          <w:sz w:val="16"/>
          <w:szCs w:val="16"/>
        </w:rPr>
        <w:t>Education Act 1914, sections 127–129.</w:t>
      </w:r>
    </w:p>
  </w:endnote>
  <w:endnote w:id="208">
    <w:p w14:paraId="48D317EC" w14:textId="4768B4BD" w:rsidR="00FE4E56" w:rsidRPr="00CB4F47" w:rsidRDefault="00FE4E56" w:rsidP="002F3A8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Goodyear, R, Sunshine and </w:t>
      </w:r>
      <w:r>
        <w:rPr>
          <w:rFonts w:cs="Arial"/>
          <w:sz w:val="16"/>
          <w:szCs w:val="16"/>
        </w:rPr>
        <w:t>f</w:t>
      </w:r>
      <w:r w:rsidRPr="00CB4F47">
        <w:rPr>
          <w:rFonts w:cs="Arial"/>
          <w:sz w:val="16"/>
          <w:szCs w:val="16"/>
        </w:rPr>
        <w:t xml:space="preserve">resh </w:t>
      </w:r>
      <w:r>
        <w:rPr>
          <w:rFonts w:cs="Arial"/>
          <w:sz w:val="16"/>
          <w:szCs w:val="16"/>
        </w:rPr>
        <w:t>a</w:t>
      </w:r>
      <w:r w:rsidRPr="00CB4F47">
        <w:rPr>
          <w:rFonts w:cs="Arial"/>
          <w:sz w:val="16"/>
          <w:szCs w:val="16"/>
        </w:rPr>
        <w:t>ir: An oral history of childhood and family life in interwar New Zealand</w:t>
      </w:r>
      <w:r>
        <w:rPr>
          <w:rFonts w:cs="Arial"/>
          <w:sz w:val="16"/>
          <w:szCs w:val="16"/>
        </w:rPr>
        <w:t>, Doctoral</w:t>
      </w:r>
      <w:r w:rsidRPr="00CB4F47" w:rsidDel="00713658">
        <w:rPr>
          <w:rFonts w:cs="Arial"/>
          <w:sz w:val="16"/>
          <w:szCs w:val="16"/>
        </w:rPr>
        <w:t xml:space="preserve"> </w:t>
      </w:r>
      <w:r>
        <w:rPr>
          <w:rFonts w:cs="Arial"/>
          <w:sz w:val="16"/>
          <w:szCs w:val="16"/>
        </w:rPr>
        <w:t>T</w:t>
      </w:r>
      <w:r w:rsidRPr="00CB4F47">
        <w:rPr>
          <w:rFonts w:cs="Arial"/>
          <w:sz w:val="16"/>
          <w:szCs w:val="16"/>
        </w:rPr>
        <w:t>hesis, University of Otago</w:t>
      </w:r>
      <w:r>
        <w:rPr>
          <w:rFonts w:cs="Arial"/>
          <w:sz w:val="16"/>
          <w:szCs w:val="16"/>
        </w:rPr>
        <w:t xml:space="preserve"> (</w:t>
      </w:r>
      <w:r w:rsidRPr="00CB4F47">
        <w:rPr>
          <w:rFonts w:cs="Arial"/>
          <w:sz w:val="16"/>
          <w:szCs w:val="16"/>
        </w:rPr>
        <w:t>1998, page 5).</w:t>
      </w:r>
    </w:p>
  </w:endnote>
  <w:endnote w:id="209">
    <w:p w14:paraId="7115A3FF" w14:textId="7572F3D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Pomare, M, Mental defectives and sexual offenders report: Report of the Committee of Inquiry appointed by the Hon Sir Maui Pomare</w:t>
      </w:r>
      <w:r>
        <w:rPr>
          <w:rFonts w:cs="Arial"/>
          <w:sz w:val="16"/>
          <w:szCs w:val="16"/>
        </w:rPr>
        <w:t>,</w:t>
      </w:r>
      <w:r w:rsidRPr="00CB4F47">
        <w:rPr>
          <w:rFonts w:cs="Arial"/>
          <w:sz w:val="16"/>
          <w:szCs w:val="16"/>
        </w:rPr>
        <w:t xml:space="preserve"> Appendix to the Journals of the House of Representatives, 1925 Session I, H-31A</w:t>
      </w:r>
      <w:r w:rsidRPr="00CB4F47">
        <w:rPr>
          <w:rFonts w:cs="Arial"/>
          <w:sz w:val="16"/>
          <w:szCs w:val="16"/>
          <w:shd w:val="clear" w:color="auto" w:fill="FFFFFF"/>
        </w:rPr>
        <w:t>.</w:t>
      </w:r>
    </w:p>
  </w:endnote>
  <w:endnote w:id="210">
    <w:p w14:paraId="598F6832" w14:textId="2C91C66D" w:rsidR="00FE4E56" w:rsidRPr="00CB4F47" w:rsidRDefault="00FE4E56">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Witness statement of</w:t>
      </w:r>
      <w:r>
        <w:rPr>
          <w:rFonts w:cs="Arial"/>
          <w:sz w:val="16"/>
          <w:szCs w:val="16"/>
        </w:rPr>
        <w:t xml:space="preserve"> Dr</w:t>
      </w:r>
      <w:r w:rsidRPr="00CB4F47">
        <w:rPr>
          <w:rFonts w:cs="Arial"/>
          <w:sz w:val="16"/>
          <w:szCs w:val="16"/>
        </w:rPr>
        <w:t xml:space="preserve"> Hilary Stace </w:t>
      </w:r>
      <w:r w:rsidRPr="00CB4F47" w:rsidDel="00860ABD">
        <w:rPr>
          <w:rFonts w:cs="Arial"/>
          <w:sz w:val="16"/>
          <w:szCs w:val="16"/>
        </w:rPr>
        <w:t>(</w:t>
      </w:r>
      <w:r w:rsidRPr="00CB4F47">
        <w:rPr>
          <w:rFonts w:cs="Arial"/>
          <w:sz w:val="16"/>
          <w:szCs w:val="16"/>
        </w:rPr>
        <w:t xml:space="preserve">1 November 2019, para 17); Turda, </w:t>
      </w:r>
      <w:r>
        <w:rPr>
          <w:rFonts w:cs="Arial"/>
          <w:sz w:val="16"/>
          <w:szCs w:val="16"/>
        </w:rPr>
        <w:t>M</w:t>
      </w:r>
      <w:r w:rsidRPr="00CB4F47">
        <w:rPr>
          <w:rFonts w:cs="Arial"/>
          <w:sz w:val="16"/>
          <w:szCs w:val="16"/>
        </w:rPr>
        <w:t>, “Legacies of Eugenics: confronting the past, forging a future</w:t>
      </w:r>
      <w:r>
        <w:rPr>
          <w:rFonts w:cs="Arial"/>
          <w:sz w:val="16"/>
          <w:szCs w:val="16"/>
        </w:rPr>
        <w:t>,</w:t>
      </w:r>
      <w:r w:rsidRPr="00CB4F47">
        <w:rPr>
          <w:rFonts w:cs="Arial"/>
          <w:sz w:val="16"/>
          <w:szCs w:val="16"/>
        </w:rPr>
        <w:t>” Ethic and Racial Studies, Vol</w:t>
      </w:r>
      <w:r>
        <w:rPr>
          <w:rFonts w:cs="Arial"/>
          <w:sz w:val="16"/>
          <w:szCs w:val="16"/>
        </w:rPr>
        <w:t>ume</w:t>
      </w:r>
      <w:r w:rsidRPr="00CB4F47">
        <w:rPr>
          <w:rFonts w:cs="Arial"/>
          <w:sz w:val="16"/>
          <w:szCs w:val="16"/>
        </w:rPr>
        <w:t xml:space="preserve"> 45, No 13 (Taylor and Francis, 2022, page 2474).</w:t>
      </w:r>
    </w:p>
  </w:endnote>
  <w:endnote w:id="211">
    <w:p w14:paraId="3CE554BC" w14:textId="6D6BF2B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Beatson, P, “The seven impaired samurai: Life options for the disabled</w:t>
      </w:r>
      <w:r>
        <w:rPr>
          <w:rFonts w:cs="Arial"/>
          <w:sz w:val="16"/>
          <w:szCs w:val="16"/>
        </w:rPr>
        <w:t>,</w:t>
      </w:r>
      <w:r w:rsidRPr="00CB4F47">
        <w:rPr>
          <w:rFonts w:cs="Arial"/>
          <w:sz w:val="16"/>
          <w:szCs w:val="16"/>
        </w:rPr>
        <w:t>” New Zealand Journal of Disability Studies, No 4 (1996, page 10</w:t>
      </w:r>
      <w:r>
        <w:rPr>
          <w:rFonts w:cs="Arial"/>
          <w:sz w:val="16"/>
          <w:szCs w:val="16"/>
        </w:rPr>
        <w:t>)</w:t>
      </w:r>
      <w:r w:rsidRPr="00CB4F47">
        <w:rPr>
          <w:rFonts w:cs="Arial"/>
          <w:sz w:val="16"/>
          <w:szCs w:val="16"/>
        </w:rPr>
        <w:t xml:space="preserve">. </w:t>
      </w:r>
    </w:p>
  </w:endnote>
  <w:endnote w:id="212">
    <w:p w14:paraId="44F07D19" w14:textId="38BC211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sz w:val="16"/>
          <w:szCs w:val="16"/>
          <w:shd w:val="clear" w:color="auto" w:fill="F9F7F4"/>
        </w:rPr>
        <w:t>Derby, M, Veterans’ assistance</w:t>
      </w:r>
      <w:r>
        <w:rPr>
          <w:rFonts w:cs="Arial"/>
          <w:sz w:val="16"/>
          <w:szCs w:val="16"/>
          <w:shd w:val="clear" w:color="auto" w:fill="F9F7F4"/>
        </w:rPr>
        <w:t>:</w:t>
      </w:r>
      <w:r w:rsidRPr="00CB4F47" w:rsidDel="00925CCE">
        <w:rPr>
          <w:rFonts w:cs="Arial"/>
          <w:sz w:val="16"/>
          <w:szCs w:val="16"/>
          <w:shd w:val="clear" w:color="auto" w:fill="F9F7F4"/>
        </w:rPr>
        <w:t xml:space="preserve"> </w:t>
      </w:r>
      <w:r w:rsidRPr="00CB4F47">
        <w:rPr>
          <w:rFonts w:cs="Arial"/>
          <w:sz w:val="16"/>
          <w:szCs w:val="16"/>
          <w:shd w:val="clear" w:color="auto" w:fill="F9F7F4"/>
        </w:rPr>
        <w:t xml:space="preserve">Economic rehabilitation (Te Ara – </w:t>
      </w:r>
      <w:r>
        <w:rPr>
          <w:rFonts w:cs="Arial"/>
          <w:sz w:val="16"/>
          <w:szCs w:val="16"/>
          <w:shd w:val="clear" w:color="auto" w:fill="F9F7F4"/>
        </w:rPr>
        <w:t>T</w:t>
      </w:r>
      <w:r w:rsidRPr="00CB4F47">
        <w:rPr>
          <w:rFonts w:cs="Arial"/>
          <w:sz w:val="16"/>
          <w:szCs w:val="16"/>
          <w:shd w:val="clear" w:color="auto" w:fill="F9F7F4"/>
        </w:rPr>
        <w:t xml:space="preserve">he </w:t>
      </w:r>
      <w:r>
        <w:rPr>
          <w:rFonts w:cs="Arial"/>
          <w:sz w:val="16"/>
          <w:szCs w:val="16"/>
          <w:shd w:val="clear" w:color="auto" w:fill="F9F7F4"/>
        </w:rPr>
        <w:t>Encyclopaedia</w:t>
      </w:r>
      <w:r w:rsidRPr="00CB4F47">
        <w:rPr>
          <w:rFonts w:cs="Arial"/>
          <w:sz w:val="16"/>
          <w:szCs w:val="16"/>
          <w:shd w:val="clear" w:color="auto" w:fill="F9F7F4"/>
        </w:rPr>
        <w:t xml:space="preserve"> of New Zealand,</w:t>
      </w:r>
      <w:r>
        <w:rPr>
          <w:rFonts w:cs="Arial"/>
          <w:sz w:val="16"/>
          <w:szCs w:val="16"/>
          <w:shd w:val="clear" w:color="auto" w:fill="F9F7F4"/>
        </w:rPr>
        <w:t xml:space="preserve"> </w:t>
      </w:r>
      <w:r w:rsidRPr="00CB4F47">
        <w:rPr>
          <w:rFonts w:cs="Arial"/>
          <w:sz w:val="16"/>
          <w:szCs w:val="16"/>
          <w:shd w:val="clear" w:color="auto" w:fill="F9F7F4"/>
        </w:rPr>
        <w:t>20 June 2012</w:t>
      </w:r>
      <w:r>
        <w:rPr>
          <w:rFonts w:cs="Arial"/>
          <w:sz w:val="16"/>
          <w:szCs w:val="16"/>
          <w:shd w:val="clear" w:color="auto" w:fill="F9F7F4"/>
        </w:rPr>
        <w:t xml:space="preserve">, page 2), </w:t>
      </w:r>
      <w:hyperlink r:id="rId34" w:history="1">
        <w:r w:rsidRPr="00A4196E">
          <w:rPr>
            <w:rStyle w:val="Hyperlink"/>
            <w:rFonts w:cs="Arial"/>
            <w:sz w:val="16"/>
            <w:szCs w:val="16"/>
            <w:shd w:val="clear" w:color="auto" w:fill="F9F7F4"/>
          </w:rPr>
          <w:t>https://teara.govt.nz/en/veterans-assistance/page-2</w:t>
        </w:r>
      </w:hyperlink>
      <w:r>
        <w:rPr>
          <w:rFonts w:cs="Arial"/>
          <w:sz w:val="16"/>
          <w:szCs w:val="16"/>
          <w:shd w:val="clear" w:color="auto" w:fill="F9F7F4"/>
        </w:rPr>
        <w:t>.</w:t>
      </w:r>
    </w:p>
  </w:endnote>
  <w:endnote w:id="213">
    <w:p w14:paraId="1B147D3C" w14:textId="66A974A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Salesa, DA, “Pacific destiny: New Zealand’s overseas empire 1840</w:t>
      </w:r>
      <w:r>
        <w:rPr>
          <w:rFonts w:eastAsia="Calibri" w:cs="Arial"/>
          <w:sz w:val="16"/>
          <w:szCs w:val="16"/>
        </w:rPr>
        <w:t>–</w:t>
      </w:r>
      <w:r w:rsidRPr="00CB4F47">
        <w:rPr>
          <w:rFonts w:eastAsia="Calibri" w:cs="Arial"/>
          <w:sz w:val="16"/>
          <w:szCs w:val="16"/>
        </w:rPr>
        <w:t xml:space="preserve">1945,” in </w:t>
      </w:r>
      <w:r w:rsidRPr="00CB4F47">
        <w:rPr>
          <w:rFonts w:cs="Arial"/>
          <w:color w:val="262626" w:themeColor="text1" w:themeTint="D9"/>
          <w:sz w:val="16"/>
          <w:szCs w:val="16"/>
        </w:rPr>
        <w:t>Mallon, S, Māhina-Tuai, K &amp; Salesa, D</w:t>
      </w:r>
      <w:r w:rsidRPr="00CB4F47">
        <w:rPr>
          <w:rFonts w:eastAsia="Calibri" w:cs="Arial"/>
          <w:sz w:val="16"/>
          <w:szCs w:val="16"/>
        </w:rPr>
        <w:t xml:space="preserve"> (eds) Tangata o le Moana: New Zealand and the people of the Pacific (Te Papa Press, 2012</w:t>
      </w:r>
      <w:r w:rsidRPr="00D7126F">
        <w:rPr>
          <w:rFonts w:eastAsia="Calibri" w:cs="Arial"/>
          <w:sz w:val="16"/>
          <w:szCs w:val="16"/>
        </w:rPr>
        <w:t xml:space="preserve">, </w:t>
      </w:r>
      <w:r w:rsidRPr="00CB4F47">
        <w:rPr>
          <w:rFonts w:cs="Arial"/>
          <w:sz w:val="16"/>
          <w:szCs w:val="16"/>
        </w:rPr>
        <w:t>pages</w:t>
      </w:r>
      <w:r w:rsidRPr="00CB4F47">
        <w:rPr>
          <w:rFonts w:eastAsia="Calibri" w:cs="Arial"/>
          <w:sz w:val="16"/>
          <w:szCs w:val="16"/>
        </w:rPr>
        <w:t xml:space="preserve"> 97–121</w:t>
      </w:r>
      <w:r>
        <w:rPr>
          <w:rFonts w:eastAsia="Calibri" w:cs="Arial"/>
          <w:sz w:val="16"/>
          <w:szCs w:val="16"/>
        </w:rPr>
        <w:t>)</w:t>
      </w:r>
      <w:r w:rsidRPr="00CB4F47">
        <w:rPr>
          <w:rFonts w:eastAsia="Calibri" w:cs="Arial"/>
          <w:sz w:val="16"/>
          <w:szCs w:val="16"/>
        </w:rPr>
        <w:t xml:space="preserve">. </w:t>
      </w:r>
    </w:p>
  </w:endnote>
  <w:endnote w:id="214">
    <w:p w14:paraId="67357861" w14:textId="6D5CC41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 xml:space="preserve">The Governor General of New Zealand, </w:t>
      </w:r>
      <w:r w:rsidRPr="00CB4F47">
        <w:rPr>
          <w:rFonts w:cs="Arial"/>
          <w:sz w:val="16"/>
          <w:szCs w:val="16"/>
        </w:rPr>
        <w:t>New Zealand’s Constitution (</w:t>
      </w:r>
      <w:r>
        <w:rPr>
          <w:rFonts w:cs="Arial"/>
          <w:sz w:val="16"/>
          <w:szCs w:val="16"/>
        </w:rPr>
        <w:t xml:space="preserve">accessed </w:t>
      </w:r>
      <w:r w:rsidRPr="00CB4F47">
        <w:rPr>
          <w:rFonts w:cs="Arial"/>
          <w:sz w:val="16"/>
          <w:szCs w:val="16"/>
        </w:rPr>
        <w:t>2023</w:t>
      </w:r>
      <w:r>
        <w:rPr>
          <w:rFonts w:cs="Arial"/>
          <w:sz w:val="16"/>
          <w:szCs w:val="16"/>
        </w:rPr>
        <w:t xml:space="preserve">), </w:t>
      </w:r>
      <w:hyperlink r:id="rId35" w:history="1">
        <w:r w:rsidRPr="002E151A">
          <w:rPr>
            <w:rStyle w:val="Hyperlink"/>
            <w:rFonts w:cs="Arial"/>
            <w:sz w:val="16"/>
            <w:szCs w:val="16"/>
          </w:rPr>
          <w:t>https://gg.govt.nz/office-governor-general/roles-and-functions-governor-general/constitutional-role</w:t>
        </w:r>
        <w:bookmarkStart w:id="301" w:name="_Hlt165016105"/>
        <w:bookmarkStart w:id="302" w:name="_Hlt165016106"/>
        <w:r w:rsidRPr="002E151A">
          <w:rPr>
            <w:rStyle w:val="Hyperlink"/>
            <w:rFonts w:cs="Arial"/>
            <w:sz w:val="16"/>
            <w:szCs w:val="16"/>
          </w:rPr>
          <w:t>/</w:t>
        </w:r>
        <w:bookmarkEnd w:id="301"/>
        <w:bookmarkEnd w:id="302"/>
        <w:r w:rsidRPr="002E151A">
          <w:rPr>
            <w:rStyle w:val="Hyperlink"/>
            <w:rFonts w:cs="Arial"/>
            <w:sz w:val="16"/>
            <w:szCs w:val="16"/>
          </w:rPr>
          <w:t>constitution/constitution</w:t>
        </w:r>
      </w:hyperlink>
      <w:r w:rsidRPr="00D7126F">
        <w:rPr>
          <w:rFonts w:cs="Arial"/>
          <w:sz w:val="16"/>
          <w:szCs w:val="16"/>
        </w:rPr>
        <w:t>.</w:t>
      </w:r>
    </w:p>
  </w:endnote>
  <w:endnote w:id="215">
    <w:p w14:paraId="09580E0A" w14:textId="4AC655F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Salesa, DA, “Pacific destiny: New Zealand’s overseas empire 1840</w:t>
      </w:r>
      <w:r>
        <w:rPr>
          <w:rFonts w:eastAsia="Calibri" w:cs="Arial"/>
          <w:sz w:val="16"/>
          <w:szCs w:val="16"/>
        </w:rPr>
        <w:t>–</w:t>
      </w:r>
      <w:r w:rsidRPr="00CB4F47">
        <w:rPr>
          <w:rFonts w:eastAsia="Calibri" w:cs="Arial"/>
          <w:sz w:val="16"/>
          <w:szCs w:val="16"/>
        </w:rPr>
        <w:t xml:space="preserve">1945,” in </w:t>
      </w:r>
      <w:r w:rsidRPr="00CB4F47">
        <w:rPr>
          <w:rFonts w:cs="Arial"/>
          <w:color w:val="262626" w:themeColor="text1" w:themeTint="D9"/>
          <w:sz w:val="16"/>
          <w:szCs w:val="16"/>
        </w:rPr>
        <w:t>Mallon, S, Māhina-Tuai, K &amp; Salesa, D</w:t>
      </w:r>
      <w:r w:rsidRPr="00CB4F47">
        <w:rPr>
          <w:rFonts w:eastAsia="Calibri" w:cs="Arial"/>
          <w:sz w:val="16"/>
          <w:szCs w:val="16"/>
        </w:rPr>
        <w:t xml:space="preserve"> (eds) Tangata o le Moana: New Zealand and the people of the Pacific (Te Papa Press, 2012</w:t>
      </w:r>
      <w:r w:rsidRPr="00D7126F">
        <w:rPr>
          <w:rFonts w:eastAsia="Calibri" w:cs="Arial"/>
          <w:sz w:val="16"/>
          <w:szCs w:val="16"/>
        </w:rPr>
        <w:t xml:space="preserve">, </w:t>
      </w:r>
      <w:r w:rsidRPr="00CB4F47">
        <w:rPr>
          <w:rFonts w:cs="Arial"/>
          <w:sz w:val="16"/>
          <w:szCs w:val="16"/>
        </w:rPr>
        <w:t>pages</w:t>
      </w:r>
      <w:r w:rsidRPr="00CB4F47">
        <w:rPr>
          <w:rFonts w:eastAsia="Calibri" w:cs="Arial"/>
          <w:sz w:val="16"/>
          <w:szCs w:val="16"/>
        </w:rPr>
        <w:t xml:space="preserve"> 97–121</w:t>
      </w:r>
      <w:r>
        <w:rPr>
          <w:rFonts w:eastAsia="Calibri" w:cs="Arial"/>
          <w:sz w:val="16"/>
          <w:szCs w:val="16"/>
        </w:rPr>
        <w:t>)</w:t>
      </w:r>
      <w:r w:rsidRPr="00CB4F47">
        <w:rPr>
          <w:rFonts w:eastAsia="Calibri" w:cs="Arial"/>
          <w:sz w:val="16"/>
          <w:szCs w:val="16"/>
        </w:rPr>
        <w:t>.</w:t>
      </w:r>
    </w:p>
  </w:endnote>
  <w:endnote w:id="216">
    <w:p w14:paraId="121F3F39" w14:textId="4DB69E8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Fraenkel, J, Pacific Islands and New Zealand</w:t>
      </w:r>
      <w:r>
        <w:rPr>
          <w:rFonts w:cs="Arial"/>
          <w:sz w:val="16"/>
          <w:szCs w:val="16"/>
        </w:rPr>
        <w:t>:</w:t>
      </w:r>
      <w:r w:rsidRPr="00CB4F47" w:rsidDel="00600F9F">
        <w:rPr>
          <w:rFonts w:cs="Arial"/>
          <w:sz w:val="16"/>
          <w:szCs w:val="16"/>
        </w:rPr>
        <w:t xml:space="preserve"> </w:t>
      </w:r>
      <w:r w:rsidRPr="00CB4F47">
        <w:rPr>
          <w:rFonts w:cs="Arial"/>
          <w:sz w:val="16"/>
          <w:szCs w:val="16"/>
        </w:rPr>
        <w:t xml:space="preserve">Cook Islands, Niue, Tokelau and Nauru (Te Ara – </w:t>
      </w:r>
      <w:r>
        <w:rPr>
          <w:rFonts w:cs="Arial"/>
          <w:sz w:val="16"/>
          <w:szCs w:val="16"/>
        </w:rPr>
        <w:t>T</w:t>
      </w:r>
      <w:r w:rsidRPr="00CB4F47">
        <w:rPr>
          <w:rFonts w:cs="Arial"/>
          <w:sz w:val="16"/>
          <w:szCs w:val="16"/>
        </w:rPr>
        <w:t xml:space="preserve">he Encyclopedia of New </w:t>
      </w:r>
      <w:r w:rsidRPr="00D7126F">
        <w:rPr>
          <w:rFonts w:cs="Arial"/>
          <w:sz w:val="16"/>
          <w:szCs w:val="16"/>
        </w:rPr>
        <w:t>Zealand</w:t>
      </w:r>
      <w:r w:rsidRPr="00CB4F47">
        <w:rPr>
          <w:rFonts w:cs="Arial"/>
          <w:sz w:val="16"/>
          <w:szCs w:val="16"/>
        </w:rPr>
        <w:t>, 2012</w:t>
      </w:r>
      <w:r>
        <w:rPr>
          <w:rFonts w:cs="Arial"/>
          <w:sz w:val="16"/>
          <w:szCs w:val="16"/>
        </w:rPr>
        <w:t>, page 5</w:t>
      </w:r>
      <w:r w:rsidRPr="00CB4F47">
        <w:rPr>
          <w:rFonts w:cs="Arial"/>
          <w:sz w:val="16"/>
          <w:szCs w:val="16"/>
        </w:rPr>
        <w:t>)</w:t>
      </w:r>
      <w:r>
        <w:rPr>
          <w:rFonts w:cs="Arial"/>
          <w:sz w:val="16"/>
          <w:szCs w:val="16"/>
        </w:rPr>
        <w:t xml:space="preserve">, </w:t>
      </w:r>
      <w:hyperlink r:id="rId36" w:history="1">
        <w:r w:rsidRPr="00AB2048">
          <w:rPr>
            <w:rStyle w:val="Hyperlink"/>
            <w:rFonts w:cs="Arial"/>
            <w:sz w:val="16"/>
            <w:szCs w:val="16"/>
          </w:rPr>
          <w:t>https://teara.govt.nz/en/pacific-islands-and-new-zealand/page-5</w:t>
        </w:r>
      </w:hyperlink>
      <w:r w:rsidRPr="00CB4F47">
        <w:rPr>
          <w:rFonts w:cs="Arial"/>
          <w:sz w:val="16"/>
          <w:szCs w:val="16"/>
        </w:rPr>
        <w:t>.</w:t>
      </w:r>
    </w:p>
  </w:endnote>
  <w:endnote w:id="217">
    <w:p w14:paraId="64F4064A" w14:textId="7A4B0B90" w:rsidR="00FE4E56" w:rsidRPr="00D7126F" w:rsidRDefault="00FE4E56" w:rsidP="00C57877">
      <w:pPr>
        <w:pStyle w:val="EndnoteText"/>
        <w:spacing w:line="20" w:lineRule="atLeast"/>
        <w:rPr>
          <w:rFonts w:cs="Arial"/>
          <w:sz w:val="16"/>
          <w:szCs w:val="16"/>
          <w:u w:val="single"/>
        </w:rPr>
      </w:pPr>
      <w:r w:rsidRPr="00536E67">
        <w:rPr>
          <w:rStyle w:val="StyleFootnoteReferenceFagoFunotenzeichenFagoFunotenzeichen"/>
          <w:sz w:val="16"/>
          <w:szCs w:val="16"/>
        </w:rPr>
        <w:endnoteRef/>
      </w:r>
      <w:r w:rsidRPr="00CB4F47">
        <w:rPr>
          <w:rFonts w:cs="Arial"/>
          <w:sz w:val="16"/>
          <w:szCs w:val="16"/>
        </w:rPr>
        <w:t xml:space="preserve"> </w:t>
      </w:r>
      <w:r w:rsidRPr="00D7126F">
        <w:rPr>
          <w:rFonts w:cs="Arial"/>
          <w:sz w:val="16"/>
          <w:szCs w:val="16"/>
        </w:rPr>
        <w:t>Parliamentary Counsel Office, Letters patent constituting the Office of Governor-General of New Zealand (1983).</w:t>
      </w:r>
    </w:p>
  </w:endnote>
  <w:endnote w:id="218">
    <w:p w14:paraId="79F515BB" w14:textId="2310885D" w:rsidR="00FE4E56" w:rsidRPr="00CB4F47" w:rsidRDefault="00FE4E56" w:rsidP="002F3A8B">
      <w:pPr>
        <w:pStyle w:val="EndnoteText"/>
        <w:spacing w:line="20" w:lineRule="atLeast"/>
        <w:rPr>
          <w:rFonts w:cs="Arial"/>
          <w:sz w:val="16"/>
          <w:szCs w:val="16"/>
        </w:rPr>
      </w:pPr>
      <w:r w:rsidRPr="00536E67">
        <w:rPr>
          <w:rStyle w:val="StyleFootnoteReferenceFagoFunotenzeichenFagoFunotenzeichen"/>
          <w:sz w:val="16"/>
          <w:szCs w:val="16"/>
        </w:rPr>
        <w:endnoteRef/>
      </w:r>
      <w:r w:rsidRPr="00D7126F">
        <w:rPr>
          <w:rFonts w:cs="Arial"/>
          <w:color w:val="262626" w:themeColor="text1" w:themeTint="D9"/>
          <w:sz w:val="16"/>
          <w:szCs w:val="16"/>
        </w:rPr>
        <w:t xml:space="preserve"> M</w:t>
      </w:r>
      <w:r w:rsidRPr="00D7126F">
        <w:rPr>
          <w:rFonts w:cs="Arial"/>
          <w:sz w:val="16"/>
          <w:szCs w:val="16"/>
        </w:rPr>
        <w:t>inistry for Culture and Heritage, Black Saturday</w:t>
      </w:r>
      <w:r>
        <w:rPr>
          <w:rFonts w:cs="Arial"/>
          <w:sz w:val="16"/>
          <w:szCs w:val="16"/>
        </w:rPr>
        <w:t xml:space="preserve"> – New Zealand in Samoa</w:t>
      </w:r>
      <w:r w:rsidRPr="00D7126F">
        <w:rPr>
          <w:rFonts w:cs="Arial"/>
          <w:sz w:val="16"/>
          <w:szCs w:val="16"/>
        </w:rPr>
        <w:t xml:space="preserve"> (</w:t>
      </w:r>
      <w:r>
        <w:rPr>
          <w:rFonts w:cs="Arial"/>
          <w:sz w:val="16"/>
          <w:szCs w:val="16"/>
        </w:rPr>
        <w:t xml:space="preserve">accessed </w:t>
      </w:r>
      <w:r w:rsidRPr="00D7126F">
        <w:rPr>
          <w:rFonts w:cs="Arial"/>
          <w:sz w:val="16"/>
          <w:szCs w:val="16"/>
        </w:rPr>
        <w:t>2020)</w:t>
      </w:r>
      <w:r>
        <w:rPr>
          <w:rFonts w:cs="Arial"/>
          <w:sz w:val="16"/>
          <w:szCs w:val="16"/>
        </w:rPr>
        <w:t xml:space="preserve">, </w:t>
      </w:r>
      <w:r w:rsidRPr="009C6096">
        <w:rPr>
          <w:rFonts w:cs="Arial"/>
          <w:sz w:val="16"/>
          <w:szCs w:val="16"/>
        </w:rPr>
        <w:t>https://nzhistory.govt.nz/black-saturday-nz-police-open-fire-on-mau-protestors-in-apia-nine-samoans-killed</w:t>
      </w:r>
      <w:r w:rsidRPr="00D7126F">
        <w:rPr>
          <w:rFonts w:cs="Arial"/>
          <w:sz w:val="16"/>
          <w:szCs w:val="16"/>
        </w:rPr>
        <w:t>.</w:t>
      </w:r>
    </w:p>
  </w:endnote>
  <w:endnote w:id="219">
    <w:p w14:paraId="4A4FAF9A" w14:textId="7EB82094" w:rsidR="00FE4E56" w:rsidRPr="00CB4F47" w:rsidRDefault="00FE4E56" w:rsidP="00C57877">
      <w:pPr>
        <w:pStyle w:val="Paranumbers"/>
        <w:numPr>
          <w:ilvl w:val="0"/>
          <w:numId w:val="0"/>
        </w:numPr>
        <w:spacing w:before="0" w:line="20" w:lineRule="atLeast"/>
        <w:rPr>
          <w:rFonts w:ascii="Arial" w:hAnsi="Arial" w:cs="Arial"/>
          <w:color w:val="262626" w:themeColor="text1" w:themeTint="D9"/>
          <w:sz w:val="16"/>
          <w:szCs w:val="16"/>
        </w:rPr>
      </w:pPr>
      <w:r w:rsidRPr="00536E67">
        <w:rPr>
          <w:rStyle w:val="StyleFootnoteReferenceFagoFunotenzeichenFagoFunotenzeichen"/>
          <w:sz w:val="16"/>
          <w:szCs w:val="16"/>
        </w:rPr>
        <w:endnoteRef/>
      </w:r>
      <w:r w:rsidRPr="00CB4F47">
        <w:rPr>
          <w:rFonts w:ascii="Arial" w:hAnsi="Arial" w:cs="Arial"/>
          <w:color w:val="000000" w:themeColor="text1"/>
          <w:sz w:val="16"/>
          <w:szCs w:val="16"/>
        </w:rPr>
        <w:t xml:space="preserve"> </w:t>
      </w:r>
      <w:r w:rsidRPr="00CB4F47">
        <w:rPr>
          <w:rStyle w:val="EndnoteReference"/>
          <w:rFonts w:ascii="Arial" w:hAnsi="Arial"/>
          <w:color w:val="000000" w:themeColor="text1"/>
          <w:sz w:val="16"/>
          <w:szCs w:val="16"/>
          <w:shd w:val="clear" w:color="auto" w:fill="auto"/>
          <w:vertAlign w:val="baseline"/>
        </w:rPr>
        <w:t>Ministry of Foreign Affairs and Trade</w:t>
      </w:r>
      <w:r>
        <w:rPr>
          <w:rFonts w:ascii="Arial" w:hAnsi="Arial"/>
          <w:color w:val="000000" w:themeColor="text1"/>
          <w:sz w:val="16"/>
          <w:szCs w:val="16"/>
          <w:shd w:val="clear" w:color="auto" w:fill="auto"/>
        </w:rPr>
        <w:t xml:space="preserve"> website</w:t>
      </w:r>
      <w:r w:rsidRPr="00CB4F47">
        <w:rPr>
          <w:rFonts w:ascii="Arial" w:hAnsi="Arial" w:cs="Arial"/>
          <w:color w:val="000000" w:themeColor="text1"/>
          <w:sz w:val="16"/>
          <w:szCs w:val="16"/>
          <w:shd w:val="clear" w:color="auto" w:fill="auto"/>
        </w:rPr>
        <w:t>,</w:t>
      </w:r>
      <w:r w:rsidRPr="00CB4F47">
        <w:rPr>
          <w:rStyle w:val="EndnoteReference"/>
          <w:rFonts w:ascii="Arial" w:hAnsi="Arial"/>
          <w:color w:val="000000" w:themeColor="text1"/>
          <w:sz w:val="16"/>
          <w:szCs w:val="16"/>
          <w:shd w:val="clear" w:color="auto" w:fill="auto"/>
          <w:vertAlign w:val="baseline"/>
        </w:rPr>
        <w:t xml:space="preserve"> Apia: Our story (</w:t>
      </w:r>
      <w:r>
        <w:rPr>
          <w:rFonts w:ascii="Arial" w:hAnsi="Arial"/>
          <w:color w:val="000000" w:themeColor="text1"/>
          <w:sz w:val="16"/>
          <w:szCs w:val="16"/>
          <w:shd w:val="clear" w:color="auto" w:fill="auto"/>
        </w:rPr>
        <w:t>accessed 2022</w:t>
      </w:r>
      <w:r w:rsidRPr="00CB4F47">
        <w:rPr>
          <w:rStyle w:val="EndnoteReference"/>
          <w:rFonts w:ascii="Arial" w:hAnsi="Arial"/>
          <w:color w:val="000000" w:themeColor="text1"/>
          <w:sz w:val="16"/>
          <w:szCs w:val="16"/>
          <w:shd w:val="clear" w:color="auto" w:fill="auto"/>
          <w:vertAlign w:val="baseline"/>
        </w:rPr>
        <w:t>)</w:t>
      </w:r>
      <w:r>
        <w:rPr>
          <w:rFonts w:ascii="Arial" w:hAnsi="Arial"/>
          <w:color w:val="000000" w:themeColor="text1"/>
          <w:sz w:val="16"/>
          <w:szCs w:val="16"/>
          <w:shd w:val="clear" w:color="auto" w:fill="auto"/>
        </w:rPr>
        <w:t xml:space="preserve">, </w:t>
      </w:r>
      <w:hyperlink r:id="rId37" w:history="1">
        <w:r w:rsidRPr="00436A7F">
          <w:rPr>
            <w:rStyle w:val="Hyperlink"/>
            <w:rFonts w:ascii="Arial" w:hAnsi="Arial"/>
            <w:sz w:val="16"/>
            <w:szCs w:val="16"/>
            <w:shd w:val="clear" w:color="auto" w:fill="auto"/>
          </w:rPr>
          <w:t>https://www.mfat.govt.nz/en/about-us/mfat75/75-our-story/apia/</w:t>
        </w:r>
      </w:hyperlink>
      <w:r w:rsidRPr="00D7126F">
        <w:rPr>
          <w:rFonts w:ascii="Arial" w:hAnsi="Arial" w:cs="Arial"/>
          <w:color w:val="000000" w:themeColor="text1"/>
          <w:sz w:val="16"/>
          <w:szCs w:val="16"/>
          <w:shd w:val="clear" w:color="auto" w:fill="auto"/>
        </w:rPr>
        <w:t>;</w:t>
      </w:r>
      <w:r w:rsidRPr="00CB4F47">
        <w:rPr>
          <w:rFonts w:ascii="Arial" w:hAnsi="Arial" w:cs="Arial"/>
          <w:color w:val="000000" w:themeColor="text1"/>
          <w:sz w:val="16"/>
          <w:szCs w:val="16"/>
        </w:rPr>
        <w:t xml:space="preserve"> Anae, M, “All power to the people: Overstayers, </w:t>
      </w:r>
      <w:r>
        <w:rPr>
          <w:rFonts w:ascii="Arial" w:hAnsi="Arial" w:cs="Arial"/>
          <w:color w:val="000000" w:themeColor="text1"/>
          <w:sz w:val="16"/>
          <w:szCs w:val="16"/>
        </w:rPr>
        <w:t>D</w:t>
      </w:r>
      <w:r w:rsidRPr="00CB4F47">
        <w:rPr>
          <w:rFonts w:ascii="Arial" w:hAnsi="Arial" w:cs="Arial"/>
          <w:color w:val="000000" w:themeColor="text1"/>
          <w:sz w:val="16"/>
          <w:szCs w:val="16"/>
        </w:rPr>
        <w:t xml:space="preserve">awn </w:t>
      </w:r>
      <w:r>
        <w:rPr>
          <w:rFonts w:ascii="Arial" w:hAnsi="Arial" w:cs="Arial"/>
          <w:color w:val="000000" w:themeColor="text1"/>
          <w:sz w:val="16"/>
          <w:szCs w:val="16"/>
        </w:rPr>
        <w:t>R</w:t>
      </w:r>
      <w:r w:rsidRPr="00CB4F47">
        <w:rPr>
          <w:rFonts w:ascii="Arial" w:hAnsi="Arial" w:cs="Arial"/>
          <w:color w:val="000000" w:themeColor="text1"/>
          <w:sz w:val="16"/>
          <w:szCs w:val="16"/>
        </w:rPr>
        <w:t>aids and the Polynesian Panthers” in Mallon, S, Māhina-Tuai, K &amp; Salesa, D (eds)</w:t>
      </w:r>
      <w:r>
        <w:rPr>
          <w:rFonts w:ascii="Arial" w:hAnsi="Arial" w:cs="Arial"/>
          <w:color w:val="000000" w:themeColor="text1"/>
          <w:sz w:val="16"/>
          <w:szCs w:val="16"/>
        </w:rPr>
        <w:t>,</w:t>
      </w:r>
      <w:r w:rsidRPr="00CB4F47">
        <w:rPr>
          <w:rFonts w:ascii="Arial" w:hAnsi="Arial" w:cs="Arial"/>
          <w:color w:val="000000" w:themeColor="text1"/>
          <w:sz w:val="16"/>
          <w:szCs w:val="16"/>
        </w:rPr>
        <w:t xml:space="preserve"> Tangata o le Moana</w:t>
      </w:r>
      <w:r w:rsidRPr="00120E85">
        <w:rPr>
          <w:rFonts w:ascii="Arial" w:hAnsi="Arial" w:cs="Arial"/>
          <w:color w:val="000000" w:themeColor="text1"/>
          <w:sz w:val="16"/>
          <w:szCs w:val="16"/>
        </w:rPr>
        <w:t xml:space="preserve">: New Zealand and the </w:t>
      </w:r>
      <w:r w:rsidRPr="00F86F60">
        <w:rPr>
          <w:rFonts w:ascii="Arial" w:hAnsi="Arial" w:cs="Arial"/>
          <w:color w:val="000000" w:themeColor="text1"/>
          <w:sz w:val="16"/>
          <w:szCs w:val="16"/>
        </w:rPr>
        <w:t>p</w:t>
      </w:r>
      <w:r w:rsidRPr="00120E85">
        <w:rPr>
          <w:rFonts w:ascii="Arial" w:hAnsi="Arial" w:cs="Arial"/>
          <w:color w:val="000000" w:themeColor="text1"/>
          <w:sz w:val="16"/>
          <w:szCs w:val="16"/>
        </w:rPr>
        <w:t>eople of the Pacific</w:t>
      </w:r>
      <w:r w:rsidRPr="00CB4F47">
        <w:rPr>
          <w:rFonts w:ascii="Arial" w:hAnsi="Arial" w:cs="Arial"/>
          <w:color w:val="000000" w:themeColor="text1"/>
          <w:sz w:val="16"/>
          <w:szCs w:val="16"/>
        </w:rPr>
        <w:t xml:space="preserve"> (Te Papa Press, 2012, </w:t>
      </w:r>
      <w:r w:rsidRPr="00CB4F47">
        <w:rPr>
          <w:rFonts w:ascii="Arial" w:hAnsi="Arial" w:cs="Arial"/>
          <w:sz w:val="16"/>
          <w:szCs w:val="16"/>
        </w:rPr>
        <w:t xml:space="preserve">pages </w:t>
      </w:r>
      <w:r w:rsidRPr="00CB4F47">
        <w:rPr>
          <w:rFonts w:ascii="Arial" w:hAnsi="Arial" w:cs="Arial"/>
          <w:color w:val="000000" w:themeColor="text1"/>
          <w:sz w:val="16"/>
          <w:szCs w:val="16"/>
        </w:rPr>
        <w:t>221</w:t>
      </w:r>
      <w:r w:rsidRPr="00CB4F47">
        <w:rPr>
          <w:rFonts w:ascii="Arial" w:eastAsia="Calibri" w:hAnsi="Arial" w:cs="Arial"/>
          <w:color w:val="000000" w:themeColor="text1"/>
          <w:sz w:val="16"/>
          <w:szCs w:val="16"/>
        </w:rPr>
        <w:t>–</w:t>
      </w:r>
      <w:r w:rsidRPr="00CB4F47">
        <w:rPr>
          <w:rFonts w:ascii="Arial" w:hAnsi="Arial" w:cs="Arial"/>
          <w:color w:val="000000" w:themeColor="text1"/>
          <w:sz w:val="16"/>
          <w:szCs w:val="16"/>
        </w:rPr>
        <w:t>239</w:t>
      </w:r>
      <w:r>
        <w:rPr>
          <w:rFonts w:ascii="Arial" w:hAnsi="Arial" w:cs="Arial"/>
          <w:color w:val="000000" w:themeColor="text1"/>
          <w:sz w:val="16"/>
          <w:szCs w:val="16"/>
        </w:rPr>
        <w:t>)</w:t>
      </w:r>
      <w:r w:rsidRPr="00CB4F47">
        <w:rPr>
          <w:rFonts w:ascii="Arial" w:hAnsi="Arial" w:cs="Arial"/>
          <w:color w:val="000000" w:themeColor="text1"/>
          <w:sz w:val="16"/>
          <w:szCs w:val="16"/>
        </w:rPr>
        <w:t>.</w:t>
      </w:r>
    </w:p>
  </w:endnote>
  <w:endnote w:id="220">
    <w:p w14:paraId="68DA35D9" w14:textId="7011B43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Pacific Peoples also notably participated in the New Zealand armed forces in both </w:t>
      </w:r>
      <w:r>
        <w:rPr>
          <w:rFonts w:cs="Arial"/>
          <w:sz w:val="16"/>
          <w:szCs w:val="16"/>
        </w:rPr>
        <w:t>WWI</w:t>
      </w:r>
      <w:r w:rsidRPr="00CB4F47" w:rsidDel="00E55FB1">
        <w:rPr>
          <w:rFonts w:cs="Arial"/>
          <w:sz w:val="16"/>
          <w:szCs w:val="16"/>
        </w:rPr>
        <w:t xml:space="preserve"> and </w:t>
      </w:r>
      <w:r>
        <w:rPr>
          <w:rFonts w:cs="Arial"/>
          <w:sz w:val="16"/>
          <w:szCs w:val="16"/>
        </w:rPr>
        <w:t>II</w:t>
      </w:r>
      <w:r w:rsidRPr="00CB4F47">
        <w:rPr>
          <w:rFonts w:cs="Arial"/>
          <w:sz w:val="16"/>
          <w:szCs w:val="16"/>
        </w:rPr>
        <w:t xml:space="preserve">, and some of these veterans returned and settled in New Zealand, as discussed by Māhina-Tuai, K, </w:t>
      </w:r>
      <w:r>
        <w:rPr>
          <w:rFonts w:cs="Arial"/>
          <w:sz w:val="16"/>
          <w:szCs w:val="16"/>
        </w:rPr>
        <w:t>“</w:t>
      </w:r>
      <w:r w:rsidRPr="00CB4F47">
        <w:rPr>
          <w:rFonts w:cs="Arial"/>
          <w:sz w:val="16"/>
          <w:szCs w:val="16"/>
        </w:rPr>
        <w:t>FIA (Forgotten in action)</w:t>
      </w:r>
      <w:r>
        <w:rPr>
          <w:rFonts w:cs="Arial"/>
          <w:sz w:val="16"/>
          <w:szCs w:val="16"/>
        </w:rPr>
        <w:t>”</w:t>
      </w:r>
      <w:r w:rsidRPr="00CB4F47">
        <w:rPr>
          <w:rFonts w:cs="Arial"/>
          <w:sz w:val="16"/>
          <w:szCs w:val="16"/>
        </w:rPr>
        <w:t xml:space="preserve"> in </w:t>
      </w:r>
      <w:r w:rsidRPr="00CB4F47">
        <w:rPr>
          <w:rFonts w:cs="Arial"/>
          <w:color w:val="262626" w:themeColor="text1" w:themeTint="D9"/>
          <w:sz w:val="16"/>
          <w:szCs w:val="16"/>
        </w:rPr>
        <w:t>Mallon, S, Māhina-Tuai, K &amp; Salesa, D (eds)</w:t>
      </w:r>
      <w:r>
        <w:rPr>
          <w:rFonts w:cs="Arial"/>
          <w:color w:val="262626" w:themeColor="text1" w:themeTint="D9"/>
          <w:sz w:val="16"/>
          <w:szCs w:val="16"/>
        </w:rPr>
        <w:t>,</w:t>
      </w:r>
      <w:r w:rsidRPr="00CB4F47">
        <w:rPr>
          <w:rFonts w:cs="Arial"/>
          <w:sz w:val="16"/>
          <w:szCs w:val="16"/>
        </w:rPr>
        <w:t xml:space="preserve"> Tangata o le </w:t>
      </w:r>
      <w:r>
        <w:rPr>
          <w:rFonts w:cs="Arial"/>
          <w:sz w:val="16"/>
          <w:szCs w:val="16"/>
        </w:rPr>
        <w:t>M</w:t>
      </w:r>
      <w:r w:rsidRPr="00CB4F47">
        <w:rPr>
          <w:rFonts w:cs="Arial"/>
          <w:sz w:val="16"/>
          <w:szCs w:val="16"/>
        </w:rPr>
        <w:t>oana: New Zealand and the people of the Pacific (Te Papa Press, 2012).</w:t>
      </w:r>
    </w:p>
  </w:endnote>
  <w:endnote w:id="221">
    <w:p w14:paraId="1650B448" w14:textId="312F9C3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Salesa, D, Island time: New Zealand</w:t>
      </w:r>
      <w:r>
        <w:rPr>
          <w:rFonts w:cs="Arial"/>
          <w:sz w:val="16"/>
          <w:szCs w:val="16"/>
        </w:rPr>
        <w:t>’</w:t>
      </w:r>
      <w:r w:rsidRPr="00CB4F47">
        <w:rPr>
          <w:rFonts w:cs="Arial"/>
          <w:sz w:val="16"/>
          <w:szCs w:val="16"/>
        </w:rPr>
        <w:t>s Pacific futures (Bridget Williams Books, 2017, page 12</w:t>
      </w:r>
      <w:r>
        <w:rPr>
          <w:rFonts w:cs="Arial"/>
          <w:sz w:val="16"/>
          <w:szCs w:val="16"/>
        </w:rPr>
        <w:t>)</w:t>
      </w:r>
      <w:r w:rsidRPr="00CB4F47">
        <w:rPr>
          <w:rFonts w:cs="Arial"/>
          <w:sz w:val="16"/>
          <w:szCs w:val="16"/>
        </w:rPr>
        <w:t>.</w:t>
      </w:r>
    </w:p>
  </w:endnote>
  <w:endnote w:id="222">
    <w:p w14:paraId="61735B49" w14:textId="027F402D" w:rsidR="00FE4E56" w:rsidRPr="00DD5764" w:rsidRDefault="00FE4E56">
      <w:pPr>
        <w:pStyle w:val="EndnoteText"/>
        <w:rPr>
          <w:sz w:val="16"/>
          <w:szCs w:val="16"/>
        </w:rPr>
      </w:pPr>
      <w:r w:rsidRPr="00536E67">
        <w:rPr>
          <w:rStyle w:val="StyleFootnoteReferenceFagoFunotenzeichenFagoFunotenzeichen"/>
          <w:sz w:val="16"/>
          <w:szCs w:val="16"/>
        </w:rPr>
        <w:endnoteRef/>
      </w:r>
      <w:r>
        <w:rPr>
          <w:sz w:val="16"/>
          <w:szCs w:val="16"/>
        </w:rPr>
        <w:t xml:space="preserve"> </w:t>
      </w:r>
      <w:r w:rsidRPr="00DD5764">
        <w:rPr>
          <w:sz w:val="16"/>
          <w:szCs w:val="16"/>
        </w:rPr>
        <w:t xml:space="preserve">Māhina-Tuai, K, </w:t>
      </w:r>
      <w:r>
        <w:rPr>
          <w:sz w:val="16"/>
          <w:szCs w:val="16"/>
        </w:rPr>
        <w:t>“</w:t>
      </w:r>
      <w:r w:rsidRPr="00DD5764">
        <w:rPr>
          <w:sz w:val="16"/>
          <w:szCs w:val="16"/>
        </w:rPr>
        <w:t>FIA (Forgotten in action),</w:t>
      </w:r>
      <w:r>
        <w:rPr>
          <w:sz w:val="16"/>
          <w:szCs w:val="16"/>
        </w:rPr>
        <w:t>”</w:t>
      </w:r>
      <w:r w:rsidRPr="00DD5764">
        <w:rPr>
          <w:sz w:val="16"/>
          <w:szCs w:val="16"/>
        </w:rPr>
        <w:t xml:space="preserve"> in Mallon, S, Māhina-Tuai, K &amp; Salesa, D (eds) Tangata o le </w:t>
      </w:r>
      <w:r>
        <w:rPr>
          <w:sz w:val="16"/>
          <w:szCs w:val="16"/>
        </w:rPr>
        <w:t>M</w:t>
      </w:r>
      <w:r w:rsidRPr="00DD5764">
        <w:rPr>
          <w:sz w:val="16"/>
          <w:szCs w:val="16"/>
        </w:rPr>
        <w:t xml:space="preserve">oana: New Zealand and the people of the Pacific (Te Papa Press, 2012).  </w:t>
      </w:r>
    </w:p>
  </w:endnote>
  <w:endnote w:id="223">
    <w:p w14:paraId="3120E30F" w14:textId="462B2075" w:rsidR="00FE4E56" w:rsidRPr="00CB4F47" w:rsidDel="00616387" w:rsidRDefault="00FE4E56" w:rsidP="00C57877">
      <w:pPr>
        <w:pStyle w:val="EndnoteText"/>
        <w:spacing w:line="20" w:lineRule="atLeast"/>
        <w:rPr>
          <w:rFonts w:cs="Arial"/>
          <w:sz w:val="16"/>
          <w:szCs w:val="16"/>
        </w:rPr>
      </w:pPr>
      <w:r w:rsidRPr="00536E67" w:rsidDel="00616387">
        <w:rPr>
          <w:rStyle w:val="StyleFootnoteReferenceFagoFunotenzeichenFagoFunotenzeichen"/>
          <w:sz w:val="16"/>
          <w:szCs w:val="16"/>
        </w:rPr>
        <w:endnoteRef/>
      </w:r>
      <w:r w:rsidRPr="00CB4F47" w:rsidDel="00616387">
        <w:rPr>
          <w:rFonts w:cs="Arial"/>
          <w:sz w:val="16"/>
          <w:szCs w:val="16"/>
        </w:rPr>
        <w:t xml:space="preserve"> </w:t>
      </w:r>
      <w:r w:rsidRPr="00CB4F47" w:rsidDel="00616387">
        <w:rPr>
          <w:rFonts w:eastAsia="Calibri" w:cs="Arial"/>
          <w:sz w:val="16"/>
          <w:szCs w:val="16"/>
        </w:rPr>
        <w:t>Māhina-Tuai, K, “A land of milk and honey? Education and employment migration schemes in the Postwar Era</w:t>
      </w:r>
      <w:r w:rsidDel="00616387">
        <w:rPr>
          <w:rFonts w:eastAsia="Calibri" w:cs="Arial"/>
          <w:sz w:val="16"/>
          <w:szCs w:val="16"/>
        </w:rPr>
        <w:t>,</w:t>
      </w:r>
      <w:r w:rsidRPr="00CB4F47" w:rsidDel="00616387">
        <w:rPr>
          <w:rFonts w:eastAsia="Calibri" w:cs="Arial"/>
          <w:sz w:val="16"/>
          <w:szCs w:val="16"/>
        </w:rPr>
        <w:t xml:space="preserve">” in </w:t>
      </w:r>
      <w:r w:rsidRPr="00CB4F47" w:rsidDel="00616387">
        <w:rPr>
          <w:rFonts w:cs="Arial"/>
          <w:color w:val="262626" w:themeColor="text1" w:themeTint="D9"/>
          <w:sz w:val="16"/>
          <w:szCs w:val="16"/>
        </w:rPr>
        <w:t xml:space="preserve">Mallon, S, Māhina-Tuai, K &amp; Salesa, D </w:t>
      </w:r>
      <w:r w:rsidRPr="00CB4F47" w:rsidDel="00616387">
        <w:rPr>
          <w:rFonts w:eastAsia="Calibri" w:cs="Arial"/>
          <w:sz w:val="16"/>
          <w:szCs w:val="16"/>
        </w:rPr>
        <w:t>(eds)</w:t>
      </w:r>
      <w:r w:rsidDel="00616387">
        <w:rPr>
          <w:rFonts w:eastAsia="Calibri" w:cs="Arial"/>
          <w:sz w:val="16"/>
          <w:szCs w:val="16"/>
        </w:rPr>
        <w:t>,</w:t>
      </w:r>
      <w:r w:rsidRPr="00CB4F47" w:rsidDel="00616387">
        <w:rPr>
          <w:rFonts w:eastAsia="Calibri" w:cs="Arial"/>
          <w:sz w:val="16"/>
          <w:szCs w:val="16"/>
        </w:rPr>
        <w:t xml:space="preserve"> Tangata o le Moana: New Zealand and the people of the Pacific (Te Papa Press, 2012, </w:t>
      </w:r>
      <w:r w:rsidRPr="00CB4F47" w:rsidDel="00616387">
        <w:rPr>
          <w:rFonts w:cs="Arial"/>
          <w:sz w:val="16"/>
          <w:szCs w:val="16"/>
        </w:rPr>
        <w:t>page 177</w:t>
      </w:r>
      <w:r w:rsidDel="00616387">
        <w:rPr>
          <w:rFonts w:cs="Arial"/>
          <w:sz w:val="16"/>
          <w:szCs w:val="16"/>
        </w:rPr>
        <w:t>)</w:t>
      </w:r>
      <w:r w:rsidRPr="00CB4F47" w:rsidDel="00616387">
        <w:rPr>
          <w:rFonts w:cs="Arial"/>
          <w:sz w:val="16"/>
          <w:szCs w:val="16"/>
        </w:rPr>
        <w:t>.</w:t>
      </w:r>
    </w:p>
  </w:endnote>
  <w:endnote w:id="224">
    <w:p w14:paraId="5DF19FF1" w14:textId="7CDB803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Black, R, “The changing value of the child – A review of the literature regarding social perceptions of sick and dying children</w:t>
      </w:r>
      <w:r>
        <w:rPr>
          <w:rFonts w:cs="Arial"/>
          <w:sz w:val="16"/>
          <w:szCs w:val="16"/>
        </w:rPr>
        <w:t>,</w:t>
      </w:r>
      <w:r w:rsidRPr="003D7BC4">
        <w:rPr>
          <w:rFonts w:cs="Arial"/>
          <w:sz w:val="16"/>
          <w:szCs w:val="16"/>
        </w:rPr>
        <w:t>”</w:t>
      </w:r>
      <w:r w:rsidRPr="00CB4F47">
        <w:rPr>
          <w:rFonts w:cs="Arial"/>
          <w:sz w:val="16"/>
          <w:szCs w:val="16"/>
        </w:rPr>
        <w:t xml:space="preserve"> Sociology Compass, 7/9 (2013</w:t>
      </w:r>
      <w:r w:rsidRPr="00CB4F47">
        <w:rPr>
          <w:rFonts w:cs="Arial"/>
          <w:color w:val="000000"/>
          <w:sz w:val="16"/>
          <w:szCs w:val="16"/>
          <w:shd w:val="clear" w:color="auto" w:fill="FFFFFF"/>
        </w:rPr>
        <w:t xml:space="preserve">, </w:t>
      </w:r>
      <w:r w:rsidRPr="00CB4F47">
        <w:rPr>
          <w:rFonts w:cs="Arial"/>
          <w:sz w:val="16"/>
          <w:szCs w:val="16"/>
        </w:rPr>
        <w:t>pages 738–750, page 741</w:t>
      </w:r>
      <w:r>
        <w:rPr>
          <w:rFonts w:cs="Arial"/>
          <w:sz w:val="16"/>
          <w:szCs w:val="16"/>
        </w:rPr>
        <w:t>)</w:t>
      </w:r>
      <w:r w:rsidRPr="003D7BC4">
        <w:rPr>
          <w:rFonts w:cs="Arial"/>
          <w:sz w:val="16"/>
          <w:szCs w:val="16"/>
        </w:rPr>
        <w:t>;</w:t>
      </w:r>
      <w:r w:rsidRPr="00CB4F47">
        <w:rPr>
          <w:rFonts w:cs="Arial"/>
          <w:sz w:val="16"/>
          <w:szCs w:val="16"/>
        </w:rPr>
        <w:t xml:space="preserve"> Melling, J, Adair, R &amp; Forsythe, B, “A proper lunatic for two years: Pauper lunatic children in Victorian and Edwardian England, Child admissions to the Devon County asylum, 1845–1914</w:t>
      </w:r>
      <w:r>
        <w:rPr>
          <w:rFonts w:cs="Arial"/>
          <w:sz w:val="16"/>
          <w:szCs w:val="16"/>
        </w:rPr>
        <w:t>,</w:t>
      </w:r>
      <w:r w:rsidRPr="003D7BC4">
        <w:rPr>
          <w:rFonts w:cs="Arial"/>
          <w:sz w:val="16"/>
          <w:szCs w:val="16"/>
        </w:rPr>
        <w:t>”</w:t>
      </w:r>
      <w:r w:rsidRPr="00CB4F47">
        <w:rPr>
          <w:rFonts w:cs="Arial"/>
          <w:sz w:val="16"/>
          <w:szCs w:val="16"/>
        </w:rPr>
        <w:t xml:space="preserve"> Journal of Social History (1997</w:t>
      </w:r>
      <w:r>
        <w:rPr>
          <w:rFonts w:cs="Arial"/>
          <w:color w:val="000000"/>
          <w:sz w:val="16"/>
          <w:szCs w:val="16"/>
        </w:rPr>
        <w:t>,</w:t>
      </w:r>
      <w:r w:rsidRPr="00CB4F47">
        <w:rPr>
          <w:rFonts w:cs="Arial"/>
          <w:color w:val="000000"/>
          <w:sz w:val="16"/>
          <w:szCs w:val="16"/>
        </w:rPr>
        <w:t xml:space="preserve"> </w:t>
      </w:r>
      <w:r w:rsidRPr="00CB4F47">
        <w:rPr>
          <w:rFonts w:cs="Arial"/>
          <w:sz w:val="16"/>
          <w:szCs w:val="16"/>
        </w:rPr>
        <w:t>pages 371–405</w:t>
      </w:r>
      <w:r w:rsidRPr="00CB4F47">
        <w:rPr>
          <w:rFonts w:cs="Arial"/>
          <w:color w:val="000000"/>
          <w:sz w:val="16"/>
          <w:szCs w:val="16"/>
        </w:rPr>
        <w:t xml:space="preserve">, </w:t>
      </w:r>
      <w:r w:rsidRPr="00CB4F47">
        <w:rPr>
          <w:rFonts w:cs="Arial"/>
          <w:sz w:val="16"/>
          <w:szCs w:val="16"/>
        </w:rPr>
        <w:t>page 371</w:t>
      </w:r>
      <w:r>
        <w:rPr>
          <w:rFonts w:cs="Arial"/>
          <w:sz w:val="16"/>
          <w:szCs w:val="16"/>
        </w:rPr>
        <w:t>)</w:t>
      </w:r>
      <w:r w:rsidRPr="003D7BC4">
        <w:rPr>
          <w:rFonts w:cs="Arial"/>
          <w:sz w:val="16"/>
          <w:szCs w:val="16"/>
        </w:rPr>
        <w:t>;</w:t>
      </w:r>
      <w:r w:rsidRPr="00CB4F47">
        <w:rPr>
          <w:rFonts w:cs="Arial"/>
          <w:sz w:val="16"/>
          <w:szCs w:val="16"/>
        </w:rPr>
        <w:t xml:space="preserve"> Gavin, A &amp; Humphries, A, </w:t>
      </w:r>
      <w:r>
        <w:rPr>
          <w:rFonts w:cs="Arial"/>
          <w:sz w:val="16"/>
          <w:szCs w:val="16"/>
        </w:rPr>
        <w:t>W</w:t>
      </w:r>
      <w:r w:rsidRPr="00CB4F47">
        <w:rPr>
          <w:rFonts w:cs="Arial"/>
          <w:sz w:val="16"/>
          <w:szCs w:val="16"/>
        </w:rPr>
        <w:t>orlds enough and time: The cult of childhood in Edwardian fiction (Palgrave Macmillan, London, 2009, page 1</w:t>
      </w:r>
      <w:r>
        <w:rPr>
          <w:rFonts w:cs="Arial"/>
          <w:sz w:val="16"/>
          <w:szCs w:val="16"/>
        </w:rPr>
        <w:t>)</w:t>
      </w:r>
      <w:r w:rsidRPr="003D7BC4">
        <w:rPr>
          <w:rFonts w:cs="Arial"/>
          <w:sz w:val="16"/>
          <w:szCs w:val="16"/>
        </w:rPr>
        <w:t>;</w:t>
      </w:r>
      <w:r w:rsidRPr="00CB4F47">
        <w:rPr>
          <w:rFonts w:cs="Arial"/>
          <w:sz w:val="16"/>
          <w:szCs w:val="16"/>
        </w:rPr>
        <w:t xml:space="preserve"> Pollock, K “Childhood</w:t>
      </w:r>
      <w:r>
        <w:rPr>
          <w:rFonts w:cs="Arial"/>
          <w:sz w:val="16"/>
          <w:szCs w:val="16"/>
        </w:rPr>
        <w:t>,</w:t>
      </w:r>
      <w:r w:rsidRPr="003D7BC4">
        <w:rPr>
          <w:rFonts w:cs="Arial"/>
          <w:sz w:val="16"/>
          <w:szCs w:val="16"/>
        </w:rPr>
        <w:t>”</w:t>
      </w:r>
      <w:r w:rsidRPr="00CB4F47">
        <w:rPr>
          <w:rFonts w:cs="Arial"/>
          <w:sz w:val="16"/>
          <w:szCs w:val="16"/>
        </w:rPr>
        <w:t xml:space="preserve"> (Te Ara </w:t>
      </w:r>
      <w:r>
        <w:rPr>
          <w:rFonts w:cs="Arial"/>
          <w:sz w:val="16"/>
          <w:szCs w:val="16"/>
        </w:rPr>
        <w:t xml:space="preserve">– The Encyclopaedia </w:t>
      </w:r>
      <w:r w:rsidRPr="00CB4F47">
        <w:rPr>
          <w:rFonts w:cs="Arial"/>
          <w:sz w:val="16"/>
          <w:szCs w:val="16"/>
        </w:rPr>
        <w:t>of New Zealand, 2011)</w:t>
      </w:r>
      <w:r w:rsidRPr="00764CA0">
        <w:rPr>
          <w:rFonts w:cs="Arial"/>
          <w:sz w:val="16"/>
          <w:szCs w:val="16"/>
        </w:rPr>
        <w:t xml:space="preserve">, </w:t>
      </w:r>
      <w:hyperlink r:id="rId38" w:history="1">
        <w:r w:rsidRPr="00A741D9">
          <w:rPr>
            <w:rStyle w:val="Hyperlink"/>
            <w:rFonts w:cs="Arial"/>
            <w:sz w:val="16"/>
            <w:szCs w:val="16"/>
          </w:rPr>
          <w:t>https://teara.govt.nz/en/childhood</w:t>
        </w:r>
      </w:hyperlink>
      <w:r w:rsidRPr="00764CA0">
        <w:rPr>
          <w:rFonts w:cs="Arial"/>
          <w:sz w:val="16"/>
          <w:szCs w:val="16"/>
        </w:rPr>
        <w:t>.</w:t>
      </w:r>
    </w:p>
  </w:endnote>
  <w:endnote w:id="225">
    <w:p w14:paraId="1D7E8680" w14:textId="326EB97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Cargo, T, The impact on attachment when mokopuna are removed from whānau, hapū and iwi, and placed in foster care </w:t>
      </w:r>
      <w:r w:rsidRPr="0099653A">
        <w:rPr>
          <w:rFonts w:cs="Arial"/>
          <w:sz w:val="16"/>
          <w:szCs w:val="16"/>
        </w:rPr>
        <w:t>(</w:t>
      </w:r>
      <w:r w:rsidRPr="00CB4F47">
        <w:rPr>
          <w:rFonts w:cs="Arial"/>
          <w:sz w:val="16"/>
          <w:szCs w:val="16"/>
        </w:rPr>
        <w:t>June 2022, page 7</w:t>
      </w:r>
      <w:r>
        <w:rPr>
          <w:rFonts w:cs="Arial"/>
          <w:sz w:val="16"/>
          <w:szCs w:val="16"/>
        </w:rPr>
        <w:t>)</w:t>
      </w:r>
      <w:r w:rsidRPr="00CB4F47">
        <w:rPr>
          <w:rFonts w:cs="Arial"/>
          <w:sz w:val="16"/>
          <w:szCs w:val="16"/>
        </w:rPr>
        <w:t>.</w:t>
      </w:r>
    </w:p>
  </w:endnote>
  <w:endnote w:id="226">
    <w:p w14:paraId="19FAA782" w14:textId="0EDE0FEF" w:rsidR="00FE4E56" w:rsidRPr="00E1339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E13397">
        <w:rPr>
          <w:rFonts w:cs="Arial"/>
          <w:sz w:val="16"/>
          <w:szCs w:val="16"/>
        </w:rPr>
        <w:t>Calvert, S</w:t>
      </w:r>
      <w:r w:rsidRPr="00E13397">
        <w:rPr>
          <w:rStyle w:val="normaltextrun"/>
          <w:rFonts w:cs="Arial"/>
          <w:sz w:val="16"/>
          <w:szCs w:val="16"/>
          <w:shd w:val="clear" w:color="auto" w:fill="FFFFFF"/>
        </w:rPr>
        <w:t>, Attachment</w:t>
      </w:r>
      <w:r w:rsidRPr="00DD5764">
        <w:rPr>
          <w:rStyle w:val="normaltextrun"/>
          <w:rFonts w:cs="Arial"/>
          <w:sz w:val="16"/>
          <w:szCs w:val="16"/>
          <w:shd w:val="clear" w:color="auto" w:fill="FFFFFF"/>
        </w:rPr>
        <w:t xml:space="preserve"> and related issues</w:t>
      </w:r>
      <w:r w:rsidRPr="00E13397" w:rsidDel="00E13397">
        <w:rPr>
          <w:rStyle w:val="normaltextrun"/>
          <w:rFonts w:cs="Arial"/>
          <w:sz w:val="16"/>
          <w:szCs w:val="16"/>
          <w:shd w:val="clear" w:color="auto" w:fill="FFFFFF"/>
        </w:rPr>
        <w:t>,</w:t>
      </w:r>
      <w:r w:rsidRPr="00E13397">
        <w:rPr>
          <w:rStyle w:val="normaltextrun"/>
          <w:rFonts w:cs="Arial"/>
          <w:sz w:val="16"/>
          <w:szCs w:val="16"/>
          <w:shd w:val="clear" w:color="auto" w:fill="FFFFFF"/>
        </w:rPr>
        <w:t xml:space="preserve"> Expert opinion</w:t>
      </w:r>
      <w:r>
        <w:rPr>
          <w:rStyle w:val="normaltextrun"/>
          <w:rFonts w:cs="Arial"/>
          <w:sz w:val="16"/>
          <w:szCs w:val="16"/>
          <w:shd w:val="clear" w:color="auto" w:fill="FFFFFF"/>
        </w:rPr>
        <w:t xml:space="preserve"> report prepared for</w:t>
      </w:r>
      <w:r w:rsidRPr="00A75673">
        <w:rPr>
          <w:rFonts w:cs="Arial"/>
          <w:sz w:val="16"/>
          <w:szCs w:val="16"/>
        </w:rPr>
        <w:t xml:space="preserve"> </w:t>
      </w:r>
      <w:r>
        <w:rPr>
          <w:rFonts w:cs="Arial"/>
          <w:sz w:val="16"/>
          <w:szCs w:val="16"/>
        </w:rPr>
        <w:t xml:space="preserve">the </w:t>
      </w:r>
      <w:r w:rsidRPr="00DD5764">
        <w:rPr>
          <w:rFonts w:cs="Arial"/>
          <w:sz w:val="16"/>
          <w:szCs w:val="16"/>
        </w:rPr>
        <w:t>Royal Commission of Inquiry into Abuse in Care</w:t>
      </w:r>
      <w:r>
        <w:rPr>
          <w:rFonts w:cs="Arial"/>
          <w:sz w:val="16"/>
          <w:szCs w:val="16"/>
        </w:rPr>
        <w:t xml:space="preserve"> (</w:t>
      </w:r>
      <w:r w:rsidRPr="00DD5764">
        <w:rPr>
          <w:rFonts w:cs="Arial"/>
          <w:sz w:val="16"/>
          <w:szCs w:val="16"/>
        </w:rPr>
        <w:t>8 June 2022</w:t>
      </w:r>
      <w:r w:rsidRPr="00DD5764">
        <w:rPr>
          <w:rStyle w:val="normaltextrun"/>
          <w:rFonts w:cs="Arial"/>
          <w:sz w:val="16"/>
          <w:szCs w:val="16"/>
          <w:shd w:val="clear" w:color="auto" w:fill="FFFFFF"/>
        </w:rPr>
        <w:t>,</w:t>
      </w:r>
      <w:r w:rsidRPr="00E13397">
        <w:rPr>
          <w:rStyle w:val="normaltextrun"/>
          <w:rFonts w:cs="Arial"/>
          <w:sz w:val="16"/>
          <w:szCs w:val="16"/>
          <w:shd w:val="clear" w:color="auto" w:fill="FFFFFF"/>
        </w:rPr>
        <w:t xml:space="preserve"> </w:t>
      </w:r>
      <w:r w:rsidRPr="00E13397">
        <w:rPr>
          <w:rFonts w:cs="Arial"/>
          <w:sz w:val="16"/>
          <w:szCs w:val="16"/>
        </w:rPr>
        <w:t>pages 1–2).</w:t>
      </w:r>
    </w:p>
  </w:endnote>
  <w:endnote w:id="227">
    <w:p w14:paraId="3FF8D2E2" w14:textId="7F425C1D" w:rsidR="00FE4E56" w:rsidRPr="00E1339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E13397">
        <w:rPr>
          <w:rFonts w:cs="Arial"/>
          <w:sz w:val="16"/>
          <w:szCs w:val="16"/>
        </w:rPr>
        <w:t xml:space="preserve"> Calvert, S</w:t>
      </w:r>
      <w:r w:rsidRPr="00E13397">
        <w:rPr>
          <w:rStyle w:val="normaltextrun"/>
          <w:rFonts w:cs="Arial"/>
          <w:sz w:val="16"/>
          <w:szCs w:val="16"/>
          <w:shd w:val="clear" w:color="auto" w:fill="FFFFFF"/>
        </w:rPr>
        <w:t>, Attachment</w:t>
      </w:r>
      <w:r w:rsidRPr="00DD5764">
        <w:rPr>
          <w:rStyle w:val="normaltextrun"/>
          <w:rFonts w:cs="Arial"/>
          <w:sz w:val="16"/>
          <w:szCs w:val="16"/>
          <w:shd w:val="clear" w:color="auto" w:fill="FFFFFF"/>
        </w:rPr>
        <w:t xml:space="preserve"> and related issues</w:t>
      </w:r>
      <w:r>
        <w:rPr>
          <w:rStyle w:val="normaltextrun"/>
          <w:rFonts w:cs="Arial"/>
          <w:sz w:val="16"/>
          <w:szCs w:val="16"/>
          <w:shd w:val="clear" w:color="auto" w:fill="FFFFFF"/>
        </w:rPr>
        <w:t>,</w:t>
      </w:r>
      <w:r w:rsidRPr="00E13397">
        <w:rPr>
          <w:rStyle w:val="normaltextrun"/>
          <w:rFonts w:cs="Arial"/>
          <w:sz w:val="16"/>
          <w:szCs w:val="16"/>
          <w:shd w:val="clear" w:color="auto" w:fill="FFFFFF"/>
        </w:rPr>
        <w:t xml:space="preserve"> Expert opinion</w:t>
      </w:r>
      <w:r>
        <w:rPr>
          <w:rStyle w:val="normaltextrun"/>
          <w:rFonts w:cs="Arial"/>
          <w:sz w:val="16"/>
          <w:szCs w:val="16"/>
          <w:shd w:val="clear" w:color="auto" w:fill="FFFFFF"/>
        </w:rPr>
        <w:t xml:space="preserve"> report prepared for</w:t>
      </w:r>
      <w:r w:rsidRPr="00A75673">
        <w:rPr>
          <w:rFonts w:cs="Arial"/>
          <w:sz w:val="16"/>
          <w:szCs w:val="16"/>
        </w:rPr>
        <w:t xml:space="preserve"> </w:t>
      </w:r>
      <w:r>
        <w:rPr>
          <w:rFonts w:cs="Arial"/>
          <w:sz w:val="16"/>
          <w:szCs w:val="16"/>
        </w:rPr>
        <w:t xml:space="preserve">the </w:t>
      </w:r>
      <w:r w:rsidRPr="00DD5764">
        <w:rPr>
          <w:rFonts w:cs="Arial"/>
          <w:sz w:val="16"/>
          <w:szCs w:val="16"/>
        </w:rPr>
        <w:t>Royal Commission of Inquiry into Abuse in Care</w:t>
      </w:r>
      <w:r>
        <w:rPr>
          <w:rFonts w:cs="Arial"/>
          <w:sz w:val="16"/>
          <w:szCs w:val="16"/>
        </w:rPr>
        <w:t xml:space="preserve"> (</w:t>
      </w:r>
      <w:r w:rsidRPr="00DD5764">
        <w:rPr>
          <w:rFonts w:cs="Arial"/>
          <w:sz w:val="16"/>
          <w:szCs w:val="16"/>
        </w:rPr>
        <w:t>8 June 2022</w:t>
      </w:r>
      <w:r w:rsidRPr="00E13397">
        <w:rPr>
          <w:rStyle w:val="normaltextrun"/>
          <w:rFonts w:cs="Arial"/>
          <w:sz w:val="16"/>
          <w:szCs w:val="16"/>
          <w:shd w:val="clear" w:color="auto" w:fill="FFFFFF"/>
        </w:rPr>
        <w:t xml:space="preserve">, </w:t>
      </w:r>
      <w:r w:rsidRPr="00E13397">
        <w:rPr>
          <w:rFonts w:cs="Arial"/>
          <w:sz w:val="16"/>
          <w:szCs w:val="16"/>
        </w:rPr>
        <w:t>pages 2 and 22).</w:t>
      </w:r>
    </w:p>
  </w:endnote>
  <w:endnote w:id="228">
    <w:p w14:paraId="0735BB28" w14:textId="7D7F1E8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E13397">
        <w:rPr>
          <w:rFonts w:cs="Arial"/>
          <w:sz w:val="16"/>
          <w:szCs w:val="16"/>
        </w:rPr>
        <w:t xml:space="preserve"> Calvert, S</w:t>
      </w:r>
      <w:r w:rsidRPr="00E13397">
        <w:rPr>
          <w:rStyle w:val="normaltextrun"/>
          <w:rFonts w:cs="Arial"/>
          <w:sz w:val="16"/>
          <w:szCs w:val="16"/>
          <w:shd w:val="clear" w:color="auto" w:fill="FFFFFF"/>
        </w:rPr>
        <w:t>, Attachment</w:t>
      </w:r>
      <w:r w:rsidRPr="00DD5764">
        <w:rPr>
          <w:rStyle w:val="normaltextrun"/>
          <w:rFonts w:cs="Arial"/>
          <w:sz w:val="16"/>
          <w:szCs w:val="16"/>
          <w:shd w:val="clear" w:color="auto" w:fill="FFFFFF"/>
        </w:rPr>
        <w:t xml:space="preserve"> and related issues</w:t>
      </w:r>
      <w:r>
        <w:rPr>
          <w:rStyle w:val="normaltextrun"/>
          <w:rFonts w:cs="Arial"/>
          <w:sz w:val="16"/>
          <w:szCs w:val="16"/>
          <w:shd w:val="clear" w:color="auto" w:fill="FFFFFF"/>
        </w:rPr>
        <w:t>,</w:t>
      </w:r>
      <w:r w:rsidRPr="00E13397">
        <w:rPr>
          <w:rStyle w:val="normaltextrun"/>
          <w:rFonts w:cs="Arial"/>
          <w:sz w:val="16"/>
          <w:szCs w:val="16"/>
          <w:shd w:val="clear" w:color="auto" w:fill="FFFFFF"/>
        </w:rPr>
        <w:t xml:space="preserve"> Expert opinion</w:t>
      </w:r>
      <w:r>
        <w:rPr>
          <w:rStyle w:val="normaltextrun"/>
          <w:rFonts w:cs="Arial"/>
          <w:sz w:val="16"/>
          <w:szCs w:val="16"/>
          <w:shd w:val="clear" w:color="auto" w:fill="FFFFFF"/>
        </w:rPr>
        <w:t xml:space="preserve"> report prepared for the</w:t>
      </w:r>
      <w:r w:rsidRPr="00F83F36">
        <w:rPr>
          <w:rFonts w:cs="Arial"/>
          <w:sz w:val="16"/>
          <w:szCs w:val="16"/>
        </w:rPr>
        <w:t xml:space="preserve"> </w:t>
      </w:r>
      <w:r w:rsidRPr="00DD5764">
        <w:rPr>
          <w:rFonts w:cs="Arial"/>
          <w:sz w:val="16"/>
          <w:szCs w:val="16"/>
        </w:rPr>
        <w:t>Royal Commission of Inquiry into Abuse in Care</w:t>
      </w:r>
      <w:r>
        <w:rPr>
          <w:rFonts w:cs="Arial"/>
          <w:sz w:val="16"/>
          <w:szCs w:val="16"/>
        </w:rPr>
        <w:t xml:space="preserve"> (</w:t>
      </w:r>
      <w:r w:rsidRPr="00DD5764">
        <w:rPr>
          <w:rFonts w:cs="Arial"/>
          <w:sz w:val="16"/>
          <w:szCs w:val="16"/>
        </w:rPr>
        <w:t>8 June 2022</w:t>
      </w:r>
      <w:r w:rsidRPr="00DD5764">
        <w:rPr>
          <w:rStyle w:val="normaltextrun"/>
          <w:rFonts w:cs="Arial"/>
          <w:sz w:val="16"/>
          <w:szCs w:val="16"/>
          <w:shd w:val="clear" w:color="auto" w:fill="FFFFFF"/>
        </w:rPr>
        <w:t>,</w:t>
      </w:r>
      <w:r w:rsidRPr="00E13397">
        <w:rPr>
          <w:rStyle w:val="normaltextrun"/>
          <w:rFonts w:cs="Arial"/>
          <w:sz w:val="16"/>
          <w:szCs w:val="16"/>
          <w:shd w:val="clear" w:color="auto" w:fill="FFFFFF"/>
        </w:rPr>
        <w:t xml:space="preserve"> </w:t>
      </w:r>
      <w:r w:rsidRPr="00E13397">
        <w:rPr>
          <w:rFonts w:cs="Arial"/>
          <w:sz w:val="16"/>
          <w:szCs w:val="16"/>
        </w:rPr>
        <w:t>pages 13–14).</w:t>
      </w:r>
    </w:p>
  </w:endnote>
  <w:endnote w:id="229">
    <w:p w14:paraId="335999AA" w14:textId="49739B6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Calvert, S</w:t>
      </w:r>
      <w:r w:rsidRPr="00CB4F47">
        <w:rPr>
          <w:rStyle w:val="normaltextrun"/>
          <w:rFonts w:cs="Arial"/>
          <w:sz w:val="16"/>
          <w:szCs w:val="16"/>
          <w:shd w:val="clear" w:color="auto" w:fill="FFFFFF"/>
        </w:rPr>
        <w:t xml:space="preserve">, </w:t>
      </w:r>
      <w:r w:rsidRPr="00E13397">
        <w:rPr>
          <w:rStyle w:val="normaltextrun"/>
          <w:rFonts w:cs="Arial"/>
          <w:sz w:val="16"/>
          <w:szCs w:val="16"/>
          <w:shd w:val="clear" w:color="auto" w:fill="FFFFFF"/>
        </w:rPr>
        <w:t>Attachment</w:t>
      </w:r>
      <w:r w:rsidRPr="001C0589">
        <w:rPr>
          <w:rStyle w:val="normaltextrun"/>
          <w:rFonts w:cs="Arial"/>
          <w:sz w:val="16"/>
          <w:szCs w:val="16"/>
          <w:shd w:val="clear" w:color="auto" w:fill="FFFFFF"/>
        </w:rPr>
        <w:t xml:space="preserve"> and related issues</w:t>
      </w:r>
      <w:r>
        <w:rPr>
          <w:rStyle w:val="normaltextrun"/>
          <w:rFonts w:cs="Arial"/>
          <w:sz w:val="16"/>
          <w:szCs w:val="16"/>
          <w:shd w:val="clear" w:color="auto" w:fill="FFFFFF"/>
        </w:rPr>
        <w:t>,</w:t>
      </w:r>
      <w:r w:rsidRPr="00E13397">
        <w:rPr>
          <w:rStyle w:val="normaltextrun"/>
          <w:rFonts w:cs="Arial"/>
          <w:sz w:val="16"/>
          <w:szCs w:val="16"/>
          <w:shd w:val="clear" w:color="auto" w:fill="FFFFFF"/>
        </w:rPr>
        <w:t xml:space="preserve"> Expert opinion</w:t>
      </w:r>
      <w:r>
        <w:rPr>
          <w:rStyle w:val="normaltextrun"/>
          <w:rFonts w:cs="Arial"/>
          <w:sz w:val="16"/>
          <w:szCs w:val="16"/>
          <w:shd w:val="clear" w:color="auto" w:fill="FFFFFF"/>
        </w:rPr>
        <w:t xml:space="preserve"> report prepared for the</w:t>
      </w:r>
      <w:r w:rsidRPr="00F83F36">
        <w:rPr>
          <w:rFonts w:cs="Arial"/>
          <w:sz w:val="16"/>
          <w:szCs w:val="16"/>
        </w:rPr>
        <w:t xml:space="preserve"> </w:t>
      </w:r>
      <w:r w:rsidRPr="001C0589">
        <w:rPr>
          <w:rFonts w:cs="Arial"/>
          <w:sz w:val="16"/>
          <w:szCs w:val="16"/>
        </w:rPr>
        <w:t xml:space="preserve">Royal Commission of Inquiry into Abuse in </w:t>
      </w:r>
      <w:r w:rsidRPr="00CC62D3">
        <w:rPr>
          <w:rFonts w:cs="Arial"/>
          <w:sz w:val="16"/>
          <w:szCs w:val="16"/>
        </w:rPr>
        <w:t>Care (</w:t>
      </w:r>
      <w:r w:rsidRPr="00DD5764">
        <w:rPr>
          <w:rFonts w:cs="Arial"/>
          <w:sz w:val="16"/>
          <w:szCs w:val="16"/>
        </w:rPr>
        <w:t>8 June 2022</w:t>
      </w:r>
      <w:r w:rsidRPr="00CC62D3">
        <w:rPr>
          <w:rStyle w:val="normaltextrun"/>
          <w:rFonts w:cs="Arial"/>
          <w:sz w:val="16"/>
          <w:szCs w:val="16"/>
          <w:shd w:val="clear" w:color="auto" w:fill="FFFFFF"/>
        </w:rPr>
        <w:t xml:space="preserve">, </w:t>
      </w:r>
      <w:r w:rsidRPr="00CC62D3">
        <w:rPr>
          <w:rFonts w:cs="Arial"/>
          <w:sz w:val="16"/>
          <w:szCs w:val="16"/>
        </w:rPr>
        <w:t xml:space="preserve">pages </w:t>
      </w:r>
      <w:r w:rsidRPr="00CC62D3">
        <w:rPr>
          <w:rStyle w:val="normaltextrun"/>
          <w:rFonts w:cs="Arial"/>
          <w:sz w:val="16"/>
          <w:szCs w:val="16"/>
          <w:shd w:val="clear" w:color="auto" w:fill="FFFFFF"/>
        </w:rPr>
        <w:t>2</w:t>
      </w:r>
      <w:r w:rsidRPr="00CC62D3">
        <w:rPr>
          <w:rFonts w:cs="Arial"/>
          <w:sz w:val="16"/>
          <w:szCs w:val="16"/>
        </w:rPr>
        <w:t>–</w:t>
      </w:r>
      <w:r w:rsidRPr="00CB4F47">
        <w:rPr>
          <w:rStyle w:val="normaltextrun"/>
          <w:rFonts w:cs="Arial"/>
          <w:sz w:val="16"/>
          <w:szCs w:val="16"/>
          <w:shd w:val="clear" w:color="auto" w:fill="FFFFFF"/>
        </w:rPr>
        <w:t>3</w:t>
      </w:r>
      <w:r>
        <w:rPr>
          <w:rStyle w:val="normaltextrun"/>
          <w:rFonts w:cs="Arial"/>
          <w:sz w:val="16"/>
          <w:szCs w:val="16"/>
          <w:shd w:val="clear" w:color="auto" w:fill="FFFFFF"/>
        </w:rPr>
        <w:t>)</w:t>
      </w:r>
      <w:r w:rsidRPr="00CB4F47">
        <w:rPr>
          <w:rStyle w:val="normaltextrun"/>
          <w:rFonts w:cs="Arial"/>
          <w:sz w:val="16"/>
          <w:szCs w:val="16"/>
          <w:shd w:val="clear" w:color="auto" w:fill="FFFFFF"/>
        </w:rPr>
        <w:t>.</w:t>
      </w:r>
    </w:p>
  </w:endnote>
  <w:endnote w:id="230">
    <w:p w14:paraId="67D7D539" w14:textId="057A46C3"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w:t>
      </w:r>
      <w:r w:rsidRPr="00CB4F47">
        <w:rPr>
          <w:rFonts w:cs="Arial"/>
          <w:sz w:val="16"/>
          <w:szCs w:val="16"/>
        </w:rPr>
        <w:t xml:space="preserve">Mazengarb, O, Report of the Special Committee on </w:t>
      </w:r>
      <w:r>
        <w:rPr>
          <w:rFonts w:cs="Arial"/>
          <w:sz w:val="16"/>
          <w:szCs w:val="16"/>
        </w:rPr>
        <w:t>m</w:t>
      </w:r>
      <w:r w:rsidRPr="00CB4F47">
        <w:rPr>
          <w:rFonts w:cs="Arial"/>
          <w:sz w:val="16"/>
          <w:szCs w:val="16"/>
        </w:rPr>
        <w:t xml:space="preserve">oral </w:t>
      </w:r>
      <w:r>
        <w:rPr>
          <w:rFonts w:cs="Arial"/>
          <w:sz w:val="16"/>
          <w:szCs w:val="16"/>
        </w:rPr>
        <w:t>d</w:t>
      </w:r>
      <w:r w:rsidRPr="00CB4F47">
        <w:rPr>
          <w:rFonts w:cs="Arial"/>
          <w:sz w:val="16"/>
          <w:szCs w:val="16"/>
        </w:rPr>
        <w:t>elinquency in children and adolescents (</w:t>
      </w:r>
      <w:r>
        <w:rPr>
          <w:rFonts w:cs="Arial"/>
          <w:sz w:val="16"/>
          <w:szCs w:val="16"/>
        </w:rPr>
        <w:t xml:space="preserve">Government Printer, </w:t>
      </w:r>
      <w:r w:rsidRPr="00CB4F47">
        <w:rPr>
          <w:rFonts w:cs="Arial"/>
          <w:sz w:val="16"/>
          <w:szCs w:val="16"/>
        </w:rPr>
        <w:t>1954, page</w:t>
      </w:r>
      <w:r>
        <w:rPr>
          <w:rFonts w:cs="Arial"/>
          <w:sz w:val="16"/>
          <w:szCs w:val="16"/>
        </w:rPr>
        <w:t>s 15–16.</w:t>
      </w:r>
    </w:p>
  </w:endnote>
  <w:endnote w:id="231">
    <w:p w14:paraId="0F68E813" w14:textId="5CCCCFA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Mazengarb, O, Report of the Special Committee on </w:t>
      </w:r>
      <w:r>
        <w:rPr>
          <w:rFonts w:cs="Arial"/>
          <w:sz w:val="16"/>
          <w:szCs w:val="16"/>
        </w:rPr>
        <w:t>m</w:t>
      </w:r>
      <w:r w:rsidRPr="00CB4F47">
        <w:rPr>
          <w:rFonts w:cs="Arial"/>
          <w:sz w:val="16"/>
          <w:szCs w:val="16"/>
        </w:rPr>
        <w:t xml:space="preserve">oral </w:t>
      </w:r>
      <w:r>
        <w:rPr>
          <w:rFonts w:cs="Arial"/>
          <w:sz w:val="16"/>
          <w:szCs w:val="16"/>
        </w:rPr>
        <w:t>d</w:t>
      </w:r>
      <w:r w:rsidRPr="00CB4F47">
        <w:rPr>
          <w:rFonts w:cs="Arial"/>
          <w:sz w:val="16"/>
          <w:szCs w:val="16"/>
        </w:rPr>
        <w:t>elinquency in children and adolescents (</w:t>
      </w:r>
      <w:r>
        <w:rPr>
          <w:rFonts w:cs="Arial"/>
          <w:sz w:val="16"/>
          <w:szCs w:val="16"/>
        </w:rPr>
        <w:t xml:space="preserve">Government Printer, </w:t>
      </w:r>
      <w:r w:rsidRPr="00CB4F47">
        <w:rPr>
          <w:rFonts w:cs="Arial"/>
          <w:sz w:val="16"/>
          <w:szCs w:val="16"/>
        </w:rPr>
        <w:t>1954, page 37</w:t>
      </w:r>
      <w:r>
        <w:rPr>
          <w:rFonts w:cs="Arial"/>
          <w:sz w:val="16"/>
          <w:szCs w:val="16"/>
        </w:rPr>
        <w:t>)</w:t>
      </w:r>
      <w:r w:rsidRPr="00CB4F47">
        <w:rPr>
          <w:rFonts w:cs="Arial"/>
          <w:sz w:val="16"/>
          <w:szCs w:val="16"/>
        </w:rPr>
        <w:t>.</w:t>
      </w:r>
    </w:p>
  </w:endnote>
  <w:endnote w:id="232">
    <w:p w14:paraId="0E05D30B" w14:textId="7E742F1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Belich, J, Paradise reforged: A history of the New Zealanders from the 1880s to the Year 2000 (University of Hawai'i Press, 2001, pages 471–472</w:t>
      </w:r>
      <w:r>
        <w:rPr>
          <w:rFonts w:cs="Arial"/>
          <w:sz w:val="16"/>
          <w:szCs w:val="16"/>
        </w:rPr>
        <w:t>)</w:t>
      </w:r>
      <w:r w:rsidRPr="00CB4F47">
        <w:rPr>
          <w:rFonts w:cs="Arial"/>
          <w:sz w:val="16"/>
          <w:szCs w:val="16"/>
        </w:rPr>
        <w:t>.</w:t>
      </w:r>
    </w:p>
  </w:endnote>
  <w:endnote w:id="233">
    <w:p w14:paraId="0E2943BC" w14:textId="73B6524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39" w:history="1">
        <w:r w:rsidRPr="00CB4F47">
          <w:rPr>
            <w:rFonts w:cs="Arial"/>
            <w:sz w:val="16"/>
            <w:szCs w:val="16"/>
          </w:rPr>
          <w:t>RS,</w:t>
        </w:r>
      </w:hyperlink>
      <w:r w:rsidRPr="00CB4F47">
        <w:rPr>
          <w:rFonts w:cs="Arial"/>
          <w:sz w:val="16"/>
          <w:szCs w:val="16"/>
        </w:rPr>
        <w:t xml:space="preserve"> </w:t>
      </w:r>
      <w:hyperlink r:id="rId40"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41" w:history="1">
        <w:r w:rsidRPr="00CB4F47">
          <w:rPr>
            <w:rFonts w:cs="Arial"/>
            <w:sz w:val="16"/>
            <w:szCs w:val="16"/>
          </w:rPr>
          <w:t>Victoria University Press</w:t>
        </w:r>
      </w:hyperlink>
      <w:r w:rsidRPr="00CB4F47">
        <w:rPr>
          <w:rFonts w:cs="Arial"/>
          <w:sz w:val="16"/>
          <w:szCs w:val="16"/>
        </w:rPr>
        <w:t>, 2009, page 65</w:t>
      </w:r>
      <w:r>
        <w:rPr>
          <w:rFonts w:cs="Arial"/>
          <w:sz w:val="16"/>
          <w:szCs w:val="16"/>
        </w:rPr>
        <w:t>)</w:t>
      </w:r>
      <w:r w:rsidRPr="00CB4F47">
        <w:rPr>
          <w:rFonts w:cs="Arial"/>
          <w:sz w:val="16"/>
          <w:szCs w:val="16"/>
        </w:rPr>
        <w:t>.</w:t>
      </w:r>
    </w:p>
  </w:endnote>
  <w:endnote w:id="234">
    <w:p w14:paraId="6018307A" w14:textId="4AC43F8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42" w:history="1">
        <w:r w:rsidRPr="00CB4F47">
          <w:rPr>
            <w:rFonts w:cs="Arial"/>
            <w:sz w:val="16"/>
            <w:szCs w:val="16"/>
          </w:rPr>
          <w:t>RS,</w:t>
        </w:r>
      </w:hyperlink>
      <w:r w:rsidRPr="00CB4F47">
        <w:rPr>
          <w:rFonts w:cs="Arial"/>
          <w:sz w:val="16"/>
          <w:szCs w:val="16"/>
        </w:rPr>
        <w:t xml:space="preserve"> </w:t>
      </w:r>
      <w:hyperlink r:id="rId43"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44" w:history="1">
        <w:r w:rsidRPr="00CB4F47">
          <w:rPr>
            <w:rFonts w:cs="Arial"/>
            <w:sz w:val="16"/>
            <w:szCs w:val="16"/>
          </w:rPr>
          <w:t>Victoria University Press</w:t>
        </w:r>
      </w:hyperlink>
      <w:r w:rsidRPr="00CB4F47">
        <w:rPr>
          <w:rFonts w:cs="Arial"/>
          <w:sz w:val="16"/>
          <w:szCs w:val="16"/>
        </w:rPr>
        <w:t>, 2009, page 15</w:t>
      </w:r>
      <w:r>
        <w:rPr>
          <w:rFonts w:cs="Arial"/>
          <w:sz w:val="16"/>
          <w:szCs w:val="16"/>
        </w:rPr>
        <w:t>)</w:t>
      </w:r>
      <w:r w:rsidRPr="00CB4F47">
        <w:rPr>
          <w:rFonts w:cs="Arial"/>
          <w:sz w:val="16"/>
          <w:szCs w:val="16"/>
        </w:rPr>
        <w:t>.</w:t>
      </w:r>
    </w:p>
  </w:endnote>
  <w:endnote w:id="235">
    <w:p w14:paraId="1B08A678" w14:textId="0041417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45" w:history="1">
        <w:r w:rsidRPr="00CB4F47">
          <w:rPr>
            <w:rFonts w:cs="Arial"/>
            <w:sz w:val="16"/>
            <w:szCs w:val="16"/>
          </w:rPr>
          <w:t>RS,</w:t>
        </w:r>
      </w:hyperlink>
      <w:r w:rsidRPr="00CB4F47">
        <w:rPr>
          <w:rFonts w:cs="Arial"/>
          <w:sz w:val="16"/>
          <w:szCs w:val="16"/>
        </w:rPr>
        <w:t xml:space="preserve"> </w:t>
      </w:r>
      <w:hyperlink r:id="rId46"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47" w:history="1">
        <w:r w:rsidRPr="00CB4F47">
          <w:rPr>
            <w:rFonts w:cs="Arial"/>
            <w:sz w:val="16"/>
            <w:szCs w:val="16"/>
          </w:rPr>
          <w:t>Victoria University Press</w:t>
        </w:r>
      </w:hyperlink>
      <w:r w:rsidRPr="00CB4F47">
        <w:rPr>
          <w:rFonts w:cs="Arial"/>
          <w:sz w:val="16"/>
          <w:szCs w:val="16"/>
        </w:rPr>
        <w:t>, 2009, page 20</w:t>
      </w:r>
      <w:r>
        <w:rPr>
          <w:rFonts w:cs="Arial"/>
          <w:sz w:val="16"/>
          <w:szCs w:val="16"/>
        </w:rPr>
        <w:t>)</w:t>
      </w:r>
      <w:r w:rsidRPr="00CB4F47">
        <w:rPr>
          <w:rFonts w:cs="Arial"/>
          <w:sz w:val="16"/>
          <w:szCs w:val="16"/>
        </w:rPr>
        <w:t>.</w:t>
      </w:r>
    </w:p>
  </w:endnote>
  <w:endnote w:id="236">
    <w:p w14:paraId="7998AC6F" w14:textId="5241B41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48" w:history="1">
        <w:r w:rsidRPr="00CB4F47">
          <w:rPr>
            <w:rFonts w:cs="Arial"/>
            <w:sz w:val="16"/>
            <w:szCs w:val="16"/>
          </w:rPr>
          <w:t>RS,</w:t>
        </w:r>
      </w:hyperlink>
      <w:r w:rsidRPr="00CB4F47">
        <w:rPr>
          <w:rFonts w:cs="Arial"/>
          <w:sz w:val="16"/>
          <w:szCs w:val="16"/>
        </w:rPr>
        <w:t xml:space="preserve"> </w:t>
      </w:r>
      <w:hyperlink r:id="rId49"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50" w:history="1">
        <w:r w:rsidRPr="00CB4F47">
          <w:rPr>
            <w:rFonts w:cs="Arial"/>
            <w:sz w:val="16"/>
            <w:szCs w:val="16"/>
          </w:rPr>
          <w:t>Victoria University Press</w:t>
        </w:r>
      </w:hyperlink>
      <w:r w:rsidRPr="00CB4F47">
        <w:rPr>
          <w:rFonts w:cs="Arial"/>
          <w:sz w:val="16"/>
          <w:szCs w:val="16"/>
        </w:rPr>
        <w:t>, 2009, pages 52–55</w:t>
      </w:r>
      <w:r>
        <w:rPr>
          <w:rFonts w:cs="Arial"/>
          <w:sz w:val="16"/>
          <w:szCs w:val="16"/>
        </w:rPr>
        <w:t>)</w:t>
      </w:r>
      <w:r w:rsidRPr="00CB4F47">
        <w:rPr>
          <w:rFonts w:cs="Arial"/>
          <w:sz w:val="16"/>
          <w:szCs w:val="16"/>
        </w:rPr>
        <w:t>.</w:t>
      </w:r>
    </w:p>
  </w:endnote>
  <w:endnote w:id="237">
    <w:p w14:paraId="711C0559" w14:textId="11461B7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51" w:history="1">
        <w:r w:rsidRPr="00CB4F47">
          <w:rPr>
            <w:rFonts w:cs="Arial"/>
            <w:sz w:val="16"/>
            <w:szCs w:val="16"/>
          </w:rPr>
          <w:t>RS,</w:t>
        </w:r>
      </w:hyperlink>
      <w:r w:rsidRPr="00CB4F47">
        <w:rPr>
          <w:rFonts w:cs="Arial"/>
          <w:sz w:val="16"/>
          <w:szCs w:val="16"/>
        </w:rPr>
        <w:t xml:space="preserve"> </w:t>
      </w:r>
      <w:hyperlink r:id="rId52"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53" w:history="1">
        <w:r w:rsidRPr="00CB4F47">
          <w:rPr>
            <w:rFonts w:cs="Arial"/>
            <w:sz w:val="16"/>
            <w:szCs w:val="16"/>
          </w:rPr>
          <w:t>Victoria University Press</w:t>
        </w:r>
      </w:hyperlink>
      <w:r w:rsidRPr="00CB4F47">
        <w:rPr>
          <w:rFonts w:cs="Arial"/>
          <w:sz w:val="16"/>
          <w:szCs w:val="16"/>
        </w:rPr>
        <w:t>, 2009, pages 31–34</w:t>
      </w:r>
      <w:r>
        <w:rPr>
          <w:rFonts w:cs="Arial"/>
          <w:sz w:val="16"/>
          <w:szCs w:val="16"/>
        </w:rPr>
        <w:t>)</w:t>
      </w:r>
      <w:r w:rsidRPr="00CB4F47">
        <w:rPr>
          <w:rFonts w:cs="Arial"/>
          <w:sz w:val="16"/>
          <w:szCs w:val="16"/>
        </w:rPr>
        <w:t>.</w:t>
      </w:r>
    </w:p>
  </w:endnote>
  <w:endnote w:id="238">
    <w:p w14:paraId="5B061E3E" w14:textId="0A4270C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54" w:history="1">
        <w:r w:rsidRPr="00CB4F47">
          <w:rPr>
            <w:rFonts w:cs="Arial"/>
            <w:sz w:val="16"/>
            <w:szCs w:val="16"/>
          </w:rPr>
          <w:t>RS,</w:t>
        </w:r>
      </w:hyperlink>
      <w:r w:rsidRPr="00CB4F47">
        <w:rPr>
          <w:rFonts w:cs="Arial"/>
          <w:sz w:val="16"/>
          <w:szCs w:val="16"/>
        </w:rPr>
        <w:t xml:space="preserve"> </w:t>
      </w:r>
      <w:hyperlink r:id="rId55"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56" w:history="1">
        <w:r w:rsidRPr="00CB4F47">
          <w:rPr>
            <w:rFonts w:cs="Arial"/>
            <w:sz w:val="16"/>
            <w:szCs w:val="16"/>
          </w:rPr>
          <w:t>Victoria University Press</w:t>
        </w:r>
      </w:hyperlink>
      <w:r w:rsidRPr="00CB4F47">
        <w:rPr>
          <w:rFonts w:cs="Arial"/>
          <w:sz w:val="16"/>
          <w:szCs w:val="16"/>
        </w:rPr>
        <w:t>, 2009, page 34.</w:t>
      </w:r>
      <w:r>
        <w:rPr>
          <w:rFonts w:cs="Arial"/>
          <w:sz w:val="16"/>
          <w:szCs w:val="16"/>
        </w:rPr>
        <w:t>)</w:t>
      </w:r>
    </w:p>
  </w:endnote>
  <w:endnote w:id="239">
    <w:p w14:paraId="14C3148E" w14:textId="5F762E5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57" w:history="1">
        <w:r w:rsidRPr="00CB4F47">
          <w:rPr>
            <w:rFonts w:cs="Arial"/>
            <w:sz w:val="16"/>
            <w:szCs w:val="16"/>
          </w:rPr>
          <w:t>RS,</w:t>
        </w:r>
      </w:hyperlink>
      <w:r w:rsidRPr="00CB4F47">
        <w:rPr>
          <w:rFonts w:cs="Arial"/>
          <w:sz w:val="16"/>
          <w:szCs w:val="16"/>
        </w:rPr>
        <w:t xml:space="preserve"> </w:t>
      </w:r>
      <w:hyperlink r:id="rId58"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59" w:history="1">
        <w:r w:rsidRPr="00CB4F47">
          <w:rPr>
            <w:rFonts w:cs="Arial"/>
            <w:sz w:val="16"/>
            <w:szCs w:val="16"/>
          </w:rPr>
          <w:t>Victoria University Press</w:t>
        </w:r>
      </w:hyperlink>
      <w:r w:rsidRPr="00CB4F47">
        <w:rPr>
          <w:rFonts w:cs="Arial"/>
          <w:sz w:val="16"/>
          <w:szCs w:val="16"/>
        </w:rPr>
        <w:t>, 2009, page 105</w:t>
      </w:r>
      <w:r>
        <w:rPr>
          <w:rFonts w:cs="Arial"/>
          <w:sz w:val="16"/>
          <w:szCs w:val="16"/>
        </w:rPr>
        <w:t>)</w:t>
      </w:r>
      <w:r w:rsidRPr="00CB4F47">
        <w:rPr>
          <w:rFonts w:cs="Arial"/>
          <w:sz w:val="16"/>
          <w:szCs w:val="16"/>
        </w:rPr>
        <w:t>.</w:t>
      </w:r>
    </w:p>
  </w:endnote>
  <w:endnote w:id="240">
    <w:p w14:paraId="1AF851DF" w14:textId="3F94037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w:t>
      </w:r>
      <w:hyperlink r:id="rId60" w:history="1">
        <w:r w:rsidRPr="00CB4F47">
          <w:rPr>
            <w:rFonts w:cs="Arial"/>
            <w:sz w:val="16"/>
            <w:szCs w:val="16"/>
          </w:rPr>
          <w:t>RS,</w:t>
        </w:r>
      </w:hyperlink>
      <w:r w:rsidRPr="00CB4F47">
        <w:rPr>
          <w:rFonts w:cs="Arial"/>
          <w:sz w:val="16"/>
          <w:szCs w:val="16"/>
        </w:rPr>
        <w:t xml:space="preserve"> </w:t>
      </w:r>
      <w:hyperlink r:id="rId61"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62" w:history="1">
        <w:r w:rsidRPr="00CB4F47">
          <w:rPr>
            <w:rFonts w:cs="Arial"/>
            <w:sz w:val="16"/>
            <w:szCs w:val="16"/>
          </w:rPr>
          <w:t>Victoria University Press</w:t>
        </w:r>
      </w:hyperlink>
      <w:r w:rsidRPr="00CB4F47">
        <w:rPr>
          <w:rFonts w:cs="Arial"/>
          <w:sz w:val="16"/>
          <w:szCs w:val="16"/>
        </w:rPr>
        <w:t>, 2009, page 89</w:t>
      </w:r>
      <w:r>
        <w:rPr>
          <w:rFonts w:cs="Arial"/>
          <w:sz w:val="16"/>
          <w:szCs w:val="16"/>
        </w:rPr>
        <w:t>)</w:t>
      </w:r>
      <w:r w:rsidRPr="00CB4F47">
        <w:rPr>
          <w:rFonts w:cs="Arial"/>
          <w:sz w:val="16"/>
          <w:szCs w:val="16"/>
        </w:rPr>
        <w:t>.</w:t>
      </w:r>
    </w:p>
  </w:endnote>
  <w:endnote w:id="241">
    <w:p w14:paraId="43699A06" w14:textId="4C6A6A8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Hunn, JK, Report on Department of Māori Affairs: with statistical supplement, 24 August 1960 (Government Printer, 1961), in Hill, RS, Māori and the State: Crown-Māori </w:t>
      </w:r>
      <w:r>
        <w:rPr>
          <w:rFonts w:cs="Arial"/>
          <w:sz w:val="16"/>
          <w:szCs w:val="16"/>
        </w:rPr>
        <w:t>r</w:t>
      </w:r>
      <w:r w:rsidRPr="00CB4F47">
        <w:rPr>
          <w:rFonts w:cs="Arial"/>
          <w:sz w:val="16"/>
          <w:szCs w:val="16"/>
        </w:rPr>
        <w:t>elations in Aotearoa New Zealand 1950–2000 (Victoria University Press, 2009, page 91</w:t>
      </w:r>
      <w:r>
        <w:rPr>
          <w:rFonts w:cs="Arial"/>
          <w:sz w:val="16"/>
          <w:szCs w:val="16"/>
        </w:rPr>
        <w:t>)</w:t>
      </w:r>
      <w:r w:rsidRPr="00CB4F47">
        <w:rPr>
          <w:rFonts w:cs="Arial"/>
          <w:sz w:val="16"/>
          <w:szCs w:val="16"/>
        </w:rPr>
        <w:t>.</w:t>
      </w:r>
    </w:p>
  </w:endnote>
  <w:endnote w:id="242">
    <w:p w14:paraId="43CC8892" w14:textId="51320328" w:rsidR="00FE4E56" w:rsidRDefault="00FE4E56">
      <w:pPr>
        <w:pStyle w:val="EndnoteText"/>
      </w:pPr>
      <w:r>
        <w:rPr>
          <w:rStyle w:val="EndnoteReference"/>
        </w:rPr>
        <w:endnoteRef/>
      </w:r>
      <w:r>
        <w:t xml:space="preserve"> </w:t>
      </w:r>
      <w:r w:rsidRPr="00CB4F47">
        <w:rPr>
          <w:rFonts w:cs="Arial"/>
          <w:sz w:val="16"/>
          <w:szCs w:val="16"/>
        </w:rPr>
        <w:t xml:space="preserve">Hill, </w:t>
      </w:r>
      <w:hyperlink r:id="rId63" w:history="1">
        <w:r w:rsidRPr="00CB4F47">
          <w:rPr>
            <w:rFonts w:cs="Arial"/>
            <w:sz w:val="16"/>
            <w:szCs w:val="16"/>
          </w:rPr>
          <w:t>RS,</w:t>
        </w:r>
      </w:hyperlink>
      <w:r w:rsidRPr="00CB4F47">
        <w:rPr>
          <w:rFonts w:cs="Arial"/>
          <w:sz w:val="16"/>
          <w:szCs w:val="16"/>
        </w:rPr>
        <w:t xml:space="preserve"> </w:t>
      </w:r>
      <w:hyperlink r:id="rId64" w:history="1">
        <w:r w:rsidRPr="00CB4F47">
          <w:rPr>
            <w:rFonts w:cs="Arial"/>
            <w:sz w:val="16"/>
            <w:szCs w:val="16"/>
          </w:rPr>
          <w:t>Māori and the State: Crown-Māori relations in New Zealand/Aotearoa, 1950–2000</w:t>
        </w:r>
      </w:hyperlink>
      <w:r w:rsidRPr="00CB4F47">
        <w:rPr>
          <w:rFonts w:cs="Arial"/>
          <w:sz w:val="16"/>
          <w:szCs w:val="16"/>
        </w:rPr>
        <w:t xml:space="preserve"> (</w:t>
      </w:r>
      <w:hyperlink r:id="rId65" w:history="1">
        <w:r w:rsidRPr="00CB4F47">
          <w:rPr>
            <w:rFonts w:cs="Arial"/>
            <w:sz w:val="16"/>
            <w:szCs w:val="16"/>
          </w:rPr>
          <w:t>Victoria University Press</w:t>
        </w:r>
      </w:hyperlink>
      <w:r w:rsidRPr="00CB4F47">
        <w:rPr>
          <w:rFonts w:cs="Arial"/>
          <w:sz w:val="16"/>
          <w:szCs w:val="16"/>
        </w:rPr>
        <w:t xml:space="preserve">, 2009, page </w:t>
      </w:r>
      <w:r>
        <w:rPr>
          <w:rFonts w:cs="Arial"/>
          <w:sz w:val="16"/>
          <w:szCs w:val="16"/>
        </w:rPr>
        <w:t>9</w:t>
      </w:r>
      <w:r w:rsidRPr="00CB4F47">
        <w:rPr>
          <w:rFonts w:cs="Arial"/>
          <w:sz w:val="16"/>
          <w:szCs w:val="16"/>
        </w:rPr>
        <w:t>9</w:t>
      </w:r>
      <w:r>
        <w:rPr>
          <w:rFonts w:cs="Arial"/>
          <w:sz w:val="16"/>
          <w:szCs w:val="16"/>
        </w:rPr>
        <w:t>)</w:t>
      </w:r>
      <w:r w:rsidRPr="00CB4F47">
        <w:rPr>
          <w:rFonts w:cs="Arial"/>
          <w:sz w:val="16"/>
          <w:szCs w:val="16"/>
        </w:rPr>
        <w:t>.</w:t>
      </w:r>
    </w:p>
  </w:endnote>
  <w:endnote w:id="243">
    <w:p w14:paraId="39576B2E" w14:textId="3671AEC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Sullivan, M &amp; Stace, H, A brief history of disability in Aotearoa New Zealand (Office for Disability Issues, 2020, page 9</w:t>
      </w:r>
      <w:r>
        <w:rPr>
          <w:rFonts w:cs="Arial"/>
          <w:sz w:val="16"/>
          <w:szCs w:val="16"/>
        </w:rPr>
        <w:t>)</w:t>
      </w:r>
      <w:r w:rsidRPr="00CB4F47">
        <w:rPr>
          <w:rFonts w:cs="Arial"/>
          <w:sz w:val="16"/>
          <w:szCs w:val="16"/>
        </w:rPr>
        <w:t>.</w:t>
      </w:r>
    </w:p>
  </w:endnote>
  <w:endnote w:id="244">
    <w:p w14:paraId="3DA42346" w14:textId="48172FC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Aitken, RS, Caughley, JG, Lopdell, FC, McLeod, GL, Robertson, JM, Tothill, GM &amp; Hull, DN, Intellectually </w:t>
      </w:r>
      <w:r>
        <w:rPr>
          <w:rFonts w:cs="Arial"/>
          <w:sz w:val="16"/>
          <w:szCs w:val="16"/>
        </w:rPr>
        <w:t>h</w:t>
      </w:r>
      <w:r w:rsidRPr="00CB4F47">
        <w:rPr>
          <w:rFonts w:cs="Arial"/>
          <w:sz w:val="16"/>
          <w:szCs w:val="16"/>
        </w:rPr>
        <w:t xml:space="preserve">andicapped </w:t>
      </w:r>
      <w:r>
        <w:rPr>
          <w:rFonts w:cs="Arial"/>
          <w:sz w:val="16"/>
          <w:szCs w:val="16"/>
        </w:rPr>
        <w:t>c</w:t>
      </w:r>
      <w:r w:rsidRPr="00CB4F47">
        <w:rPr>
          <w:rFonts w:cs="Arial"/>
          <w:sz w:val="16"/>
          <w:szCs w:val="16"/>
        </w:rPr>
        <w:t xml:space="preserve">hildren </w:t>
      </w:r>
      <w:r>
        <w:rPr>
          <w:rFonts w:cs="Arial"/>
          <w:sz w:val="16"/>
          <w:szCs w:val="16"/>
        </w:rPr>
        <w:t>r</w:t>
      </w:r>
      <w:r w:rsidRPr="00CB4F47">
        <w:rPr>
          <w:rFonts w:cs="Arial"/>
          <w:sz w:val="16"/>
          <w:szCs w:val="16"/>
        </w:rPr>
        <w:t xml:space="preserve">eport: Report of the </w:t>
      </w:r>
      <w:r>
        <w:rPr>
          <w:rFonts w:cs="Arial"/>
          <w:sz w:val="16"/>
          <w:szCs w:val="16"/>
        </w:rPr>
        <w:t>c</w:t>
      </w:r>
      <w:r w:rsidRPr="00CB4F47">
        <w:rPr>
          <w:rFonts w:cs="Arial"/>
          <w:sz w:val="16"/>
          <w:szCs w:val="16"/>
        </w:rPr>
        <w:t xml:space="preserve">onsultative </w:t>
      </w:r>
      <w:r>
        <w:rPr>
          <w:rFonts w:cs="Arial"/>
          <w:sz w:val="16"/>
          <w:szCs w:val="16"/>
        </w:rPr>
        <w:t>c</w:t>
      </w:r>
      <w:r w:rsidRPr="00CB4F47">
        <w:rPr>
          <w:rFonts w:cs="Arial"/>
          <w:sz w:val="16"/>
          <w:szCs w:val="16"/>
        </w:rPr>
        <w:t>ommittee set up by the Minister of Education in August 1951 (Department of Education, 1953, page 38</w:t>
      </w:r>
      <w:r>
        <w:rPr>
          <w:rFonts w:cs="Arial"/>
          <w:sz w:val="16"/>
          <w:szCs w:val="16"/>
        </w:rPr>
        <w:t>)</w:t>
      </w:r>
      <w:r w:rsidRPr="00CB4F47">
        <w:rPr>
          <w:rFonts w:cs="Arial"/>
          <w:sz w:val="16"/>
          <w:szCs w:val="16"/>
        </w:rPr>
        <w:t>.</w:t>
      </w:r>
    </w:p>
  </w:endnote>
  <w:endnote w:id="245">
    <w:p w14:paraId="7599DB76" w14:textId="3C91F44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 xml:space="preserve">Millen, </w:t>
      </w:r>
      <w:r w:rsidRPr="00CB4F47">
        <w:rPr>
          <w:rFonts w:cs="Arial"/>
          <w:sz w:val="16"/>
          <w:szCs w:val="16"/>
        </w:rPr>
        <w:t xml:space="preserve">J, Breaking barriers: IHC’s first 50 years (IHC </w:t>
      </w:r>
      <w:r>
        <w:rPr>
          <w:rFonts w:cs="Arial"/>
          <w:sz w:val="16"/>
          <w:szCs w:val="16"/>
        </w:rPr>
        <w:t>New Zealand,</w:t>
      </w:r>
      <w:r w:rsidRPr="00CB4F47">
        <w:rPr>
          <w:rFonts w:cs="Arial"/>
          <w:sz w:val="16"/>
          <w:szCs w:val="16"/>
        </w:rPr>
        <w:t xml:space="preserve"> </w:t>
      </w:r>
      <w:r w:rsidRPr="00CB4F47">
        <w:rPr>
          <w:rFonts w:eastAsia="Calibri" w:cs="Arial"/>
          <w:sz w:val="16"/>
          <w:szCs w:val="16"/>
        </w:rPr>
        <w:t xml:space="preserve">1999, </w:t>
      </w:r>
      <w:r w:rsidRPr="00CB4F47">
        <w:rPr>
          <w:rFonts w:cs="Arial"/>
          <w:sz w:val="16"/>
          <w:szCs w:val="16"/>
        </w:rPr>
        <w:t>page</w:t>
      </w:r>
      <w:r w:rsidRPr="00CB4F47">
        <w:rPr>
          <w:rFonts w:eastAsia="Calibri" w:cs="Arial"/>
          <w:sz w:val="16"/>
          <w:szCs w:val="16"/>
        </w:rPr>
        <w:t xml:space="preserve"> 45</w:t>
      </w:r>
      <w:r>
        <w:rPr>
          <w:rFonts w:eastAsia="Calibri" w:cs="Arial"/>
          <w:sz w:val="16"/>
          <w:szCs w:val="16"/>
        </w:rPr>
        <w:t>)</w:t>
      </w:r>
      <w:r w:rsidRPr="00CB4F47">
        <w:rPr>
          <w:rFonts w:eastAsia="Calibri" w:cs="Arial"/>
          <w:sz w:val="16"/>
          <w:szCs w:val="16"/>
        </w:rPr>
        <w:t>.</w:t>
      </w:r>
    </w:p>
  </w:endnote>
  <w:endnote w:id="246">
    <w:p w14:paraId="2A852917" w14:textId="4655776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 xml:space="preserve">Millen, </w:t>
      </w:r>
      <w:r w:rsidRPr="00CB4F47">
        <w:rPr>
          <w:rFonts w:cs="Arial"/>
          <w:sz w:val="16"/>
          <w:szCs w:val="16"/>
        </w:rPr>
        <w:t xml:space="preserve">J, Breaking barriers: IHC’s first 50 years (IHC </w:t>
      </w:r>
      <w:r>
        <w:rPr>
          <w:rFonts w:cs="Arial"/>
          <w:sz w:val="16"/>
          <w:szCs w:val="16"/>
        </w:rPr>
        <w:t>New Zealand,</w:t>
      </w:r>
      <w:r w:rsidRPr="00CB4F47">
        <w:rPr>
          <w:rFonts w:cs="Arial"/>
          <w:sz w:val="16"/>
          <w:szCs w:val="16"/>
        </w:rPr>
        <w:t xml:space="preserve"> </w:t>
      </w:r>
      <w:r w:rsidRPr="00CB4F47">
        <w:rPr>
          <w:rFonts w:eastAsia="Calibri" w:cs="Arial"/>
          <w:sz w:val="16"/>
          <w:szCs w:val="16"/>
        </w:rPr>
        <w:t xml:space="preserve">1999, </w:t>
      </w:r>
      <w:r w:rsidRPr="00CB4F47">
        <w:rPr>
          <w:rFonts w:cs="Arial"/>
          <w:sz w:val="16"/>
          <w:szCs w:val="16"/>
        </w:rPr>
        <w:t>page</w:t>
      </w:r>
      <w:r w:rsidRPr="00CB4F47">
        <w:rPr>
          <w:rFonts w:eastAsia="Calibri" w:cs="Arial"/>
          <w:sz w:val="16"/>
          <w:szCs w:val="16"/>
        </w:rPr>
        <w:t xml:space="preserve"> 46</w:t>
      </w:r>
      <w:r>
        <w:rPr>
          <w:rFonts w:eastAsia="Calibri" w:cs="Arial"/>
          <w:sz w:val="16"/>
          <w:szCs w:val="16"/>
        </w:rPr>
        <w:t>)</w:t>
      </w:r>
      <w:r w:rsidRPr="00CB4F47">
        <w:rPr>
          <w:rFonts w:eastAsia="Calibri" w:cs="Arial"/>
          <w:sz w:val="16"/>
          <w:szCs w:val="16"/>
        </w:rPr>
        <w:t>.</w:t>
      </w:r>
    </w:p>
  </w:endnote>
  <w:endnote w:id="247">
    <w:p w14:paraId="2DCBE10D" w14:textId="4E5C4FD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Aitken, RS, Caughley, JG, Lopdell, FC, McLeod, GL, Robertson, JM, Tothill, GM &amp; Hull, DN, Intellectually </w:t>
      </w:r>
      <w:r>
        <w:rPr>
          <w:rFonts w:cs="Arial"/>
          <w:sz w:val="16"/>
          <w:szCs w:val="16"/>
        </w:rPr>
        <w:t>h</w:t>
      </w:r>
      <w:r w:rsidRPr="00CB4F47">
        <w:rPr>
          <w:rFonts w:cs="Arial"/>
          <w:sz w:val="16"/>
          <w:szCs w:val="16"/>
        </w:rPr>
        <w:t xml:space="preserve">andicapped </w:t>
      </w:r>
      <w:r>
        <w:rPr>
          <w:rFonts w:cs="Arial"/>
          <w:sz w:val="16"/>
          <w:szCs w:val="16"/>
        </w:rPr>
        <w:t>c</w:t>
      </w:r>
      <w:r w:rsidRPr="00CB4F47">
        <w:rPr>
          <w:rFonts w:cs="Arial"/>
          <w:sz w:val="16"/>
          <w:szCs w:val="16"/>
        </w:rPr>
        <w:t xml:space="preserve">hildren </w:t>
      </w:r>
      <w:r>
        <w:rPr>
          <w:rFonts w:cs="Arial"/>
          <w:sz w:val="16"/>
          <w:szCs w:val="16"/>
        </w:rPr>
        <w:t>r</w:t>
      </w:r>
      <w:r w:rsidRPr="00CB4F47">
        <w:rPr>
          <w:rFonts w:cs="Arial"/>
          <w:sz w:val="16"/>
          <w:szCs w:val="16"/>
        </w:rPr>
        <w:t xml:space="preserve">eport: Report of the </w:t>
      </w:r>
      <w:r>
        <w:rPr>
          <w:rFonts w:cs="Arial"/>
          <w:sz w:val="16"/>
          <w:szCs w:val="16"/>
        </w:rPr>
        <w:t>c</w:t>
      </w:r>
      <w:r w:rsidRPr="00CB4F47">
        <w:rPr>
          <w:rFonts w:cs="Arial"/>
          <w:sz w:val="16"/>
          <w:szCs w:val="16"/>
        </w:rPr>
        <w:t xml:space="preserve">onsultative </w:t>
      </w:r>
      <w:r>
        <w:rPr>
          <w:rFonts w:cs="Arial"/>
          <w:sz w:val="16"/>
          <w:szCs w:val="16"/>
        </w:rPr>
        <w:t>c</w:t>
      </w:r>
      <w:r w:rsidRPr="00CB4F47">
        <w:rPr>
          <w:rFonts w:cs="Arial"/>
          <w:sz w:val="16"/>
          <w:szCs w:val="16"/>
        </w:rPr>
        <w:t>ommittee set up by the Minister of Education in August 1951 (Department of Education, 1953).</w:t>
      </w:r>
    </w:p>
  </w:endnote>
  <w:endnote w:id="248">
    <w:p w14:paraId="658ACDA6" w14:textId="1AD8F95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w:t>
      </w:r>
      <w:r>
        <w:rPr>
          <w:rFonts w:cs="Arial"/>
          <w:sz w:val="16"/>
          <w:szCs w:val="16"/>
        </w:rPr>
        <w:t xml:space="preserve">Dr </w:t>
      </w:r>
      <w:r w:rsidRPr="00CB4F47">
        <w:rPr>
          <w:rFonts w:cs="Arial"/>
          <w:sz w:val="16"/>
          <w:szCs w:val="16"/>
        </w:rPr>
        <w:t>Hilary Stace (1 November 2019, paras 11–12</w:t>
      </w:r>
      <w:r w:rsidRPr="00CB4F47" w:rsidDel="00477CD1">
        <w:rPr>
          <w:rFonts w:cs="Arial"/>
          <w:sz w:val="16"/>
          <w:szCs w:val="16"/>
        </w:rPr>
        <w:t>)</w:t>
      </w:r>
      <w:r w:rsidRPr="00CB4F47">
        <w:rPr>
          <w:rFonts w:cs="Arial"/>
          <w:sz w:val="16"/>
          <w:szCs w:val="16"/>
        </w:rPr>
        <w:t>.</w:t>
      </w:r>
    </w:p>
  </w:endnote>
  <w:endnote w:id="249">
    <w:p w14:paraId="3D0AC93C" w14:textId="77777777" w:rsidR="00FE4E56" w:rsidRPr="00CB4F47" w:rsidRDefault="00FE4E56" w:rsidP="00183B3D">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Woodhouse, A, Bockett, H &amp; Parsons, G, Report of the Royal Commission of Inquiry, Compensation for personal injury in New Zealand (Government Printer</w:t>
      </w:r>
      <w:r w:rsidRPr="00CB4F47" w:rsidDel="00724482">
        <w:rPr>
          <w:rFonts w:cs="Arial"/>
          <w:sz w:val="16"/>
          <w:szCs w:val="16"/>
        </w:rPr>
        <w:t xml:space="preserve">, </w:t>
      </w:r>
      <w:r w:rsidRPr="00CB4F47">
        <w:rPr>
          <w:rFonts w:cs="Arial"/>
          <w:sz w:val="16"/>
          <w:szCs w:val="16"/>
        </w:rPr>
        <w:t>1967, page 12</w:t>
      </w:r>
      <w:r>
        <w:rPr>
          <w:rFonts w:cs="Arial"/>
          <w:sz w:val="16"/>
          <w:szCs w:val="16"/>
        </w:rPr>
        <w:t>)</w:t>
      </w:r>
      <w:r w:rsidRPr="00CB4F47">
        <w:rPr>
          <w:rFonts w:cs="Arial"/>
          <w:sz w:val="16"/>
          <w:szCs w:val="16"/>
        </w:rPr>
        <w:t xml:space="preserve">. </w:t>
      </w:r>
    </w:p>
  </w:endnote>
  <w:endnote w:id="250">
    <w:p w14:paraId="61D6DB5C" w14:textId="77777777" w:rsidR="00FE4E56" w:rsidRPr="00CB4F47" w:rsidRDefault="00FE4E56" w:rsidP="00183B3D">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Forster, W, Removing disabling experiences: a vision for the future of our people (New Zealand Law Foundation, 2022, foreword, page 1</w:t>
      </w:r>
      <w:r>
        <w:rPr>
          <w:rFonts w:cs="Arial"/>
          <w:sz w:val="16"/>
          <w:szCs w:val="16"/>
        </w:rPr>
        <w:t>)</w:t>
      </w:r>
      <w:r w:rsidRPr="00CB4F47">
        <w:rPr>
          <w:rFonts w:cs="Arial"/>
          <w:sz w:val="16"/>
          <w:szCs w:val="16"/>
        </w:rPr>
        <w:t>.</w:t>
      </w:r>
    </w:p>
  </w:endnote>
  <w:endnote w:id="251">
    <w:p w14:paraId="1DEB9436" w14:textId="77777777" w:rsidR="00FE4E56" w:rsidRPr="00CB4F47" w:rsidRDefault="00FE4E56" w:rsidP="003046AA">
      <w:pPr>
        <w:pStyle w:val="EndnoteText"/>
        <w:spacing w:line="20" w:lineRule="atLeast"/>
        <w:rPr>
          <w:rFonts w:cs="Arial"/>
          <w:kern w:val="2"/>
          <w:sz w:val="16"/>
          <w:szCs w:val="16"/>
          <w:u w:val="single"/>
          <w14:ligatures w14:val="standardContextual"/>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kern w:val="2"/>
          <w:sz w:val="16"/>
          <w:szCs w:val="16"/>
          <w14:ligatures w14:val="standardContextual"/>
        </w:rPr>
        <w:t xml:space="preserve">Accident Compensation Corporation. Our history, </w:t>
      </w:r>
      <w:r w:rsidRPr="00CB4F47">
        <w:rPr>
          <w:rFonts w:cs="Arial"/>
          <w:color w:val="000000"/>
          <w:sz w:val="16"/>
          <w:szCs w:val="16"/>
        </w:rPr>
        <w:t>(</w:t>
      </w:r>
      <w:r w:rsidRPr="00CB4F47">
        <w:rPr>
          <w:rFonts w:cs="Arial"/>
          <w:sz w:val="16"/>
          <w:szCs w:val="16"/>
        </w:rPr>
        <w:t>ACC, 2018)</w:t>
      </w:r>
      <w:r>
        <w:rPr>
          <w:rFonts w:cs="Arial"/>
          <w:sz w:val="16"/>
          <w:szCs w:val="16"/>
        </w:rPr>
        <w:t>,</w:t>
      </w:r>
      <w:r w:rsidRPr="00CB4F47">
        <w:rPr>
          <w:rFonts w:cs="Arial"/>
          <w:sz w:val="16"/>
          <w:szCs w:val="16"/>
        </w:rPr>
        <w:t xml:space="preserve"> </w:t>
      </w:r>
      <w:hyperlink r:id="rId66" w:anchor="1972--the-accident-compensation-act" w:history="1">
        <w:r w:rsidRPr="00CB4F47">
          <w:rPr>
            <w:rStyle w:val="Hyperlink"/>
            <w:rFonts w:cs="Arial"/>
            <w:kern w:val="2"/>
            <w:sz w:val="16"/>
            <w:szCs w:val="16"/>
            <w14:ligatures w14:val="standardContextual"/>
          </w:rPr>
          <w:t>https://www.acc.co.nz/about-us/who-we-are/our-history/#1972--the-accident-compensation-act</w:t>
        </w:r>
      </w:hyperlink>
      <w:r w:rsidRPr="00CB4F47">
        <w:rPr>
          <w:rFonts w:cs="Arial"/>
          <w:kern w:val="2"/>
          <w:sz w:val="16"/>
          <w:szCs w:val="16"/>
          <w14:ligatures w14:val="standardContextual"/>
        </w:rPr>
        <w:t>.</w:t>
      </w:r>
      <w:r w:rsidRPr="00CB4F47">
        <w:rPr>
          <w:rFonts w:cs="Arial"/>
          <w:sz w:val="16"/>
          <w:szCs w:val="16"/>
        </w:rPr>
        <w:t xml:space="preserve"> </w:t>
      </w:r>
    </w:p>
  </w:endnote>
  <w:endnote w:id="252">
    <w:p w14:paraId="208754F7" w14:textId="77777777" w:rsidR="00FE4E56" w:rsidRPr="00F61A43" w:rsidRDefault="00FE4E56" w:rsidP="00FD7498">
      <w:pPr>
        <w:pStyle w:val="EndnoteText"/>
        <w:rPr>
          <w:sz w:val="16"/>
          <w:szCs w:val="16"/>
        </w:rPr>
      </w:pPr>
      <w:r w:rsidRPr="00536E67">
        <w:rPr>
          <w:rStyle w:val="StyleFootnoteReferenceFagoFunotenzeichenFagoFunotenzeichen"/>
          <w:sz w:val="16"/>
          <w:szCs w:val="16"/>
        </w:rPr>
        <w:endnoteRef/>
      </w:r>
      <w:r w:rsidRPr="00F61A43">
        <w:rPr>
          <w:sz w:val="16"/>
          <w:szCs w:val="16"/>
        </w:rPr>
        <w:t xml:space="preserve"> Durie, M, Mauri ora: The dynamics of Maori health (Oxford University Press, 2001, page 19</w:t>
      </w:r>
      <w:r>
        <w:rPr>
          <w:sz w:val="16"/>
          <w:szCs w:val="16"/>
        </w:rPr>
        <w:t>)</w:t>
      </w:r>
      <w:r w:rsidRPr="003D7BC4">
        <w:rPr>
          <w:sz w:val="16"/>
          <w:szCs w:val="16"/>
        </w:rPr>
        <w:t>.</w:t>
      </w:r>
    </w:p>
  </w:endnote>
  <w:endnote w:id="253">
    <w:p w14:paraId="02D33870" w14:textId="1F53F451" w:rsidR="00FE4E56" w:rsidRPr="00F61A43" w:rsidRDefault="00FE4E56" w:rsidP="00FD7498">
      <w:pPr>
        <w:pStyle w:val="EndnoteText"/>
        <w:rPr>
          <w:sz w:val="16"/>
          <w:szCs w:val="16"/>
        </w:rPr>
      </w:pPr>
      <w:r w:rsidRPr="00536E67">
        <w:rPr>
          <w:rStyle w:val="StyleFootnoteReferenceFagoFunotenzeichenFagoFunotenzeichen"/>
          <w:sz w:val="16"/>
          <w:szCs w:val="16"/>
        </w:rPr>
        <w:endnoteRef/>
      </w:r>
      <w:r w:rsidRPr="00F61A43">
        <w:rPr>
          <w:sz w:val="16"/>
          <w:szCs w:val="16"/>
        </w:rPr>
        <w:t xml:space="preserve"> </w:t>
      </w:r>
      <w:r w:rsidRPr="003D7BC4">
        <w:rPr>
          <w:sz w:val="16"/>
          <w:szCs w:val="16"/>
        </w:rPr>
        <w:t>Stat</w:t>
      </w:r>
      <w:r>
        <w:rPr>
          <w:sz w:val="16"/>
          <w:szCs w:val="16"/>
        </w:rPr>
        <w:t>s</w:t>
      </w:r>
      <w:r w:rsidRPr="00F61A43">
        <w:rPr>
          <w:sz w:val="16"/>
          <w:szCs w:val="16"/>
        </w:rPr>
        <w:t xml:space="preserve"> NZ, New Zealand </w:t>
      </w:r>
      <w:r>
        <w:rPr>
          <w:sz w:val="16"/>
          <w:szCs w:val="16"/>
        </w:rPr>
        <w:t>O</w:t>
      </w:r>
      <w:r w:rsidRPr="00F61A43">
        <w:rPr>
          <w:sz w:val="16"/>
          <w:szCs w:val="16"/>
        </w:rPr>
        <w:t xml:space="preserve">fficial </w:t>
      </w:r>
      <w:r>
        <w:rPr>
          <w:sz w:val="16"/>
          <w:szCs w:val="16"/>
        </w:rPr>
        <w:t>Y</w:t>
      </w:r>
      <w:r w:rsidRPr="00F61A43">
        <w:rPr>
          <w:sz w:val="16"/>
          <w:szCs w:val="16"/>
        </w:rPr>
        <w:t xml:space="preserve">earbook </w:t>
      </w:r>
      <w:r>
        <w:rPr>
          <w:sz w:val="16"/>
          <w:szCs w:val="16"/>
        </w:rPr>
        <w:t>1955.</w:t>
      </w:r>
      <w:r w:rsidRPr="00F61A43">
        <w:rPr>
          <w:sz w:val="16"/>
          <w:szCs w:val="16"/>
        </w:rPr>
        <w:t xml:space="preserve"> </w:t>
      </w:r>
    </w:p>
  </w:endnote>
  <w:endnote w:id="254">
    <w:p w14:paraId="45C1DC89" w14:textId="1F2A2529" w:rsidR="00FE4E56" w:rsidRPr="00536E67" w:rsidRDefault="00FE4E56" w:rsidP="00250F90">
      <w:pPr>
        <w:pStyle w:val="EndnoteText"/>
        <w:rPr>
          <w:sz w:val="16"/>
          <w:szCs w:val="16"/>
        </w:rPr>
      </w:pPr>
      <w:r w:rsidRPr="00536E67">
        <w:rPr>
          <w:rStyle w:val="StyleFootnoteReferenceFagoFunotenzeichenFagoFunotenzeichen"/>
          <w:sz w:val="16"/>
          <w:szCs w:val="16"/>
        </w:rPr>
        <w:endnoteRef/>
      </w:r>
      <w:r w:rsidRPr="00F61A43">
        <w:rPr>
          <w:sz w:val="16"/>
          <w:szCs w:val="16"/>
        </w:rPr>
        <w:t xml:space="preserve"> </w:t>
      </w:r>
      <w:r w:rsidRPr="00B45EFD">
        <w:rPr>
          <w:rFonts w:cs="Arial"/>
          <w:sz w:val="16"/>
          <w:szCs w:val="16"/>
        </w:rPr>
        <w:t>Brunton, W, Mental health services</w:t>
      </w:r>
      <w:r>
        <w:rPr>
          <w:rFonts w:cs="Arial"/>
          <w:sz w:val="16"/>
          <w:szCs w:val="16"/>
        </w:rPr>
        <w:t>:</w:t>
      </w:r>
      <w:r w:rsidRPr="00B45EFD">
        <w:rPr>
          <w:rFonts w:cs="Arial"/>
          <w:sz w:val="16"/>
          <w:szCs w:val="16"/>
        </w:rPr>
        <w:t xml:space="preserve"> Lunatic asylums, 1840s to 1900s (Te Ara – The Encyclopaedia of New Zealand, 2011</w:t>
      </w:r>
      <w:r>
        <w:rPr>
          <w:sz w:val="16"/>
          <w:szCs w:val="16"/>
        </w:rPr>
        <w:t>, page 2</w:t>
      </w:r>
      <w:r w:rsidRPr="00D101EF">
        <w:rPr>
          <w:sz w:val="16"/>
          <w:szCs w:val="16"/>
        </w:rPr>
        <w:t>)</w:t>
      </w:r>
      <w:r>
        <w:rPr>
          <w:sz w:val="16"/>
          <w:szCs w:val="16"/>
        </w:rPr>
        <w:t xml:space="preserve">, </w:t>
      </w:r>
      <w:hyperlink r:id="rId67" w:history="1">
        <w:r w:rsidRPr="008E47F4">
          <w:rPr>
            <w:rStyle w:val="Hyperlink"/>
            <w:sz w:val="16"/>
            <w:szCs w:val="16"/>
          </w:rPr>
          <w:t>https://teara.govt.nz/en/mental-health-services/page-2</w:t>
        </w:r>
      </w:hyperlink>
      <w:r w:rsidRPr="00D101EF">
        <w:rPr>
          <w:sz w:val="16"/>
          <w:szCs w:val="16"/>
        </w:rPr>
        <w:t>.</w:t>
      </w:r>
    </w:p>
  </w:endnote>
  <w:endnote w:id="255">
    <w:p w14:paraId="7C0F8F89" w14:textId="3EF96508" w:rsidR="00FE4E56" w:rsidRPr="00086CAB" w:rsidRDefault="00FE4E56" w:rsidP="004A3688">
      <w:pPr>
        <w:pStyle w:val="EndnoteText"/>
        <w:rPr>
          <w:rFonts w:cs="Arial"/>
          <w:szCs w:val="18"/>
        </w:rPr>
      </w:pPr>
      <w:r w:rsidRPr="00086CAB">
        <w:rPr>
          <w:rStyle w:val="EndnoteReference"/>
          <w:szCs w:val="18"/>
        </w:rPr>
        <w:endnoteRef/>
      </w:r>
      <w:r w:rsidRPr="00086CAB">
        <w:rPr>
          <w:rFonts w:cs="Arial"/>
          <w:szCs w:val="18"/>
        </w:rPr>
        <w:t xml:space="preserve"> </w:t>
      </w:r>
      <w:r w:rsidRPr="001142DD">
        <w:rPr>
          <w:rFonts w:cs="Arial"/>
          <w:sz w:val="16"/>
          <w:szCs w:val="16"/>
        </w:rPr>
        <w:t>Stewart, PA, To turn the key: The history of deaf education in New Zealand,</w:t>
      </w:r>
      <w:r w:rsidRPr="001142DD">
        <w:rPr>
          <w:rFonts w:cs="Arial"/>
          <w:i/>
          <w:sz w:val="16"/>
          <w:szCs w:val="16"/>
        </w:rPr>
        <w:t xml:space="preserve"> </w:t>
      </w:r>
      <w:r w:rsidRPr="001142DD">
        <w:rPr>
          <w:rFonts w:cs="Arial"/>
          <w:sz w:val="16"/>
          <w:szCs w:val="16"/>
        </w:rPr>
        <w:t>Unpublished Master’s Thesis, University of Otago (1982, page 211).</w:t>
      </w:r>
    </w:p>
  </w:endnote>
  <w:endnote w:id="256">
    <w:p w14:paraId="56C8D34C" w14:textId="55C0DCB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Tigilau Ness (11 June 2021, pages 4–5</w:t>
      </w:r>
      <w:r>
        <w:rPr>
          <w:rFonts w:cs="Arial"/>
          <w:sz w:val="16"/>
          <w:szCs w:val="16"/>
        </w:rPr>
        <w:t>)</w:t>
      </w:r>
      <w:r w:rsidRPr="00CB4F47">
        <w:rPr>
          <w:rFonts w:cs="Arial"/>
          <w:sz w:val="16"/>
          <w:szCs w:val="16"/>
        </w:rPr>
        <w:t>.</w:t>
      </w:r>
    </w:p>
  </w:endnote>
  <w:endnote w:id="257">
    <w:p w14:paraId="0A2AA405" w14:textId="78D7CDA3" w:rsidR="00FE4E56" w:rsidRDefault="00FE4E56">
      <w:pPr>
        <w:pStyle w:val="EndnoteText"/>
      </w:pPr>
      <w:r>
        <w:rPr>
          <w:rStyle w:val="EndnoteReference"/>
        </w:rPr>
        <w:endnoteRef/>
      </w:r>
      <w:r>
        <w:t xml:space="preserve"> </w:t>
      </w:r>
      <w:r w:rsidRPr="00CB4F47">
        <w:rPr>
          <w:rFonts w:cs="Arial"/>
          <w:sz w:val="16"/>
          <w:szCs w:val="16"/>
        </w:rPr>
        <w:t>Witness statement of Tigilau Ness (11 June 2021, pages 4–5</w:t>
      </w:r>
      <w:r>
        <w:rPr>
          <w:rFonts w:cs="Arial"/>
          <w:sz w:val="16"/>
          <w:szCs w:val="16"/>
        </w:rPr>
        <w:t>)</w:t>
      </w:r>
      <w:r w:rsidRPr="00CB4F47">
        <w:rPr>
          <w:rFonts w:cs="Arial"/>
          <w:sz w:val="16"/>
          <w:szCs w:val="16"/>
        </w:rPr>
        <w:t>.</w:t>
      </w:r>
    </w:p>
  </w:endnote>
  <w:endnote w:id="258">
    <w:p w14:paraId="3E66769B" w14:textId="6B554109" w:rsidR="00FE4E56" w:rsidRPr="00536E67" w:rsidRDefault="00FE4E56">
      <w:pPr>
        <w:pStyle w:val="EndnoteText"/>
        <w:rPr>
          <w:sz w:val="16"/>
          <w:szCs w:val="16"/>
        </w:rPr>
      </w:pPr>
      <w:r w:rsidRPr="00536E67">
        <w:rPr>
          <w:rStyle w:val="StyleFootnoteReferenceFagoFunotenzeichenFagoFunotenzeichen"/>
          <w:sz w:val="16"/>
          <w:szCs w:val="16"/>
        </w:rPr>
        <w:endnoteRef/>
      </w:r>
      <w:r w:rsidRPr="006B54FF">
        <w:rPr>
          <w:sz w:val="16"/>
          <w:szCs w:val="16"/>
        </w:rPr>
        <w:t xml:space="preserve"> </w:t>
      </w:r>
      <w:r w:rsidRPr="006B54FF">
        <w:rPr>
          <w:sz w:val="16"/>
          <w:szCs w:val="16"/>
          <w:shd w:val="clear" w:color="auto" w:fill="FFFFFF"/>
        </w:rPr>
        <w:t>M</w:t>
      </w:r>
      <w:r w:rsidRPr="006B54FF">
        <w:rPr>
          <w:rStyle w:val="normaltextrun"/>
          <w:sz w:val="16"/>
          <w:szCs w:val="16"/>
          <w:shd w:val="clear" w:color="auto" w:fill="FFFFFF"/>
        </w:rPr>
        <w:t xml:space="preserve">itchell, J, Immigration and national identity in 1970s New Zealand (University of Otago, 2003, </w:t>
      </w:r>
      <w:r w:rsidRPr="006B54FF">
        <w:rPr>
          <w:rStyle w:val="eop"/>
          <w:sz w:val="16"/>
          <w:szCs w:val="16"/>
          <w:shd w:val="clear" w:color="auto" w:fill="FFFFFF"/>
        </w:rPr>
        <w:t>page 4</w:t>
      </w:r>
      <w:r>
        <w:rPr>
          <w:rStyle w:val="eop"/>
          <w:sz w:val="16"/>
          <w:szCs w:val="16"/>
          <w:shd w:val="clear" w:color="auto" w:fill="FFFFFF"/>
        </w:rPr>
        <w:t>).</w:t>
      </w:r>
    </w:p>
  </w:endnote>
  <w:endnote w:id="259">
    <w:p w14:paraId="10CE59D9" w14:textId="46E58CC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Dalley, B, </w:t>
      </w:r>
      <w:r w:rsidRPr="00CB4F47">
        <w:rPr>
          <w:rFonts w:eastAsia="Calibri" w:cs="Arial"/>
          <w:sz w:val="16"/>
          <w:szCs w:val="16"/>
        </w:rPr>
        <w:t xml:space="preserve">Family matters: Child welfare in </w:t>
      </w:r>
      <w:r>
        <w:rPr>
          <w:rFonts w:eastAsia="Calibri" w:cs="Arial"/>
          <w:sz w:val="16"/>
          <w:szCs w:val="16"/>
        </w:rPr>
        <w:t>t</w:t>
      </w:r>
      <w:r w:rsidRPr="00CB4F47">
        <w:rPr>
          <w:rFonts w:eastAsia="Calibri" w:cs="Arial"/>
          <w:sz w:val="16"/>
          <w:szCs w:val="16"/>
        </w:rPr>
        <w:t>wentieth-century New Zealand (Auckland University Press, 1998</w:t>
      </w:r>
      <w:r w:rsidRPr="00CB4F47">
        <w:rPr>
          <w:rFonts w:cs="Arial"/>
          <w:sz w:val="16"/>
          <w:szCs w:val="16"/>
        </w:rPr>
        <w:t>, pages 178–181</w:t>
      </w:r>
      <w:r>
        <w:rPr>
          <w:rFonts w:cs="Arial"/>
          <w:sz w:val="16"/>
          <w:szCs w:val="16"/>
        </w:rPr>
        <w:t>)</w:t>
      </w:r>
      <w:r w:rsidRPr="00CB4F47">
        <w:rPr>
          <w:rFonts w:cs="Arial"/>
          <w:sz w:val="16"/>
          <w:szCs w:val="16"/>
        </w:rPr>
        <w:t>.</w:t>
      </w:r>
    </w:p>
  </w:endnote>
  <w:endnote w:id="260">
    <w:p w14:paraId="575994F3" w14:textId="6F56FE9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Brickell, C, Teenagers: The rise of youth culture in New Zealand (Auckland University Press, 2017, page 245</w:t>
      </w:r>
      <w:r>
        <w:rPr>
          <w:rFonts w:cs="Arial"/>
          <w:sz w:val="16"/>
          <w:szCs w:val="16"/>
        </w:rPr>
        <w:t>)</w:t>
      </w:r>
      <w:r w:rsidRPr="00CB4F47">
        <w:rPr>
          <w:rFonts w:cs="Arial"/>
          <w:sz w:val="16"/>
          <w:szCs w:val="16"/>
        </w:rPr>
        <w:t>.</w:t>
      </w:r>
    </w:p>
  </w:endnote>
  <w:endnote w:id="261">
    <w:p w14:paraId="22B4142F" w14:textId="549FCF6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B578D0">
        <w:rPr>
          <w:rFonts w:eastAsia="Calibri" w:cs="Arial"/>
          <w:sz w:val="16"/>
          <w:szCs w:val="16"/>
        </w:rPr>
        <w:t xml:space="preserve">Krzanich, A, Murder, Mazengarb and a moral panic: The intersection of “juvenile delinquency” and the media in 1950s New Zealand, Te Mata Koi Auckland University Law Review, </w:t>
      </w:r>
      <w:r>
        <w:rPr>
          <w:rFonts w:eastAsia="Calibri" w:cs="Arial"/>
          <w:sz w:val="16"/>
          <w:szCs w:val="16"/>
        </w:rPr>
        <w:t xml:space="preserve">Volume </w:t>
      </w:r>
      <w:r w:rsidRPr="00B578D0">
        <w:rPr>
          <w:rFonts w:eastAsia="Calibri" w:cs="Arial"/>
          <w:sz w:val="16"/>
          <w:szCs w:val="16"/>
        </w:rPr>
        <w:t>16</w:t>
      </w:r>
      <w:r w:rsidRPr="00B14DEC">
        <w:rPr>
          <w:rFonts w:eastAsia="Calibri" w:cs="Arial"/>
          <w:sz w:val="16"/>
          <w:szCs w:val="16"/>
        </w:rPr>
        <w:t xml:space="preserve"> </w:t>
      </w:r>
      <w:r w:rsidRPr="00DD5764">
        <w:rPr>
          <w:rFonts w:eastAsia="Calibri" w:cs="Arial"/>
          <w:sz w:val="16"/>
          <w:szCs w:val="16"/>
        </w:rPr>
        <w:t>(</w:t>
      </w:r>
      <w:r w:rsidRPr="00B578D0">
        <w:rPr>
          <w:rFonts w:eastAsia="Calibri" w:cs="Arial"/>
          <w:sz w:val="16"/>
          <w:szCs w:val="16"/>
        </w:rPr>
        <w:t xml:space="preserve">2010, </w:t>
      </w:r>
      <w:r w:rsidRPr="00B578D0">
        <w:rPr>
          <w:rFonts w:cs="Arial"/>
          <w:sz w:val="16"/>
          <w:szCs w:val="16"/>
        </w:rPr>
        <w:t>pages</w:t>
      </w:r>
      <w:r w:rsidRPr="00B578D0">
        <w:rPr>
          <w:rFonts w:eastAsia="Calibri" w:cs="Arial"/>
          <w:sz w:val="16"/>
          <w:szCs w:val="16"/>
        </w:rPr>
        <w:t xml:space="preserve"> 164</w:t>
      </w:r>
      <w:r w:rsidRPr="00706A29">
        <w:rPr>
          <w:rFonts w:eastAsia="Calibri" w:cs="Arial"/>
          <w:sz w:val="16"/>
          <w:szCs w:val="16"/>
        </w:rPr>
        <w:t>–</w:t>
      </w:r>
      <w:r w:rsidRPr="00B578D0">
        <w:rPr>
          <w:rFonts w:eastAsia="Calibri" w:cs="Arial"/>
          <w:sz w:val="16"/>
          <w:szCs w:val="16"/>
        </w:rPr>
        <w:t>191</w:t>
      </w:r>
      <w:r>
        <w:rPr>
          <w:rFonts w:eastAsia="Calibri" w:cs="Arial"/>
          <w:sz w:val="16"/>
          <w:szCs w:val="16"/>
        </w:rPr>
        <w:t>)</w:t>
      </w:r>
      <w:r w:rsidRPr="00B578D0">
        <w:rPr>
          <w:rFonts w:eastAsia="Calibri" w:cs="Arial"/>
          <w:sz w:val="16"/>
          <w:szCs w:val="16"/>
        </w:rPr>
        <w:t>.</w:t>
      </w:r>
    </w:p>
  </w:endnote>
  <w:endnote w:id="262">
    <w:p w14:paraId="717703BF" w14:textId="11E4BFC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Brickell, C</w:t>
      </w:r>
      <w:r w:rsidRPr="00CB4F47">
        <w:rPr>
          <w:rFonts w:cs="Arial"/>
          <w:sz w:val="16"/>
          <w:szCs w:val="16"/>
        </w:rPr>
        <w:t>, Teenagers: The rise of youth culture in New Zealand</w:t>
      </w:r>
      <w:r w:rsidRPr="00CB4F47">
        <w:rPr>
          <w:rFonts w:eastAsia="Calibri" w:cs="Arial"/>
          <w:sz w:val="16"/>
          <w:szCs w:val="16"/>
        </w:rPr>
        <w:t xml:space="preserve"> (Auckland University Press, 2017, </w:t>
      </w:r>
      <w:r w:rsidRPr="00CB4F47">
        <w:rPr>
          <w:rFonts w:cs="Arial"/>
          <w:sz w:val="16"/>
          <w:szCs w:val="16"/>
        </w:rPr>
        <w:t>page</w:t>
      </w:r>
      <w:r w:rsidRPr="00CB4F47">
        <w:rPr>
          <w:rFonts w:eastAsia="Calibri" w:cs="Arial"/>
          <w:sz w:val="16"/>
          <w:szCs w:val="16"/>
        </w:rPr>
        <w:t xml:space="preserve"> 254</w:t>
      </w:r>
      <w:r>
        <w:rPr>
          <w:rFonts w:eastAsia="Calibri" w:cs="Arial"/>
          <w:sz w:val="16"/>
          <w:szCs w:val="16"/>
        </w:rPr>
        <w:t>)</w:t>
      </w:r>
      <w:r w:rsidRPr="00CB4F47">
        <w:rPr>
          <w:rFonts w:eastAsia="Calibri" w:cs="Arial"/>
          <w:sz w:val="16"/>
          <w:szCs w:val="16"/>
        </w:rPr>
        <w:t>.</w:t>
      </w:r>
    </w:p>
  </w:endnote>
  <w:endnote w:id="263">
    <w:p w14:paraId="7DD7AAD2" w14:textId="4FCAF56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Brickell, C</w:t>
      </w:r>
      <w:r w:rsidRPr="00CB4F47">
        <w:rPr>
          <w:rFonts w:cs="Arial"/>
          <w:sz w:val="16"/>
          <w:szCs w:val="16"/>
        </w:rPr>
        <w:t>, Teenagers: The rise of youth culture in New Zealand</w:t>
      </w:r>
      <w:r w:rsidRPr="00CB4F47">
        <w:rPr>
          <w:rFonts w:eastAsia="Calibri" w:cs="Arial"/>
          <w:sz w:val="16"/>
          <w:szCs w:val="16"/>
        </w:rPr>
        <w:t xml:space="preserve"> (Auckland University Press, 2017).</w:t>
      </w:r>
    </w:p>
  </w:endnote>
  <w:endnote w:id="264">
    <w:p w14:paraId="55C144FB" w14:textId="4E7FF5D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Soler, J, Drifting towards moral chaos: The 1954 Mazengarb Report – a moral panic over “juvenile immorality</w:t>
      </w:r>
      <w:r>
        <w:rPr>
          <w:rFonts w:eastAsia="Calibri" w:cs="Arial"/>
          <w:sz w:val="16"/>
          <w:szCs w:val="16"/>
        </w:rPr>
        <w:t>,</w:t>
      </w:r>
      <w:r w:rsidRPr="00CB4F47">
        <w:rPr>
          <w:rFonts w:eastAsia="Calibri" w:cs="Arial"/>
          <w:sz w:val="16"/>
          <w:szCs w:val="16"/>
        </w:rPr>
        <w:t xml:space="preserve">” </w:t>
      </w:r>
      <w:r>
        <w:rPr>
          <w:rFonts w:eastAsia="Calibri" w:cs="Arial"/>
          <w:sz w:val="16"/>
          <w:szCs w:val="16"/>
        </w:rPr>
        <w:t>M</w:t>
      </w:r>
      <w:r w:rsidRPr="00CB4F47">
        <w:rPr>
          <w:rFonts w:eastAsia="Calibri" w:cs="Arial"/>
          <w:sz w:val="16"/>
          <w:szCs w:val="16"/>
        </w:rPr>
        <w:t xml:space="preserve">aster’s </w:t>
      </w:r>
      <w:r>
        <w:rPr>
          <w:rFonts w:eastAsia="Calibri" w:cs="Arial"/>
          <w:sz w:val="16"/>
          <w:szCs w:val="16"/>
        </w:rPr>
        <w:t>T</w:t>
      </w:r>
      <w:r w:rsidRPr="00CB4F47">
        <w:rPr>
          <w:rFonts w:eastAsia="Calibri" w:cs="Arial"/>
          <w:sz w:val="16"/>
          <w:szCs w:val="16"/>
        </w:rPr>
        <w:t>hesis, Massey University</w:t>
      </w:r>
      <w:r>
        <w:rPr>
          <w:rFonts w:eastAsia="Calibri" w:cs="Arial"/>
          <w:sz w:val="16"/>
          <w:szCs w:val="16"/>
        </w:rPr>
        <w:t xml:space="preserve"> (</w:t>
      </w:r>
      <w:r w:rsidRPr="00CB4F47">
        <w:rPr>
          <w:rFonts w:eastAsia="Calibri" w:cs="Arial"/>
          <w:sz w:val="16"/>
          <w:szCs w:val="16"/>
        </w:rPr>
        <w:t xml:space="preserve">1988). </w:t>
      </w:r>
    </w:p>
  </w:endnote>
  <w:endnote w:id="265">
    <w:p w14:paraId="72803369" w14:textId="7B7AD0E8" w:rsidR="00FE4E56" w:rsidRPr="00320422"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320422">
        <w:rPr>
          <w:rFonts w:eastAsia="Calibri" w:cs="Arial"/>
          <w:sz w:val="16"/>
          <w:szCs w:val="16"/>
        </w:rPr>
        <w:t>Mazengarb, O</w:t>
      </w:r>
      <w:r>
        <w:rPr>
          <w:rFonts w:eastAsia="Calibri" w:cs="Arial"/>
          <w:sz w:val="16"/>
          <w:szCs w:val="16"/>
        </w:rPr>
        <w:t>,</w:t>
      </w:r>
      <w:r w:rsidRPr="00320422">
        <w:rPr>
          <w:rFonts w:eastAsia="Calibri" w:cs="Arial"/>
          <w:sz w:val="16"/>
          <w:szCs w:val="16"/>
        </w:rPr>
        <w:t xml:space="preserve"> Report of the Special Committee on </w:t>
      </w:r>
      <w:r>
        <w:rPr>
          <w:rFonts w:eastAsia="Calibri" w:cs="Arial"/>
          <w:sz w:val="16"/>
          <w:szCs w:val="16"/>
        </w:rPr>
        <w:t>m</w:t>
      </w:r>
      <w:r w:rsidRPr="00320422">
        <w:rPr>
          <w:rFonts w:eastAsia="Calibri" w:cs="Arial"/>
          <w:sz w:val="16"/>
          <w:szCs w:val="16"/>
        </w:rPr>
        <w:t xml:space="preserve">oral </w:t>
      </w:r>
      <w:r>
        <w:rPr>
          <w:rFonts w:eastAsia="Calibri" w:cs="Arial"/>
          <w:sz w:val="16"/>
          <w:szCs w:val="16"/>
        </w:rPr>
        <w:t>d</w:t>
      </w:r>
      <w:r w:rsidRPr="00320422">
        <w:rPr>
          <w:rFonts w:eastAsia="Calibri" w:cs="Arial"/>
          <w:sz w:val="16"/>
          <w:szCs w:val="16"/>
        </w:rPr>
        <w:t xml:space="preserve">elinquency in </w:t>
      </w:r>
      <w:r>
        <w:rPr>
          <w:rFonts w:eastAsia="Calibri" w:cs="Arial"/>
          <w:sz w:val="16"/>
          <w:szCs w:val="16"/>
        </w:rPr>
        <w:t>c</w:t>
      </w:r>
      <w:r w:rsidRPr="00320422">
        <w:rPr>
          <w:rFonts w:eastAsia="Calibri" w:cs="Arial"/>
          <w:sz w:val="16"/>
          <w:szCs w:val="16"/>
        </w:rPr>
        <w:t xml:space="preserve">hildren and </w:t>
      </w:r>
      <w:r>
        <w:rPr>
          <w:rFonts w:eastAsia="Calibri" w:cs="Arial"/>
          <w:sz w:val="16"/>
          <w:szCs w:val="16"/>
        </w:rPr>
        <w:t>a</w:t>
      </w:r>
      <w:r w:rsidRPr="00320422">
        <w:rPr>
          <w:rFonts w:eastAsia="Calibri" w:cs="Arial"/>
          <w:sz w:val="16"/>
          <w:szCs w:val="16"/>
        </w:rPr>
        <w:t>dolescents (</w:t>
      </w:r>
      <w:r>
        <w:rPr>
          <w:rFonts w:eastAsia="Calibri" w:cs="Arial"/>
          <w:sz w:val="16"/>
          <w:szCs w:val="16"/>
        </w:rPr>
        <w:t xml:space="preserve">Government Printer, </w:t>
      </w:r>
      <w:r w:rsidRPr="00320422">
        <w:rPr>
          <w:rFonts w:eastAsia="Calibri" w:cs="Arial"/>
          <w:sz w:val="16"/>
          <w:szCs w:val="16"/>
        </w:rPr>
        <w:t>1954, page 27</w:t>
      </w:r>
      <w:r>
        <w:rPr>
          <w:rFonts w:eastAsia="Calibri" w:cs="Arial"/>
          <w:sz w:val="16"/>
          <w:szCs w:val="16"/>
        </w:rPr>
        <w:t>)</w:t>
      </w:r>
      <w:r w:rsidRPr="00320422">
        <w:rPr>
          <w:rFonts w:eastAsia="Calibri" w:cs="Arial"/>
          <w:sz w:val="16"/>
          <w:szCs w:val="16"/>
        </w:rPr>
        <w:t>.</w:t>
      </w:r>
    </w:p>
  </w:endnote>
  <w:endnote w:id="266">
    <w:p w14:paraId="205EF474" w14:textId="40B7CAF9"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w:t>
      </w:r>
      <w:r w:rsidRPr="00320422">
        <w:rPr>
          <w:rFonts w:eastAsia="Calibri" w:cs="Arial"/>
          <w:sz w:val="16"/>
          <w:szCs w:val="16"/>
        </w:rPr>
        <w:t>Mazengarb, O</w:t>
      </w:r>
      <w:r>
        <w:rPr>
          <w:rFonts w:eastAsia="Calibri" w:cs="Arial"/>
          <w:sz w:val="16"/>
          <w:szCs w:val="16"/>
        </w:rPr>
        <w:t>,</w:t>
      </w:r>
      <w:r w:rsidRPr="00320422">
        <w:rPr>
          <w:rFonts w:eastAsia="Calibri" w:cs="Arial"/>
          <w:sz w:val="16"/>
          <w:szCs w:val="16"/>
        </w:rPr>
        <w:t xml:space="preserve"> Report of the Special Committee on </w:t>
      </w:r>
      <w:r>
        <w:rPr>
          <w:rFonts w:eastAsia="Calibri" w:cs="Arial"/>
          <w:sz w:val="16"/>
          <w:szCs w:val="16"/>
        </w:rPr>
        <w:t>m</w:t>
      </w:r>
      <w:r w:rsidRPr="00320422">
        <w:rPr>
          <w:rFonts w:eastAsia="Calibri" w:cs="Arial"/>
          <w:sz w:val="16"/>
          <w:szCs w:val="16"/>
        </w:rPr>
        <w:t xml:space="preserve">oral </w:t>
      </w:r>
      <w:r>
        <w:rPr>
          <w:rFonts w:eastAsia="Calibri" w:cs="Arial"/>
          <w:sz w:val="16"/>
          <w:szCs w:val="16"/>
        </w:rPr>
        <w:t>d</w:t>
      </w:r>
      <w:r w:rsidRPr="00320422">
        <w:rPr>
          <w:rFonts w:eastAsia="Calibri" w:cs="Arial"/>
          <w:sz w:val="16"/>
          <w:szCs w:val="16"/>
        </w:rPr>
        <w:t xml:space="preserve">elinquency in </w:t>
      </w:r>
      <w:r>
        <w:rPr>
          <w:rFonts w:eastAsia="Calibri" w:cs="Arial"/>
          <w:sz w:val="16"/>
          <w:szCs w:val="16"/>
        </w:rPr>
        <w:t>c</w:t>
      </w:r>
      <w:r w:rsidRPr="00320422">
        <w:rPr>
          <w:rFonts w:eastAsia="Calibri" w:cs="Arial"/>
          <w:sz w:val="16"/>
          <w:szCs w:val="16"/>
        </w:rPr>
        <w:t xml:space="preserve">hildren and </w:t>
      </w:r>
      <w:r>
        <w:rPr>
          <w:rFonts w:eastAsia="Calibri" w:cs="Arial"/>
          <w:sz w:val="16"/>
          <w:szCs w:val="16"/>
        </w:rPr>
        <w:t>a</w:t>
      </w:r>
      <w:r w:rsidRPr="00320422">
        <w:rPr>
          <w:rFonts w:eastAsia="Calibri" w:cs="Arial"/>
          <w:sz w:val="16"/>
          <w:szCs w:val="16"/>
        </w:rPr>
        <w:t>dolescents (</w:t>
      </w:r>
      <w:r>
        <w:rPr>
          <w:rFonts w:eastAsia="Calibri" w:cs="Arial"/>
          <w:sz w:val="16"/>
          <w:szCs w:val="16"/>
        </w:rPr>
        <w:t xml:space="preserve">Government Printer, </w:t>
      </w:r>
      <w:r w:rsidRPr="00320422">
        <w:rPr>
          <w:rFonts w:eastAsia="Calibri" w:cs="Arial"/>
          <w:sz w:val="16"/>
          <w:szCs w:val="16"/>
        </w:rPr>
        <w:t xml:space="preserve">1954, page </w:t>
      </w:r>
      <w:r>
        <w:rPr>
          <w:rFonts w:eastAsia="Calibri" w:cs="Arial"/>
          <w:sz w:val="16"/>
          <w:szCs w:val="16"/>
        </w:rPr>
        <w:t>15)</w:t>
      </w:r>
      <w:r w:rsidRPr="00320422">
        <w:rPr>
          <w:rFonts w:eastAsia="Calibri" w:cs="Arial"/>
          <w:sz w:val="16"/>
          <w:szCs w:val="16"/>
        </w:rPr>
        <w:t>.</w:t>
      </w:r>
    </w:p>
  </w:endnote>
  <w:endnote w:id="267">
    <w:p w14:paraId="3B41485E" w14:textId="57FDC025" w:rsidR="00FE4E56" w:rsidRPr="00EC160A"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EC160A">
        <w:rPr>
          <w:rFonts w:cs="Arial"/>
          <w:sz w:val="16"/>
          <w:szCs w:val="16"/>
        </w:rPr>
        <w:t xml:space="preserve"> Child Welfare Amendment Act 1954, section 2.</w:t>
      </w:r>
    </w:p>
  </w:endnote>
  <w:endnote w:id="268">
    <w:p w14:paraId="1495A116" w14:textId="74BA0BF2" w:rsidR="00FE4E56" w:rsidRPr="00CB4F47" w:rsidRDefault="00FE4E56" w:rsidP="00C57877">
      <w:pPr>
        <w:pStyle w:val="EndnoteText"/>
        <w:spacing w:beforeLines="20" w:before="48" w:afterLines="20" w:after="48" w:line="20" w:lineRule="atLeast"/>
        <w:rPr>
          <w:rFonts w:cs="Arial"/>
          <w:sz w:val="16"/>
          <w:szCs w:val="16"/>
        </w:rPr>
      </w:pPr>
      <w:r w:rsidRPr="00536E67">
        <w:rPr>
          <w:rStyle w:val="StyleFootnoteReferenceFagoFunotenzeichenFagoFunotenzeichen"/>
          <w:sz w:val="16"/>
          <w:szCs w:val="16"/>
        </w:rPr>
        <w:endnoteRef/>
      </w:r>
      <w:r w:rsidRPr="00EC160A">
        <w:rPr>
          <w:rFonts w:cs="Arial"/>
          <w:sz w:val="16"/>
          <w:szCs w:val="16"/>
        </w:rPr>
        <w:t xml:space="preserve"> Wolfe, R, The time of our lives: </w:t>
      </w:r>
      <w:r>
        <w:rPr>
          <w:rFonts w:cs="Arial"/>
          <w:sz w:val="16"/>
          <w:szCs w:val="16"/>
        </w:rPr>
        <w:t>G</w:t>
      </w:r>
      <w:r w:rsidRPr="00EC160A">
        <w:rPr>
          <w:rFonts w:cs="Arial"/>
          <w:sz w:val="16"/>
          <w:szCs w:val="16"/>
        </w:rPr>
        <w:t>rowing up in New Zealand (</w:t>
      </w:r>
      <w:r>
        <w:rPr>
          <w:rFonts w:cs="Arial"/>
          <w:sz w:val="16"/>
          <w:szCs w:val="16"/>
        </w:rPr>
        <w:t xml:space="preserve">Random House, </w:t>
      </w:r>
      <w:r w:rsidRPr="00EC160A">
        <w:rPr>
          <w:rFonts w:cs="Arial"/>
          <w:sz w:val="16"/>
          <w:szCs w:val="16"/>
        </w:rPr>
        <w:t>2003, page 10</w:t>
      </w:r>
      <w:r>
        <w:rPr>
          <w:rFonts w:cs="Arial"/>
          <w:sz w:val="16"/>
          <w:szCs w:val="16"/>
        </w:rPr>
        <w:t>)</w:t>
      </w:r>
      <w:r w:rsidRPr="00EC160A">
        <w:rPr>
          <w:rFonts w:cs="Arial"/>
          <w:sz w:val="16"/>
          <w:szCs w:val="16"/>
        </w:rPr>
        <w:t>.</w:t>
      </w:r>
      <w:r w:rsidRPr="00CB4F47">
        <w:rPr>
          <w:rFonts w:cs="Arial"/>
          <w:sz w:val="16"/>
          <w:szCs w:val="16"/>
        </w:rPr>
        <w:t xml:space="preserve"> </w:t>
      </w:r>
    </w:p>
  </w:endnote>
  <w:endnote w:id="269">
    <w:p w14:paraId="4B5184A2" w14:textId="4405A70C" w:rsidR="00FE4E56" w:rsidRPr="00CB4F47" w:rsidRDefault="00FE4E56" w:rsidP="00C57877">
      <w:pPr>
        <w:pStyle w:val="EndnoteText"/>
        <w:spacing w:beforeLines="20" w:before="48" w:afterLines="20" w:after="48"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Brookes, B, </w:t>
      </w:r>
      <w:r w:rsidRPr="00F84707">
        <w:rPr>
          <w:rFonts w:cs="Arial"/>
          <w:sz w:val="16"/>
          <w:szCs w:val="16"/>
        </w:rPr>
        <w:t>A history</w:t>
      </w:r>
      <w:r w:rsidRPr="00CB4F47">
        <w:rPr>
          <w:rFonts w:cs="Arial"/>
          <w:sz w:val="16"/>
          <w:szCs w:val="16"/>
        </w:rPr>
        <w:t xml:space="preserve"> of New Zealand women (Bridget Williams Books, 2016, page 323</w:t>
      </w:r>
      <w:r>
        <w:rPr>
          <w:rFonts w:cs="Arial"/>
          <w:sz w:val="16"/>
          <w:szCs w:val="16"/>
        </w:rPr>
        <w:t>)</w:t>
      </w:r>
      <w:r w:rsidRPr="00CB4F47">
        <w:rPr>
          <w:rFonts w:cs="Arial"/>
          <w:sz w:val="16"/>
          <w:szCs w:val="16"/>
        </w:rPr>
        <w:t>.</w:t>
      </w:r>
    </w:p>
  </w:endnote>
  <w:endnote w:id="270">
    <w:p w14:paraId="151E9098" w14:textId="0E1CA8EC" w:rsidR="00FE4E56" w:rsidRPr="00CB4F47" w:rsidRDefault="00FE4E56" w:rsidP="00C57877">
      <w:pPr>
        <w:pStyle w:val="EndnoteText"/>
        <w:spacing w:beforeLines="20" w:before="48" w:afterLines="20" w:after="48"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Crimes Act 1969, section 59.</w:t>
      </w:r>
    </w:p>
  </w:endnote>
  <w:endnote w:id="271">
    <w:p w14:paraId="0EB75965" w14:textId="31AD3EE8" w:rsidR="00FE4E56" w:rsidRPr="00CB4F47" w:rsidRDefault="00FE4E56" w:rsidP="00A96A49">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“Mental group work</w:t>
      </w:r>
      <w:r>
        <w:rPr>
          <w:rFonts w:cs="Arial"/>
          <w:sz w:val="16"/>
          <w:szCs w:val="16"/>
        </w:rPr>
        <w:t>,</w:t>
      </w:r>
      <w:r w:rsidRPr="00CB4F47">
        <w:rPr>
          <w:rFonts w:cs="Arial"/>
          <w:sz w:val="16"/>
          <w:szCs w:val="16"/>
        </w:rPr>
        <w:t>” The Press (29 April 1958, page 7</w:t>
      </w:r>
      <w:r>
        <w:rPr>
          <w:rFonts w:cs="Arial"/>
          <w:sz w:val="16"/>
          <w:szCs w:val="16"/>
        </w:rPr>
        <w:t>)</w:t>
      </w:r>
      <w:r w:rsidRPr="00CB4F47">
        <w:rPr>
          <w:rFonts w:cs="Arial"/>
          <w:sz w:val="16"/>
          <w:szCs w:val="16"/>
        </w:rPr>
        <w:t xml:space="preserve">, in </w:t>
      </w:r>
      <w:r w:rsidRPr="00CB4F47">
        <w:rPr>
          <w:rFonts w:eastAsia="BatangChe" w:cs="Arial"/>
          <w:sz w:val="16"/>
          <w:szCs w:val="16"/>
        </w:rPr>
        <w:t xml:space="preserve">Royal Commission of Inquiry into Abuse in Care, Beautiful </w:t>
      </w:r>
      <w:r>
        <w:rPr>
          <w:rFonts w:eastAsia="BatangChe" w:cs="Arial"/>
          <w:sz w:val="16"/>
          <w:szCs w:val="16"/>
        </w:rPr>
        <w:t>c</w:t>
      </w:r>
      <w:r w:rsidRPr="00CB4F47" w:rsidDel="00CE2092">
        <w:rPr>
          <w:rFonts w:eastAsia="BatangChe" w:cs="Arial"/>
          <w:sz w:val="16"/>
          <w:szCs w:val="16"/>
        </w:rPr>
        <w:t>hildren</w:t>
      </w:r>
      <w:r w:rsidRPr="00CB4F47">
        <w:rPr>
          <w:rFonts w:eastAsia="BatangChe" w:cs="Arial"/>
          <w:sz w:val="16"/>
          <w:szCs w:val="16"/>
        </w:rPr>
        <w:t xml:space="preserve">: Inquiry into the Lake Alice </w:t>
      </w:r>
      <w:r w:rsidRPr="00CB4F47" w:rsidDel="00CE2092">
        <w:rPr>
          <w:rFonts w:eastAsia="BatangChe" w:cs="Arial"/>
          <w:sz w:val="16"/>
          <w:szCs w:val="16"/>
        </w:rPr>
        <w:t xml:space="preserve">Child </w:t>
      </w:r>
      <w:r w:rsidRPr="00CB4F47">
        <w:rPr>
          <w:rFonts w:eastAsia="BatangChe" w:cs="Arial"/>
          <w:sz w:val="16"/>
          <w:szCs w:val="16"/>
        </w:rPr>
        <w:t xml:space="preserve">and </w:t>
      </w:r>
      <w:r w:rsidRPr="00CB4F47" w:rsidDel="00CE2092">
        <w:rPr>
          <w:rFonts w:eastAsia="BatangChe" w:cs="Arial"/>
          <w:sz w:val="16"/>
          <w:szCs w:val="16"/>
        </w:rPr>
        <w:t xml:space="preserve">Adolescent </w:t>
      </w:r>
      <w:r w:rsidRPr="00CB4F47">
        <w:rPr>
          <w:rFonts w:eastAsia="BatangChe" w:cs="Arial"/>
          <w:sz w:val="16"/>
          <w:szCs w:val="16"/>
        </w:rPr>
        <w:t>Unit (2022).</w:t>
      </w:r>
    </w:p>
  </w:endnote>
  <w:endnote w:id="272">
    <w:p w14:paraId="2FF8F908" w14:textId="3DFCC5F0"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lang w:val="en-US"/>
        </w:rPr>
        <w:t>Earle, MJ, “Rakau children: From six to thirteen years”, Psychology</w:t>
      </w:r>
      <w:r>
        <w:rPr>
          <w:rFonts w:cs="Arial"/>
          <w:sz w:val="16"/>
          <w:szCs w:val="16"/>
          <w:lang w:val="en-US"/>
        </w:rPr>
        <w:t>,</w:t>
      </w:r>
      <w:r w:rsidRPr="00CB4F47">
        <w:rPr>
          <w:rFonts w:cs="Arial"/>
          <w:sz w:val="16"/>
          <w:szCs w:val="16"/>
          <w:lang w:val="en-US"/>
        </w:rPr>
        <w:t xml:space="preserve"> No 11, Monographs on Māori </w:t>
      </w:r>
      <w:r>
        <w:rPr>
          <w:rFonts w:cs="Arial"/>
          <w:sz w:val="16"/>
          <w:szCs w:val="16"/>
          <w:lang w:val="en-US"/>
        </w:rPr>
        <w:t>s</w:t>
      </w:r>
      <w:r w:rsidRPr="00CB4F47">
        <w:rPr>
          <w:rFonts w:cs="Arial"/>
          <w:sz w:val="16"/>
          <w:szCs w:val="16"/>
          <w:lang w:val="en-US"/>
        </w:rPr>
        <w:t>ocial</w:t>
      </w:r>
      <w:r w:rsidRPr="00CB4F47" w:rsidDel="00701288">
        <w:rPr>
          <w:rFonts w:cs="Arial"/>
          <w:sz w:val="16"/>
          <w:szCs w:val="16"/>
          <w:lang w:val="en-US"/>
        </w:rPr>
        <w:t xml:space="preserve"> </w:t>
      </w:r>
      <w:r>
        <w:rPr>
          <w:rFonts w:cs="Arial"/>
          <w:sz w:val="16"/>
          <w:szCs w:val="16"/>
          <w:lang w:val="en-US"/>
        </w:rPr>
        <w:t>l</w:t>
      </w:r>
      <w:r w:rsidRPr="00CB4F47">
        <w:rPr>
          <w:rFonts w:cs="Arial"/>
          <w:sz w:val="16"/>
          <w:szCs w:val="16"/>
          <w:lang w:val="en-US"/>
        </w:rPr>
        <w:t xml:space="preserve">ife and </w:t>
      </w:r>
      <w:r>
        <w:rPr>
          <w:rFonts w:cs="Arial"/>
          <w:sz w:val="16"/>
          <w:szCs w:val="16"/>
          <w:lang w:val="en-US"/>
        </w:rPr>
        <w:t>p</w:t>
      </w:r>
      <w:r w:rsidRPr="00CB4F47">
        <w:rPr>
          <w:rFonts w:cs="Arial"/>
          <w:sz w:val="16"/>
          <w:szCs w:val="16"/>
          <w:lang w:val="en-US"/>
        </w:rPr>
        <w:t>ersonality, No 4</w:t>
      </w:r>
      <w:r>
        <w:rPr>
          <w:rFonts w:cs="Arial"/>
          <w:sz w:val="16"/>
          <w:szCs w:val="16"/>
          <w:lang w:val="en-US"/>
        </w:rPr>
        <w:t xml:space="preserve"> (</w:t>
      </w:r>
      <w:r w:rsidRPr="00CB4F47">
        <w:rPr>
          <w:rFonts w:cs="Arial"/>
          <w:sz w:val="16"/>
          <w:szCs w:val="16"/>
          <w:lang w:val="en-US"/>
        </w:rPr>
        <w:t>1958</w:t>
      </w:r>
      <w:r>
        <w:rPr>
          <w:rFonts w:cs="Arial"/>
          <w:sz w:val="16"/>
          <w:szCs w:val="16"/>
          <w:lang w:val="en-US"/>
        </w:rPr>
        <w:t>)</w:t>
      </w:r>
      <w:r w:rsidRPr="00CB4F47">
        <w:rPr>
          <w:rFonts w:cs="Arial"/>
          <w:sz w:val="16"/>
          <w:szCs w:val="16"/>
          <w:lang w:val="en-US"/>
        </w:rPr>
        <w:t>;</w:t>
      </w:r>
      <w:r w:rsidRPr="00CB4F47">
        <w:rPr>
          <w:sz w:val="16"/>
          <w:szCs w:val="16"/>
          <w:lang w:val="en-US"/>
        </w:rPr>
        <w:t xml:space="preserve"> </w:t>
      </w:r>
      <w:r w:rsidRPr="00CB4F47">
        <w:rPr>
          <w:rFonts w:cs="Arial"/>
          <w:sz w:val="16"/>
          <w:szCs w:val="16"/>
        </w:rPr>
        <w:t>Ausubel, DP, “Acculturative stress in modern Maori adolescence</w:t>
      </w:r>
      <w:r>
        <w:rPr>
          <w:rFonts w:cs="Arial"/>
          <w:sz w:val="16"/>
          <w:szCs w:val="16"/>
        </w:rPr>
        <w:t>,</w:t>
      </w:r>
      <w:r w:rsidRPr="00CB4F47">
        <w:rPr>
          <w:rFonts w:cs="Arial"/>
          <w:sz w:val="16"/>
          <w:szCs w:val="16"/>
        </w:rPr>
        <w:t>” Child Development, 31(4)</w:t>
      </w:r>
      <w:r>
        <w:rPr>
          <w:rFonts w:cs="Arial"/>
          <w:sz w:val="16"/>
          <w:szCs w:val="16"/>
        </w:rPr>
        <w:t>,</w:t>
      </w:r>
      <w:r w:rsidRPr="00CB4F47">
        <w:rPr>
          <w:rFonts w:cs="Arial"/>
          <w:sz w:val="16"/>
          <w:szCs w:val="16"/>
        </w:rPr>
        <w:t xml:space="preserve"> </w:t>
      </w:r>
      <w:r>
        <w:rPr>
          <w:rFonts w:cs="Arial"/>
          <w:sz w:val="16"/>
          <w:szCs w:val="16"/>
        </w:rPr>
        <w:t>(</w:t>
      </w:r>
      <w:r w:rsidRPr="00CB4F47">
        <w:rPr>
          <w:rFonts w:cs="Arial"/>
          <w:sz w:val="16"/>
          <w:szCs w:val="16"/>
        </w:rPr>
        <w:t>1960, pages 617–631</w:t>
      </w:r>
      <w:r>
        <w:rPr>
          <w:rFonts w:cs="Arial"/>
          <w:sz w:val="16"/>
          <w:szCs w:val="16"/>
        </w:rPr>
        <w:t>)</w:t>
      </w:r>
      <w:r w:rsidRPr="00CB4F47">
        <w:rPr>
          <w:rFonts w:cs="Arial"/>
          <w:sz w:val="16"/>
          <w:szCs w:val="16"/>
        </w:rPr>
        <w:t>.</w:t>
      </w:r>
    </w:p>
  </w:endnote>
  <w:endnote w:id="273">
    <w:p w14:paraId="3455BE32" w14:textId="66E62CEE"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Methven, RJ, “The family and personality development</w:t>
      </w:r>
      <w:r>
        <w:rPr>
          <w:rFonts w:cs="Arial"/>
          <w:sz w:val="16"/>
          <w:szCs w:val="16"/>
        </w:rPr>
        <w:t>,</w:t>
      </w:r>
      <w:r w:rsidRPr="00CB4F47">
        <w:rPr>
          <w:rFonts w:cs="Arial"/>
          <w:sz w:val="16"/>
          <w:szCs w:val="16"/>
        </w:rPr>
        <w:t>” Paper 4 in The New Zealand Family and Child Development, the 1968 lectures delivered to the Association for the Study of Childhood (New Zealand University Press, 1969, pages 40–49</w:t>
      </w:r>
      <w:r>
        <w:rPr>
          <w:rFonts w:cs="Arial"/>
          <w:sz w:val="16"/>
          <w:szCs w:val="16"/>
        </w:rPr>
        <w:t>)</w:t>
      </w:r>
      <w:r w:rsidRPr="00CB4F47">
        <w:rPr>
          <w:rFonts w:cs="Arial"/>
          <w:sz w:val="16"/>
          <w:szCs w:val="16"/>
        </w:rPr>
        <w:t>; Lawrence, PJ, “The family and intellectual development</w:t>
      </w:r>
      <w:r>
        <w:rPr>
          <w:rFonts w:cs="Arial"/>
          <w:sz w:val="16"/>
          <w:szCs w:val="16"/>
        </w:rPr>
        <w:t>,</w:t>
      </w:r>
      <w:r w:rsidRPr="00CB4F47">
        <w:rPr>
          <w:rFonts w:cs="Arial"/>
          <w:sz w:val="16"/>
          <w:szCs w:val="16"/>
        </w:rPr>
        <w:t>” Paper 5 in The New Zealand Family and Child Development, the 1968 lectures delivered to the association for the Study of Childhood (New Zealand University Press, 1969, pages 50–64</w:t>
      </w:r>
      <w:r>
        <w:rPr>
          <w:rFonts w:cs="Arial"/>
          <w:sz w:val="16"/>
          <w:szCs w:val="16"/>
        </w:rPr>
        <w:t>)</w:t>
      </w:r>
      <w:r w:rsidRPr="00CB4F47">
        <w:rPr>
          <w:rFonts w:cs="Arial"/>
          <w:sz w:val="16"/>
          <w:szCs w:val="16"/>
        </w:rPr>
        <w:t>.</w:t>
      </w:r>
    </w:p>
  </w:endnote>
  <w:endnote w:id="274">
    <w:p w14:paraId="03B78708" w14:textId="20BBCE1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Position statement of the Australian and New Zealand College of Psychiatrists, Child Psychiatric Services in Australia and New Zealand (September 1972, page 3</w:t>
      </w:r>
      <w:r>
        <w:rPr>
          <w:rFonts w:cs="Arial"/>
          <w:sz w:val="16"/>
          <w:szCs w:val="16"/>
        </w:rPr>
        <w:t>)</w:t>
      </w:r>
      <w:r w:rsidRPr="00CB4F47">
        <w:rPr>
          <w:rFonts w:cs="Arial"/>
          <w:sz w:val="16"/>
          <w:szCs w:val="16"/>
        </w:rPr>
        <w:t xml:space="preserve">. Referenced in </w:t>
      </w:r>
      <w:r w:rsidRPr="00CB4F47">
        <w:rPr>
          <w:rFonts w:eastAsia="BatangChe" w:cs="Arial"/>
          <w:sz w:val="16"/>
          <w:szCs w:val="16"/>
        </w:rPr>
        <w:t xml:space="preserve">Royal Commission of Inquiry into Abuse in Care, Beautiful </w:t>
      </w:r>
      <w:r>
        <w:rPr>
          <w:rFonts w:eastAsia="BatangChe" w:cs="Arial"/>
          <w:sz w:val="16"/>
          <w:szCs w:val="16"/>
        </w:rPr>
        <w:t>c</w:t>
      </w:r>
      <w:r w:rsidRPr="00CB4F47" w:rsidDel="002A4331">
        <w:rPr>
          <w:rFonts w:eastAsia="BatangChe" w:cs="Arial"/>
          <w:sz w:val="16"/>
          <w:szCs w:val="16"/>
        </w:rPr>
        <w:t>hildren</w:t>
      </w:r>
      <w:r w:rsidRPr="00CB4F47">
        <w:rPr>
          <w:rFonts w:eastAsia="BatangChe" w:cs="Arial"/>
          <w:sz w:val="16"/>
          <w:szCs w:val="16"/>
        </w:rPr>
        <w:t xml:space="preserve">: Inquiry into the Lake Alice </w:t>
      </w:r>
      <w:r w:rsidRPr="00CB4F47" w:rsidDel="002A4331">
        <w:rPr>
          <w:rFonts w:eastAsia="BatangChe" w:cs="Arial"/>
          <w:sz w:val="16"/>
          <w:szCs w:val="16"/>
        </w:rPr>
        <w:t xml:space="preserve">Child </w:t>
      </w:r>
      <w:r w:rsidRPr="00CB4F47">
        <w:rPr>
          <w:rFonts w:eastAsia="BatangChe" w:cs="Arial"/>
          <w:sz w:val="16"/>
          <w:szCs w:val="16"/>
        </w:rPr>
        <w:t xml:space="preserve">and </w:t>
      </w:r>
      <w:r w:rsidRPr="00CB4F47" w:rsidDel="002A4331">
        <w:rPr>
          <w:rFonts w:eastAsia="BatangChe" w:cs="Arial"/>
          <w:sz w:val="16"/>
          <w:szCs w:val="16"/>
        </w:rPr>
        <w:t xml:space="preserve">Adolescent </w:t>
      </w:r>
      <w:r w:rsidRPr="00CB4F47">
        <w:rPr>
          <w:rFonts w:eastAsia="BatangChe" w:cs="Arial"/>
          <w:sz w:val="16"/>
          <w:szCs w:val="16"/>
        </w:rPr>
        <w:t>Unit</w:t>
      </w:r>
      <w:r w:rsidRPr="00CB4F47" w:rsidDel="00187B8D">
        <w:rPr>
          <w:rFonts w:eastAsia="BatangChe" w:cs="Arial"/>
          <w:sz w:val="16"/>
          <w:szCs w:val="16"/>
        </w:rPr>
        <w:t xml:space="preserve"> </w:t>
      </w:r>
      <w:r w:rsidRPr="00CB4F47">
        <w:rPr>
          <w:rFonts w:eastAsia="BatangChe" w:cs="Arial"/>
          <w:sz w:val="16"/>
          <w:szCs w:val="16"/>
        </w:rPr>
        <w:t>(2022).</w:t>
      </w:r>
    </w:p>
  </w:endnote>
  <w:endnote w:id="275">
    <w:p w14:paraId="0A29BD5D" w14:textId="0DAC95E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cs="Arial"/>
          <w:sz w:val="16"/>
          <w:szCs w:val="16"/>
        </w:rPr>
        <w:t xml:space="preserve">Royal Commission of Inquiry into Abuse in Care, Beautiful </w:t>
      </w:r>
      <w:r>
        <w:rPr>
          <w:rFonts w:eastAsia="BatangChe" w:cs="Arial"/>
          <w:sz w:val="16"/>
          <w:szCs w:val="16"/>
        </w:rPr>
        <w:t>c</w:t>
      </w:r>
      <w:r w:rsidRPr="00CB4F47">
        <w:rPr>
          <w:rFonts w:eastAsia="BatangChe" w:cs="Arial"/>
          <w:sz w:val="16"/>
          <w:szCs w:val="16"/>
        </w:rPr>
        <w:t xml:space="preserve">hildren: Inquiry into the Lake Alice </w:t>
      </w:r>
      <w:r w:rsidRPr="00CB4F47" w:rsidDel="009C2DA9">
        <w:rPr>
          <w:rFonts w:eastAsia="BatangChe" w:cs="Arial"/>
          <w:sz w:val="16"/>
          <w:szCs w:val="16"/>
        </w:rPr>
        <w:t xml:space="preserve">Child </w:t>
      </w:r>
      <w:r w:rsidRPr="00CB4F47">
        <w:rPr>
          <w:rFonts w:eastAsia="BatangChe" w:cs="Arial"/>
          <w:sz w:val="16"/>
          <w:szCs w:val="16"/>
        </w:rPr>
        <w:t xml:space="preserve">and </w:t>
      </w:r>
      <w:r w:rsidRPr="00CB4F47" w:rsidDel="009C2DA9">
        <w:rPr>
          <w:rFonts w:eastAsia="BatangChe" w:cs="Arial"/>
          <w:sz w:val="16"/>
          <w:szCs w:val="16"/>
        </w:rPr>
        <w:t xml:space="preserve">Adolescent </w:t>
      </w:r>
      <w:r w:rsidRPr="00CB4F47">
        <w:rPr>
          <w:rFonts w:eastAsia="BatangChe" w:cs="Arial"/>
          <w:sz w:val="16"/>
          <w:szCs w:val="16"/>
        </w:rPr>
        <w:t>Unit (2022).</w:t>
      </w:r>
    </w:p>
  </w:endnote>
  <w:endnote w:id="276">
    <w:p w14:paraId="68E78087" w14:textId="5F7820C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Crimes Act 1961, section 128.</w:t>
      </w:r>
      <w:r w:rsidRPr="00CB4F47">
        <w:rPr>
          <w:rFonts w:eastAsia="Calibri" w:cs="Arial"/>
          <w:sz w:val="16"/>
          <w:szCs w:val="16"/>
          <w:lang w:val="mi-NZ"/>
        </w:rPr>
        <w:t> </w:t>
      </w:r>
    </w:p>
  </w:endnote>
  <w:endnote w:id="277">
    <w:p w14:paraId="143A9C4E" w14:textId="00AF066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xcontentpasted0"/>
          <w:rFonts w:cs="Arial"/>
          <w:sz w:val="16"/>
          <w:szCs w:val="16"/>
          <w:lang w:val="mi-NZ"/>
        </w:rPr>
        <w:t>Crimes Act 1961, sections 132 and 134. </w:t>
      </w:r>
    </w:p>
  </w:endnote>
  <w:endnote w:id="278">
    <w:p w14:paraId="278B06F9" w14:textId="2274366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xcontentpasted0"/>
          <w:rFonts w:cs="Arial"/>
          <w:sz w:val="16"/>
          <w:szCs w:val="16"/>
          <w:lang w:val="mi-NZ"/>
        </w:rPr>
        <w:t>Crimes Act 1961, section 195. </w:t>
      </w:r>
    </w:p>
  </w:endnote>
  <w:endnote w:id="279">
    <w:p w14:paraId="1B973F7F" w14:textId="6B85FAD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Crimes Act 1961, sections 188, 189 and 193.</w:t>
      </w:r>
      <w:r w:rsidRPr="00CB4F47">
        <w:rPr>
          <w:rFonts w:eastAsia="Calibri" w:cs="Arial"/>
          <w:sz w:val="16"/>
          <w:szCs w:val="16"/>
          <w:lang w:val="mi-NZ"/>
        </w:rPr>
        <w:t> </w:t>
      </w:r>
    </w:p>
  </w:endnote>
  <w:endnote w:id="280">
    <w:p w14:paraId="146BB817" w14:textId="174DDFF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Department of Education, Annual </w:t>
      </w:r>
      <w:r>
        <w:rPr>
          <w:rFonts w:cs="Arial"/>
          <w:sz w:val="16"/>
          <w:szCs w:val="16"/>
        </w:rPr>
        <w:t>r</w:t>
      </w:r>
      <w:r w:rsidRPr="00CB4F47">
        <w:rPr>
          <w:rFonts w:cs="Arial"/>
          <w:sz w:val="16"/>
          <w:szCs w:val="16"/>
        </w:rPr>
        <w:t xml:space="preserve">eport on </w:t>
      </w:r>
      <w:r>
        <w:rPr>
          <w:rFonts w:cs="Arial"/>
          <w:sz w:val="16"/>
          <w:szCs w:val="16"/>
        </w:rPr>
        <w:t>c</w:t>
      </w:r>
      <w:r w:rsidRPr="00CB4F47">
        <w:rPr>
          <w:rFonts w:cs="Arial"/>
          <w:sz w:val="16"/>
          <w:szCs w:val="16"/>
        </w:rPr>
        <w:t xml:space="preserve">hild </w:t>
      </w:r>
      <w:r>
        <w:rPr>
          <w:rFonts w:cs="Arial"/>
          <w:sz w:val="16"/>
          <w:szCs w:val="16"/>
        </w:rPr>
        <w:t>w</w:t>
      </w:r>
      <w:r w:rsidRPr="00CB4F47">
        <w:rPr>
          <w:rFonts w:cs="Arial"/>
          <w:sz w:val="16"/>
          <w:szCs w:val="16"/>
        </w:rPr>
        <w:t xml:space="preserve">elfare, State </w:t>
      </w:r>
      <w:r>
        <w:rPr>
          <w:rFonts w:cs="Arial"/>
          <w:sz w:val="16"/>
          <w:szCs w:val="16"/>
        </w:rPr>
        <w:t>c</w:t>
      </w:r>
      <w:r w:rsidRPr="00CB4F47">
        <w:rPr>
          <w:rFonts w:cs="Arial"/>
          <w:sz w:val="16"/>
          <w:szCs w:val="16"/>
        </w:rPr>
        <w:t xml:space="preserve">are of </w:t>
      </w:r>
      <w:r>
        <w:rPr>
          <w:rFonts w:cs="Arial"/>
          <w:sz w:val="16"/>
          <w:szCs w:val="16"/>
        </w:rPr>
        <w:t>c</w:t>
      </w:r>
      <w:r w:rsidRPr="00CB4F47">
        <w:rPr>
          <w:rFonts w:cs="Arial"/>
          <w:sz w:val="16"/>
          <w:szCs w:val="16"/>
        </w:rPr>
        <w:t>hildren,</w:t>
      </w:r>
      <w:r w:rsidRPr="00CB4F47" w:rsidDel="00045E04">
        <w:rPr>
          <w:rFonts w:cs="Arial"/>
          <w:sz w:val="16"/>
          <w:szCs w:val="16"/>
        </w:rPr>
        <w:t xml:space="preserve"> </w:t>
      </w:r>
      <w:r>
        <w:rPr>
          <w:rFonts w:cs="Arial"/>
          <w:sz w:val="16"/>
          <w:szCs w:val="16"/>
        </w:rPr>
        <w:t>s</w:t>
      </w:r>
      <w:r w:rsidRPr="00CB4F47">
        <w:rPr>
          <w:rFonts w:cs="Arial"/>
          <w:sz w:val="16"/>
          <w:szCs w:val="16"/>
        </w:rPr>
        <w:t xml:space="preserve">pecial </w:t>
      </w:r>
      <w:r>
        <w:rPr>
          <w:rFonts w:cs="Arial"/>
          <w:sz w:val="16"/>
          <w:szCs w:val="16"/>
        </w:rPr>
        <w:t>s</w:t>
      </w:r>
      <w:r w:rsidRPr="00CB4F47">
        <w:rPr>
          <w:rFonts w:cs="Arial"/>
          <w:sz w:val="16"/>
          <w:szCs w:val="16"/>
        </w:rPr>
        <w:t xml:space="preserve">chools and </w:t>
      </w:r>
      <w:r>
        <w:rPr>
          <w:rFonts w:cs="Arial"/>
          <w:sz w:val="16"/>
          <w:szCs w:val="16"/>
        </w:rPr>
        <w:t>i</w:t>
      </w:r>
      <w:r w:rsidRPr="00CB4F47">
        <w:rPr>
          <w:rFonts w:cs="Arial"/>
          <w:sz w:val="16"/>
          <w:szCs w:val="16"/>
        </w:rPr>
        <w:t xml:space="preserve">nfant-life </w:t>
      </w:r>
      <w:r>
        <w:rPr>
          <w:rFonts w:cs="Arial"/>
          <w:sz w:val="16"/>
          <w:szCs w:val="16"/>
        </w:rPr>
        <w:t>p</w:t>
      </w:r>
      <w:r w:rsidRPr="00CB4F47">
        <w:rPr>
          <w:rFonts w:cs="Arial"/>
          <w:sz w:val="16"/>
          <w:szCs w:val="16"/>
        </w:rPr>
        <w:t>rotection: For the year ended 31 March 1959 (RE Owen, Government Printer, 1959</w:t>
      </w:r>
      <w:r w:rsidRPr="00CB4F47">
        <w:rPr>
          <w:rStyle w:val="Hyperlink"/>
          <w:rFonts w:cs="Arial"/>
          <w:color w:val="auto"/>
          <w:sz w:val="16"/>
          <w:szCs w:val="16"/>
        </w:rPr>
        <w:t>,</w:t>
      </w:r>
      <w:r w:rsidRPr="00CB4F47">
        <w:rPr>
          <w:rFonts w:cs="Arial"/>
          <w:sz w:val="16"/>
          <w:szCs w:val="16"/>
        </w:rPr>
        <w:t xml:space="preserve"> page 17</w:t>
      </w:r>
      <w:r>
        <w:rPr>
          <w:rFonts w:cs="Arial"/>
          <w:sz w:val="16"/>
          <w:szCs w:val="16"/>
        </w:rPr>
        <w:t>)</w:t>
      </w:r>
      <w:r w:rsidRPr="00CB4F47">
        <w:rPr>
          <w:rFonts w:cs="Arial"/>
          <w:sz w:val="16"/>
          <w:szCs w:val="16"/>
        </w:rPr>
        <w:t>.</w:t>
      </w:r>
    </w:p>
  </w:endnote>
  <w:endnote w:id="281">
    <w:p w14:paraId="038212BD" w14:textId="7E64A48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Dalley, B, Family matters: Child welfare in </w:t>
      </w:r>
      <w:r>
        <w:rPr>
          <w:rFonts w:cs="Arial"/>
          <w:sz w:val="16"/>
          <w:szCs w:val="16"/>
        </w:rPr>
        <w:t>twentieth</w:t>
      </w:r>
      <w:r w:rsidRPr="00CB4F47">
        <w:rPr>
          <w:rFonts w:cs="Arial"/>
          <w:sz w:val="16"/>
          <w:szCs w:val="16"/>
        </w:rPr>
        <w:t>-century New Zealand (Auckland University Press, 1998, pages 250–251</w:t>
      </w:r>
      <w:r>
        <w:rPr>
          <w:rFonts w:cs="Arial"/>
          <w:sz w:val="16"/>
          <w:szCs w:val="16"/>
        </w:rPr>
        <w:t>)</w:t>
      </w:r>
      <w:r w:rsidRPr="00CB4F47">
        <w:rPr>
          <w:rFonts w:cs="Arial"/>
          <w:sz w:val="16"/>
          <w:szCs w:val="16"/>
        </w:rPr>
        <w:t>.</w:t>
      </w:r>
    </w:p>
  </w:endnote>
  <w:endnote w:id="282">
    <w:p w14:paraId="3015A1F8" w14:textId="4EFFE7C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Dalley, B, Family matters: Child welfare in </w:t>
      </w:r>
      <w:r>
        <w:rPr>
          <w:rFonts w:cs="Arial"/>
          <w:sz w:val="16"/>
          <w:szCs w:val="16"/>
        </w:rPr>
        <w:t>twentieth</w:t>
      </w:r>
      <w:r w:rsidRPr="00CB4F47">
        <w:rPr>
          <w:rFonts w:cs="Arial"/>
          <w:sz w:val="16"/>
          <w:szCs w:val="16"/>
        </w:rPr>
        <w:t>-century New Zealand (Auckland University Press, 1998, page 251</w:t>
      </w:r>
      <w:r>
        <w:rPr>
          <w:rFonts w:cs="Arial"/>
          <w:sz w:val="16"/>
          <w:szCs w:val="16"/>
        </w:rPr>
        <w:t>)</w:t>
      </w:r>
      <w:r w:rsidRPr="00CB4F47">
        <w:rPr>
          <w:rFonts w:cs="Arial"/>
          <w:sz w:val="16"/>
          <w:szCs w:val="16"/>
        </w:rPr>
        <w:t>.</w:t>
      </w:r>
    </w:p>
  </w:endnote>
  <w:endnote w:id="283">
    <w:p w14:paraId="33735014" w14:textId="30FEAD8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sz w:val="16"/>
          <w:szCs w:val="16"/>
          <w:shd w:val="clear" w:color="auto" w:fill="F9F7F4"/>
        </w:rPr>
        <w:t>Dalley, B, Child abuse (</w:t>
      </w:r>
      <w:r w:rsidRPr="00141B81">
        <w:rPr>
          <w:rFonts w:cs="Arial"/>
          <w:sz w:val="16"/>
          <w:szCs w:val="16"/>
          <w:shd w:val="clear" w:color="auto" w:fill="F9F7F4"/>
        </w:rPr>
        <w:t>Te Ara</w:t>
      </w:r>
      <w:r w:rsidRPr="00DD5764">
        <w:rPr>
          <w:rFonts w:cs="Arial"/>
          <w:sz w:val="16"/>
          <w:szCs w:val="16"/>
          <w:shd w:val="clear" w:color="auto" w:fill="F9F7F4"/>
        </w:rPr>
        <w:t xml:space="preserve"> </w:t>
      </w:r>
      <w:r>
        <w:rPr>
          <w:rFonts w:cs="Arial"/>
          <w:sz w:val="16"/>
          <w:szCs w:val="16"/>
          <w:shd w:val="clear" w:color="auto" w:fill="F9F7F4"/>
        </w:rPr>
        <w:t>–</w:t>
      </w:r>
      <w:r w:rsidRPr="00DD5764">
        <w:rPr>
          <w:rFonts w:cs="Arial"/>
          <w:sz w:val="16"/>
          <w:szCs w:val="16"/>
          <w:shd w:val="clear" w:color="auto" w:fill="F9F7F4"/>
        </w:rPr>
        <w:t xml:space="preserve"> </w:t>
      </w:r>
      <w:r>
        <w:rPr>
          <w:rFonts w:cs="Arial"/>
          <w:sz w:val="16"/>
          <w:szCs w:val="16"/>
          <w:shd w:val="clear" w:color="auto" w:fill="F9F7F4"/>
        </w:rPr>
        <w:t>T</w:t>
      </w:r>
      <w:r w:rsidRPr="00DD5764">
        <w:rPr>
          <w:rFonts w:cs="Arial"/>
          <w:sz w:val="16"/>
          <w:szCs w:val="16"/>
          <w:shd w:val="clear" w:color="auto" w:fill="F9F7F4"/>
        </w:rPr>
        <w:t>he Encyclopedia of New Zealand</w:t>
      </w:r>
      <w:r w:rsidRPr="00CB4F47">
        <w:rPr>
          <w:rFonts w:cs="Arial"/>
          <w:sz w:val="16"/>
          <w:szCs w:val="16"/>
          <w:shd w:val="clear" w:color="auto" w:fill="F9F7F4"/>
        </w:rPr>
        <w:t>, 5 May 2011)</w:t>
      </w:r>
      <w:r>
        <w:rPr>
          <w:rFonts w:cs="Arial"/>
          <w:sz w:val="16"/>
          <w:szCs w:val="16"/>
          <w:shd w:val="clear" w:color="auto" w:fill="F9F7F4"/>
        </w:rPr>
        <w:t xml:space="preserve">, </w:t>
      </w:r>
      <w:hyperlink r:id="rId68" w:history="1">
        <w:r w:rsidRPr="00A27B5C">
          <w:rPr>
            <w:rStyle w:val="Hyperlink"/>
            <w:rFonts w:cs="Arial"/>
            <w:sz w:val="16"/>
            <w:szCs w:val="16"/>
            <w:shd w:val="clear" w:color="auto" w:fill="F9F7F4"/>
          </w:rPr>
          <w:t>https://teara.govt.nz/en/child-abuse</w:t>
        </w:r>
      </w:hyperlink>
      <w:r w:rsidRPr="00CB4F47">
        <w:rPr>
          <w:rFonts w:cs="Arial"/>
          <w:sz w:val="16"/>
          <w:szCs w:val="16"/>
          <w:shd w:val="clear" w:color="auto" w:fill="F9F7F4"/>
        </w:rPr>
        <w:t>.</w:t>
      </w:r>
    </w:p>
  </w:endnote>
  <w:endnote w:id="284">
    <w:p w14:paraId="119B2612" w14:textId="0001496B" w:rsidR="00FE4E56" w:rsidRPr="00DD5764" w:rsidRDefault="00FE4E56">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DD5764">
        <w:rPr>
          <w:sz w:val="16"/>
          <w:szCs w:val="16"/>
        </w:rPr>
        <w:t>Te Ahu, The Evolution of Maori Protest (The Anarchist Library, 1998, page 4</w:t>
      </w:r>
      <w:r>
        <w:rPr>
          <w:sz w:val="16"/>
          <w:szCs w:val="16"/>
        </w:rPr>
        <w:t>).</w:t>
      </w:r>
    </w:p>
  </w:endnote>
  <w:endnote w:id="285">
    <w:p w14:paraId="2131BF18" w14:textId="4C6A2D91" w:rsidR="00FE4E56" w:rsidRPr="00536E67" w:rsidRDefault="00FE4E56">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DD5764">
        <w:rPr>
          <w:sz w:val="16"/>
          <w:szCs w:val="16"/>
        </w:rPr>
        <w:t>Te Ahu, The Evolution of Maori Protest (The Anarchist Library, 1998, page 5</w:t>
      </w:r>
      <w:r>
        <w:rPr>
          <w:sz w:val="16"/>
          <w:szCs w:val="16"/>
        </w:rPr>
        <w:t>).</w:t>
      </w:r>
    </w:p>
  </w:endnote>
  <w:endnote w:id="286">
    <w:p w14:paraId="5E775683" w14:textId="2062E726" w:rsidR="00FE4E56" w:rsidRPr="00536E67" w:rsidRDefault="00FE4E56">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DD5764">
        <w:rPr>
          <w:rFonts w:cs="Arial"/>
          <w:sz w:val="16"/>
          <w:szCs w:val="16"/>
        </w:rPr>
        <w:t>Te Ahu, The Evolution of Maori Protest (The Anarchist Library, 1998, page 6</w:t>
      </w:r>
      <w:r>
        <w:rPr>
          <w:rFonts w:cs="Arial"/>
          <w:sz w:val="16"/>
          <w:szCs w:val="16"/>
        </w:rPr>
        <w:t>).</w:t>
      </w:r>
    </w:p>
  </w:endnote>
  <w:endnote w:id="287">
    <w:p w14:paraId="5FA07173" w14:textId="335E346D"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Pr>
          <w:rFonts w:cs="Arial"/>
          <w:sz w:val="16"/>
          <w:szCs w:val="16"/>
        </w:rPr>
        <w:t>F</w:t>
      </w:r>
      <w:r w:rsidRPr="00575A5D">
        <w:rPr>
          <w:rFonts w:cs="Arial"/>
          <w:sz w:val="16"/>
          <w:szCs w:val="16"/>
        </w:rPr>
        <w:t>or example</w:t>
      </w:r>
      <w:r>
        <w:rPr>
          <w:rFonts w:cs="Arial"/>
          <w:sz w:val="16"/>
          <w:szCs w:val="16"/>
        </w:rPr>
        <w:t xml:space="preserve">, </w:t>
      </w:r>
      <w:r w:rsidRPr="00575A5D">
        <w:rPr>
          <w:rFonts w:cs="Arial"/>
          <w:sz w:val="16"/>
          <w:szCs w:val="16"/>
        </w:rPr>
        <w:t>the case of</w:t>
      </w:r>
      <w:r w:rsidRPr="00CB4F47">
        <w:rPr>
          <w:rFonts w:cs="Arial"/>
          <w:sz w:val="16"/>
          <w:szCs w:val="16"/>
        </w:rPr>
        <w:t xml:space="preserve"> Clutha Mackenzie</w:t>
      </w:r>
      <w:r>
        <w:rPr>
          <w:rFonts w:cs="Arial"/>
          <w:sz w:val="16"/>
          <w:szCs w:val="16"/>
        </w:rPr>
        <w:t xml:space="preserve"> in Hansen, P, </w:t>
      </w:r>
      <w:r w:rsidRPr="00CB4F47">
        <w:rPr>
          <w:rFonts w:cs="Arial"/>
          <w:sz w:val="16"/>
          <w:szCs w:val="16"/>
        </w:rPr>
        <w:t xml:space="preserve">Mackenzie, Clutha Nantes, Dictionary of New Zealand Biography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first published in 1998, updated February 2006)</w:t>
      </w:r>
      <w:r>
        <w:rPr>
          <w:rFonts w:cs="Arial"/>
          <w:sz w:val="16"/>
          <w:szCs w:val="16"/>
        </w:rPr>
        <w:t xml:space="preserve">, </w:t>
      </w:r>
      <w:hyperlink r:id="rId69" w:history="1">
        <w:r w:rsidRPr="00DD5764">
          <w:rPr>
            <w:rStyle w:val="Hyperlink"/>
            <w:rFonts w:cs="Arial"/>
            <w:sz w:val="16"/>
            <w:szCs w:val="16"/>
          </w:rPr>
          <w:t>https://teara.govt.nz/en/biographies/4m17/mackenzie-clutha-nantes</w:t>
        </w:r>
      </w:hyperlink>
      <w:r w:rsidRPr="00CB4F47">
        <w:rPr>
          <w:rFonts w:cs="Arial"/>
          <w:sz w:val="16"/>
          <w:szCs w:val="16"/>
        </w:rPr>
        <w:t>.</w:t>
      </w:r>
    </w:p>
  </w:endnote>
  <w:endnote w:id="288">
    <w:p w14:paraId="28D06001" w14:textId="012B0F5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Sullivan, M, Disability and disability organisations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2018)</w:t>
      </w:r>
      <w:r>
        <w:rPr>
          <w:rFonts w:cs="Arial"/>
          <w:sz w:val="16"/>
          <w:szCs w:val="16"/>
        </w:rPr>
        <w:t xml:space="preserve">, </w:t>
      </w:r>
      <w:hyperlink r:id="rId70" w:history="1">
        <w:r w:rsidRPr="007D7054">
          <w:rPr>
            <w:rStyle w:val="Hyperlink"/>
            <w:rFonts w:cs="Arial"/>
            <w:sz w:val="16"/>
            <w:szCs w:val="16"/>
          </w:rPr>
          <w:t>https://teara.govt.nz/en/disability-and-disability-organisations</w:t>
        </w:r>
      </w:hyperlink>
      <w:r w:rsidRPr="00CB4F47">
        <w:rPr>
          <w:rFonts w:cs="Arial"/>
          <w:sz w:val="16"/>
          <w:szCs w:val="16"/>
        </w:rPr>
        <w:t>.</w:t>
      </w:r>
    </w:p>
  </w:endnote>
  <w:endnote w:id="289">
    <w:p w14:paraId="563E5FC3" w14:textId="3555121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Macpherson, C, Pacific churches in New Zealand</w:t>
      </w:r>
      <w:r>
        <w:rPr>
          <w:rFonts w:cs="Arial"/>
          <w:sz w:val="16"/>
          <w:szCs w:val="16"/>
        </w:rPr>
        <w:t>:</w:t>
      </w:r>
      <w:r w:rsidRPr="00CB4F47" w:rsidDel="007D7054">
        <w:rPr>
          <w:rFonts w:cs="Arial"/>
          <w:sz w:val="16"/>
          <w:szCs w:val="16"/>
        </w:rPr>
        <w:t xml:space="preserve"> </w:t>
      </w:r>
      <w:r w:rsidRPr="00CB4F47">
        <w:rPr>
          <w:rFonts w:cs="Arial"/>
          <w:sz w:val="16"/>
          <w:szCs w:val="16"/>
        </w:rPr>
        <w:t xml:space="preserve">Programmes and services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2018)</w:t>
      </w:r>
      <w:r w:rsidRPr="00D5537D">
        <w:rPr>
          <w:rFonts w:cs="Arial"/>
          <w:sz w:val="16"/>
          <w:szCs w:val="16"/>
        </w:rPr>
        <w:t xml:space="preserve"> </w:t>
      </w:r>
      <w:r>
        <w:rPr>
          <w:rFonts w:cs="Arial"/>
          <w:sz w:val="16"/>
          <w:szCs w:val="16"/>
        </w:rPr>
        <w:t xml:space="preserve">, </w:t>
      </w:r>
      <w:hyperlink r:id="rId71" w:history="1">
        <w:r w:rsidRPr="00EC38C0">
          <w:rPr>
            <w:rStyle w:val="Hyperlink"/>
            <w:rFonts w:cs="Arial"/>
            <w:sz w:val="16"/>
            <w:szCs w:val="16"/>
          </w:rPr>
          <w:t>https://teara.govt.nz/en/pacific-churches-in-new-zealand/page-2</w:t>
        </w:r>
      </w:hyperlink>
      <w:r w:rsidRPr="00CB4F47">
        <w:rPr>
          <w:rFonts w:cs="Arial"/>
          <w:sz w:val="16"/>
          <w:szCs w:val="16"/>
        </w:rPr>
        <w:t>.</w:t>
      </w:r>
    </w:p>
  </w:endnote>
  <w:endnote w:id="290">
    <w:p w14:paraId="31EC9126" w14:textId="1BA4506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Consedine, R, Anti-racism and Treaty of Waitangi activism: Government and community anti-racism organisations</w:t>
      </w:r>
      <w:r>
        <w:rPr>
          <w:rFonts w:cs="Arial"/>
          <w:sz w:val="16"/>
          <w:szCs w:val="16"/>
        </w:rPr>
        <w:t xml:space="preserve"> (</w:t>
      </w:r>
      <w:r w:rsidRPr="00CB4F47">
        <w:rPr>
          <w:rFonts w:cs="Arial"/>
          <w:sz w:val="16"/>
          <w:szCs w:val="16"/>
        </w:rPr>
        <w:t xml:space="preserve">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sidRPr="00CB4F47" w:rsidDel="00207C05">
        <w:rPr>
          <w:rFonts w:cs="Arial"/>
          <w:sz w:val="16"/>
          <w:szCs w:val="16"/>
        </w:rPr>
        <w:t>Encyclopedia</w:t>
      </w:r>
      <w:r w:rsidRPr="00CB4F47">
        <w:rPr>
          <w:rFonts w:cs="Arial"/>
          <w:sz w:val="16"/>
          <w:szCs w:val="16"/>
        </w:rPr>
        <w:t xml:space="preserve"> of New Zealand</w:t>
      </w:r>
      <w:r>
        <w:rPr>
          <w:rFonts w:cs="Arial"/>
          <w:sz w:val="16"/>
          <w:szCs w:val="16"/>
        </w:rPr>
        <w:t>,</w:t>
      </w:r>
      <w:r w:rsidRPr="00CB4F47">
        <w:rPr>
          <w:rFonts w:cs="Arial"/>
          <w:sz w:val="16"/>
          <w:szCs w:val="16"/>
        </w:rPr>
        <w:t xml:space="preserve"> 5 May 2011, revised 28 May 2018, page 5</w:t>
      </w:r>
      <w:r>
        <w:rPr>
          <w:rFonts w:cs="Arial"/>
          <w:sz w:val="16"/>
          <w:szCs w:val="16"/>
        </w:rPr>
        <w:t xml:space="preserve">), </w:t>
      </w:r>
      <w:hyperlink r:id="rId72" w:history="1">
        <w:r w:rsidRPr="00C75CAC">
          <w:rPr>
            <w:rStyle w:val="Hyperlink"/>
            <w:rFonts w:cs="Arial"/>
            <w:sz w:val="16"/>
            <w:szCs w:val="16"/>
          </w:rPr>
          <w:t>https://teara.govt.nz/en/anti-racism-and-treaty-of-waitangi-activism/page-5</w:t>
        </w:r>
      </w:hyperlink>
      <w:r w:rsidRPr="00CB4F47">
        <w:rPr>
          <w:rFonts w:cs="Arial"/>
          <w:sz w:val="16"/>
          <w:szCs w:val="16"/>
        </w:rPr>
        <w:t>.</w:t>
      </w:r>
    </w:p>
  </w:endnote>
  <w:endnote w:id="291">
    <w:p w14:paraId="73608634" w14:textId="77777777" w:rsidR="00FE4E56" w:rsidRPr="00FC5F93" w:rsidRDefault="00FE4E56" w:rsidP="00697AA7">
      <w:pPr>
        <w:pStyle w:val="EndnoteText"/>
        <w:spacing w:line="20" w:lineRule="atLeast"/>
        <w:rPr>
          <w:rFonts w:cs="Arial"/>
          <w:sz w:val="16"/>
          <w:szCs w:val="16"/>
        </w:rPr>
      </w:pPr>
      <w:r w:rsidRPr="000A5F86">
        <w:rPr>
          <w:rStyle w:val="StyleFootnoteReferenceFagoFunotenzeichenFagoFunotenzeichen"/>
          <w:sz w:val="16"/>
          <w:szCs w:val="16"/>
        </w:rPr>
        <w:endnoteRef/>
      </w:r>
      <w:r w:rsidRPr="00FC5F93">
        <w:rPr>
          <w:rFonts w:cs="Arial"/>
          <w:sz w:val="16"/>
          <w:szCs w:val="16"/>
        </w:rPr>
        <w:t xml:space="preserve"> Lesbian and Gay Archives of New Zealand, “Legislating homosexuality,” in Laurie, A &amp; Evans, L (eds), Twenty years on: Histories of homosexual law reform in New Zealand (Massey University, 2009</w:t>
      </w:r>
      <w:r>
        <w:rPr>
          <w:rFonts w:cs="Arial"/>
          <w:sz w:val="16"/>
          <w:szCs w:val="16"/>
        </w:rPr>
        <w:t>, page 95</w:t>
      </w:r>
      <w:r w:rsidRPr="00FC5F93">
        <w:rPr>
          <w:rFonts w:cs="Arial"/>
          <w:sz w:val="16"/>
          <w:szCs w:val="16"/>
        </w:rPr>
        <w:t>).</w:t>
      </w:r>
    </w:p>
  </w:endnote>
  <w:endnote w:id="292">
    <w:p w14:paraId="2FFEF1EC" w14:textId="5C1D54A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Lesbian and Gay Archives of New Zealand, “Legislating homosexuality</w:t>
      </w:r>
      <w:r>
        <w:rPr>
          <w:rFonts w:cs="Arial"/>
          <w:sz w:val="16"/>
          <w:szCs w:val="16"/>
        </w:rPr>
        <w:t>,</w:t>
      </w:r>
      <w:r w:rsidRPr="00CB4F47">
        <w:rPr>
          <w:rFonts w:cs="Arial"/>
          <w:sz w:val="16"/>
          <w:szCs w:val="16"/>
        </w:rPr>
        <w:t>” in Laurie, A &amp; Evans, L (eds)</w:t>
      </w:r>
      <w:r>
        <w:rPr>
          <w:rFonts w:cs="Arial"/>
          <w:sz w:val="16"/>
          <w:szCs w:val="16"/>
        </w:rPr>
        <w:t>,</w:t>
      </w:r>
      <w:r w:rsidRPr="00CB4F47">
        <w:rPr>
          <w:rFonts w:cs="Arial"/>
          <w:sz w:val="16"/>
          <w:szCs w:val="16"/>
        </w:rPr>
        <w:t xml:space="preserve"> Twenty years on: Histories of homosexual law reform in New Zealand (Massey University, 2009, pages 95–97</w:t>
      </w:r>
      <w:r>
        <w:rPr>
          <w:rFonts w:cs="Arial"/>
          <w:sz w:val="16"/>
          <w:szCs w:val="16"/>
        </w:rPr>
        <w:t>)</w:t>
      </w:r>
      <w:r w:rsidRPr="00CB4F47">
        <w:rPr>
          <w:rFonts w:cs="Arial"/>
          <w:sz w:val="16"/>
          <w:szCs w:val="16"/>
        </w:rPr>
        <w:t xml:space="preserve">. </w:t>
      </w:r>
    </w:p>
  </w:endnote>
  <w:endnote w:id="293">
    <w:p w14:paraId="6FEA7A85" w14:textId="314E6E1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Lesbian and Gay Archives of New Zealand, “Legislating homosexuality</w:t>
      </w:r>
      <w:r>
        <w:rPr>
          <w:rFonts w:cs="Arial"/>
          <w:sz w:val="16"/>
          <w:szCs w:val="16"/>
        </w:rPr>
        <w:t>,</w:t>
      </w:r>
      <w:r w:rsidRPr="00CB4F47">
        <w:rPr>
          <w:rFonts w:cs="Arial"/>
          <w:sz w:val="16"/>
          <w:szCs w:val="16"/>
        </w:rPr>
        <w:t>” in Laurie, A &amp; Evans, L (eds)</w:t>
      </w:r>
      <w:r>
        <w:rPr>
          <w:rFonts w:cs="Arial"/>
          <w:sz w:val="16"/>
          <w:szCs w:val="16"/>
        </w:rPr>
        <w:t>,</w:t>
      </w:r>
      <w:r w:rsidRPr="00CB4F47">
        <w:rPr>
          <w:rFonts w:cs="Arial"/>
          <w:sz w:val="16"/>
          <w:szCs w:val="16"/>
        </w:rPr>
        <w:t xml:space="preserve"> Twenty years on: Histories of homosexual law reform in New Zealand (Massey University, 2009, pages 95–97</w:t>
      </w:r>
      <w:r>
        <w:rPr>
          <w:rFonts w:cs="Arial"/>
          <w:sz w:val="16"/>
          <w:szCs w:val="16"/>
        </w:rPr>
        <w:t>)</w:t>
      </w:r>
      <w:r w:rsidRPr="00CB4F47">
        <w:rPr>
          <w:rFonts w:cs="Arial"/>
          <w:sz w:val="16"/>
          <w:szCs w:val="16"/>
        </w:rPr>
        <w:t xml:space="preserve">. </w:t>
      </w:r>
    </w:p>
  </w:endnote>
  <w:endnote w:id="294">
    <w:p w14:paraId="18B1CD4C" w14:textId="28E1DA45"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Disabled Persons Community Welfare Act 1975, No 122, sections 13 and 31.</w:t>
      </w:r>
    </w:p>
  </w:endnote>
  <w:endnote w:id="295">
    <w:p w14:paraId="781DA7FC" w14:textId="6027B9C8"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Wright, M, Illustrated history of New Zealand (David Bateman, 2013, </w:t>
      </w:r>
      <w:r w:rsidRPr="00CB4F47">
        <w:rPr>
          <w:rFonts w:cs="Arial"/>
          <w:sz w:val="16"/>
          <w:szCs w:val="16"/>
        </w:rPr>
        <w:t xml:space="preserve">page </w:t>
      </w:r>
      <w:r w:rsidRPr="00CB4F47">
        <w:rPr>
          <w:rFonts w:cs="Arial"/>
          <w:color w:val="262626"/>
          <w:sz w:val="16"/>
          <w:szCs w:val="16"/>
        </w:rPr>
        <w:t>214</w:t>
      </w:r>
      <w:r>
        <w:rPr>
          <w:rFonts w:cs="Arial"/>
          <w:color w:val="262626"/>
          <w:sz w:val="16"/>
          <w:szCs w:val="16"/>
        </w:rPr>
        <w:t>)</w:t>
      </w:r>
      <w:r w:rsidRPr="00CB4F47">
        <w:rPr>
          <w:rFonts w:cs="Arial"/>
          <w:color w:val="262626"/>
          <w:sz w:val="16"/>
          <w:szCs w:val="16"/>
        </w:rPr>
        <w:t>.</w:t>
      </w:r>
    </w:p>
  </w:endnote>
  <w:endnote w:id="296">
    <w:p w14:paraId="24C26469" w14:textId="2F855A77"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Wright, M, Illustrated history of New Zealand (David Bateman, </w:t>
      </w:r>
      <w:r w:rsidRPr="001A740B">
        <w:rPr>
          <w:rFonts w:cs="Arial"/>
          <w:color w:val="262626"/>
          <w:sz w:val="16"/>
          <w:szCs w:val="16"/>
        </w:rPr>
        <w:t>2013,</w:t>
      </w:r>
      <w:r w:rsidRPr="00CB4F47">
        <w:rPr>
          <w:rFonts w:cs="Arial"/>
          <w:color w:val="262626"/>
          <w:sz w:val="16"/>
          <w:szCs w:val="16"/>
        </w:rPr>
        <w:t xml:space="preserve"> </w:t>
      </w:r>
      <w:r w:rsidRPr="00CB4F47">
        <w:rPr>
          <w:rFonts w:cs="Arial"/>
          <w:sz w:val="16"/>
          <w:szCs w:val="16"/>
        </w:rPr>
        <w:t xml:space="preserve">page </w:t>
      </w:r>
      <w:r w:rsidRPr="00CB4F47">
        <w:rPr>
          <w:rFonts w:cs="Arial"/>
          <w:color w:val="262626"/>
          <w:sz w:val="16"/>
          <w:szCs w:val="16"/>
        </w:rPr>
        <w:t>189</w:t>
      </w:r>
      <w:r>
        <w:rPr>
          <w:rFonts w:cs="Arial"/>
          <w:color w:val="262626"/>
          <w:sz w:val="16"/>
          <w:szCs w:val="16"/>
        </w:rPr>
        <w:t>)</w:t>
      </w:r>
      <w:r w:rsidRPr="00CB4F47">
        <w:rPr>
          <w:rFonts w:cs="Arial"/>
          <w:color w:val="262626"/>
          <w:sz w:val="16"/>
          <w:szCs w:val="16"/>
        </w:rPr>
        <w:t>.</w:t>
      </w:r>
    </w:p>
  </w:endnote>
  <w:endnote w:id="297">
    <w:p w14:paraId="5092DF58" w14:textId="68DF690B"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Wright, M, Illustrated history of New Zealand (David Bateman, </w:t>
      </w:r>
      <w:r w:rsidRPr="001A740B">
        <w:rPr>
          <w:rFonts w:cs="Arial"/>
          <w:color w:val="262626"/>
          <w:sz w:val="16"/>
          <w:szCs w:val="16"/>
        </w:rPr>
        <w:t>2013,</w:t>
      </w:r>
      <w:r w:rsidRPr="00CB4F47">
        <w:rPr>
          <w:rFonts w:cs="Arial"/>
          <w:color w:val="262626"/>
          <w:sz w:val="16"/>
          <w:szCs w:val="16"/>
        </w:rPr>
        <w:t xml:space="preserve"> </w:t>
      </w:r>
      <w:r w:rsidRPr="00CB4F47">
        <w:rPr>
          <w:rFonts w:cs="Arial"/>
          <w:sz w:val="16"/>
          <w:szCs w:val="16"/>
        </w:rPr>
        <w:t xml:space="preserve">page </w:t>
      </w:r>
      <w:r w:rsidRPr="00CB4F47">
        <w:rPr>
          <w:rFonts w:cs="Arial"/>
          <w:color w:val="262626"/>
          <w:sz w:val="16"/>
          <w:szCs w:val="16"/>
        </w:rPr>
        <w:t>290</w:t>
      </w:r>
      <w:r>
        <w:rPr>
          <w:rFonts w:cs="Arial"/>
          <w:color w:val="262626"/>
          <w:sz w:val="16"/>
          <w:szCs w:val="16"/>
        </w:rPr>
        <w:t>)</w:t>
      </w:r>
      <w:r w:rsidRPr="00CB4F47">
        <w:rPr>
          <w:rFonts w:cs="Arial"/>
          <w:color w:val="262626"/>
          <w:sz w:val="16"/>
          <w:szCs w:val="16"/>
        </w:rPr>
        <w:t xml:space="preserve">. </w:t>
      </w:r>
    </w:p>
  </w:endnote>
  <w:endnote w:id="298">
    <w:p w14:paraId="21FC4855" w14:textId="5A8547CD" w:rsidR="00FE4E56" w:rsidRPr="00CB4F47" w:rsidRDefault="00FE4E56">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w:t>
      </w:r>
      <w:r w:rsidRPr="001A740B">
        <w:rPr>
          <w:rFonts w:cs="Arial"/>
          <w:sz w:val="16"/>
          <w:szCs w:val="16"/>
        </w:rPr>
        <w:t xml:space="preserve">Labrum, B, “Persistent needs and expanding desires: Pākehā families and State welfare in the </w:t>
      </w:r>
      <w:r>
        <w:rPr>
          <w:rFonts w:cs="Arial"/>
          <w:sz w:val="16"/>
          <w:szCs w:val="16"/>
        </w:rPr>
        <w:t>y</w:t>
      </w:r>
      <w:r w:rsidRPr="001A740B">
        <w:rPr>
          <w:rFonts w:cs="Arial"/>
          <w:sz w:val="16"/>
          <w:szCs w:val="16"/>
        </w:rPr>
        <w:t xml:space="preserve">ears of </w:t>
      </w:r>
      <w:r>
        <w:rPr>
          <w:rFonts w:cs="Arial"/>
          <w:sz w:val="16"/>
          <w:szCs w:val="16"/>
        </w:rPr>
        <w:t>p</w:t>
      </w:r>
      <w:r w:rsidRPr="001A740B">
        <w:rPr>
          <w:rFonts w:cs="Arial"/>
          <w:sz w:val="16"/>
          <w:szCs w:val="16"/>
        </w:rPr>
        <w:t>rosperity,” in Dalley, B</w:t>
      </w:r>
      <w:r w:rsidRPr="001A740B" w:rsidDel="00FA11C5">
        <w:rPr>
          <w:rFonts w:cs="Arial"/>
          <w:sz w:val="16"/>
          <w:szCs w:val="16"/>
        </w:rPr>
        <w:t xml:space="preserve"> </w:t>
      </w:r>
      <w:r w:rsidRPr="001A740B">
        <w:rPr>
          <w:rFonts w:cs="Arial"/>
          <w:sz w:val="16"/>
          <w:szCs w:val="16"/>
        </w:rPr>
        <w:t>&amp; Labrum, B (eds), Fragments: New Zealand cultural and social history (Auckland University Press, 2000, page 193</w:t>
      </w:r>
      <w:r>
        <w:rPr>
          <w:rFonts w:cs="Arial"/>
          <w:sz w:val="16"/>
          <w:szCs w:val="16"/>
        </w:rPr>
        <w:t>).</w:t>
      </w:r>
    </w:p>
  </w:endnote>
  <w:endnote w:id="299">
    <w:p w14:paraId="2D8F0C96" w14:textId="20D1BA57"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Kia Piki Ake Welfare Expert Advisory Group, A brief history of family support payments in New Zealand (July 2018, </w:t>
      </w:r>
      <w:r w:rsidRPr="00CB4F47">
        <w:rPr>
          <w:rFonts w:cs="Arial"/>
          <w:sz w:val="16"/>
          <w:szCs w:val="16"/>
        </w:rPr>
        <w:t xml:space="preserve">page </w:t>
      </w:r>
      <w:r w:rsidRPr="00CB4F47">
        <w:rPr>
          <w:rFonts w:cs="Arial"/>
          <w:color w:val="262626"/>
          <w:sz w:val="16"/>
          <w:szCs w:val="16"/>
        </w:rPr>
        <w:t>4</w:t>
      </w:r>
      <w:r>
        <w:rPr>
          <w:rFonts w:cs="Arial"/>
          <w:color w:val="262626"/>
          <w:sz w:val="16"/>
          <w:szCs w:val="16"/>
        </w:rPr>
        <w:t>)</w:t>
      </w:r>
      <w:r w:rsidRPr="00CB4F47">
        <w:rPr>
          <w:rFonts w:cs="Arial"/>
          <w:color w:val="262626"/>
          <w:sz w:val="16"/>
          <w:szCs w:val="16"/>
        </w:rPr>
        <w:t>.</w:t>
      </w:r>
    </w:p>
  </w:endnote>
  <w:endnote w:id="300">
    <w:p w14:paraId="247A1637" w14:textId="4620754A" w:rsidR="00FE4E56" w:rsidRPr="00536E67" w:rsidRDefault="00FE4E56" w:rsidP="002E49C1">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sz w:val="16"/>
          <w:szCs w:val="16"/>
        </w:rPr>
        <w:t xml:space="preserve">Widows Pension Act 1911, section 3; </w:t>
      </w:r>
      <w:r w:rsidRPr="00CB4F47">
        <w:rPr>
          <w:rFonts w:cs="Arial"/>
          <w:color w:val="262626"/>
          <w:sz w:val="16"/>
          <w:szCs w:val="16"/>
        </w:rPr>
        <w:t xml:space="preserve">Kia Piki Ake Welfare Expert Advisory Group, A brief history of family support payments in New Zealand (July 2018, </w:t>
      </w:r>
      <w:r w:rsidRPr="00CB4F47">
        <w:rPr>
          <w:rFonts w:cs="Arial"/>
          <w:sz w:val="16"/>
          <w:szCs w:val="16"/>
        </w:rPr>
        <w:t xml:space="preserve">page </w:t>
      </w:r>
      <w:r w:rsidRPr="00CB4F47">
        <w:rPr>
          <w:rFonts w:cs="Arial"/>
          <w:color w:val="262626"/>
          <w:sz w:val="16"/>
          <w:szCs w:val="16"/>
        </w:rPr>
        <w:t>4</w:t>
      </w:r>
      <w:r>
        <w:rPr>
          <w:rFonts w:cs="Arial"/>
          <w:color w:val="262626"/>
          <w:sz w:val="16"/>
          <w:szCs w:val="16"/>
        </w:rPr>
        <w:t>)</w:t>
      </w:r>
      <w:r w:rsidRPr="00FC5F93">
        <w:rPr>
          <w:sz w:val="16"/>
          <w:szCs w:val="16"/>
        </w:rPr>
        <w:t>.</w:t>
      </w:r>
    </w:p>
  </w:endnote>
  <w:endnote w:id="301">
    <w:p w14:paraId="7AB3063B" w14:textId="50D63DB3" w:rsidR="00FE4E56" w:rsidRPr="00536E67" w:rsidRDefault="00FE4E56" w:rsidP="002E49C1">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Pr>
          <w:rFonts w:cs="Arial"/>
          <w:color w:val="262626"/>
          <w:sz w:val="16"/>
          <w:szCs w:val="16"/>
        </w:rPr>
        <w:t>McKenzie, A, Social assistance chronology 1844–2003 (Ministry of Social Development, 2023, page 77)</w:t>
      </w:r>
      <w:r w:rsidRPr="003D7BC4">
        <w:rPr>
          <w:rFonts w:cs="Arial"/>
          <w:color w:val="262626"/>
          <w:sz w:val="16"/>
          <w:szCs w:val="16"/>
        </w:rPr>
        <w:t>.</w:t>
      </w:r>
    </w:p>
  </w:endnote>
  <w:endnote w:id="302">
    <w:p w14:paraId="410305DC" w14:textId="77777777" w:rsidR="00FE4E56" w:rsidRPr="00536E67" w:rsidRDefault="00FE4E56" w:rsidP="002E49C1">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Social Security Act 1938, sections 51 and 54.</w:t>
      </w:r>
    </w:p>
  </w:endnote>
  <w:endnote w:id="303">
    <w:p w14:paraId="2C04AFA6" w14:textId="3DC56D4F" w:rsidR="00FE4E56" w:rsidRPr="00536E67" w:rsidRDefault="00FE4E56" w:rsidP="002E49C1">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sz w:val="16"/>
          <w:szCs w:val="16"/>
        </w:rPr>
        <w:t>Mc</w:t>
      </w:r>
      <w:r>
        <w:rPr>
          <w:sz w:val="16"/>
          <w:szCs w:val="16"/>
        </w:rPr>
        <w:t>C</w:t>
      </w:r>
      <w:r w:rsidRPr="00FC5F93">
        <w:rPr>
          <w:sz w:val="16"/>
          <w:szCs w:val="16"/>
        </w:rPr>
        <w:t>lure, M, A civilised community: A history of social security in New Zealand 1898–1998 (Auckland University Press, 1998, page 156).</w:t>
      </w:r>
    </w:p>
  </w:endnote>
  <w:endnote w:id="304">
    <w:p w14:paraId="60A0D14E" w14:textId="685C3EBC" w:rsidR="00FE4E56" w:rsidRPr="00536E67" w:rsidRDefault="00FE4E56" w:rsidP="001F7027">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sz w:val="16"/>
          <w:szCs w:val="16"/>
        </w:rPr>
        <w:t>Mc</w:t>
      </w:r>
      <w:r>
        <w:rPr>
          <w:sz w:val="16"/>
          <w:szCs w:val="16"/>
        </w:rPr>
        <w:t>C</w:t>
      </w:r>
      <w:r w:rsidRPr="00FC5F93">
        <w:rPr>
          <w:sz w:val="16"/>
          <w:szCs w:val="16"/>
        </w:rPr>
        <w:t>lure, Mt, A civilised community: A history of social security in New Zealand 1898–1998 (Auckland University Press, 1998, pages 148 –149).</w:t>
      </w:r>
    </w:p>
  </w:endnote>
  <w:endnote w:id="305">
    <w:p w14:paraId="148A96F3" w14:textId="0E2EF5EB" w:rsidR="00FE4E56" w:rsidRPr="00536E67" w:rsidRDefault="00FE4E56" w:rsidP="001F7027">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McClure, M, A civilised community: A history of social security in New Zealand 1898 – 1998 (Auckland University Press, 1998, pages 144 –145).</w:t>
      </w:r>
    </w:p>
  </w:endnote>
  <w:endnote w:id="306">
    <w:p w14:paraId="0B368F27" w14:textId="1D6B3392" w:rsidR="00FE4E56" w:rsidRPr="00CB4F47" w:rsidRDefault="00FE4E56" w:rsidP="009E78B1">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Te</w:t>
      </w:r>
      <w:r w:rsidRPr="00CB4F47">
        <w:rPr>
          <w:rFonts w:eastAsia="Arial" w:cs="Arial"/>
          <w:color w:val="262626" w:themeColor="text1" w:themeTint="D9"/>
          <w:sz w:val="16"/>
          <w:szCs w:val="16"/>
        </w:rPr>
        <w:t>nnant, M, O'Brien, M &amp; Sanders, J, The history of the non-profit sector in New Zealand (Office for the Community and Voluntary Sector, 2008, p</w:t>
      </w:r>
      <w:r>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21</w:t>
      </w:r>
      <w:r>
        <w:rPr>
          <w:rFonts w:eastAsia="Arial" w:cs="Arial"/>
          <w:color w:val="262626" w:themeColor="text1" w:themeTint="D9"/>
          <w:sz w:val="16"/>
          <w:szCs w:val="16"/>
        </w:rPr>
        <w:t>).</w:t>
      </w:r>
      <w:r w:rsidRPr="00CB4F47">
        <w:rPr>
          <w:rFonts w:eastAsia="Arial" w:cs="Arial"/>
          <w:color w:val="262626" w:themeColor="text1" w:themeTint="D9"/>
          <w:sz w:val="16"/>
          <w:szCs w:val="16"/>
        </w:rPr>
        <w:t xml:space="preserve"> </w:t>
      </w:r>
    </w:p>
  </w:endnote>
  <w:endnote w:id="307">
    <w:p w14:paraId="3D451634" w14:textId="4935DFA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73" w:history="1">
        <w:r w:rsidRPr="00CB4F47">
          <w:rPr>
            <w:rFonts w:cs="Arial"/>
            <w:sz w:val="16"/>
            <w:szCs w:val="16"/>
          </w:rPr>
          <w:t>Maori and the State: Crown-Māori relations in New Zealand/Aotearoa, 1950</w:t>
        </w:r>
        <w:r w:rsidRPr="00CB4F47">
          <w:rPr>
            <w:rStyle w:val="normaltextrun"/>
            <w:rFonts w:cs="Arial"/>
            <w:color w:val="000000"/>
            <w:sz w:val="16"/>
            <w:szCs w:val="16"/>
            <w:bdr w:val="none" w:sz="0" w:space="0" w:color="auto" w:frame="1"/>
          </w:rPr>
          <w:t>–</w:t>
        </w:r>
        <w:r w:rsidRPr="00CB4F47">
          <w:rPr>
            <w:rFonts w:cs="Arial"/>
            <w:sz w:val="16"/>
            <w:szCs w:val="16"/>
          </w:rPr>
          <w:t>2000</w:t>
        </w:r>
      </w:hyperlink>
      <w:r w:rsidRPr="00CB4F47">
        <w:rPr>
          <w:rFonts w:cs="Arial"/>
          <w:sz w:val="16"/>
          <w:szCs w:val="16"/>
        </w:rPr>
        <w:t xml:space="preserve"> (</w:t>
      </w:r>
      <w:hyperlink r:id="rId74" w:history="1">
        <w:r w:rsidRPr="00CB4F47">
          <w:rPr>
            <w:rFonts w:cs="Arial"/>
            <w:sz w:val="16"/>
            <w:szCs w:val="16"/>
          </w:rPr>
          <w:t>Victoria University Press</w:t>
        </w:r>
      </w:hyperlink>
      <w:r w:rsidRPr="00CB4F47">
        <w:rPr>
          <w:rFonts w:cs="Arial"/>
          <w:sz w:val="16"/>
          <w:szCs w:val="16"/>
        </w:rPr>
        <w:t>, 2009, page 172</w:t>
      </w:r>
      <w:r>
        <w:rPr>
          <w:rFonts w:cs="Arial"/>
          <w:sz w:val="16"/>
          <w:szCs w:val="16"/>
        </w:rPr>
        <w:t>)</w:t>
      </w:r>
      <w:r w:rsidRPr="00CB4F47">
        <w:rPr>
          <w:rFonts w:cs="Arial"/>
          <w:sz w:val="16"/>
          <w:szCs w:val="16"/>
        </w:rPr>
        <w:t>.</w:t>
      </w:r>
    </w:p>
  </w:endnote>
  <w:endnote w:id="308">
    <w:p w14:paraId="1E71B072" w14:textId="39C188D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75"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76" w:history="1">
        <w:r w:rsidRPr="00CB4F47">
          <w:rPr>
            <w:rFonts w:cs="Arial"/>
            <w:sz w:val="16"/>
            <w:szCs w:val="16"/>
          </w:rPr>
          <w:t>Victoria University Press</w:t>
        </w:r>
      </w:hyperlink>
      <w:r w:rsidRPr="00CB4F47">
        <w:rPr>
          <w:rFonts w:cs="Arial"/>
          <w:sz w:val="16"/>
          <w:szCs w:val="16"/>
        </w:rPr>
        <w:t>, 2009, page 196</w:t>
      </w:r>
      <w:r>
        <w:rPr>
          <w:rFonts w:cs="Arial"/>
          <w:sz w:val="16"/>
          <w:szCs w:val="16"/>
        </w:rPr>
        <w:t>)</w:t>
      </w:r>
      <w:r w:rsidRPr="00CB4F47">
        <w:rPr>
          <w:rFonts w:cs="Arial"/>
          <w:sz w:val="16"/>
          <w:szCs w:val="16"/>
        </w:rPr>
        <w:t>.</w:t>
      </w:r>
    </w:p>
  </w:endnote>
  <w:endnote w:id="309">
    <w:p w14:paraId="0A8AB9F1" w14:textId="35440C6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77"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78" w:history="1">
        <w:r w:rsidRPr="00CB4F47">
          <w:rPr>
            <w:rFonts w:cs="Arial"/>
            <w:sz w:val="16"/>
            <w:szCs w:val="16"/>
          </w:rPr>
          <w:t>Victoria University Press</w:t>
        </w:r>
      </w:hyperlink>
      <w:r w:rsidRPr="00CB4F47">
        <w:rPr>
          <w:rFonts w:cs="Arial"/>
          <w:sz w:val="16"/>
          <w:szCs w:val="16"/>
        </w:rPr>
        <w:t>, 2009, page 213</w:t>
      </w:r>
      <w:r>
        <w:rPr>
          <w:rFonts w:cs="Arial"/>
          <w:sz w:val="16"/>
          <w:szCs w:val="16"/>
        </w:rPr>
        <w:t>)</w:t>
      </w:r>
      <w:r w:rsidRPr="00CB4F47">
        <w:rPr>
          <w:rFonts w:cs="Arial"/>
          <w:sz w:val="16"/>
          <w:szCs w:val="16"/>
        </w:rPr>
        <w:t>.</w:t>
      </w:r>
    </w:p>
  </w:endnote>
  <w:endnote w:id="310">
    <w:p w14:paraId="7E6C3156" w14:textId="1CEABAEA" w:rsidR="00FE4E56" w:rsidRPr="00CB4F47" w:rsidRDefault="00FE4E56" w:rsidP="002E795A">
      <w:pPr>
        <w:pStyle w:val="EndnoteText"/>
        <w:rPr>
          <w:rFonts w:cs="Arial"/>
          <w:sz w:val="16"/>
          <w:szCs w:val="16"/>
        </w:rPr>
      </w:pPr>
      <w:r w:rsidRPr="00536E67">
        <w:rPr>
          <w:rStyle w:val="StyleFootnoteReferenceFagoFunotenzeichenFagoFunotenzeichen"/>
          <w:sz w:val="16"/>
          <w:szCs w:val="16"/>
        </w:rPr>
        <w:endnoteRef/>
      </w:r>
      <w:r w:rsidRPr="00CB4F47" w:rsidDel="00185A2C">
        <w:rPr>
          <w:rFonts w:cs="Arial"/>
          <w:sz w:val="16"/>
          <w:szCs w:val="16"/>
        </w:rPr>
        <w:t xml:space="preserve"> </w:t>
      </w:r>
      <w:r w:rsidRPr="00CB4F47">
        <w:rPr>
          <w:rFonts w:cs="Arial"/>
          <w:sz w:val="16"/>
          <w:szCs w:val="16"/>
        </w:rPr>
        <w:t>The Office for Māori Crown Relations</w:t>
      </w:r>
      <w:r>
        <w:rPr>
          <w:rFonts w:cs="Arial"/>
          <w:sz w:val="16"/>
          <w:szCs w:val="16"/>
        </w:rPr>
        <w:t xml:space="preserve"> –</w:t>
      </w:r>
      <w:r w:rsidRPr="00185A2C">
        <w:rPr>
          <w:rFonts w:cs="Arial"/>
          <w:sz w:val="16"/>
          <w:szCs w:val="16"/>
        </w:rPr>
        <w:t xml:space="preserve"> </w:t>
      </w:r>
      <w:r w:rsidRPr="00CB4F47">
        <w:rPr>
          <w:rFonts w:cs="Arial"/>
          <w:sz w:val="16"/>
          <w:szCs w:val="16"/>
        </w:rPr>
        <w:t>Te Arawhiti, Providing for the Treaty of Waitangi in legislation and supporting policy design: questions for policy makers (2022, page 1</w:t>
      </w:r>
      <w:r>
        <w:rPr>
          <w:rFonts w:cs="Arial"/>
          <w:sz w:val="16"/>
          <w:szCs w:val="16"/>
        </w:rPr>
        <w:t>)</w:t>
      </w:r>
      <w:r w:rsidRPr="00CB4F47">
        <w:rPr>
          <w:rFonts w:cs="Arial"/>
          <w:sz w:val="16"/>
          <w:szCs w:val="16"/>
        </w:rPr>
        <w:t>.</w:t>
      </w:r>
    </w:p>
  </w:endnote>
  <w:endnote w:id="311">
    <w:p w14:paraId="27B0A6E0" w14:textId="77777777" w:rsidR="00FE4E56" w:rsidRPr="00CB4F47" w:rsidRDefault="00FE4E56" w:rsidP="004501DF">
      <w:pPr>
        <w:pStyle w:val="EndnoteText"/>
        <w:rPr>
          <w:sz w:val="16"/>
          <w:szCs w:val="16"/>
        </w:rPr>
      </w:pPr>
      <w:r w:rsidRPr="00A85BCF">
        <w:rPr>
          <w:rStyle w:val="StyleFootnoteReferenceFagoFunotenzeichenFagoFunotenzeichen"/>
          <w:sz w:val="16"/>
          <w:szCs w:val="16"/>
        </w:rPr>
        <w:endnoteRef/>
      </w:r>
      <w:r w:rsidRPr="00CB4F47">
        <w:rPr>
          <w:sz w:val="16"/>
          <w:szCs w:val="16"/>
        </w:rPr>
        <w:t xml:space="preserve"> Treaty of Waitangi Amendment Act 1985, section 3.</w:t>
      </w:r>
    </w:p>
  </w:endnote>
  <w:endnote w:id="312">
    <w:p w14:paraId="17ADAAC1" w14:textId="583C2B5B" w:rsidR="00FE4E56" w:rsidRPr="00CB4F47" w:rsidRDefault="00FE4E56" w:rsidP="002E795A">
      <w:pPr>
        <w:pStyle w:val="EndnoteText"/>
        <w:rPr>
          <w:rFonts w:cs="Arial"/>
          <w:sz w:val="16"/>
          <w:szCs w:val="16"/>
        </w:rPr>
      </w:pPr>
      <w:r w:rsidRPr="00536E67">
        <w:rPr>
          <w:rStyle w:val="StyleFootnoteReferenceFagoFunotenzeichenFagoFunotenzeichen"/>
          <w:sz w:val="16"/>
          <w:szCs w:val="16"/>
        </w:rPr>
        <w:endnoteRef/>
      </w:r>
      <w:r w:rsidRPr="00CB4F47" w:rsidDel="00185A2C">
        <w:rPr>
          <w:rFonts w:cs="Arial"/>
          <w:sz w:val="16"/>
          <w:szCs w:val="16"/>
        </w:rPr>
        <w:t xml:space="preserve"> </w:t>
      </w:r>
      <w:r w:rsidRPr="00CB4F47">
        <w:rPr>
          <w:rFonts w:cs="Arial"/>
          <w:sz w:val="16"/>
          <w:szCs w:val="16"/>
        </w:rPr>
        <w:t>The Office for Māori Crown Relations</w:t>
      </w:r>
      <w:r>
        <w:rPr>
          <w:rFonts w:cs="Arial"/>
          <w:sz w:val="16"/>
          <w:szCs w:val="16"/>
        </w:rPr>
        <w:t xml:space="preserve"> –</w:t>
      </w:r>
      <w:r w:rsidRPr="00185A2C">
        <w:rPr>
          <w:rFonts w:cs="Arial"/>
          <w:sz w:val="16"/>
          <w:szCs w:val="16"/>
        </w:rPr>
        <w:t xml:space="preserve"> </w:t>
      </w:r>
      <w:r w:rsidRPr="00CB4F47">
        <w:rPr>
          <w:rFonts w:cs="Arial"/>
          <w:sz w:val="16"/>
          <w:szCs w:val="16"/>
        </w:rPr>
        <w:t>Te Arawhiti, Providing for the Treaty of Waitangi in legislation and supporting policy design: questions for policy makers (2022, page 1</w:t>
      </w:r>
      <w:r>
        <w:rPr>
          <w:rFonts w:cs="Arial"/>
          <w:sz w:val="16"/>
          <w:szCs w:val="16"/>
        </w:rPr>
        <w:t>)</w:t>
      </w:r>
      <w:r w:rsidRPr="00CB4F47">
        <w:rPr>
          <w:rFonts w:cs="Arial"/>
          <w:sz w:val="16"/>
          <w:szCs w:val="16"/>
        </w:rPr>
        <w:t xml:space="preserve">. </w:t>
      </w:r>
    </w:p>
  </w:endnote>
  <w:endnote w:id="313">
    <w:p w14:paraId="2D6D5AE5" w14:textId="1C394C9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Fleras, A </w:t>
      </w:r>
      <w:r>
        <w:rPr>
          <w:rFonts w:cs="Arial"/>
          <w:sz w:val="16"/>
          <w:szCs w:val="16"/>
        </w:rPr>
        <w:t>ci</w:t>
      </w:r>
      <w:r w:rsidRPr="00CB4F47">
        <w:rPr>
          <w:rFonts w:cs="Arial"/>
          <w:sz w:val="16"/>
          <w:szCs w:val="16"/>
        </w:rPr>
        <w:t>ted in Armitage, A, Comparing the policy of Aboriginal assimilation: Australia, Canada, and New Zealand, (</w:t>
      </w:r>
      <w:r>
        <w:rPr>
          <w:rFonts w:cs="Arial"/>
          <w:sz w:val="16"/>
          <w:szCs w:val="16"/>
        </w:rPr>
        <w:t>University of British Columbia</w:t>
      </w:r>
      <w:r w:rsidRPr="00CB4F47">
        <w:rPr>
          <w:rFonts w:cs="Arial"/>
          <w:sz w:val="16"/>
          <w:szCs w:val="16"/>
        </w:rPr>
        <w:t xml:space="preserve"> Press, 1995, page 241</w:t>
      </w:r>
      <w:r>
        <w:rPr>
          <w:rFonts w:cs="Arial"/>
          <w:sz w:val="16"/>
          <w:szCs w:val="16"/>
        </w:rPr>
        <w:t>); Cleland, A, “Care of Children Act 2004: Continuation of cultural assimilation”, Victoria University of Wellington Law Review, Volume 54 (2023, page 697)</w:t>
      </w:r>
      <w:r w:rsidRPr="00CB4F47">
        <w:rPr>
          <w:rFonts w:cs="Arial"/>
          <w:sz w:val="16"/>
          <w:szCs w:val="16"/>
        </w:rPr>
        <w:t>.</w:t>
      </w:r>
    </w:p>
  </w:endnote>
  <w:endnote w:id="314">
    <w:p w14:paraId="5744C427" w14:textId="57C7D6D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79"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80" w:history="1">
        <w:r w:rsidRPr="00CB4F47">
          <w:rPr>
            <w:rFonts w:cs="Arial"/>
            <w:sz w:val="16"/>
            <w:szCs w:val="16"/>
          </w:rPr>
          <w:t>Victoria University Press</w:t>
        </w:r>
      </w:hyperlink>
      <w:r w:rsidRPr="00CB4F47">
        <w:rPr>
          <w:rFonts w:cs="Arial"/>
          <w:sz w:val="16"/>
          <w:szCs w:val="16"/>
        </w:rPr>
        <w:t>, 2009, page 234</w:t>
      </w:r>
      <w:r>
        <w:rPr>
          <w:rFonts w:cs="Arial"/>
          <w:sz w:val="16"/>
          <w:szCs w:val="16"/>
        </w:rPr>
        <w:t>)</w:t>
      </w:r>
      <w:r w:rsidRPr="00CB4F47">
        <w:rPr>
          <w:rFonts w:cs="Arial"/>
          <w:sz w:val="16"/>
          <w:szCs w:val="16"/>
        </w:rPr>
        <w:t>.</w:t>
      </w:r>
    </w:p>
  </w:endnote>
  <w:endnote w:id="315">
    <w:p w14:paraId="0425F885" w14:textId="358B2FC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81"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82" w:history="1">
        <w:r w:rsidRPr="00CB4F47">
          <w:rPr>
            <w:rFonts w:cs="Arial"/>
            <w:sz w:val="16"/>
            <w:szCs w:val="16"/>
          </w:rPr>
          <w:t>Victoria University Press</w:t>
        </w:r>
      </w:hyperlink>
      <w:r w:rsidRPr="00CB4F47">
        <w:rPr>
          <w:rFonts w:cs="Arial"/>
          <w:sz w:val="16"/>
          <w:szCs w:val="16"/>
        </w:rPr>
        <w:t>, 2009, pages 236–237</w:t>
      </w:r>
      <w:r>
        <w:rPr>
          <w:rFonts w:cs="Arial"/>
          <w:sz w:val="16"/>
          <w:szCs w:val="16"/>
        </w:rPr>
        <w:t>)</w:t>
      </w:r>
      <w:r w:rsidRPr="00CB4F47">
        <w:rPr>
          <w:rFonts w:cs="Arial"/>
          <w:sz w:val="16"/>
          <w:szCs w:val="16"/>
        </w:rPr>
        <w:t>.</w:t>
      </w:r>
    </w:p>
  </w:endnote>
  <w:endnote w:id="316">
    <w:p w14:paraId="1DD3C971" w14:textId="3EABFFE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83"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84" w:history="1">
        <w:r w:rsidRPr="00CB4F47">
          <w:rPr>
            <w:rFonts w:cs="Arial"/>
            <w:sz w:val="16"/>
            <w:szCs w:val="16"/>
          </w:rPr>
          <w:t>Victoria University Press</w:t>
        </w:r>
      </w:hyperlink>
      <w:r w:rsidRPr="00CB4F47">
        <w:rPr>
          <w:rFonts w:cs="Arial"/>
          <w:sz w:val="16"/>
          <w:szCs w:val="16"/>
        </w:rPr>
        <w:t>, 2009, page 26</w:t>
      </w:r>
      <w:r>
        <w:rPr>
          <w:rFonts w:cs="Arial"/>
          <w:sz w:val="16"/>
          <w:szCs w:val="16"/>
        </w:rPr>
        <w:t>)</w:t>
      </w:r>
      <w:r w:rsidRPr="00CB4F47">
        <w:rPr>
          <w:rFonts w:cs="Arial"/>
          <w:sz w:val="16"/>
          <w:szCs w:val="16"/>
        </w:rPr>
        <w:t>.</w:t>
      </w:r>
    </w:p>
  </w:endnote>
  <w:endnote w:id="317">
    <w:p w14:paraId="4D5C69C8" w14:textId="6381ED36" w:rsidR="00FE4E56" w:rsidRPr="00536E67" w:rsidRDefault="00FE4E56" w:rsidP="00CE4286">
      <w:pPr>
        <w:pStyle w:val="EndnoteText"/>
        <w:rPr>
          <w:sz w:val="16"/>
          <w:szCs w:val="16"/>
        </w:rPr>
      </w:pPr>
      <w:r w:rsidRPr="00536E67">
        <w:rPr>
          <w:rStyle w:val="EndnoteReference"/>
          <w:sz w:val="16"/>
          <w:szCs w:val="16"/>
        </w:rPr>
        <w:endnoteRef/>
      </w:r>
      <w:r w:rsidRPr="00536E67">
        <w:rPr>
          <w:sz w:val="16"/>
          <w:szCs w:val="16"/>
        </w:rPr>
        <w:t xml:space="preserve"> </w:t>
      </w:r>
      <w:r w:rsidRPr="00CB4F47">
        <w:rPr>
          <w:rFonts w:cs="Arial"/>
          <w:sz w:val="16"/>
          <w:szCs w:val="16"/>
        </w:rPr>
        <w:t xml:space="preserve">Māori Perspective Advisory Committee, Puao-te-ata-tu (day break): The report of the Ministerial Advisory Committee on a Māori perspective for the Department of Social Welfare (Department of Social Welfare, 1988, page </w:t>
      </w:r>
      <w:r>
        <w:rPr>
          <w:rFonts w:cs="Arial"/>
          <w:sz w:val="16"/>
          <w:szCs w:val="16"/>
        </w:rPr>
        <w:t>77); Cleland, A, “Care of Children Act 2004: Continuation of cultural assimilation”, Victoria University of Wellington Law Review, Volume 54 (2023, pages 676 and 697)</w:t>
      </w:r>
      <w:r w:rsidRPr="00CB4F47">
        <w:rPr>
          <w:rFonts w:cs="Arial"/>
          <w:sz w:val="16"/>
          <w:szCs w:val="16"/>
        </w:rPr>
        <w:t>.</w:t>
      </w:r>
      <w:r w:rsidRPr="00536E67">
        <w:rPr>
          <w:sz w:val="16"/>
          <w:szCs w:val="16"/>
        </w:rPr>
        <w:t xml:space="preserve"> </w:t>
      </w:r>
    </w:p>
  </w:endnote>
  <w:endnote w:id="318">
    <w:p w14:paraId="60E3ABB9" w14:textId="2A07F13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85"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86" w:history="1">
        <w:r w:rsidRPr="00CB4F47">
          <w:rPr>
            <w:rFonts w:cs="Arial"/>
            <w:sz w:val="16"/>
            <w:szCs w:val="16"/>
          </w:rPr>
          <w:t>Victoria University Press</w:t>
        </w:r>
      </w:hyperlink>
      <w:r w:rsidRPr="00CB4F47">
        <w:rPr>
          <w:rFonts w:cs="Arial"/>
          <w:sz w:val="16"/>
          <w:szCs w:val="16"/>
        </w:rPr>
        <w:t>, 2009, pages 248 and 250</w:t>
      </w:r>
      <w:r>
        <w:rPr>
          <w:rFonts w:cs="Arial"/>
          <w:sz w:val="16"/>
          <w:szCs w:val="16"/>
        </w:rPr>
        <w:t>)</w:t>
      </w:r>
      <w:r w:rsidRPr="00CB4F47">
        <w:rPr>
          <w:rFonts w:cs="Arial"/>
          <w:sz w:val="16"/>
          <w:szCs w:val="16"/>
        </w:rPr>
        <w:t>.</w:t>
      </w:r>
    </w:p>
  </w:endnote>
  <w:endnote w:id="319">
    <w:p w14:paraId="2408D538" w14:textId="120905FA" w:rsidR="00FE4E56" w:rsidRPr="00536E67" w:rsidRDefault="00FE4E56" w:rsidP="002B4B30">
      <w:pPr>
        <w:pStyle w:val="EndnoteText"/>
        <w:rPr>
          <w:rFonts w:cs="Arial"/>
          <w:sz w:val="16"/>
          <w:szCs w:val="16"/>
        </w:rPr>
      </w:pPr>
      <w:r w:rsidRPr="00536E67">
        <w:rPr>
          <w:rStyle w:val="EndnoteReference"/>
          <w:sz w:val="16"/>
          <w:szCs w:val="16"/>
        </w:rPr>
        <w:endnoteRef/>
      </w:r>
      <w:r w:rsidRPr="00536E67">
        <w:rPr>
          <w:rFonts w:cs="Arial"/>
          <w:sz w:val="16"/>
          <w:szCs w:val="16"/>
        </w:rPr>
        <w:t xml:space="preserve"> </w:t>
      </w:r>
      <w:r w:rsidRPr="005B5357">
        <w:rPr>
          <w:rFonts w:eastAsia="Arial" w:cs="Arial"/>
          <w:color w:val="262626" w:themeColor="text1" w:themeTint="D9"/>
          <w:sz w:val="16"/>
          <w:szCs w:val="16"/>
        </w:rPr>
        <w:t>Durie, M</w:t>
      </w:r>
      <w:r>
        <w:rPr>
          <w:rFonts w:eastAsia="Arial" w:cs="Arial"/>
          <w:color w:val="262626" w:themeColor="text1" w:themeTint="D9"/>
          <w:sz w:val="16"/>
          <w:szCs w:val="16"/>
        </w:rPr>
        <w:t>,</w:t>
      </w:r>
      <w:r w:rsidRPr="005B5357">
        <w:rPr>
          <w:rFonts w:eastAsia="Arial" w:cs="Arial"/>
          <w:color w:val="262626" w:themeColor="text1" w:themeTint="D9"/>
          <w:sz w:val="16"/>
          <w:szCs w:val="16"/>
        </w:rPr>
        <w:t xml:space="preserve"> Ng</w:t>
      </w:r>
      <w:r>
        <w:rPr>
          <w:rFonts w:eastAsia="Arial" w:cs="Arial"/>
          <w:color w:val="262626" w:themeColor="text1" w:themeTint="D9"/>
          <w:sz w:val="16"/>
          <w:szCs w:val="16"/>
        </w:rPr>
        <w:t>ā</w:t>
      </w:r>
      <w:r w:rsidRPr="005B5357">
        <w:rPr>
          <w:rFonts w:eastAsia="Arial" w:cs="Arial"/>
          <w:color w:val="262626" w:themeColor="text1" w:themeTint="D9"/>
          <w:sz w:val="16"/>
          <w:szCs w:val="16"/>
        </w:rPr>
        <w:t xml:space="preserve"> Tai Matat</w:t>
      </w:r>
      <w:r>
        <w:rPr>
          <w:rFonts w:eastAsia="Arial" w:cs="Arial"/>
          <w:color w:val="262626" w:themeColor="text1" w:themeTint="D9"/>
          <w:sz w:val="16"/>
          <w:szCs w:val="16"/>
        </w:rPr>
        <w:t>ū</w:t>
      </w:r>
      <w:r w:rsidRPr="005B5357">
        <w:rPr>
          <w:rFonts w:eastAsia="Arial" w:cs="Arial"/>
          <w:color w:val="262626" w:themeColor="text1" w:themeTint="D9"/>
          <w:sz w:val="16"/>
          <w:szCs w:val="16"/>
        </w:rPr>
        <w:t>: Tides of M</w:t>
      </w:r>
      <w:r>
        <w:rPr>
          <w:rFonts w:eastAsia="Arial" w:cs="Arial"/>
          <w:color w:val="262626" w:themeColor="text1" w:themeTint="D9"/>
          <w:sz w:val="16"/>
          <w:szCs w:val="16"/>
        </w:rPr>
        <w:t>ā</w:t>
      </w:r>
      <w:r w:rsidRPr="005B5357">
        <w:rPr>
          <w:rFonts w:eastAsia="Arial" w:cs="Arial"/>
          <w:color w:val="262626" w:themeColor="text1" w:themeTint="D9"/>
          <w:sz w:val="16"/>
          <w:szCs w:val="16"/>
        </w:rPr>
        <w:t>ori</w:t>
      </w:r>
      <w:r>
        <w:rPr>
          <w:rFonts w:eastAsia="Arial" w:cs="Arial"/>
          <w:color w:val="262626" w:themeColor="text1" w:themeTint="D9"/>
          <w:sz w:val="16"/>
          <w:szCs w:val="16"/>
        </w:rPr>
        <w:t xml:space="preserve"> </w:t>
      </w:r>
      <w:r w:rsidRPr="005B5357">
        <w:rPr>
          <w:rFonts w:eastAsia="Arial" w:cs="Arial"/>
          <w:color w:val="262626" w:themeColor="text1" w:themeTint="D9"/>
          <w:sz w:val="16"/>
          <w:szCs w:val="16"/>
        </w:rPr>
        <w:t>Endurance</w:t>
      </w:r>
      <w:r>
        <w:rPr>
          <w:rFonts w:eastAsia="Arial" w:cs="Arial"/>
          <w:color w:val="262626" w:themeColor="text1" w:themeTint="D9"/>
          <w:sz w:val="16"/>
          <w:szCs w:val="16"/>
        </w:rPr>
        <w:t xml:space="preserve"> (</w:t>
      </w:r>
      <w:r w:rsidRPr="005B5357">
        <w:rPr>
          <w:rFonts w:eastAsia="Arial" w:cs="Arial"/>
          <w:color w:val="262626" w:themeColor="text1" w:themeTint="D9"/>
          <w:sz w:val="16"/>
          <w:szCs w:val="16"/>
        </w:rPr>
        <w:t>Melbourne, Oxford University Press</w:t>
      </w:r>
      <w:r>
        <w:rPr>
          <w:rFonts w:eastAsia="Arial" w:cs="Arial"/>
          <w:color w:val="262626" w:themeColor="text1" w:themeTint="D9"/>
          <w:sz w:val="16"/>
          <w:szCs w:val="16"/>
        </w:rPr>
        <w:t>, 2005, page 50),</w:t>
      </w:r>
      <w:r w:rsidRPr="00536E67">
        <w:rPr>
          <w:rFonts w:cs="Arial"/>
          <w:sz w:val="16"/>
          <w:szCs w:val="16"/>
          <w:shd w:val="clear" w:color="auto" w:fill="FFFFFF"/>
        </w:rPr>
        <w:t xml:space="preserve"> </w:t>
      </w:r>
      <w:r w:rsidRPr="00FC5F93">
        <w:rPr>
          <w:rFonts w:cs="Arial"/>
          <w:sz w:val="16"/>
          <w:szCs w:val="16"/>
          <w:shd w:val="clear" w:color="auto" w:fill="FFFFFF"/>
        </w:rPr>
        <w:t xml:space="preserve">cited in </w:t>
      </w:r>
      <w:r w:rsidRPr="00CB4F47">
        <w:rPr>
          <w:rFonts w:cs="Arial"/>
          <w:sz w:val="16"/>
          <w:szCs w:val="16"/>
        </w:rPr>
        <w:t>Te</w:t>
      </w:r>
      <w:r w:rsidRPr="00CB4F47">
        <w:rPr>
          <w:rFonts w:eastAsia="Arial" w:cs="Arial"/>
          <w:color w:val="262626" w:themeColor="text1" w:themeTint="D9"/>
          <w:sz w:val="16"/>
          <w:szCs w:val="16"/>
        </w:rPr>
        <w:t>nnant, M, O'Brien, M &amp; Sanders, J, The history of the non-profit sector in New Zealand (Office for the Community and Voluntary Sector, 2008, p</w:t>
      </w:r>
      <w:r>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w:t>
      </w:r>
      <w:r>
        <w:rPr>
          <w:rFonts w:eastAsia="Arial" w:cs="Arial"/>
          <w:color w:val="262626" w:themeColor="text1" w:themeTint="D9"/>
          <w:sz w:val="16"/>
          <w:szCs w:val="16"/>
        </w:rPr>
        <w:t>7).</w:t>
      </w:r>
    </w:p>
  </w:endnote>
  <w:endnote w:id="320">
    <w:p w14:paraId="01E8833D" w14:textId="603D6889" w:rsidR="00FE4E56" w:rsidRPr="00536E67" w:rsidRDefault="00FE4E56" w:rsidP="002B4B30">
      <w:pPr>
        <w:pStyle w:val="EndnoteText"/>
        <w:rPr>
          <w:rFonts w:cs="Arial"/>
          <w:sz w:val="16"/>
          <w:szCs w:val="16"/>
        </w:rPr>
      </w:pPr>
      <w:r w:rsidRPr="00536E67">
        <w:rPr>
          <w:rStyle w:val="EndnoteReference"/>
          <w:sz w:val="16"/>
          <w:szCs w:val="16"/>
        </w:rPr>
        <w:endnoteRef/>
      </w:r>
      <w:r w:rsidRPr="00536E67">
        <w:rPr>
          <w:rFonts w:cs="Arial"/>
          <w:sz w:val="16"/>
          <w:szCs w:val="16"/>
        </w:rPr>
        <w:t xml:space="preserve"> </w:t>
      </w:r>
      <w:r w:rsidRPr="00CB4F47">
        <w:rPr>
          <w:rFonts w:cs="Arial"/>
          <w:sz w:val="16"/>
          <w:szCs w:val="16"/>
        </w:rPr>
        <w:t>Te</w:t>
      </w:r>
      <w:r w:rsidRPr="00CB4F47">
        <w:rPr>
          <w:rFonts w:eastAsia="Arial" w:cs="Arial"/>
          <w:color w:val="262626" w:themeColor="text1" w:themeTint="D9"/>
          <w:sz w:val="16"/>
          <w:szCs w:val="16"/>
        </w:rPr>
        <w:t>nnant, M, O'Brien, M &amp; Sanders, J, The history of the non-profit sector in New Zealand (Office for the Community and Voluntary Sector, 2008, p</w:t>
      </w:r>
      <w:r>
        <w:rPr>
          <w:rFonts w:eastAsia="Arial" w:cs="Arial"/>
          <w:color w:val="262626" w:themeColor="text1" w:themeTint="D9"/>
          <w:sz w:val="16"/>
          <w:szCs w:val="16"/>
        </w:rPr>
        <w:t>age</w:t>
      </w:r>
      <w:r w:rsidRPr="00CB4F47">
        <w:rPr>
          <w:rFonts w:eastAsia="Arial" w:cs="Arial"/>
          <w:color w:val="262626" w:themeColor="text1" w:themeTint="D9"/>
          <w:sz w:val="16"/>
          <w:szCs w:val="16"/>
        </w:rPr>
        <w:t xml:space="preserve"> 21</w:t>
      </w:r>
      <w:r>
        <w:rPr>
          <w:rFonts w:eastAsia="Arial" w:cs="Arial"/>
          <w:color w:val="262626" w:themeColor="text1" w:themeTint="D9"/>
          <w:sz w:val="16"/>
          <w:szCs w:val="16"/>
        </w:rPr>
        <w:t>).</w:t>
      </w:r>
    </w:p>
  </w:endnote>
  <w:endnote w:id="321">
    <w:p w14:paraId="193FB07A" w14:textId="08B80FE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Hill, RS, </w:t>
      </w:r>
      <w:hyperlink r:id="rId87" w:history="1">
        <w:r w:rsidRPr="00CB4F47">
          <w:rPr>
            <w:rFonts w:cs="Arial"/>
            <w:sz w:val="16"/>
            <w:szCs w:val="16"/>
          </w:rPr>
          <w:t>Maori and the State: Crown-Māori relations in New Zealand/Aotearoa, 1950–2000</w:t>
        </w:r>
      </w:hyperlink>
      <w:r w:rsidRPr="00CB4F47">
        <w:rPr>
          <w:rFonts w:cs="Arial"/>
          <w:sz w:val="16"/>
          <w:szCs w:val="16"/>
        </w:rPr>
        <w:t xml:space="preserve"> (</w:t>
      </w:r>
      <w:hyperlink r:id="rId88" w:history="1">
        <w:r w:rsidRPr="00CB4F47">
          <w:rPr>
            <w:rFonts w:cs="Arial"/>
            <w:sz w:val="16"/>
            <w:szCs w:val="16"/>
          </w:rPr>
          <w:t>Victoria University Press</w:t>
        </w:r>
      </w:hyperlink>
      <w:r w:rsidRPr="00CB4F47">
        <w:rPr>
          <w:rFonts w:cs="Arial"/>
          <w:sz w:val="16"/>
          <w:szCs w:val="16"/>
        </w:rPr>
        <w:t>, 2009, page 194</w:t>
      </w:r>
      <w:r>
        <w:rPr>
          <w:rFonts w:cs="Arial"/>
          <w:sz w:val="16"/>
          <w:szCs w:val="16"/>
        </w:rPr>
        <w:t>)</w:t>
      </w:r>
      <w:r w:rsidRPr="00CB4F47">
        <w:rPr>
          <w:rFonts w:cs="Arial"/>
          <w:sz w:val="16"/>
          <w:szCs w:val="16"/>
        </w:rPr>
        <w:t>.</w:t>
      </w:r>
    </w:p>
  </w:endnote>
  <w:endnote w:id="322">
    <w:p w14:paraId="76DA46B2" w14:textId="1C0C667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Pr>
          <w:rFonts w:eastAsia="BatangChe" w:cs="Arial"/>
          <w:sz w:val="16"/>
          <w:szCs w:val="16"/>
        </w:rPr>
        <w:t>c</w:t>
      </w:r>
      <w:r w:rsidRPr="00CB4F47">
        <w:rPr>
          <w:rFonts w:eastAsia="BatangChe" w:cs="Arial"/>
          <w:sz w:val="16"/>
          <w:szCs w:val="16"/>
        </w:rPr>
        <w:t xml:space="preserve">are 1950–1999 </w:t>
      </w:r>
      <w:r w:rsidRPr="00CB4F47">
        <w:rPr>
          <w:rFonts w:eastAsia="BatangChe" w:cs="Arial"/>
          <w:color w:val="001C2E"/>
          <w:sz w:val="16"/>
          <w:szCs w:val="16"/>
          <w:shd w:val="clear" w:color="auto" w:fill="FFFFFF"/>
        </w:rPr>
        <w:t xml:space="preserve">(Ihi Research, 2021, </w:t>
      </w:r>
      <w:r w:rsidRPr="00CB4F47">
        <w:rPr>
          <w:rFonts w:cs="Arial"/>
          <w:sz w:val="16"/>
          <w:szCs w:val="16"/>
        </w:rPr>
        <w:t>page 138</w:t>
      </w:r>
      <w:r>
        <w:rPr>
          <w:rFonts w:cs="Arial"/>
          <w:sz w:val="16"/>
          <w:szCs w:val="16"/>
        </w:rPr>
        <w:t>)</w:t>
      </w:r>
      <w:r w:rsidRPr="00CB4F47">
        <w:rPr>
          <w:rFonts w:cs="Arial"/>
          <w:sz w:val="16"/>
          <w:szCs w:val="16"/>
        </w:rPr>
        <w:t>.</w:t>
      </w:r>
    </w:p>
  </w:endnote>
  <w:endnote w:id="323">
    <w:p w14:paraId="2ED6FFD2" w14:textId="334C090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w:t>
      </w:r>
      <w:r>
        <w:rPr>
          <w:rFonts w:cs="Arial"/>
          <w:sz w:val="16"/>
          <w:szCs w:val="16"/>
        </w:rPr>
        <w:t>s</w:t>
      </w:r>
      <w:r w:rsidRPr="00CB4F47">
        <w:rPr>
          <w:rFonts w:cs="Arial"/>
          <w:sz w:val="16"/>
          <w:szCs w:val="16"/>
        </w:rPr>
        <w:t>tatement</w:t>
      </w:r>
      <w:r>
        <w:rPr>
          <w:rFonts w:cs="Arial"/>
          <w:sz w:val="16"/>
          <w:szCs w:val="16"/>
        </w:rPr>
        <w:t>s</w:t>
      </w:r>
      <w:r w:rsidRPr="00CB4F47">
        <w:rPr>
          <w:rFonts w:cs="Arial"/>
          <w:sz w:val="16"/>
          <w:szCs w:val="16"/>
        </w:rPr>
        <w:t xml:space="preserve"> of Dr Rawiri Waretini-Karena </w:t>
      </w:r>
      <w:r>
        <w:rPr>
          <w:rFonts w:cs="Arial"/>
          <w:sz w:val="16"/>
          <w:szCs w:val="16"/>
        </w:rPr>
        <w:t>(</w:t>
      </w:r>
      <w:r w:rsidRPr="00CB4F47">
        <w:rPr>
          <w:rFonts w:cs="Arial"/>
          <w:sz w:val="16"/>
          <w:szCs w:val="16"/>
        </w:rPr>
        <w:t>30 October 2019, pages 9, 13–14</w:t>
      </w:r>
      <w:r>
        <w:rPr>
          <w:rFonts w:cs="Arial"/>
          <w:sz w:val="16"/>
          <w:szCs w:val="16"/>
        </w:rPr>
        <w:t>)</w:t>
      </w:r>
      <w:r w:rsidRPr="00CB4F47">
        <w:rPr>
          <w:rFonts w:cs="Arial"/>
          <w:sz w:val="16"/>
          <w:szCs w:val="16"/>
        </w:rPr>
        <w:t xml:space="preserve"> </w:t>
      </w:r>
      <w:r>
        <w:rPr>
          <w:rFonts w:cs="Arial"/>
          <w:sz w:val="16"/>
          <w:szCs w:val="16"/>
        </w:rPr>
        <w:t>and</w:t>
      </w:r>
      <w:r w:rsidRPr="00CB4F47">
        <w:rPr>
          <w:rFonts w:cs="Arial"/>
          <w:sz w:val="16"/>
          <w:szCs w:val="16"/>
        </w:rPr>
        <w:t xml:space="preserve"> </w:t>
      </w:r>
      <w:r>
        <w:rPr>
          <w:rFonts w:cs="Arial"/>
          <w:sz w:val="16"/>
          <w:szCs w:val="16"/>
        </w:rPr>
        <w:t xml:space="preserve">Dr </w:t>
      </w:r>
      <w:r w:rsidRPr="00CB4F47">
        <w:rPr>
          <w:rFonts w:cs="Arial"/>
          <w:sz w:val="16"/>
          <w:szCs w:val="16"/>
        </w:rPr>
        <w:t xml:space="preserve">Moana Jackson </w:t>
      </w:r>
      <w:r>
        <w:rPr>
          <w:rFonts w:cs="Arial"/>
          <w:sz w:val="16"/>
          <w:szCs w:val="16"/>
        </w:rPr>
        <w:t>(</w:t>
      </w:r>
      <w:r w:rsidRPr="00CB4F47">
        <w:rPr>
          <w:rFonts w:cs="Arial"/>
          <w:sz w:val="16"/>
          <w:szCs w:val="16"/>
        </w:rPr>
        <w:t>29 October 2019, pages 7–8</w:t>
      </w:r>
      <w:r>
        <w:rPr>
          <w:rFonts w:cs="Arial"/>
          <w:sz w:val="16"/>
          <w:szCs w:val="16"/>
        </w:rPr>
        <w:t>)</w:t>
      </w:r>
      <w:r w:rsidRPr="00CB4F47">
        <w:rPr>
          <w:rFonts w:cs="Arial"/>
          <w:sz w:val="16"/>
          <w:szCs w:val="16"/>
        </w:rPr>
        <w:t>.</w:t>
      </w:r>
    </w:p>
  </w:endnote>
  <w:endnote w:id="324">
    <w:p w14:paraId="0920D729" w14:textId="579B212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Pr>
          <w:rFonts w:eastAsia="BatangChe" w:cs="Arial"/>
          <w:sz w:val="16"/>
          <w:szCs w:val="16"/>
        </w:rPr>
        <w:t>c</w:t>
      </w:r>
      <w:r w:rsidRPr="00CB4F47">
        <w:rPr>
          <w:rFonts w:eastAsia="BatangChe" w:cs="Arial"/>
          <w:sz w:val="16"/>
          <w:szCs w:val="16"/>
        </w:rPr>
        <w:t xml:space="preserve">are 1950–1999 </w:t>
      </w:r>
      <w:r w:rsidRPr="00CB4F47">
        <w:rPr>
          <w:rFonts w:eastAsia="BatangChe" w:cs="Arial"/>
          <w:color w:val="001C2E"/>
          <w:sz w:val="16"/>
          <w:szCs w:val="16"/>
          <w:shd w:val="clear" w:color="auto" w:fill="FFFFFF"/>
        </w:rPr>
        <w:t xml:space="preserve">(Ihi Research, 2021, </w:t>
      </w:r>
      <w:r w:rsidRPr="00CB4F47">
        <w:rPr>
          <w:rFonts w:cs="Arial"/>
          <w:sz w:val="16"/>
          <w:szCs w:val="16"/>
        </w:rPr>
        <w:t>page 181</w:t>
      </w:r>
      <w:r>
        <w:rPr>
          <w:rFonts w:cs="Arial"/>
          <w:sz w:val="16"/>
          <w:szCs w:val="16"/>
        </w:rPr>
        <w:t>)</w:t>
      </w:r>
      <w:r w:rsidRPr="00CB4F47">
        <w:rPr>
          <w:rFonts w:cs="Arial"/>
          <w:sz w:val="16"/>
          <w:szCs w:val="16"/>
        </w:rPr>
        <w:t>.</w:t>
      </w:r>
    </w:p>
  </w:endnote>
  <w:endnote w:id="325">
    <w:p w14:paraId="4BEAF864" w14:textId="2C98462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Mr </w:t>
      </w:r>
      <w:r>
        <w:rPr>
          <w:rFonts w:cs="Arial"/>
          <w:sz w:val="16"/>
          <w:szCs w:val="16"/>
        </w:rPr>
        <w:t>SO (</w:t>
      </w:r>
      <w:r w:rsidRPr="00CB4F47">
        <w:rPr>
          <w:rFonts w:cs="Arial"/>
          <w:sz w:val="16"/>
          <w:szCs w:val="16"/>
        </w:rPr>
        <w:t>4 May 2021, paras 7–10</w:t>
      </w:r>
      <w:r>
        <w:rPr>
          <w:rFonts w:cs="Arial"/>
          <w:sz w:val="16"/>
          <w:szCs w:val="16"/>
        </w:rPr>
        <w:t>)</w:t>
      </w:r>
      <w:r w:rsidRPr="00CB4F47">
        <w:rPr>
          <w:rFonts w:cs="Arial"/>
          <w:sz w:val="16"/>
          <w:szCs w:val="16"/>
        </w:rPr>
        <w:t>.</w:t>
      </w:r>
    </w:p>
  </w:endnote>
  <w:endnote w:id="326">
    <w:p w14:paraId="1047EC86" w14:textId="5057075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sidDel="00737806">
        <w:rPr>
          <w:rFonts w:cs="Arial"/>
          <w:sz w:val="16"/>
          <w:szCs w:val="16"/>
        </w:rPr>
        <w:t xml:space="preserve"> </w:t>
      </w:r>
      <w:r>
        <w:rPr>
          <w:rFonts w:cs="Arial"/>
          <w:sz w:val="16"/>
          <w:szCs w:val="16"/>
        </w:rPr>
        <w:t>Doolan, M, “</w:t>
      </w:r>
      <w:r w:rsidRPr="00CB4F47">
        <w:rPr>
          <w:rFonts w:cs="Arial"/>
          <w:sz w:val="16"/>
          <w:szCs w:val="16"/>
        </w:rPr>
        <w:t xml:space="preserve">Practice </w:t>
      </w:r>
      <w:r>
        <w:rPr>
          <w:rFonts w:cs="Arial"/>
          <w:sz w:val="16"/>
          <w:szCs w:val="16"/>
        </w:rPr>
        <w:t>n</w:t>
      </w:r>
      <w:r w:rsidRPr="00CB4F47">
        <w:rPr>
          <w:rFonts w:cs="Arial"/>
          <w:sz w:val="16"/>
          <w:szCs w:val="16"/>
        </w:rPr>
        <w:t>otes</w:t>
      </w:r>
      <w:r>
        <w:rPr>
          <w:rFonts w:cs="Arial"/>
          <w:sz w:val="16"/>
          <w:szCs w:val="16"/>
        </w:rPr>
        <w:t>:</w:t>
      </w:r>
      <w:r w:rsidRPr="00CB4F47">
        <w:rPr>
          <w:rFonts w:cs="Arial"/>
          <w:sz w:val="16"/>
          <w:szCs w:val="16"/>
        </w:rPr>
        <w:t xml:space="preserve"> Understanding the purpose of youth justice in New Zealand</w:t>
      </w:r>
      <w:r>
        <w:rPr>
          <w:rFonts w:cs="Arial"/>
          <w:sz w:val="16"/>
          <w:szCs w:val="16"/>
        </w:rPr>
        <w:t>,</w:t>
      </w:r>
      <w:r w:rsidRPr="00CB4F47">
        <w:rPr>
          <w:rFonts w:cs="Arial"/>
          <w:sz w:val="16"/>
          <w:szCs w:val="16"/>
        </w:rPr>
        <w:t xml:space="preserve">” Aotearoa New Zealand Social Work, Issue 3 </w:t>
      </w:r>
      <w:r w:rsidRPr="00CB4F47">
        <w:rPr>
          <w:rFonts w:cs="Arial"/>
          <w:color w:val="000000"/>
          <w:sz w:val="16"/>
          <w:szCs w:val="16"/>
          <w:shd w:val="clear" w:color="auto" w:fill="FFFFFF"/>
        </w:rPr>
        <w:t xml:space="preserve">(2008, </w:t>
      </w:r>
      <w:r w:rsidRPr="00CB4F47">
        <w:rPr>
          <w:rFonts w:cs="Arial"/>
          <w:sz w:val="16"/>
          <w:szCs w:val="16"/>
        </w:rPr>
        <w:t>page 65</w:t>
      </w:r>
      <w:r>
        <w:rPr>
          <w:rFonts w:cs="Arial"/>
          <w:sz w:val="16"/>
          <w:szCs w:val="16"/>
        </w:rPr>
        <w:t>)</w:t>
      </w:r>
      <w:r w:rsidRPr="00CB4F47">
        <w:rPr>
          <w:rFonts w:cs="Arial"/>
          <w:sz w:val="16"/>
          <w:szCs w:val="16"/>
        </w:rPr>
        <w:t>.</w:t>
      </w:r>
      <w:r w:rsidRPr="008A5435">
        <w:rPr>
          <w:rFonts w:cs="Arial"/>
          <w:sz w:val="16"/>
          <w:szCs w:val="16"/>
        </w:rPr>
        <w:t xml:space="preserve"> </w:t>
      </w:r>
      <w:r w:rsidRPr="00CB4F47">
        <w:rPr>
          <w:rFonts w:cs="Arial"/>
          <w:sz w:val="16"/>
          <w:szCs w:val="16"/>
        </w:rPr>
        <w:t>Mike Doolan</w:t>
      </w:r>
      <w:r>
        <w:rPr>
          <w:rFonts w:cs="Arial"/>
          <w:sz w:val="16"/>
          <w:szCs w:val="16"/>
        </w:rPr>
        <w:t xml:space="preserve"> is the</w:t>
      </w:r>
      <w:r w:rsidRPr="00CB4F47">
        <w:rPr>
          <w:rFonts w:cs="Arial"/>
          <w:sz w:val="16"/>
          <w:szCs w:val="16"/>
        </w:rPr>
        <w:t xml:space="preserve"> former </w:t>
      </w:r>
      <w:r>
        <w:rPr>
          <w:rFonts w:cs="Arial"/>
          <w:sz w:val="16"/>
          <w:szCs w:val="16"/>
        </w:rPr>
        <w:t>c</w:t>
      </w:r>
      <w:r w:rsidRPr="00CB4F47">
        <w:rPr>
          <w:rFonts w:cs="Arial"/>
          <w:sz w:val="16"/>
          <w:szCs w:val="16"/>
        </w:rPr>
        <w:t xml:space="preserve">hief </w:t>
      </w:r>
      <w:r>
        <w:rPr>
          <w:rFonts w:cs="Arial"/>
          <w:sz w:val="16"/>
          <w:szCs w:val="16"/>
        </w:rPr>
        <w:t>s</w:t>
      </w:r>
      <w:r w:rsidRPr="00CB4F47">
        <w:rPr>
          <w:rFonts w:cs="Arial"/>
          <w:sz w:val="16"/>
          <w:szCs w:val="16"/>
        </w:rPr>
        <w:t xml:space="preserve">ocial </w:t>
      </w:r>
      <w:r>
        <w:rPr>
          <w:rFonts w:cs="Arial"/>
          <w:sz w:val="16"/>
          <w:szCs w:val="16"/>
        </w:rPr>
        <w:t>w</w:t>
      </w:r>
      <w:r w:rsidRPr="00CB4F47">
        <w:rPr>
          <w:rFonts w:cs="Arial"/>
          <w:sz w:val="16"/>
          <w:szCs w:val="16"/>
        </w:rPr>
        <w:t xml:space="preserve">orker of </w:t>
      </w:r>
      <w:r>
        <w:rPr>
          <w:rFonts w:cs="Arial"/>
          <w:sz w:val="16"/>
          <w:szCs w:val="16"/>
        </w:rPr>
        <w:t xml:space="preserve">the Department of </w:t>
      </w:r>
      <w:r w:rsidRPr="00CB4F47">
        <w:rPr>
          <w:rFonts w:cs="Arial"/>
          <w:sz w:val="16"/>
          <w:szCs w:val="16"/>
        </w:rPr>
        <w:t>Child</w:t>
      </w:r>
      <w:r>
        <w:rPr>
          <w:rFonts w:cs="Arial"/>
          <w:sz w:val="16"/>
          <w:szCs w:val="16"/>
        </w:rPr>
        <w:t>,</w:t>
      </w:r>
      <w:r w:rsidRPr="00CB4F47">
        <w:rPr>
          <w:rFonts w:cs="Arial"/>
          <w:sz w:val="16"/>
          <w:szCs w:val="16"/>
        </w:rPr>
        <w:t xml:space="preserve"> Youth and Family Services</w:t>
      </w:r>
      <w:r>
        <w:rPr>
          <w:rFonts w:cs="Arial"/>
          <w:sz w:val="16"/>
          <w:szCs w:val="16"/>
        </w:rPr>
        <w:t>.</w:t>
      </w:r>
    </w:p>
  </w:endnote>
  <w:endnote w:id="327">
    <w:p w14:paraId="32497C24" w14:textId="5B747F3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7</w:t>
      </w:r>
      <w:r>
        <w:rPr>
          <w:rFonts w:cs="Arial"/>
          <w:sz w:val="16"/>
          <w:szCs w:val="16"/>
        </w:rPr>
        <w:t>)</w:t>
      </w:r>
      <w:r w:rsidRPr="00CB4F47">
        <w:rPr>
          <w:rFonts w:cs="Arial"/>
          <w:sz w:val="16"/>
          <w:szCs w:val="16"/>
        </w:rPr>
        <w:t>.</w:t>
      </w:r>
    </w:p>
  </w:endnote>
  <w:endnote w:id="328">
    <w:p w14:paraId="01ED6B15" w14:textId="4AB739AD" w:rsidR="00FE4E56" w:rsidRPr="00CB4F47" w:rsidRDefault="00FE4E56" w:rsidP="00C57877">
      <w:pPr>
        <w:spacing w:before="0" w:after="0" w:line="20" w:lineRule="atLeast"/>
        <w:ind w:left="130" w:hanging="130"/>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w:t>
      </w:r>
      <w:r w:rsidRPr="00CB4F47">
        <w:rPr>
          <w:rFonts w:ascii="Arial" w:eastAsia="Calibri" w:hAnsi="Arial" w:cs="Arial"/>
          <w:color w:val="000000" w:themeColor="text1"/>
          <w:sz w:val="16"/>
          <w:szCs w:val="16"/>
          <w:lang w:val="en-US"/>
        </w:rPr>
        <w:t>Māhina-Tuai, K, “A land of milk and honey? Education and employment migration schemes in the postwar era</w:t>
      </w:r>
      <w:r>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 xml:space="preserve">” </w:t>
      </w:r>
      <w:r w:rsidRPr="00CB4F47">
        <w:rPr>
          <w:rFonts w:ascii="Arial" w:eastAsia="Calibri" w:hAnsi="Arial" w:cs="Arial"/>
          <w:sz w:val="16"/>
          <w:szCs w:val="16"/>
          <w:lang w:val="en-US"/>
        </w:rPr>
        <w:t>i</w:t>
      </w:r>
      <w:r w:rsidRPr="00CB4F47">
        <w:rPr>
          <w:rFonts w:ascii="Arial" w:eastAsia="Calibri" w:hAnsi="Arial" w:cs="Arial"/>
          <w:color w:val="000000" w:themeColor="text1"/>
          <w:sz w:val="16"/>
          <w:szCs w:val="16"/>
          <w:lang w:val="en-US"/>
        </w:rPr>
        <w:t xml:space="preserve">n Mallon, S, Māhina-Tuai, K &amp; Salesa, D (eds), Tangata o le Moana: New Zealand and the People of the Pacific (Te Papa Press, 2012, </w:t>
      </w:r>
      <w:r w:rsidRPr="00CB4F47">
        <w:rPr>
          <w:rFonts w:ascii="Arial" w:hAnsi="Arial" w:cs="Arial"/>
          <w:sz w:val="16"/>
          <w:szCs w:val="16"/>
        </w:rPr>
        <w:t xml:space="preserve">pages </w:t>
      </w:r>
      <w:r w:rsidRPr="00CB4F47">
        <w:rPr>
          <w:rFonts w:ascii="Arial" w:eastAsia="Calibri" w:hAnsi="Arial" w:cs="Arial"/>
          <w:color w:val="000000" w:themeColor="text1"/>
          <w:sz w:val="16"/>
          <w:szCs w:val="16"/>
          <w:lang w:val="en-US"/>
        </w:rPr>
        <w:t>161–177</w:t>
      </w:r>
      <w:r>
        <w:rPr>
          <w:rFonts w:ascii="Arial" w:eastAsia="Calibri" w:hAnsi="Arial" w:cs="Arial"/>
          <w:color w:val="000000" w:themeColor="text1"/>
          <w:sz w:val="16"/>
          <w:szCs w:val="16"/>
          <w:lang w:val="en-US"/>
        </w:rPr>
        <w:t>)</w:t>
      </w:r>
      <w:r w:rsidRPr="00CB4F47">
        <w:rPr>
          <w:rFonts w:ascii="Arial" w:eastAsia="Calibri" w:hAnsi="Arial" w:cs="Arial"/>
          <w:color w:val="000000" w:themeColor="text1"/>
          <w:sz w:val="16"/>
          <w:szCs w:val="16"/>
          <w:lang w:val="en-US"/>
        </w:rPr>
        <w:t>.</w:t>
      </w:r>
    </w:p>
  </w:endnote>
  <w:endnote w:id="329">
    <w:p w14:paraId="0C31B1AA" w14:textId="0C689B4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lang w:val="en-US"/>
        </w:rPr>
        <w:t>Māhina-Tuai, K, “A land of milk and honey? Education and employment migration schemes in the postwar era</w:t>
      </w:r>
      <w:r>
        <w:rPr>
          <w:rFonts w:eastAsia="Calibri" w:cs="Arial"/>
          <w:sz w:val="16"/>
          <w:szCs w:val="16"/>
          <w:lang w:val="en-US"/>
        </w:rPr>
        <w:t>,</w:t>
      </w:r>
      <w:r w:rsidRPr="00CB4F47">
        <w:rPr>
          <w:rFonts w:eastAsia="Calibri" w:cs="Arial"/>
          <w:sz w:val="16"/>
          <w:szCs w:val="16"/>
          <w:lang w:val="en-US"/>
        </w:rPr>
        <w:t xml:space="preserve">” in Mallon, S, Māhina-Tuai, K &amp; Salesa, D (eds), Tangata o le Moana: New Zealand and the People of the Pacific (Te Papa Press, 2012, </w:t>
      </w:r>
      <w:r w:rsidRPr="00CB4F47">
        <w:rPr>
          <w:rFonts w:cs="Arial"/>
          <w:sz w:val="16"/>
          <w:szCs w:val="16"/>
        </w:rPr>
        <w:t xml:space="preserve">pages </w:t>
      </w:r>
      <w:r w:rsidRPr="00CB4F47">
        <w:rPr>
          <w:rFonts w:eastAsia="Calibri" w:cs="Arial"/>
          <w:sz w:val="16"/>
          <w:szCs w:val="16"/>
          <w:lang w:val="en-US"/>
        </w:rPr>
        <w:t>161–177</w:t>
      </w:r>
      <w:r>
        <w:rPr>
          <w:rFonts w:eastAsia="Calibri" w:cs="Arial"/>
          <w:sz w:val="16"/>
          <w:szCs w:val="16"/>
          <w:lang w:val="en-US"/>
        </w:rPr>
        <w:t>)</w:t>
      </w:r>
      <w:r w:rsidRPr="00CB4F47">
        <w:rPr>
          <w:rFonts w:eastAsia="Calibri" w:cs="Arial"/>
          <w:sz w:val="16"/>
          <w:szCs w:val="16"/>
          <w:lang w:val="en-US"/>
        </w:rPr>
        <w:t>.</w:t>
      </w:r>
    </w:p>
  </w:endnote>
  <w:endnote w:id="330">
    <w:p w14:paraId="6979809A" w14:textId="4CB672D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Salesa, D, Island time: New Zealand</w:t>
      </w:r>
      <w:r>
        <w:rPr>
          <w:rFonts w:cs="Arial"/>
          <w:sz w:val="16"/>
          <w:szCs w:val="16"/>
        </w:rPr>
        <w:t>’</w:t>
      </w:r>
      <w:r w:rsidRPr="00CB4F47">
        <w:rPr>
          <w:rFonts w:cs="Arial"/>
          <w:sz w:val="16"/>
          <w:szCs w:val="16"/>
        </w:rPr>
        <w:t>s Pacific futures (Bridget Williams Books, 2017, page 12</w:t>
      </w:r>
      <w:r>
        <w:rPr>
          <w:rFonts w:cs="Arial"/>
          <w:sz w:val="16"/>
          <w:szCs w:val="16"/>
        </w:rPr>
        <w:t>)</w:t>
      </w:r>
      <w:r w:rsidRPr="00CB4F47">
        <w:rPr>
          <w:rFonts w:cs="Arial"/>
          <w:sz w:val="16"/>
          <w:szCs w:val="16"/>
        </w:rPr>
        <w:t>.</w:t>
      </w:r>
    </w:p>
  </w:endnote>
  <w:endnote w:id="331">
    <w:p w14:paraId="550B16F9" w14:textId="4FF97CC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Anae, M, “All power to the people: Overstayers, </w:t>
      </w:r>
      <w:r>
        <w:rPr>
          <w:rFonts w:cs="Arial"/>
          <w:sz w:val="16"/>
          <w:szCs w:val="16"/>
        </w:rPr>
        <w:t>D</w:t>
      </w:r>
      <w:r w:rsidRPr="00CB4F47">
        <w:rPr>
          <w:rFonts w:cs="Arial"/>
          <w:sz w:val="16"/>
          <w:szCs w:val="16"/>
        </w:rPr>
        <w:t xml:space="preserve">awn </w:t>
      </w:r>
      <w:r>
        <w:rPr>
          <w:rFonts w:cs="Arial"/>
          <w:sz w:val="16"/>
          <w:szCs w:val="16"/>
        </w:rPr>
        <w:t>R</w:t>
      </w:r>
      <w:r w:rsidRPr="00CB4F47">
        <w:rPr>
          <w:rFonts w:cs="Arial"/>
          <w:sz w:val="16"/>
          <w:szCs w:val="16"/>
        </w:rPr>
        <w:t xml:space="preserve">aids and the Polynesian Panthers” in </w:t>
      </w:r>
      <w:r w:rsidRPr="00CB4F47">
        <w:rPr>
          <w:rFonts w:eastAsia="Calibri" w:cs="Arial"/>
          <w:sz w:val="16"/>
          <w:szCs w:val="16"/>
          <w:lang w:val="en-US"/>
        </w:rPr>
        <w:t xml:space="preserve">Mallon, S, Māhina-Tuai, K &amp; Salesa, D (eds), </w:t>
      </w:r>
      <w:r w:rsidRPr="00CB4F47">
        <w:rPr>
          <w:rFonts w:cs="Arial"/>
          <w:sz w:val="16"/>
          <w:szCs w:val="16"/>
        </w:rPr>
        <w:t>Tangata o le Moana:</w:t>
      </w:r>
      <w:r w:rsidRPr="00CB4F47">
        <w:rPr>
          <w:rStyle w:val="normaltextrun"/>
          <w:rFonts w:cs="Arial"/>
          <w:sz w:val="16"/>
          <w:szCs w:val="16"/>
          <w:bdr w:val="none" w:sz="0" w:space="0" w:color="auto" w:frame="1"/>
        </w:rPr>
        <w:t xml:space="preserve"> New Zealand and the People of the Pacific</w:t>
      </w:r>
      <w:r w:rsidRPr="00CB4F47">
        <w:rPr>
          <w:rFonts w:cs="Arial"/>
          <w:sz w:val="16"/>
          <w:szCs w:val="16"/>
        </w:rPr>
        <w:t xml:space="preserve"> (Te Papa Press, 2012, pages 221</w:t>
      </w:r>
      <w:r w:rsidRPr="00CB4F47">
        <w:rPr>
          <w:rFonts w:eastAsia="Calibri" w:cs="Arial"/>
          <w:sz w:val="16"/>
          <w:szCs w:val="16"/>
          <w:lang w:val="en-US"/>
        </w:rPr>
        <w:t>–</w:t>
      </w:r>
      <w:r w:rsidRPr="00CB4F47">
        <w:rPr>
          <w:rFonts w:cs="Arial"/>
          <w:sz w:val="16"/>
          <w:szCs w:val="16"/>
        </w:rPr>
        <w:t>240, page 221</w:t>
      </w:r>
      <w:r>
        <w:rPr>
          <w:rFonts w:cs="Arial"/>
          <w:sz w:val="16"/>
          <w:szCs w:val="16"/>
        </w:rPr>
        <w:t>)</w:t>
      </w:r>
      <w:r w:rsidRPr="00CB4F47">
        <w:rPr>
          <w:rFonts w:cs="Arial"/>
          <w:sz w:val="16"/>
          <w:szCs w:val="16"/>
        </w:rPr>
        <w:t>.</w:t>
      </w:r>
    </w:p>
  </w:endnote>
  <w:endnote w:id="332">
    <w:p w14:paraId="257D3B54" w14:textId="4500DF2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Anae, M, “All power to the people: Overstayers, </w:t>
      </w:r>
      <w:r>
        <w:rPr>
          <w:rFonts w:cs="Arial"/>
          <w:sz w:val="16"/>
          <w:szCs w:val="16"/>
        </w:rPr>
        <w:t>D</w:t>
      </w:r>
      <w:r w:rsidRPr="00CB4F47">
        <w:rPr>
          <w:rFonts w:cs="Arial"/>
          <w:sz w:val="16"/>
          <w:szCs w:val="16"/>
        </w:rPr>
        <w:t xml:space="preserve">awn </w:t>
      </w:r>
      <w:r>
        <w:rPr>
          <w:rFonts w:cs="Arial"/>
          <w:sz w:val="16"/>
          <w:szCs w:val="16"/>
        </w:rPr>
        <w:t>R</w:t>
      </w:r>
      <w:r w:rsidRPr="00CB4F47">
        <w:rPr>
          <w:rFonts w:cs="Arial"/>
          <w:sz w:val="16"/>
          <w:szCs w:val="16"/>
        </w:rPr>
        <w:t>aids and the Polynesian Panthers</w:t>
      </w:r>
      <w:r>
        <w:rPr>
          <w:rFonts w:cs="Arial"/>
          <w:sz w:val="16"/>
          <w:szCs w:val="16"/>
        </w:rPr>
        <w:t>,</w:t>
      </w:r>
      <w:r w:rsidRPr="00CB4F47">
        <w:rPr>
          <w:rFonts w:cs="Arial"/>
          <w:sz w:val="16"/>
          <w:szCs w:val="16"/>
        </w:rPr>
        <w:t xml:space="preserve">” in </w:t>
      </w:r>
      <w:r w:rsidRPr="00CB4F47">
        <w:rPr>
          <w:rFonts w:eastAsia="Calibri" w:cs="Arial"/>
          <w:sz w:val="16"/>
          <w:szCs w:val="16"/>
          <w:lang w:val="en-US"/>
        </w:rPr>
        <w:t xml:space="preserve">Mallon, S, Māhina-Tuai, K &amp; Salesa, D (eds), </w:t>
      </w:r>
      <w:r w:rsidRPr="00CB4F47">
        <w:rPr>
          <w:rFonts w:cs="Arial"/>
          <w:sz w:val="16"/>
          <w:szCs w:val="16"/>
        </w:rPr>
        <w:t xml:space="preserve">Tangata o le Moana: </w:t>
      </w:r>
      <w:r w:rsidRPr="00CB4F47">
        <w:rPr>
          <w:rStyle w:val="normaltextrun"/>
          <w:rFonts w:cs="Arial"/>
          <w:sz w:val="16"/>
          <w:szCs w:val="16"/>
          <w:bdr w:val="none" w:sz="0" w:space="0" w:color="auto" w:frame="1"/>
        </w:rPr>
        <w:t>New Zealand and the People of the Pacific</w:t>
      </w:r>
      <w:r w:rsidRPr="00CB4F47">
        <w:rPr>
          <w:rFonts w:cs="Arial"/>
          <w:sz w:val="16"/>
          <w:szCs w:val="16"/>
        </w:rPr>
        <w:t xml:space="preserve"> (Te Papa Press, 2012, pages 221</w:t>
      </w:r>
      <w:r w:rsidRPr="00CB4F47">
        <w:rPr>
          <w:rFonts w:eastAsia="Calibri" w:cs="Arial"/>
          <w:sz w:val="16"/>
          <w:szCs w:val="16"/>
          <w:lang w:val="en-US"/>
        </w:rPr>
        <w:t>–240</w:t>
      </w:r>
      <w:r w:rsidRPr="00CB4F47">
        <w:rPr>
          <w:rFonts w:cs="Arial"/>
          <w:sz w:val="16"/>
          <w:szCs w:val="16"/>
        </w:rPr>
        <w:t>, page 222</w:t>
      </w:r>
      <w:r>
        <w:rPr>
          <w:rFonts w:cs="Arial"/>
          <w:sz w:val="16"/>
          <w:szCs w:val="16"/>
        </w:rPr>
        <w:t>)</w:t>
      </w:r>
      <w:r w:rsidRPr="00CB4F47">
        <w:rPr>
          <w:rFonts w:cs="Arial"/>
          <w:sz w:val="16"/>
          <w:szCs w:val="16"/>
        </w:rPr>
        <w:t>.</w:t>
      </w:r>
    </w:p>
  </w:endnote>
  <w:endnote w:id="333">
    <w:p w14:paraId="5059DC6F" w14:textId="0318E51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Anae, M, “All power to the people: Overstayers, </w:t>
      </w:r>
      <w:r>
        <w:rPr>
          <w:rFonts w:cs="Arial"/>
          <w:sz w:val="16"/>
          <w:szCs w:val="16"/>
        </w:rPr>
        <w:t>D</w:t>
      </w:r>
      <w:r w:rsidRPr="00CB4F47">
        <w:rPr>
          <w:rFonts w:cs="Arial"/>
          <w:sz w:val="16"/>
          <w:szCs w:val="16"/>
        </w:rPr>
        <w:t xml:space="preserve">awn </w:t>
      </w:r>
      <w:r>
        <w:rPr>
          <w:rFonts w:cs="Arial"/>
          <w:sz w:val="16"/>
          <w:szCs w:val="16"/>
        </w:rPr>
        <w:t>R</w:t>
      </w:r>
      <w:r w:rsidRPr="00CB4F47">
        <w:rPr>
          <w:rFonts w:cs="Arial"/>
          <w:sz w:val="16"/>
          <w:szCs w:val="16"/>
        </w:rPr>
        <w:t xml:space="preserve">aids and the Polynesian Panthers” in </w:t>
      </w:r>
      <w:r w:rsidRPr="00CB4F47">
        <w:rPr>
          <w:rFonts w:eastAsia="Calibri" w:cs="Arial"/>
          <w:sz w:val="16"/>
          <w:szCs w:val="16"/>
          <w:lang w:val="en-US"/>
        </w:rPr>
        <w:t xml:space="preserve">Mallon, S, Māhina-Tuai, K &amp; Salesa, D (eds), </w:t>
      </w:r>
      <w:r w:rsidRPr="00CB4F47">
        <w:rPr>
          <w:rFonts w:cs="Arial"/>
          <w:sz w:val="16"/>
          <w:szCs w:val="16"/>
        </w:rPr>
        <w:t>Tangata o le Moana:</w:t>
      </w:r>
      <w:r w:rsidRPr="00CB4F47">
        <w:rPr>
          <w:rStyle w:val="normaltextrun"/>
          <w:rFonts w:cs="Arial"/>
          <w:sz w:val="16"/>
          <w:szCs w:val="16"/>
          <w:bdr w:val="none" w:sz="0" w:space="0" w:color="auto" w:frame="1"/>
        </w:rPr>
        <w:t xml:space="preserve"> New Zealand and the People of the Pacific</w:t>
      </w:r>
      <w:r w:rsidRPr="00CB4F47">
        <w:rPr>
          <w:rFonts w:cs="Arial"/>
          <w:sz w:val="16"/>
          <w:szCs w:val="16"/>
        </w:rPr>
        <w:t xml:space="preserve"> (Te Papa Press, 2012, pages 221</w:t>
      </w:r>
      <w:r w:rsidRPr="00CB4F47">
        <w:rPr>
          <w:rFonts w:eastAsia="Calibri" w:cs="Arial"/>
          <w:sz w:val="16"/>
          <w:szCs w:val="16"/>
          <w:lang w:val="en-US"/>
        </w:rPr>
        <w:t>–</w:t>
      </w:r>
      <w:r w:rsidRPr="00CB4F47">
        <w:rPr>
          <w:rFonts w:cs="Arial"/>
          <w:sz w:val="16"/>
          <w:szCs w:val="16"/>
        </w:rPr>
        <w:t>240</w:t>
      </w:r>
      <w:r>
        <w:rPr>
          <w:rFonts w:cs="Arial"/>
          <w:sz w:val="16"/>
          <w:szCs w:val="16"/>
        </w:rPr>
        <w:t>)</w:t>
      </w:r>
      <w:r w:rsidRPr="00CB4F47">
        <w:rPr>
          <w:rFonts w:cs="Arial"/>
          <w:sz w:val="16"/>
          <w:szCs w:val="16"/>
        </w:rPr>
        <w:t>.</w:t>
      </w:r>
    </w:p>
  </w:endnote>
  <w:endnote w:id="334">
    <w:p w14:paraId="226A5CC7" w14:textId="6D191CC2"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Barber, S &amp; Naepi, S, “Sociology in a crisis: Covid-19 and the colonial politics of knowledge production in Aotearoa New Zealand</w:t>
      </w:r>
      <w:r>
        <w:rPr>
          <w:rFonts w:cs="Arial"/>
          <w:sz w:val="16"/>
          <w:szCs w:val="16"/>
        </w:rPr>
        <w:t>,</w:t>
      </w:r>
      <w:r w:rsidRPr="00CB4F47">
        <w:rPr>
          <w:rFonts w:cs="Arial"/>
          <w:sz w:val="16"/>
          <w:szCs w:val="16"/>
        </w:rPr>
        <w:t xml:space="preserve">” Journal of Sociology, 56(4) </w:t>
      </w:r>
      <w:r w:rsidRPr="00CB4F47">
        <w:rPr>
          <w:rFonts w:cs="Arial"/>
          <w:color w:val="000000"/>
          <w:sz w:val="16"/>
          <w:szCs w:val="16"/>
          <w:shd w:val="clear" w:color="auto" w:fill="FFFFFF"/>
        </w:rPr>
        <w:t>(202</w:t>
      </w:r>
      <w:r>
        <w:rPr>
          <w:rFonts w:cs="Arial"/>
          <w:color w:val="000000"/>
          <w:sz w:val="16"/>
          <w:szCs w:val="16"/>
          <w:shd w:val="clear" w:color="auto" w:fill="FFFFFF"/>
        </w:rPr>
        <w:t>0</w:t>
      </w:r>
      <w:r w:rsidRPr="00CB4F47">
        <w:rPr>
          <w:rFonts w:cs="Arial"/>
          <w:color w:val="000000"/>
          <w:sz w:val="16"/>
          <w:szCs w:val="16"/>
          <w:shd w:val="clear" w:color="auto" w:fill="FFFFFF"/>
        </w:rPr>
        <w:t>,</w:t>
      </w:r>
      <w:r w:rsidRPr="00CB4F47">
        <w:rPr>
          <w:rFonts w:cs="Arial"/>
          <w:sz w:val="16"/>
          <w:szCs w:val="16"/>
        </w:rPr>
        <w:t xml:space="preserve"> pages 693</w:t>
      </w:r>
      <w:r w:rsidRPr="00CB4F47">
        <w:rPr>
          <w:rFonts w:eastAsia="Calibri" w:cs="Arial"/>
          <w:sz w:val="16"/>
          <w:szCs w:val="16"/>
          <w:lang w:val="en-US"/>
        </w:rPr>
        <w:t>–</w:t>
      </w:r>
      <w:r w:rsidRPr="00CB4F47">
        <w:rPr>
          <w:rFonts w:cs="Arial"/>
          <w:sz w:val="16"/>
          <w:szCs w:val="16"/>
        </w:rPr>
        <w:t>703, page 701</w:t>
      </w:r>
      <w:r>
        <w:rPr>
          <w:rFonts w:cs="Arial"/>
          <w:sz w:val="16"/>
          <w:szCs w:val="16"/>
        </w:rPr>
        <w:t>)</w:t>
      </w:r>
      <w:r w:rsidRPr="00CB4F47">
        <w:rPr>
          <w:rFonts w:cs="Arial"/>
          <w:sz w:val="16"/>
          <w:szCs w:val="16"/>
        </w:rPr>
        <w:t xml:space="preserve">. </w:t>
      </w:r>
    </w:p>
  </w:endnote>
  <w:endnote w:id="335">
    <w:p w14:paraId="74CCF7E7" w14:textId="4E9580DA"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 xml:space="preserve">Anae, M, “All power to the people: Overstayers, </w:t>
      </w:r>
      <w:r>
        <w:rPr>
          <w:rFonts w:cs="Arial"/>
          <w:sz w:val="16"/>
          <w:szCs w:val="16"/>
        </w:rPr>
        <w:t>D</w:t>
      </w:r>
      <w:r w:rsidRPr="00CB4F47">
        <w:rPr>
          <w:rFonts w:cs="Arial"/>
          <w:sz w:val="16"/>
          <w:szCs w:val="16"/>
        </w:rPr>
        <w:t xml:space="preserve">awn </w:t>
      </w:r>
      <w:r>
        <w:rPr>
          <w:rFonts w:cs="Arial"/>
          <w:sz w:val="16"/>
          <w:szCs w:val="16"/>
        </w:rPr>
        <w:t>R</w:t>
      </w:r>
      <w:r w:rsidRPr="00CB4F47">
        <w:rPr>
          <w:rFonts w:cs="Arial"/>
          <w:sz w:val="16"/>
          <w:szCs w:val="16"/>
        </w:rPr>
        <w:t>aids and the Polynesian Panthers</w:t>
      </w:r>
      <w:r>
        <w:rPr>
          <w:rFonts w:cs="Arial"/>
          <w:sz w:val="16"/>
          <w:szCs w:val="16"/>
        </w:rPr>
        <w:t>,</w:t>
      </w:r>
      <w:r w:rsidRPr="00CB4F47">
        <w:rPr>
          <w:rFonts w:cs="Arial"/>
          <w:sz w:val="16"/>
          <w:szCs w:val="16"/>
        </w:rPr>
        <w:t xml:space="preserve">” </w:t>
      </w:r>
      <w:r>
        <w:rPr>
          <w:rFonts w:cs="Arial"/>
          <w:sz w:val="16"/>
          <w:szCs w:val="16"/>
        </w:rPr>
        <w:t xml:space="preserve">in </w:t>
      </w:r>
      <w:r w:rsidRPr="00CB4F47">
        <w:rPr>
          <w:rFonts w:eastAsia="Calibri" w:cs="Arial"/>
          <w:sz w:val="16"/>
          <w:szCs w:val="16"/>
          <w:lang w:val="en-US"/>
        </w:rPr>
        <w:t xml:space="preserve">Mallon, S, Māhina-Tuai, K &amp; Salesa, D (eds), </w:t>
      </w:r>
      <w:r w:rsidRPr="00CB4F47">
        <w:rPr>
          <w:rFonts w:cs="Arial"/>
          <w:sz w:val="16"/>
          <w:szCs w:val="16"/>
        </w:rPr>
        <w:t>Tangata o le Moana:</w:t>
      </w:r>
      <w:r w:rsidRPr="00CB4F47">
        <w:rPr>
          <w:rStyle w:val="normaltextrun"/>
          <w:rFonts w:cs="Arial"/>
          <w:sz w:val="16"/>
          <w:szCs w:val="16"/>
          <w:bdr w:val="none" w:sz="0" w:space="0" w:color="auto" w:frame="1"/>
        </w:rPr>
        <w:t xml:space="preserve"> New Zealand and the People of the Pacific</w:t>
      </w:r>
      <w:r w:rsidRPr="00CB4F47">
        <w:rPr>
          <w:rFonts w:cs="Arial"/>
          <w:sz w:val="16"/>
          <w:szCs w:val="16"/>
        </w:rPr>
        <w:t xml:space="preserve"> (Te Papa Press, 2012, pages 221</w:t>
      </w:r>
      <w:r w:rsidRPr="00CB4F47">
        <w:rPr>
          <w:rFonts w:eastAsia="Calibri" w:cs="Arial"/>
          <w:sz w:val="16"/>
          <w:szCs w:val="16"/>
          <w:lang w:val="en-US"/>
        </w:rPr>
        <w:t>–</w:t>
      </w:r>
      <w:r w:rsidRPr="00CB4F47">
        <w:rPr>
          <w:rFonts w:cs="Arial"/>
          <w:sz w:val="16"/>
          <w:szCs w:val="16"/>
        </w:rPr>
        <w:t>240, page 238</w:t>
      </w:r>
      <w:r>
        <w:rPr>
          <w:rFonts w:cs="Arial"/>
          <w:sz w:val="16"/>
          <w:szCs w:val="16"/>
        </w:rPr>
        <w:t>)</w:t>
      </w:r>
      <w:r w:rsidRPr="00CB4F47">
        <w:rPr>
          <w:rFonts w:cs="Arial"/>
          <w:sz w:val="16"/>
          <w:szCs w:val="16"/>
        </w:rPr>
        <w:t>.</w:t>
      </w:r>
    </w:p>
  </w:endnote>
  <w:endnote w:id="336">
    <w:p w14:paraId="79CE7877" w14:textId="68798DF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Anae, M, “All Power to the People: Overstayers, Dawn Raids and the Polynesian Panthers</w:t>
      </w:r>
      <w:r>
        <w:rPr>
          <w:rFonts w:cs="Arial"/>
          <w:sz w:val="16"/>
          <w:szCs w:val="16"/>
        </w:rPr>
        <w:t>,</w:t>
      </w:r>
      <w:r w:rsidRPr="00CB4F47">
        <w:rPr>
          <w:rFonts w:cs="Arial"/>
          <w:sz w:val="16"/>
          <w:szCs w:val="16"/>
        </w:rPr>
        <w:t xml:space="preserve">” </w:t>
      </w:r>
      <w:r>
        <w:rPr>
          <w:rFonts w:cs="Arial"/>
          <w:sz w:val="16"/>
          <w:szCs w:val="16"/>
        </w:rPr>
        <w:t xml:space="preserve">in </w:t>
      </w:r>
      <w:r w:rsidRPr="00CB4F47">
        <w:rPr>
          <w:rFonts w:eastAsia="Calibri" w:cs="Arial"/>
          <w:sz w:val="16"/>
          <w:szCs w:val="16"/>
          <w:lang w:val="en-US"/>
        </w:rPr>
        <w:t xml:space="preserve">Mallon, S, Māhina-Tuai, K &amp; Salesa, D (eds), </w:t>
      </w:r>
      <w:r w:rsidRPr="00CB4F47">
        <w:rPr>
          <w:rFonts w:cs="Arial"/>
          <w:sz w:val="16"/>
          <w:szCs w:val="16"/>
        </w:rPr>
        <w:t>Tangata o le Moana:</w:t>
      </w:r>
      <w:r w:rsidRPr="00CB4F47">
        <w:rPr>
          <w:rStyle w:val="normaltextrun"/>
          <w:rFonts w:cs="Arial"/>
          <w:sz w:val="16"/>
          <w:szCs w:val="16"/>
          <w:bdr w:val="none" w:sz="0" w:space="0" w:color="auto" w:frame="1"/>
        </w:rPr>
        <w:t xml:space="preserve"> New Zealand and the People of the Pacific</w:t>
      </w:r>
      <w:r w:rsidRPr="00CB4F47">
        <w:rPr>
          <w:rFonts w:cs="Arial"/>
          <w:sz w:val="16"/>
          <w:szCs w:val="16"/>
        </w:rPr>
        <w:t xml:space="preserve"> (Te Papa Press, 2012, pages 221</w:t>
      </w:r>
      <w:r w:rsidRPr="00CB4F47">
        <w:rPr>
          <w:rFonts w:eastAsia="Calibri" w:cs="Arial"/>
          <w:sz w:val="16"/>
          <w:szCs w:val="16"/>
          <w:lang w:val="en-US"/>
        </w:rPr>
        <w:t>–</w:t>
      </w:r>
      <w:r w:rsidRPr="00CB4F47">
        <w:rPr>
          <w:rFonts w:cs="Arial"/>
          <w:sz w:val="16"/>
          <w:szCs w:val="16"/>
        </w:rPr>
        <w:t>240, page 233</w:t>
      </w:r>
      <w:r>
        <w:rPr>
          <w:rFonts w:cs="Arial"/>
          <w:sz w:val="16"/>
          <w:szCs w:val="16"/>
        </w:rPr>
        <w:t>)</w:t>
      </w:r>
      <w:r w:rsidRPr="00CB4F47">
        <w:rPr>
          <w:rFonts w:cs="Arial"/>
          <w:sz w:val="16"/>
          <w:szCs w:val="16"/>
        </w:rPr>
        <w:t>.</w:t>
      </w:r>
    </w:p>
  </w:endnote>
  <w:endnote w:id="337">
    <w:p w14:paraId="00F0759B" w14:textId="1A480FF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Macpherson, C, Pacific churches in New Zealand: Programmes and services (Te Ara</w:t>
      </w:r>
      <w:r>
        <w:rPr>
          <w:rFonts w:cs="Arial"/>
          <w:sz w:val="16"/>
          <w:szCs w:val="16"/>
        </w:rPr>
        <w:t xml:space="preserve"> – The Encyclopedia of New Zealand</w:t>
      </w:r>
      <w:r w:rsidRPr="00CB4F47">
        <w:rPr>
          <w:rFonts w:cs="Arial"/>
          <w:sz w:val="16"/>
          <w:szCs w:val="16"/>
        </w:rPr>
        <w:t>, 2018</w:t>
      </w:r>
      <w:r>
        <w:rPr>
          <w:rFonts w:cs="Arial"/>
          <w:sz w:val="16"/>
          <w:szCs w:val="16"/>
        </w:rPr>
        <w:t>, page 2</w:t>
      </w:r>
      <w:r w:rsidRPr="00CB4F47">
        <w:rPr>
          <w:rFonts w:cs="Arial"/>
          <w:sz w:val="16"/>
          <w:szCs w:val="16"/>
        </w:rPr>
        <w:t>)</w:t>
      </w:r>
      <w:r>
        <w:rPr>
          <w:rFonts w:cs="Arial"/>
          <w:sz w:val="16"/>
          <w:szCs w:val="16"/>
        </w:rPr>
        <w:t xml:space="preserve">, </w:t>
      </w:r>
      <w:hyperlink r:id="rId89" w:history="1">
        <w:r w:rsidRPr="00EC38C0">
          <w:rPr>
            <w:rStyle w:val="Hyperlink"/>
            <w:rFonts w:cs="Arial"/>
            <w:sz w:val="16"/>
            <w:szCs w:val="16"/>
          </w:rPr>
          <w:t>https://teara.govt.nz/en/pacific-churches-in-new-zealand/page-2</w:t>
        </w:r>
      </w:hyperlink>
      <w:r w:rsidRPr="00CB4F47">
        <w:rPr>
          <w:rFonts w:cs="Arial"/>
          <w:sz w:val="16"/>
          <w:szCs w:val="16"/>
        </w:rPr>
        <w:t>.</w:t>
      </w:r>
    </w:p>
  </w:endnote>
  <w:endnote w:id="338">
    <w:p w14:paraId="7F8841D2" w14:textId="64BD96F7" w:rsidR="00FE4E56" w:rsidRPr="00CB4F47" w:rsidRDefault="00FE4E56" w:rsidP="00C57877">
      <w:pPr>
        <w:pStyle w:val="NoSpacing"/>
        <w:spacing w:line="20" w:lineRule="atLeast"/>
        <w:rPr>
          <w:rFonts w:ascii="Arial" w:hAnsi="Arial" w:cs="Arial"/>
          <w:color w:val="000000" w:themeColor="text1"/>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w:t>
      </w:r>
      <w:r w:rsidRPr="00CB4F47">
        <w:rPr>
          <w:rFonts w:ascii="Arial" w:hAnsi="Arial" w:cs="Arial"/>
          <w:color w:val="000000" w:themeColor="text1"/>
          <w:sz w:val="16"/>
          <w:szCs w:val="16"/>
        </w:rPr>
        <w:t>Else, A, A question of adoption: Closed stranger adoption in New Zealand, 1944</w:t>
      </w:r>
      <w:r>
        <w:rPr>
          <w:rFonts w:ascii="Arial" w:hAnsi="Arial" w:cs="Arial"/>
          <w:color w:val="000000" w:themeColor="text1"/>
          <w:sz w:val="16"/>
          <w:szCs w:val="16"/>
        </w:rPr>
        <w:t>–</w:t>
      </w:r>
      <w:r w:rsidRPr="00CB4F47">
        <w:rPr>
          <w:rFonts w:ascii="Arial" w:hAnsi="Arial" w:cs="Arial"/>
          <w:color w:val="000000" w:themeColor="text1"/>
          <w:sz w:val="16"/>
          <w:szCs w:val="16"/>
        </w:rPr>
        <w:t xml:space="preserve">1974 (Bridget Williams Books, 1991, </w:t>
      </w:r>
      <w:r w:rsidRPr="00CB4F47">
        <w:rPr>
          <w:rFonts w:ascii="Arial" w:hAnsi="Arial" w:cs="Arial"/>
          <w:color w:val="auto"/>
          <w:sz w:val="16"/>
          <w:szCs w:val="16"/>
        </w:rPr>
        <w:t>page</w:t>
      </w:r>
      <w:r w:rsidRPr="00CB4F47">
        <w:rPr>
          <w:rFonts w:ascii="Arial" w:hAnsi="Arial" w:cs="Arial"/>
          <w:color w:val="000000" w:themeColor="text1"/>
          <w:sz w:val="16"/>
          <w:szCs w:val="16"/>
        </w:rPr>
        <w:t xml:space="preserve"> 159</w:t>
      </w:r>
      <w:r>
        <w:rPr>
          <w:rFonts w:ascii="Arial" w:hAnsi="Arial" w:cs="Arial"/>
          <w:color w:val="000000" w:themeColor="text1"/>
          <w:sz w:val="16"/>
          <w:szCs w:val="16"/>
        </w:rPr>
        <w:t>)</w:t>
      </w:r>
      <w:r w:rsidRPr="00CB4F47">
        <w:rPr>
          <w:rFonts w:ascii="Arial" w:hAnsi="Arial" w:cs="Arial"/>
          <w:color w:val="000000" w:themeColor="text1"/>
          <w:sz w:val="16"/>
          <w:szCs w:val="16"/>
        </w:rPr>
        <w:t>.</w:t>
      </w:r>
    </w:p>
  </w:endnote>
  <w:endnote w:id="339">
    <w:p w14:paraId="29520861" w14:textId="67623936" w:rsidR="00FE4E56" w:rsidRPr="00CB4F47" w:rsidRDefault="00FE4E56" w:rsidP="00C57877">
      <w:pPr>
        <w:pStyle w:val="NoSpacing"/>
        <w:spacing w:line="20" w:lineRule="atLeast"/>
        <w:rPr>
          <w:rFonts w:ascii="Arial" w:hAnsi="Arial" w:cs="Arial"/>
          <w:color w:val="000000" w:themeColor="text1"/>
          <w:sz w:val="16"/>
          <w:szCs w:val="16"/>
        </w:rPr>
      </w:pPr>
      <w:r w:rsidRPr="00536E67">
        <w:rPr>
          <w:rStyle w:val="StyleFootnoteReferenceFagoFunotenzeichenFagoFunotenzeichen"/>
          <w:sz w:val="16"/>
          <w:szCs w:val="16"/>
        </w:rPr>
        <w:endnoteRef/>
      </w:r>
      <w:r w:rsidRPr="00CB4F47">
        <w:rPr>
          <w:rFonts w:ascii="Arial" w:hAnsi="Arial" w:cs="Arial"/>
          <w:color w:val="000000" w:themeColor="text1"/>
          <w:sz w:val="16"/>
          <w:szCs w:val="16"/>
        </w:rPr>
        <w:t xml:space="preserve"> Tennant, M, The fabric of welfare: Voluntary organisations, government and welfare in New Zealand, 1840</w:t>
      </w:r>
      <w:r>
        <w:rPr>
          <w:rFonts w:ascii="Arial" w:hAnsi="Arial" w:cs="Arial"/>
          <w:color w:val="000000" w:themeColor="text1"/>
          <w:sz w:val="16"/>
          <w:szCs w:val="16"/>
        </w:rPr>
        <w:t>–</w:t>
      </w:r>
      <w:r w:rsidRPr="00CB4F47">
        <w:rPr>
          <w:rFonts w:ascii="Arial" w:hAnsi="Arial" w:cs="Arial"/>
          <w:color w:val="000000" w:themeColor="text1"/>
          <w:sz w:val="16"/>
          <w:szCs w:val="16"/>
        </w:rPr>
        <w:t xml:space="preserve">2005 (Bridget Williams Books, 2007, </w:t>
      </w:r>
      <w:r w:rsidRPr="00CB4F47">
        <w:rPr>
          <w:rFonts w:ascii="Arial" w:hAnsi="Arial" w:cs="Arial"/>
          <w:color w:val="auto"/>
          <w:sz w:val="16"/>
          <w:szCs w:val="16"/>
        </w:rPr>
        <w:t>page</w:t>
      </w:r>
      <w:r w:rsidRPr="00CB4F47">
        <w:rPr>
          <w:rFonts w:ascii="Arial" w:hAnsi="Arial" w:cs="Arial"/>
          <w:color w:val="000000" w:themeColor="text1"/>
          <w:sz w:val="16"/>
          <w:szCs w:val="16"/>
        </w:rPr>
        <w:t xml:space="preserve"> 120</w:t>
      </w:r>
      <w:r>
        <w:rPr>
          <w:rFonts w:ascii="Arial" w:hAnsi="Arial" w:cs="Arial"/>
          <w:color w:val="000000" w:themeColor="text1"/>
          <w:sz w:val="16"/>
          <w:szCs w:val="16"/>
        </w:rPr>
        <w:t>);</w:t>
      </w:r>
      <w:r w:rsidRPr="00CB4F47">
        <w:rPr>
          <w:rFonts w:ascii="Arial" w:hAnsi="Arial" w:cs="Arial"/>
          <w:color w:val="000000" w:themeColor="text1"/>
          <w:sz w:val="16"/>
          <w:szCs w:val="16"/>
        </w:rPr>
        <w:t xml:space="preserve"> Dalley, B, Family matters: Child welfare in twentieth-century New Zealand (Auckland University Press, 1998, </w:t>
      </w:r>
      <w:r w:rsidRPr="00CB4F47">
        <w:rPr>
          <w:rFonts w:ascii="Arial" w:hAnsi="Arial" w:cs="Arial"/>
          <w:color w:val="auto"/>
          <w:sz w:val="16"/>
          <w:szCs w:val="16"/>
        </w:rPr>
        <w:t>page</w:t>
      </w:r>
      <w:r w:rsidRPr="00CB4F47">
        <w:rPr>
          <w:rFonts w:ascii="Arial" w:hAnsi="Arial" w:cs="Arial"/>
          <w:color w:val="000000" w:themeColor="text1"/>
          <w:sz w:val="16"/>
          <w:szCs w:val="16"/>
        </w:rPr>
        <w:t xml:space="preserve"> 33</w:t>
      </w:r>
      <w:r>
        <w:rPr>
          <w:rFonts w:ascii="Arial" w:hAnsi="Arial" w:cs="Arial"/>
          <w:color w:val="000000" w:themeColor="text1"/>
          <w:sz w:val="16"/>
          <w:szCs w:val="16"/>
        </w:rPr>
        <w:t>)</w:t>
      </w:r>
      <w:r w:rsidRPr="00CB4F47">
        <w:rPr>
          <w:rFonts w:ascii="Arial" w:hAnsi="Arial" w:cs="Arial"/>
          <w:color w:val="000000" w:themeColor="text1"/>
          <w:sz w:val="16"/>
          <w:szCs w:val="16"/>
        </w:rPr>
        <w:t>7.</w:t>
      </w:r>
    </w:p>
  </w:endnote>
  <w:endnote w:id="340">
    <w:p w14:paraId="07617864" w14:textId="77777777" w:rsidR="00FE4E56" w:rsidRPr="00536E67" w:rsidRDefault="00FE4E56" w:rsidP="00BE049B">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Royal Commission of Inquiry into Social Security, quoted in Welfare Expert Advisory Group, A brief history of family support payments in New Zealand (Welfare Expert Advisory Group, 2018, page 5).</w:t>
      </w:r>
    </w:p>
  </w:endnote>
  <w:endnote w:id="341">
    <w:p w14:paraId="41544495" w14:textId="77777777" w:rsidR="00FE4E56" w:rsidRPr="00536E67" w:rsidRDefault="00FE4E56" w:rsidP="00BE049B">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sz w:val="16"/>
          <w:szCs w:val="16"/>
        </w:rPr>
        <w:t>Welfare Expert Advisory Group, A brief history of family support payments in New Zealand (Welfare Expert Advisory Group, 2018, page 5).</w:t>
      </w:r>
    </w:p>
  </w:endnote>
  <w:endnote w:id="342">
    <w:p w14:paraId="58D7E111" w14:textId="7F33B137" w:rsidR="00FE4E56" w:rsidRPr="00536E67" w:rsidRDefault="00FE4E56" w:rsidP="00BE049B">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754BF1">
        <w:rPr>
          <w:rFonts w:cs="Arial"/>
          <w:sz w:val="16"/>
          <w:szCs w:val="16"/>
        </w:rPr>
        <w:t xml:space="preserve">Calculated from the Reserve Bank of New Zealand inflation adjustment calculator using General CPI as a comparator, Reserve Bank of New Zealand Inflation Calculator </w:t>
      </w:r>
      <w:hyperlink r:id="rId90" w:history="1">
        <w:r w:rsidRPr="00754BF1">
          <w:rPr>
            <w:rStyle w:val="Hyperlink"/>
            <w:rFonts w:cs="Arial"/>
            <w:sz w:val="16"/>
            <w:szCs w:val="16"/>
          </w:rPr>
          <w:t>https://www.rbnz.govt.nz/monetary-policy/about-monetary-policy/inflation-calculator</w:t>
        </w:r>
      </w:hyperlink>
      <w:r w:rsidRPr="00754BF1">
        <w:rPr>
          <w:rStyle w:val="Hyperlink"/>
          <w:rFonts w:cs="Arial"/>
          <w:sz w:val="16"/>
          <w:szCs w:val="16"/>
        </w:rPr>
        <w:t>,</w:t>
      </w:r>
      <w:r w:rsidRPr="00754BF1">
        <w:rPr>
          <w:rFonts w:cs="Arial"/>
          <w:sz w:val="16"/>
          <w:szCs w:val="16"/>
        </w:rPr>
        <w:t xml:space="preserve"> </w:t>
      </w:r>
      <w:r>
        <w:rPr>
          <w:rFonts w:cs="Arial"/>
          <w:sz w:val="16"/>
          <w:szCs w:val="16"/>
        </w:rPr>
        <w:t>(</w:t>
      </w:r>
      <w:r w:rsidRPr="00754BF1">
        <w:rPr>
          <w:rFonts w:cs="Arial"/>
          <w:sz w:val="16"/>
          <w:szCs w:val="16"/>
        </w:rPr>
        <w:t xml:space="preserve">accessed </w:t>
      </w:r>
      <w:r>
        <w:rPr>
          <w:rFonts w:cs="Arial"/>
          <w:sz w:val="16"/>
          <w:szCs w:val="16"/>
        </w:rPr>
        <w:t>March</w:t>
      </w:r>
      <w:r w:rsidRPr="00754BF1">
        <w:rPr>
          <w:rFonts w:cs="Arial"/>
          <w:sz w:val="16"/>
          <w:szCs w:val="16"/>
        </w:rPr>
        <w:t xml:space="preserve"> 2024</w:t>
      </w:r>
      <w:r>
        <w:rPr>
          <w:rFonts w:cs="Arial"/>
          <w:sz w:val="16"/>
          <w:szCs w:val="16"/>
        </w:rPr>
        <w:t>)</w:t>
      </w:r>
      <w:r w:rsidRPr="00754BF1">
        <w:rPr>
          <w:rFonts w:cs="Arial"/>
          <w:sz w:val="16"/>
          <w:szCs w:val="16"/>
        </w:rPr>
        <w:t>.</w:t>
      </w:r>
    </w:p>
  </w:endnote>
  <w:endnote w:id="343">
    <w:p w14:paraId="174BEEFB" w14:textId="4891CFD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Forster, W, Removing disabling experiences: a vision for the future of our people (New Zealand</w:t>
      </w:r>
      <w:r w:rsidRPr="00CB4F47" w:rsidDel="00332BF4">
        <w:rPr>
          <w:rFonts w:cs="Arial"/>
          <w:sz w:val="16"/>
          <w:szCs w:val="16"/>
        </w:rPr>
        <w:t xml:space="preserve"> </w:t>
      </w:r>
      <w:r w:rsidRPr="00CB4F47">
        <w:rPr>
          <w:rFonts w:cs="Arial"/>
          <w:sz w:val="16"/>
          <w:szCs w:val="16"/>
        </w:rPr>
        <w:t>Law Foundation, 2022, foreword and page 1</w:t>
      </w:r>
      <w:r>
        <w:rPr>
          <w:rFonts w:cs="Arial"/>
          <w:sz w:val="16"/>
          <w:szCs w:val="16"/>
        </w:rPr>
        <w:t>)</w:t>
      </w:r>
      <w:r w:rsidRPr="00CB4F47">
        <w:rPr>
          <w:rFonts w:cs="Arial"/>
          <w:sz w:val="16"/>
          <w:szCs w:val="16"/>
        </w:rPr>
        <w:t xml:space="preserve">. </w:t>
      </w:r>
    </w:p>
  </w:endnote>
  <w:endnote w:id="344">
    <w:p w14:paraId="571BD7CF" w14:textId="1CDF71D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Duncan, D, “50 years on from the Woodhouse Report </w:t>
      </w:r>
      <w:r w:rsidRPr="00CB4F47">
        <w:rPr>
          <w:rFonts w:eastAsia="Calibri" w:cs="Arial"/>
          <w:sz w:val="16"/>
          <w:szCs w:val="16"/>
          <w:lang w:val="en-US"/>
        </w:rPr>
        <w:t>–</w:t>
      </w:r>
      <w:r w:rsidRPr="00CB4F47">
        <w:rPr>
          <w:rFonts w:cs="Arial"/>
          <w:sz w:val="16"/>
          <w:szCs w:val="16"/>
        </w:rPr>
        <w:t xml:space="preserve"> workers’ health in New Zealand’s ACC scheme”, Policy Quarterly, 15(1) </w:t>
      </w:r>
      <w:r w:rsidRPr="00CB4F47">
        <w:rPr>
          <w:rFonts w:cs="Arial"/>
          <w:color w:val="000000"/>
          <w:sz w:val="16"/>
          <w:szCs w:val="16"/>
          <w:shd w:val="clear" w:color="auto" w:fill="FFFFFF"/>
        </w:rPr>
        <w:t xml:space="preserve">(2019, </w:t>
      </w:r>
      <w:r w:rsidRPr="00CB4F47">
        <w:rPr>
          <w:rFonts w:cs="Arial"/>
          <w:sz w:val="16"/>
          <w:szCs w:val="16"/>
        </w:rPr>
        <w:t>pages 54</w:t>
      </w:r>
      <w:r w:rsidRPr="00CB4F47">
        <w:rPr>
          <w:rFonts w:eastAsia="Calibri" w:cs="Arial"/>
          <w:sz w:val="16"/>
          <w:szCs w:val="16"/>
          <w:lang w:val="en-US"/>
        </w:rPr>
        <w:t>–</w:t>
      </w:r>
      <w:r w:rsidRPr="00CB4F47">
        <w:rPr>
          <w:rFonts w:cs="Arial"/>
          <w:sz w:val="16"/>
          <w:szCs w:val="16"/>
        </w:rPr>
        <w:t>60</w:t>
      </w:r>
      <w:r>
        <w:rPr>
          <w:rFonts w:cs="Arial"/>
          <w:sz w:val="16"/>
          <w:szCs w:val="16"/>
        </w:rPr>
        <w:t>)</w:t>
      </w:r>
      <w:r w:rsidRPr="00CB4F47">
        <w:rPr>
          <w:rFonts w:cs="Arial"/>
          <w:sz w:val="16"/>
          <w:szCs w:val="16"/>
        </w:rPr>
        <w:t xml:space="preserve">. </w:t>
      </w:r>
    </w:p>
  </w:endnote>
  <w:endnote w:id="345">
    <w:p w14:paraId="6232F979" w14:textId="431E9C1F" w:rsidR="00FE4E56" w:rsidRPr="00CB4F47" w:rsidRDefault="00FE4E56" w:rsidP="00C57877">
      <w:pPr>
        <w:pStyle w:val="EndnoteText"/>
        <w:spacing w:line="20" w:lineRule="atLeast"/>
        <w:rPr>
          <w:rFonts w:cs="Arial"/>
          <w:kern w:val="2"/>
          <w:sz w:val="16"/>
          <w:szCs w:val="16"/>
          <w:u w:val="single"/>
          <w14:ligatures w14:val="standardContextual"/>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kern w:val="2"/>
          <w:sz w:val="16"/>
          <w:szCs w:val="16"/>
          <w14:ligatures w14:val="standardContextual"/>
        </w:rPr>
        <w:t xml:space="preserve">Accident Compensation Corporation. Our history, </w:t>
      </w:r>
      <w:r w:rsidRPr="00CB4F47">
        <w:rPr>
          <w:rFonts w:cs="Arial"/>
          <w:color w:val="000000"/>
          <w:sz w:val="16"/>
          <w:szCs w:val="16"/>
        </w:rPr>
        <w:t>(</w:t>
      </w:r>
      <w:r w:rsidRPr="00CB4F47">
        <w:rPr>
          <w:rFonts w:cs="Arial"/>
          <w:sz w:val="16"/>
          <w:szCs w:val="16"/>
        </w:rPr>
        <w:t>ACC, 2018)</w:t>
      </w:r>
      <w:r>
        <w:rPr>
          <w:rFonts w:cs="Arial"/>
          <w:sz w:val="16"/>
          <w:szCs w:val="16"/>
        </w:rPr>
        <w:t>,</w:t>
      </w:r>
      <w:r w:rsidRPr="00CB4F47">
        <w:rPr>
          <w:rFonts w:cs="Arial"/>
          <w:sz w:val="16"/>
          <w:szCs w:val="16"/>
        </w:rPr>
        <w:t xml:space="preserve"> </w:t>
      </w:r>
      <w:hyperlink r:id="rId91" w:anchor="1972--the-accident-compensation-act" w:history="1">
        <w:r w:rsidRPr="00CB4F47">
          <w:rPr>
            <w:rStyle w:val="Hyperlink"/>
            <w:rFonts w:cs="Arial"/>
            <w:kern w:val="2"/>
            <w:sz w:val="16"/>
            <w:szCs w:val="16"/>
            <w14:ligatures w14:val="standardContextual"/>
          </w:rPr>
          <w:t>https://www.acc.co.nz/about-us/who-we-are/our-history/#1972--the-accident-compensation-act</w:t>
        </w:r>
      </w:hyperlink>
      <w:r w:rsidRPr="00CB4F47">
        <w:rPr>
          <w:rFonts w:cs="Arial"/>
          <w:kern w:val="2"/>
          <w:sz w:val="16"/>
          <w:szCs w:val="16"/>
          <w14:ligatures w14:val="standardContextual"/>
        </w:rPr>
        <w:t>.</w:t>
      </w:r>
      <w:r w:rsidRPr="00CB4F47">
        <w:rPr>
          <w:rFonts w:cs="Arial"/>
          <w:sz w:val="16"/>
          <w:szCs w:val="16"/>
        </w:rPr>
        <w:t xml:space="preserve"> </w:t>
      </w:r>
    </w:p>
  </w:endnote>
  <w:endnote w:id="346">
    <w:p w14:paraId="5899943C" w14:textId="700E69D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Disabled Persons Community Welfare Act 1975, No 122, </w:t>
      </w:r>
      <w:r>
        <w:rPr>
          <w:rFonts w:cs="Arial"/>
          <w:sz w:val="16"/>
          <w:szCs w:val="16"/>
        </w:rPr>
        <w:t>section 4</w:t>
      </w:r>
      <w:r w:rsidRPr="00CB4F47">
        <w:rPr>
          <w:rFonts w:cs="Arial"/>
          <w:sz w:val="16"/>
          <w:szCs w:val="16"/>
        </w:rPr>
        <w:t>.</w:t>
      </w:r>
    </w:p>
  </w:endnote>
  <w:endnote w:id="347">
    <w:p w14:paraId="16D8B69D" w14:textId="57482FC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Disabled Persons Community Welfare Act 1975, No 122, Part 4, General provisions.</w:t>
      </w:r>
    </w:p>
  </w:endnote>
  <w:endnote w:id="348">
    <w:p w14:paraId="2B89575B" w14:textId="77777777" w:rsidR="00FE4E56" w:rsidRPr="00536E67" w:rsidRDefault="00FE4E56" w:rsidP="00BA1007">
      <w:pPr>
        <w:pStyle w:val="EndnoteText"/>
        <w:rPr>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sz w:val="16"/>
          <w:szCs w:val="16"/>
        </w:rPr>
        <w:t>Welfare Expert Advisory Group, A brief history of family support payments in New Zealand (Welfare Expert Advisory Group, 2018, page 5).</w:t>
      </w:r>
    </w:p>
  </w:endnote>
  <w:endnote w:id="349">
    <w:p w14:paraId="30B59F5A" w14:textId="097C3042" w:rsidR="00FE4E56" w:rsidRPr="00FC5F93" w:rsidRDefault="00FE4E56" w:rsidP="009A44EE">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w:t>
      </w:r>
      <w:r>
        <w:rPr>
          <w:rFonts w:cs="Arial"/>
          <w:sz w:val="16"/>
          <w:szCs w:val="16"/>
        </w:rPr>
        <w:t>Georgeson, S, The Disabled Person’s Assembly 1983–1999: Successes, Challenges and Lessons for the Disability Movement in New Zealand, Master’s Thesis, Massey University (2000, page 53)</w:t>
      </w:r>
      <w:r w:rsidRPr="00FC5F93">
        <w:rPr>
          <w:rFonts w:cs="Arial"/>
          <w:sz w:val="16"/>
          <w:szCs w:val="16"/>
        </w:rPr>
        <w:t>.</w:t>
      </w:r>
    </w:p>
  </w:endnote>
  <w:endnote w:id="350">
    <w:p w14:paraId="7711BF32" w14:textId="6502BB59" w:rsidR="00FE4E56" w:rsidRPr="00DD5764" w:rsidRDefault="00FE4E56">
      <w:pPr>
        <w:pStyle w:val="EndnoteText"/>
        <w:rPr>
          <w:sz w:val="16"/>
          <w:szCs w:val="16"/>
        </w:rPr>
      </w:pPr>
      <w:r w:rsidRPr="00536E67">
        <w:rPr>
          <w:rStyle w:val="StyleFootnoteReferenceFagoFunotenzeichenFagoFunotenzeichen"/>
          <w:sz w:val="16"/>
          <w:szCs w:val="16"/>
        </w:rPr>
        <w:endnoteRef/>
      </w:r>
      <w:r w:rsidRPr="00DD5764" w:rsidDel="00D22D7D">
        <w:rPr>
          <w:sz w:val="16"/>
          <w:szCs w:val="16"/>
        </w:rPr>
        <w:t xml:space="preserve"> </w:t>
      </w:r>
      <w:r w:rsidRPr="00DD5764">
        <w:rPr>
          <w:sz w:val="16"/>
          <w:szCs w:val="16"/>
        </w:rPr>
        <w:t xml:space="preserve">The Treasury, Economic management: Part Two </w:t>
      </w:r>
      <w:r>
        <w:rPr>
          <w:sz w:val="16"/>
          <w:szCs w:val="16"/>
        </w:rPr>
        <w:t>–</w:t>
      </w:r>
      <w:r w:rsidRPr="00DD5764">
        <w:rPr>
          <w:sz w:val="16"/>
          <w:szCs w:val="16"/>
        </w:rPr>
        <w:t xml:space="preserve"> Policy and organisational issues (14 July 1984, pages 103–104</w:t>
      </w:r>
      <w:r>
        <w:rPr>
          <w:sz w:val="16"/>
          <w:szCs w:val="16"/>
        </w:rPr>
        <w:t>)</w:t>
      </w:r>
      <w:r w:rsidRPr="00DD5764">
        <w:rPr>
          <w:sz w:val="16"/>
          <w:szCs w:val="16"/>
        </w:rPr>
        <w:t>.</w:t>
      </w:r>
    </w:p>
  </w:endnote>
  <w:endnote w:id="351">
    <w:p w14:paraId="29FD6F4A" w14:textId="430995A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Shirley, I, Koopman-Boyden, P, Pool, I &amp; St John, S, </w:t>
      </w:r>
      <w:r>
        <w:rPr>
          <w:rFonts w:cs="Arial"/>
          <w:sz w:val="16"/>
          <w:szCs w:val="16"/>
        </w:rPr>
        <w:t>“</w:t>
      </w:r>
      <w:r w:rsidRPr="00CB4F47">
        <w:rPr>
          <w:rFonts w:cs="Arial"/>
          <w:sz w:val="16"/>
          <w:szCs w:val="16"/>
        </w:rPr>
        <w:t>Family change and family policies: New Zealand,</w:t>
      </w:r>
      <w:r>
        <w:rPr>
          <w:rFonts w:cs="Arial"/>
          <w:sz w:val="16"/>
          <w:szCs w:val="16"/>
        </w:rPr>
        <w:t>”</w:t>
      </w:r>
      <w:r w:rsidRPr="00CB4F47">
        <w:rPr>
          <w:rFonts w:cs="Arial"/>
          <w:sz w:val="16"/>
          <w:szCs w:val="16"/>
        </w:rPr>
        <w:t xml:space="preserve"> in Kamerman, SB &amp; Kahn, AJ (eds), Family change and family policies in Great Britain, Canada, New Zealand and the United States (Clarendon Press, Oxford 2007, page 294</w:t>
      </w:r>
      <w:r>
        <w:rPr>
          <w:rFonts w:cs="Arial"/>
          <w:sz w:val="16"/>
          <w:szCs w:val="16"/>
        </w:rPr>
        <w:t>)</w:t>
      </w:r>
      <w:r w:rsidRPr="00CB4F47">
        <w:rPr>
          <w:rFonts w:cs="Arial"/>
          <w:sz w:val="16"/>
          <w:szCs w:val="16"/>
        </w:rPr>
        <w:t xml:space="preserve">. </w:t>
      </w:r>
    </w:p>
  </w:endnote>
  <w:endnote w:id="352">
    <w:p w14:paraId="7AA3364F" w14:textId="08581D6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Poata-Smith, ETA, “Inequality and Māori</w:t>
      </w:r>
      <w:r>
        <w:rPr>
          <w:rFonts w:cs="Arial"/>
          <w:sz w:val="16"/>
          <w:szCs w:val="16"/>
        </w:rPr>
        <w:t>,</w:t>
      </w:r>
      <w:r w:rsidRPr="00CB4F47">
        <w:rPr>
          <w:rFonts w:cs="Arial"/>
          <w:sz w:val="16"/>
          <w:szCs w:val="16"/>
        </w:rPr>
        <w:t>” in Rashbrooke, M (ed)</w:t>
      </w:r>
      <w:r>
        <w:rPr>
          <w:rFonts w:cs="Arial"/>
          <w:sz w:val="16"/>
          <w:szCs w:val="16"/>
        </w:rPr>
        <w:t>,</w:t>
      </w:r>
      <w:r w:rsidRPr="00CB4F47">
        <w:rPr>
          <w:rFonts w:cs="Arial"/>
          <w:sz w:val="16"/>
          <w:szCs w:val="16"/>
        </w:rPr>
        <w:t xml:space="preserve"> Inequality: A New Zealand crisis (Bridget Williams Books Limited, 2013, pages 148</w:t>
      </w:r>
      <w:r w:rsidRPr="00CB4F47">
        <w:rPr>
          <w:rFonts w:eastAsia="Calibri" w:cs="Arial"/>
          <w:sz w:val="16"/>
          <w:szCs w:val="16"/>
          <w:lang w:val="en-US"/>
        </w:rPr>
        <w:t>–</w:t>
      </w:r>
      <w:r w:rsidRPr="00CB4F47">
        <w:rPr>
          <w:rFonts w:cs="Arial"/>
          <w:sz w:val="16"/>
          <w:szCs w:val="16"/>
        </w:rPr>
        <w:t>158</w:t>
      </w:r>
      <w:r>
        <w:rPr>
          <w:rFonts w:cs="Arial"/>
          <w:sz w:val="16"/>
          <w:szCs w:val="16"/>
        </w:rPr>
        <w:t>)</w:t>
      </w:r>
      <w:r w:rsidRPr="00CB4F47">
        <w:rPr>
          <w:rFonts w:cs="Arial"/>
          <w:sz w:val="16"/>
          <w:szCs w:val="16"/>
        </w:rPr>
        <w:t>.</w:t>
      </w:r>
    </w:p>
  </w:endnote>
  <w:endnote w:id="353">
    <w:p w14:paraId="3541BC26" w14:textId="50F0E44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Pōmare, E, Keefe-Ormsby, V, Ormsby, C, Pearce, N, Reid, P, Robson, B &amp; Watene-Haydon, N, Hauora: Māori standards of health 3: A study of the years 1970</w:t>
      </w:r>
      <w:r>
        <w:rPr>
          <w:rFonts w:cs="Arial"/>
          <w:sz w:val="16"/>
          <w:szCs w:val="16"/>
        </w:rPr>
        <w:t>–</w:t>
      </w:r>
      <w:r w:rsidRPr="00CB4F47">
        <w:rPr>
          <w:rFonts w:cs="Arial"/>
          <w:sz w:val="16"/>
          <w:szCs w:val="16"/>
        </w:rPr>
        <w:t>1991 (Te Rōpū Rangahau Maori Research Centre, 1995</w:t>
      </w:r>
      <w:r>
        <w:rPr>
          <w:rFonts w:cs="Arial"/>
          <w:sz w:val="16"/>
          <w:szCs w:val="16"/>
        </w:rPr>
        <w:t>,</w:t>
      </w:r>
      <w:r w:rsidRPr="00CB4F47">
        <w:rPr>
          <w:rFonts w:cs="Arial"/>
          <w:sz w:val="16"/>
          <w:szCs w:val="16"/>
        </w:rPr>
        <w:t xml:space="preserve"> page 149</w:t>
      </w:r>
      <w:r>
        <w:rPr>
          <w:rFonts w:cs="Arial"/>
          <w:sz w:val="16"/>
          <w:szCs w:val="16"/>
        </w:rPr>
        <w:t>)</w:t>
      </w:r>
      <w:r w:rsidRPr="00CB4F47">
        <w:rPr>
          <w:rFonts w:cs="Arial"/>
          <w:sz w:val="16"/>
          <w:szCs w:val="16"/>
        </w:rPr>
        <w:t>; Williams, J, “Build a bridge and get over it – the role of colonial dispossession in contemporary indigenous offending and what we should do about it</w:t>
      </w:r>
      <w:r>
        <w:rPr>
          <w:rFonts w:cs="Arial"/>
          <w:sz w:val="16"/>
          <w:szCs w:val="16"/>
        </w:rPr>
        <w:t>,</w:t>
      </w:r>
      <w:r w:rsidRPr="00CB4F47">
        <w:rPr>
          <w:rFonts w:cs="Arial"/>
          <w:sz w:val="16"/>
          <w:szCs w:val="16"/>
        </w:rPr>
        <w:t>”</w:t>
      </w:r>
      <w:r w:rsidRPr="00CB4F47" w:rsidDel="005E2BD4">
        <w:rPr>
          <w:rFonts w:cs="Arial"/>
          <w:sz w:val="16"/>
          <w:szCs w:val="16"/>
        </w:rPr>
        <w:t xml:space="preserve"> </w:t>
      </w:r>
      <w:r>
        <w:rPr>
          <w:rFonts w:cs="Arial"/>
          <w:sz w:val="16"/>
          <w:szCs w:val="16"/>
        </w:rPr>
        <w:t>s</w:t>
      </w:r>
      <w:r w:rsidRPr="00CB4F47">
        <w:rPr>
          <w:rFonts w:cs="Arial"/>
          <w:sz w:val="16"/>
          <w:szCs w:val="16"/>
        </w:rPr>
        <w:t>peech for the Robin Cooke Memorial Lecture 2019, reproduced in the New Zealand Journal of Public and International Law 18 (2020, page 14</w:t>
      </w:r>
      <w:r>
        <w:rPr>
          <w:rFonts w:cs="Arial"/>
          <w:sz w:val="16"/>
          <w:szCs w:val="16"/>
        </w:rPr>
        <w:t>)</w:t>
      </w:r>
      <w:r w:rsidRPr="00CB4F47">
        <w:rPr>
          <w:rFonts w:cs="Arial"/>
          <w:sz w:val="16"/>
          <w:szCs w:val="16"/>
        </w:rPr>
        <w:t>.</w:t>
      </w:r>
    </w:p>
  </w:endnote>
  <w:endnote w:id="354">
    <w:p w14:paraId="35DBBE18" w14:textId="6453151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Arial" w:cs="Arial"/>
          <w:sz w:val="16"/>
          <w:szCs w:val="16"/>
        </w:rPr>
        <w:t xml:space="preserve">Smith, LT, The native and the neoliberal down under: Neoliberalism and “endangered authenticities” in Indigenous experience today (Routledge, 2020, </w:t>
      </w:r>
      <w:r w:rsidRPr="00CB4F47">
        <w:rPr>
          <w:rFonts w:cs="Arial"/>
          <w:sz w:val="16"/>
          <w:szCs w:val="16"/>
        </w:rPr>
        <w:t>pages</w:t>
      </w:r>
      <w:r w:rsidRPr="00CB4F47">
        <w:rPr>
          <w:rFonts w:eastAsia="Arial" w:cs="Arial"/>
          <w:sz w:val="16"/>
          <w:szCs w:val="16"/>
        </w:rPr>
        <w:t xml:space="preserve"> 333</w:t>
      </w:r>
      <w:r w:rsidRPr="00CB4F47">
        <w:rPr>
          <w:rFonts w:eastAsia="Calibri" w:cs="Arial"/>
          <w:sz w:val="16"/>
          <w:szCs w:val="16"/>
          <w:lang w:val="en-US"/>
        </w:rPr>
        <w:t>–</w:t>
      </w:r>
      <w:r w:rsidRPr="00CB4F47">
        <w:rPr>
          <w:rFonts w:eastAsia="Arial" w:cs="Arial"/>
          <w:sz w:val="16"/>
          <w:szCs w:val="16"/>
        </w:rPr>
        <w:t>352</w:t>
      </w:r>
      <w:r>
        <w:rPr>
          <w:rFonts w:eastAsia="Arial" w:cs="Arial"/>
          <w:sz w:val="16"/>
          <w:szCs w:val="16"/>
        </w:rPr>
        <w:t>).</w:t>
      </w:r>
    </w:p>
  </w:endnote>
  <w:endnote w:id="355">
    <w:p w14:paraId="14E3FD86" w14:textId="6C936CA9" w:rsidR="00FE4E56" w:rsidRPr="00CB4F47" w:rsidRDefault="00FE4E56">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color w:val="262626"/>
          <w:sz w:val="16"/>
          <w:szCs w:val="16"/>
        </w:rPr>
        <w:t>Hyslop, I &amp; Keddell, E, Changes needed to the current system of child protection and care in Aotearoa</w:t>
      </w:r>
      <w:r>
        <w:rPr>
          <w:rFonts w:cs="Arial"/>
          <w:color w:val="262626"/>
          <w:sz w:val="16"/>
          <w:szCs w:val="16"/>
        </w:rPr>
        <w:t xml:space="preserve">, </w:t>
      </w:r>
      <w:r w:rsidRPr="00CB4F47">
        <w:rPr>
          <w:rFonts w:cs="Arial"/>
          <w:color w:val="262626"/>
          <w:sz w:val="16"/>
          <w:szCs w:val="16"/>
        </w:rPr>
        <w:t>Expert opinion</w:t>
      </w:r>
      <w:r>
        <w:rPr>
          <w:rFonts w:cs="Arial"/>
          <w:color w:val="262626"/>
          <w:sz w:val="16"/>
          <w:szCs w:val="16"/>
        </w:rPr>
        <w:t xml:space="preserve"> prepared for the</w:t>
      </w:r>
      <w:r w:rsidRPr="00CB4F47">
        <w:rPr>
          <w:rFonts w:cs="Arial"/>
          <w:color w:val="262626"/>
          <w:sz w:val="16"/>
          <w:szCs w:val="16"/>
        </w:rPr>
        <w:t xml:space="preserve"> Royal Commission of Inquiry into Abuse in Care</w:t>
      </w:r>
      <w:r>
        <w:rPr>
          <w:rFonts w:cs="Arial"/>
          <w:color w:val="262626"/>
          <w:sz w:val="16"/>
          <w:szCs w:val="16"/>
        </w:rPr>
        <w:t xml:space="preserve"> (</w:t>
      </w:r>
      <w:r w:rsidRPr="00CB4F47">
        <w:rPr>
          <w:rFonts w:cs="Arial"/>
          <w:color w:val="262626"/>
          <w:sz w:val="16"/>
          <w:szCs w:val="16"/>
        </w:rPr>
        <w:t xml:space="preserve">7 June 2022, </w:t>
      </w:r>
      <w:r w:rsidRPr="00CB4F47">
        <w:rPr>
          <w:rFonts w:cs="Arial"/>
          <w:sz w:val="16"/>
          <w:szCs w:val="16"/>
        </w:rPr>
        <w:t>page</w:t>
      </w:r>
      <w:r w:rsidRPr="00CB4F47">
        <w:rPr>
          <w:rFonts w:cs="Arial"/>
          <w:color w:val="262626"/>
          <w:sz w:val="16"/>
          <w:szCs w:val="16"/>
        </w:rPr>
        <w:t xml:space="preserve"> 8</w:t>
      </w:r>
      <w:r>
        <w:rPr>
          <w:rFonts w:cs="Arial"/>
          <w:color w:val="262626"/>
          <w:sz w:val="16"/>
          <w:szCs w:val="16"/>
        </w:rPr>
        <w:t>)</w:t>
      </w:r>
      <w:r w:rsidRPr="00CB4F47">
        <w:rPr>
          <w:rFonts w:cs="Arial"/>
          <w:color w:val="262626"/>
          <w:sz w:val="16"/>
          <w:szCs w:val="16"/>
        </w:rPr>
        <w:t>.</w:t>
      </w:r>
    </w:p>
  </w:endnote>
  <w:endnote w:id="356">
    <w:p w14:paraId="426C7285" w14:textId="1C82B456"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Belgrave, M, </w:t>
      </w:r>
      <w:r w:rsidRPr="00CB4F47">
        <w:rPr>
          <w:rFonts w:eastAsia="Calibri" w:cs="Arial"/>
          <w:sz w:val="16"/>
          <w:szCs w:val="16"/>
        </w:rPr>
        <w:t>in Dalley, B &amp; Tennant, M (</w:t>
      </w:r>
      <w:r>
        <w:rPr>
          <w:rFonts w:eastAsia="Calibri" w:cs="Arial"/>
          <w:sz w:val="16"/>
          <w:szCs w:val="16"/>
        </w:rPr>
        <w:t>e</w:t>
      </w:r>
      <w:r w:rsidRPr="00CB4F47">
        <w:rPr>
          <w:rFonts w:eastAsia="Calibri" w:cs="Arial"/>
          <w:sz w:val="16"/>
          <w:szCs w:val="16"/>
        </w:rPr>
        <w:t xml:space="preserve">ds), Past judgement: Social policy in New Zealand history (Otago University Press, 2004, </w:t>
      </w:r>
      <w:r w:rsidRPr="00CB4F47">
        <w:rPr>
          <w:rFonts w:cs="Arial"/>
          <w:sz w:val="16"/>
          <w:szCs w:val="16"/>
        </w:rPr>
        <w:t>page</w:t>
      </w:r>
      <w:r w:rsidRPr="00CB4F47">
        <w:rPr>
          <w:rFonts w:cs="Arial"/>
          <w:color w:val="262626"/>
          <w:sz w:val="16"/>
          <w:szCs w:val="16"/>
        </w:rPr>
        <w:t xml:space="preserve"> 37</w:t>
      </w:r>
      <w:r>
        <w:rPr>
          <w:rFonts w:cs="Arial"/>
          <w:color w:val="262626"/>
          <w:sz w:val="16"/>
          <w:szCs w:val="16"/>
        </w:rPr>
        <w:t>)</w:t>
      </w:r>
      <w:r w:rsidRPr="00CB4F47">
        <w:rPr>
          <w:rFonts w:cs="Arial"/>
          <w:color w:val="262626"/>
          <w:sz w:val="16"/>
          <w:szCs w:val="16"/>
        </w:rPr>
        <w:t xml:space="preserve">. </w:t>
      </w:r>
    </w:p>
  </w:endnote>
  <w:endnote w:id="357">
    <w:p w14:paraId="55723EAB" w14:textId="7A7965B3" w:rsidR="00FE4E56" w:rsidRPr="00CB4F47" w:rsidRDefault="00FE4E56" w:rsidP="00C57877">
      <w:pPr>
        <w:pStyle w:val="EndnoteText"/>
        <w:spacing w:line="20" w:lineRule="atLeast"/>
        <w:rPr>
          <w:rFonts w:cs="Arial"/>
          <w:color w:val="262626"/>
          <w:sz w:val="16"/>
          <w:szCs w:val="16"/>
        </w:rPr>
      </w:pPr>
      <w:r w:rsidRPr="00536E67">
        <w:rPr>
          <w:rStyle w:val="StyleFootnoteReferenceFagoFunotenzeichenFagoFunotenzeichen"/>
          <w:sz w:val="16"/>
          <w:szCs w:val="16"/>
        </w:rPr>
        <w:endnoteRef/>
      </w:r>
      <w:r w:rsidRPr="00CB4F47">
        <w:rPr>
          <w:rFonts w:cs="Arial"/>
          <w:color w:val="262626"/>
          <w:sz w:val="16"/>
          <w:szCs w:val="16"/>
        </w:rPr>
        <w:t xml:space="preserve"> Rashbrook, M</w:t>
      </w:r>
      <w:r w:rsidRPr="00CB4F47" w:rsidDel="00707B59">
        <w:rPr>
          <w:rFonts w:cs="Arial"/>
          <w:color w:val="262626"/>
          <w:sz w:val="16"/>
          <w:szCs w:val="16"/>
        </w:rPr>
        <w:t xml:space="preserve"> </w:t>
      </w:r>
      <w:r>
        <w:rPr>
          <w:rFonts w:cs="Arial"/>
          <w:color w:val="262626"/>
          <w:sz w:val="16"/>
          <w:szCs w:val="16"/>
        </w:rPr>
        <w:t>&amp;</w:t>
      </w:r>
      <w:r w:rsidRPr="00CB4F47">
        <w:rPr>
          <w:rFonts w:cs="Arial"/>
          <w:color w:val="262626"/>
          <w:sz w:val="16"/>
          <w:szCs w:val="16"/>
        </w:rPr>
        <w:t xml:space="preserve"> Wilkinson, A, Cracks in the dam: The social and economic forces behind the placement of children into care (2019</w:t>
      </w:r>
      <w:r w:rsidRPr="00CB4F47">
        <w:rPr>
          <w:rFonts w:eastAsia="Arial" w:cs="Arial"/>
          <w:color w:val="262626"/>
          <w:sz w:val="16"/>
          <w:szCs w:val="16"/>
        </w:rPr>
        <w:t xml:space="preserve">, </w:t>
      </w:r>
      <w:r w:rsidRPr="00CB4F47">
        <w:rPr>
          <w:rFonts w:cs="Arial"/>
          <w:sz w:val="16"/>
          <w:szCs w:val="16"/>
        </w:rPr>
        <w:t>page</w:t>
      </w:r>
      <w:r w:rsidRPr="00CB4F47">
        <w:rPr>
          <w:rFonts w:eastAsia="Arial" w:cs="Arial"/>
          <w:color w:val="262626"/>
          <w:sz w:val="16"/>
          <w:szCs w:val="16"/>
        </w:rPr>
        <w:t xml:space="preserve"> 27</w:t>
      </w:r>
      <w:r>
        <w:rPr>
          <w:rFonts w:eastAsia="Arial" w:cs="Arial"/>
          <w:color w:val="262626"/>
          <w:sz w:val="16"/>
          <w:szCs w:val="16"/>
        </w:rPr>
        <w:t>)</w:t>
      </w:r>
      <w:r w:rsidRPr="00CB4F47">
        <w:rPr>
          <w:rFonts w:eastAsia="Arial" w:cs="Arial"/>
          <w:color w:val="262626"/>
          <w:sz w:val="16"/>
          <w:szCs w:val="16"/>
        </w:rPr>
        <w:t>.</w:t>
      </w:r>
    </w:p>
  </w:endnote>
  <w:endnote w:id="358">
    <w:p w14:paraId="20C45D90" w14:textId="12A16BF5" w:rsidR="00FE4E56" w:rsidRPr="00CB4F47" w:rsidRDefault="00FE4E56" w:rsidP="00C57877">
      <w:pPr>
        <w:pStyle w:val="EndnoteText"/>
        <w:spacing w:line="20" w:lineRule="atLeast"/>
        <w:rPr>
          <w:rFonts w:cs="Arial"/>
          <w:color w:val="262626" w:themeColor="text1" w:themeTint="D9"/>
          <w:sz w:val="16"/>
          <w:szCs w:val="16"/>
        </w:rPr>
      </w:pPr>
      <w:r w:rsidRPr="00536E67">
        <w:rPr>
          <w:rStyle w:val="StyleFootnoteReferenceFagoFunotenzeichenFagoFunotenzeichen"/>
          <w:sz w:val="16"/>
          <w:szCs w:val="16"/>
        </w:rPr>
        <w:endnoteRef/>
      </w:r>
      <w:r w:rsidRPr="00CB4F47">
        <w:rPr>
          <w:rFonts w:cs="Arial"/>
          <w:color w:val="262626" w:themeColor="text1" w:themeTint="D9"/>
          <w:sz w:val="16"/>
          <w:szCs w:val="16"/>
        </w:rPr>
        <w:t xml:space="preserve"> Rashbrooke, M (</w:t>
      </w:r>
      <w:r>
        <w:rPr>
          <w:rFonts w:cs="Arial"/>
          <w:color w:val="262626" w:themeColor="text1" w:themeTint="D9"/>
          <w:sz w:val="16"/>
          <w:szCs w:val="16"/>
        </w:rPr>
        <w:t>e</w:t>
      </w:r>
      <w:r w:rsidRPr="00CB4F47">
        <w:rPr>
          <w:rFonts w:cs="Arial"/>
          <w:color w:val="262626" w:themeColor="text1" w:themeTint="D9"/>
          <w:sz w:val="16"/>
          <w:szCs w:val="16"/>
        </w:rPr>
        <w:t>d)</w:t>
      </w:r>
      <w:r>
        <w:rPr>
          <w:rFonts w:cs="Arial"/>
          <w:color w:val="262626" w:themeColor="text1" w:themeTint="D9"/>
          <w:sz w:val="16"/>
          <w:szCs w:val="16"/>
        </w:rPr>
        <w:t>,</w:t>
      </w:r>
      <w:r w:rsidRPr="00CB4F47">
        <w:rPr>
          <w:rFonts w:cs="Arial"/>
          <w:color w:val="262626" w:themeColor="text1" w:themeTint="D9"/>
          <w:sz w:val="16"/>
          <w:szCs w:val="16"/>
        </w:rPr>
        <w:t xml:space="preserve"> Inequality: A New Zealand Crisis (Bridget Williams Books, 2013, </w:t>
      </w:r>
      <w:r w:rsidRPr="00CB4F47">
        <w:rPr>
          <w:rFonts w:cs="Arial"/>
          <w:sz w:val="16"/>
          <w:szCs w:val="16"/>
        </w:rPr>
        <w:t>page</w:t>
      </w:r>
      <w:r w:rsidRPr="00CB4F47">
        <w:rPr>
          <w:rFonts w:cs="Arial"/>
          <w:color w:val="262626" w:themeColor="text1" w:themeTint="D9"/>
          <w:sz w:val="16"/>
          <w:szCs w:val="16"/>
        </w:rPr>
        <w:t xml:space="preserve"> 1</w:t>
      </w:r>
      <w:r>
        <w:rPr>
          <w:rFonts w:cs="Arial"/>
          <w:color w:val="262626" w:themeColor="text1" w:themeTint="D9"/>
          <w:sz w:val="16"/>
          <w:szCs w:val="16"/>
        </w:rPr>
        <w:t>)</w:t>
      </w:r>
      <w:r w:rsidRPr="00CB4F47">
        <w:rPr>
          <w:rFonts w:cs="Arial"/>
          <w:color w:val="262626" w:themeColor="text1" w:themeTint="D9"/>
          <w:sz w:val="16"/>
          <w:szCs w:val="16"/>
        </w:rPr>
        <w:t xml:space="preserve">. </w:t>
      </w:r>
    </w:p>
  </w:endnote>
  <w:endnote w:id="359">
    <w:p w14:paraId="0E9F85AB" w14:textId="7D379873" w:rsidR="00FE4E56" w:rsidRPr="00DD5764" w:rsidRDefault="00FE4E56">
      <w:pPr>
        <w:pStyle w:val="EndnoteText"/>
        <w:rPr>
          <w:sz w:val="16"/>
          <w:szCs w:val="16"/>
        </w:rPr>
      </w:pPr>
      <w:r w:rsidRPr="00536E67">
        <w:rPr>
          <w:rStyle w:val="StyleFootnoteReferenceFagoFunotenzeichenFagoFunotenzeichen"/>
          <w:sz w:val="16"/>
          <w:szCs w:val="16"/>
        </w:rPr>
        <w:endnoteRef/>
      </w:r>
      <w:r w:rsidRPr="00DD5764">
        <w:rPr>
          <w:sz w:val="16"/>
          <w:szCs w:val="16"/>
        </w:rPr>
        <w:t xml:space="preserve"> Mental Health Foundation, Change in mind: Kia puawai a mua, a history of the Mental Health Foundation of New Zealand (2008, pages 12–13 and page 17</w:t>
      </w:r>
      <w:r>
        <w:rPr>
          <w:sz w:val="16"/>
          <w:szCs w:val="16"/>
        </w:rPr>
        <w:t>)</w:t>
      </w:r>
      <w:r w:rsidRPr="00DD5764">
        <w:rPr>
          <w:sz w:val="16"/>
          <w:szCs w:val="16"/>
        </w:rPr>
        <w:t>.</w:t>
      </w:r>
    </w:p>
  </w:endnote>
  <w:endnote w:id="360">
    <w:p w14:paraId="6A6A0DC0" w14:textId="293E3EA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Mason, K, Report of the Committee of Inquiry into </w:t>
      </w:r>
      <w:r>
        <w:rPr>
          <w:rFonts w:cs="Arial"/>
          <w:sz w:val="16"/>
          <w:szCs w:val="16"/>
        </w:rPr>
        <w:t>p</w:t>
      </w:r>
      <w:r w:rsidRPr="00CB4F47">
        <w:rPr>
          <w:rFonts w:cs="Arial"/>
          <w:sz w:val="16"/>
          <w:szCs w:val="16"/>
        </w:rPr>
        <w:t>rocedures</w:t>
      </w:r>
      <w:r w:rsidRPr="00CB4F47" w:rsidDel="00142157">
        <w:rPr>
          <w:rFonts w:cs="Arial"/>
          <w:sz w:val="16"/>
          <w:szCs w:val="16"/>
        </w:rPr>
        <w:t xml:space="preserve"> </w:t>
      </w:r>
      <w:r>
        <w:rPr>
          <w:rFonts w:cs="Arial"/>
          <w:sz w:val="16"/>
          <w:szCs w:val="16"/>
        </w:rPr>
        <w:t>u</w:t>
      </w:r>
      <w:r w:rsidRPr="00CB4F47">
        <w:rPr>
          <w:rFonts w:cs="Arial"/>
          <w:sz w:val="16"/>
          <w:szCs w:val="16"/>
        </w:rPr>
        <w:t xml:space="preserve">sed </w:t>
      </w:r>
      <w:r>
        <w:rPr>
          <w:rFonts w:cs="Arial"/>
          <w:sz w:val="16"/>
          <w:szCs w:val="16"/>
        </w:rPr>
        <w:t>i</w:t>
      </w:r>
      <w:r w:rsidRPr="00CB4F47">
        <w:rPr>
          <w:rFonts w:cs="Arial"/>
          <w:sz w:val="16"/>
          <w:szCs w:val="16"/>
        </w:rPr>
        <w:t>n</w:t>
      </w:r>
      <w:r w:rsidRPr="00CB4F47" w:rsidDel="00142157">
        <w:rPr>
          <w:rFonts w:cs="Arial"/>
          <w:sz w:val="16"/>
          <w:szCs w:val="16"/>
        </w:rPr>
        <w:t xml:space="preserve"> </w:t>
      </w:r>
      <w:r>
        <w:rPr>
          <w:rFonts w:cs="Arial"/>
          <w:sz w:val="16"/>
          <w:szCs w:val="16"/>
        </w:rPr>
        <w:t>c</w:t>
      </w:r>
      <w:r w:rsidRPr="00CB4F47">
        <w:rPr>
          <w:rFonts w:cs="Arial"/>
          <w:sz w:val="16"/>
          <w:szCs w:val="16"/>
        </w:rPr>
        <w:t xml:space="preserve">ertain </w:t>
      </w:r>
      <w:r>
        <w:rPr>
          <w:rFonts w:cs="Arial"/>
          <w:sz w:val="16"/>
          <w:szCs w:val="16"/>
        </w:rPr>
        <w:t>p</w:t>
      </w:r>
      <w:r w:rsidRPr="00CB4F47">
        <w:rPr>
          <w:rFonts w:cs="Arial"/>
          <w:sz w:val="16"/>
          <w:szCs w:val="16"/>
        </w:rPr>
        <w:t xml:space="preserve">sychiatric </w:t>
      </w:r>
      <w:r>
        <w:rPr>
          <w:rFonts w:cs="Arial"/>
          <w:sz w:val="16"/>
          <w:szCs w:val="16"/>
        </w:rPr>
        <w:t>h</w:t>
      </w:r>
      <w:r w:rsidRPr="00CB4F47">
        <w:rPr>
          <w:rFonts w:cs="Arial"/>
          <w:sz w:val="16"/>
          <w:szCs w:val="16"/>
        </w:rPr>
        <w:t xml:space="preserve">ospitals </w:t>
      </w:r>
      <w:r>
        <w:rPr>
          <w:rFonts w:cs="Arial"/>
          <w:sz w:val="16"/>
          <w:szCs w:val="16"/>
        </w:rPr>
        <w:t>i</w:t>
      </w:r>
      <w:r w:rsidRPr="00CB4F47">
        <w:rPr>
          <w:rFonts w:cs="Arial"/>
          <w:sz w:val="16"/>
          <w:szCs w:val="16"/>
        </w:rPr>
        <w:t>n</w:t>
      </w:r>
      <w:r w:rsidRPr="00CB4F47" w:rsidDel="00142157">
        <w:rPr>
          <w:rFonts w:cs="Arial"/>
          <w:sz w:val="16"/>
          <w:szCs w:val="16"/>
        </w:rPr>
        <w:t xml:space="preserve"> </w:t>
      </w:r>
      <w:r>
        <w:rPr>
          <w:rFonts w:cs="Arial"/>
          <w:sz w:val="16"/>
          <w:szCs w:val="16"/>
        </w:rPr>
        <w:t>r</w:t>
      </w:r>
      <w:r w:rsidRPr="00CB4F47">
        <w:rPr>
          <w:rFonts w:cs="Arial"/>
          <w:sz w:val="16"/>
          <w:szCs w:val="16"/>
        </w:rPr>
        <w:t xml:space="preserve">elation </w:t>
      </w:r>
      <w:r>
        <w:rPr>
          <w:rFonts w:cs="Arial"/>
          <w:sz w:val="16"/>
          <w:szCs w:val="16"/>
        </w:rPr>
        <w:t>t</w:t>
      </w:r>
      <w:r w:rsidRPr="00CB4F47">
        <w:rPr>
          <w:rFonts w:cs="Arial"/>
          <w:sz w:val="16"/>
          <w:szCs w:val="16"/>
        </w:rPr>
        <w:t xml:space="preserve">o </w:t>
      </w:r>
      <w:r>
        <w:rPr>
          <w:rFonts w:cs="Arial"/>
          <w:sz w:val="16"/>
          <w:szCs w:val="16"/>
        </w:rPr>
        <w:t>a</w:t>
      </w:r>
      <w:r w:rsidRPr="00CB4F47">
        <w:rPr>
          <w:rFonts w:cs="Arial"/>
          <w:sz w:val="16"/>
          <w:szCs w:val="16"/>
        </w:rPr>
        <w:t>dmission,</w:t>
      </w:r>
      <w:r w:rsidRPr="00CB4F47" w:rsidDel="00142157">
        <w:rPr>
          <w:rFonts w:cs="Arial"/>
          <w:sz w:val="16"/>
          <w:szCs w:val="16"/>
        </w:rPr>
        <w:t xml:space="preserve"> </w:t>
      </w:r>
      <w:r>
        <w:rPr>
          <w:rFonts w:cs="Arial"/>
          <w:sz w:val="16"/>
          <w:szCs w:val="16"/>
        </w:rPr>
        <w:t>d</w:t>
      </w:r>
      <w:r w:rsidRPr="00CB4F47">
        <w:rPr>
          <w:rFonts w:cs="Arial"/>
          <w:sz w:val="16"/>
          <w:szCs w:val="16"/>
        </w:rPr>
        <w:t xml:space="preserve">ischarge </w:t>
      </w:r>
      <w:r>
        <w:rPr>
          <w:rFonts w:cs="Arial"/>
          <w:sz w:val="16"/>
          <w:szCs w:val="16"/>
        </w:rPr>
        <w:t>o</w:t>
      </w:r>
      <w:r w:rsidRPr="00CB4F47">
        <w:rPr>
          <w:rFonts w:cs="Arial"/>
          <w:sz w:val="16"/>
          <w:szCs w:val="16"/>
        </w:rPr>
        <w:t xml:space="preserve">r </w:t>
      </w:r>
      <w:r>
        <w:rPr>
          <w:rFonts w:cs="Arial"/>
          <w:sz w:val="16"/>
          <w:szCs w:val="16"/>
        </w:rPr>
        <w:t>r</w:t>
      </w:r>
      <w:r w:rsidRPr="00CB4F47">
        <w:rPr>
          <w:rFonts w:cs="Arial"/>
          <w:sz w:val="16"/>
          <w:szCs w:val="16"/>
        </w:rPr>
        <w:t>elease</w:t>
      </w:r>
      <w:r w:rsidRPr="00CB4F47" w:rsidDel="00142157">
        <w:rPr>
          <w:rFonts w:cs="Arial"/>
          <w:sz w:val="16"/>
          <w:szCs w:val="16"/>
        </w:rPr>
        <w:t xml:space="preserve"> </w:t>
      </w:r>
      <w:r>
        <w:rPr>
          <w:rFonts w:cs="Arial"/>
          <w:sz w:val="16"/>
          <w:szCs w:val="16"/>
        </w:rPr>
        <w:t>o</w:t>
      </w:r>
      <w:r w:rsidRPr="00CB4F47">
        <w:rPr>
          <w:rFonts w:cs="Arial"/>
          <w:sz w:val="16"/>
          <w:szCs w:val="16"/>
        </w:rPr>
        <w:t xml:space="preserve">n </w:t>
      </w:r>
      <w:r>
        <w:rPr>
          <w:rFonts w:cs="Arial"/>
          <w:sz w:val="16"/>
          <w:szCs w:val="16"/>
        </w:rPr>
        <w:t>l</w:t>
      </w:r>
      <w:r w:rsidRPr="00CB4F47">
        <w:rPr>
          <w:rFonts w:cs="Arial"/>
          <w:sz w:val="16"/>
          <w:szCs w:val="16"/>
        </w:rPr>
        <w:t xml:space="preserve">eave </w:t>
      </w:r>
      <w:r>
        <w:rPr>
          <w:rFonts w:cs="Arial"/>
          <w:sz w:val="16"/>
          <w:szCs w:val="16"/>
        </w:rPr>
        <w:t>o</w:t>
      </w:r>
      <w:r w:rsidRPr="00CB4F47">
        <w:rPr>
          <w:rFonts w:cs="Arial"/>
          <w:sz w:val="16"/>
          <w:szCs w:val="16"/>
        </w:rPr>
        <w:t xml:space="preserve">f </w:t>
      </w:r>
      <w:r>
        <w:rPr>
          <w:rFonts w:cs="Arial"/>
          <w:sz w:val="16"/>
          <w:szCs w:val="16"/>
        </w:rPr>
        <w:t>c</w:t>
      </w:r>
      <w:r w:rsidRPr="00CB4F47">
        <w:rPr>
          <w:rFonts w:cs="Arial"/>
          <w:sz w:val="16"/>
          <w:szCs w:val="16"/>
        </w:rPr>
        <w:t xml:space="preserve">ertain </w:t>
      </w:r>
      <w:r>
        <w:rPr>
          <w:rFonts w:cs="Arial"/>
          <w:sz w:val="16"/>
          <w:szCs w:val="16"/>
        </w:rPr>
        <w:t>c</w:t>
      </w:r>
      <w:r w:rsidRPr="00CB4F47">
        <w:rPr>
          <w:rFonts w:cs="Arial"/>
          <w:sz w:val="16"/>
          <w:szCs w:val="16"/>
        </w:rPr>
        <w:t xml:space="preserve">lasses </w:t>
      </w:r>
      <w:r>
        <w:rPr>
          <w:rFonts w:cs="Arial"/>
          <w:sz w:val="16"/>
          <w:szCs w:val="16"/>
        </w:rPr>
        <w:t>o</w:t>
      </w:r>
      <w:r w:rsidRPr="00CB4F47">
        <w:rPr>
          <w:rFonts w:cs="Arial"/>
          <w:sz w:val="16"/>
          <w:szCs w:val="16"/>
        </w:rPr>
        <w:t xml:space="preserve">f </w:t>
      </w:r>
      <w:r>
        <w:rPr>
          <w:rFonts w:cs="Arial"/>
          <w:sz w:val="16"/>
          <w:szCs w:val="16"/>
        </w:rPr>
        <w:t>p</w:t>
      </w:r>
      <w:r w:rsidRPr="00CB4F47">
        <w:rPr>
          <w:rFonts w:cs="Arial"/>
          <w:sz w:val="16"/>
          <w:szCs w:val="16"/>
        </w:rPr>
        <w:t>atients (Ministry of Health, 1988</w:t>
      </w:r>
      <w:r>
        <w:rPr>
          <w:rFonts w:cs="Arial"/>
          <w:sz w:val="16"/>
          <w:szCs w:val="16"/>
        </w:rPr>
        <w:t xml:space="preserve">, </w:t>
      </w:r>
      <w:r w:rsidRPr="00CB4F47">
        <w:rPr>
          <w:rFonts w:cs="Arial"/>
          <w:sz w:val="16"/>
          <w:szCs w:val="16"/>
        </w:rPr>
        <w:t>page 138</w:t>
      </w:r>
      <w:r>
        <w:rPr>
          <w:rFonts w:cs="Arial"/>
          <w:sz w:val="16"/>
          <w:szCs w:val="16"/>
        </w:rPr>
        <w:t>)</w:t>
      </w:r>
      <w:r w:rsidRPr="00CB4F47">
        <w:rPr>
          <w:rFonts w:cs="Arial"/>
          <w:sz w:val="16"/>
          <w:szCs w:val="16"/>
        </w:rPr>
        <w:t xml:space="preserve">. </w:t>
      </w:r>
    </w:p>
  </w:endnote>
  <w:endnote w:id="361">
    <w:p w14:paraId="34BED340" w14:textId="44730E0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Mason, K, Report of the Committee of Inquiry </w:t>
      </w:r>
      <w:r>
        <w:rPr>
          <w:rFonts w:cs="Arial"/>
          <w:sz w:val="16"/>
          <w:szCs w:val="16"/>
        </w:rPr>
        <w:t>into p</w:t>
      </w:r>
      <w:r w:rsidRPr="00CB4F47">
        <w:rPr>
          <w:rFonts w:cs="Arial"/>
          <w:sz w:val="16"/>
          <w:szCs w:val="16"/>
        </w:rPr>
        <w:t xml:space="preserve">rocedures </w:t>
      </w:r>
      <w:r>
        <w:rPr>
          <w:rFonts w:cs="Arial"/>
          <w:sz w:val="16"/>
          <w:szCs w:val="16"/>
        </w:rPr>
        <w:t>u</w:t>
      </w:r>
      <w:r w:rsidRPr="00CB4F47">
        <w:rPr>
          <w:rFonts w:cs="Arial"/>
          <w:sz w:val="16"/>
          <w:szCs w:val="16"/>
        </w:rPr>
        <w:t xml:space="preserve">sed </w:t>
      </w:r>
      <w:r>
        <w:rPr>
          <w:rFonts w:cs="Arial"/>
          <w:sz w:val="16"/>
          <w:szCs w:val="16"/>
        </w:rPr>
        <w:t>i</w:t>
      </w:r>
      <w:r w:rsidRPr="00CB4F47">
        <w:rPr>
          <w:rFonts w:cs="Arial"/>
          <w:sz w:val="16"/>
          <w:szCs w:val="16"/>
        </w:rPr>
        <w:t xml:space="preserve">n </w:t>
      </w:r>
      <w:r>
        <w:rPr>
          <w:rFonts w:cs="Arial"/>
          <w:sz w:val="16"/>
          <w:szCs w:val="16"/>
        </w:rPr>
        <w:t>c</w:t>
      </w:r>
      <w:r w:rsidRPr="00CB4F47">
        <w:rPr>
          <w:rFonts w:cs="Arial"/>
          <w:sz w:val="16"/>
          <w:szCs w:val="16"/>
        </w:rPr>
        <w:t xml:space="preserve">ertain </w:t>
      </w:r>
      <w:r>
        <w:rPr>
          <w:rFonts w:cs="Arial"/>
          <w:sz w:val="16"/>
          <w:szCs w:val="16"/>
        </w:rPr>
        <w:t>p</w:t>
      </w:r>
      <w:r w:rsidRPr="00CB4F47">
        <w:rPr>
          <w:rFonts w:cs="Arial"/>
          <w:sz w:val="16"/>
          <w:szCs w:val="16"/>
        </w:rPr>
        <w:t xml:space="preserve">sychiatric </w:t>
      </w:r>
      <w:r>
        <w:rPr>
          <w:rFonts w:cs="Arial"/>
          <w:sz w:val="16"/>
          <w:szCs w:val="16"/>
        </w:rPr>
        <w:t>h</w:t>
      </w:r>
      <w:r w:rsidRPr="00CB4F47">
        <w:rPr>
          <w:rFonts w:cs="Arial"/>
          <w:sz w:val="16"/>
          <w:szCs w:val="16"/>
        </w:rPr>
        <w:t xml:space="preserve">ospitals </w:t>
      </w:r>
      <w:r>
        <w:rPr>
          <w:rFonts w:cs="Arial"/>
          <w:sz w:val="16"/>
          <w:szCs w:val="16"/>
        </w:rPr>
        <w:t>i</w:t>
      </w:r>
      <w:r w:rsidRPr="00CB4F47">
        <w:rPr>
          <w:rFonts w:cs="Arial"/>
          <w:sz w:val="16"/>
          <w:szCs w:val="16"/>
        </w:rPr>
        <w:t xml:space="preserve">n </w:t>
      </w:r>
      <w:r>
        <w:rPr>
          <w:rFonts w:cs="Arial"/>
          <w:sz w:val="16"/>
          <w:szCs w:val="16"/>
        </w:rPr>
        <w:t>r</w:t>
      </w:r>
      <w:r w:rsidRPr="00CB4F47">
        <w:rPr>
          <w:rFonts w:cs="Arial"/>
          <w:sz w:val="16"/>
          <w:szCs w:val="16"/>
        </w:rPr>
        <w:t xml:space="preserve">elation </w:t>
      </w:r>
      <w:r>
        <w:rPr>
          <w:rFonts w:cs="Arial"/>
          <w:sz w:val="16"/>
          <w:szCs w:val="16"/>
        </w:rPr>
        <w:t>t</w:t>
      </w:r>
      <w:r w:rsidRPr="00CB4F47">
        <w:rPr>
          <w:rFonts w:cs="Arial"/>
          <w:sz w:val="16"/>
          <w:szCs w:val="16"/>
        </w:rPr>
        <w:t xml:space="preserve">o </w:t>
      </w:r>
      <w:r>
        <w:rPr>
          <w:rFonts w:cs="Arial"/>
          <w:sz w:val="16"/>
          <w:szCs w:val="16"/>
        </w:rPr>
        <w:t>a</w:t>
      </w:r>
      <w:r w:rsidRPr="00CB4F47">
        <w:rPr>
          <w:rFonts w:cs="Arial"/>
          <w:sz w:val="16"/>
          <w:szCs w:val="16"/>
        </w:rPr>
        <w:t xml:space="preserve">dmission, </w:t>
      </w:r>
      <w:r>
        <w:rPr>
          <w:rFonts w:cs="Arial"/>
          <w:sz w:val="16"/>
          <w:szCs w:val="16"/>
        </w:rPr>
        <w:t>d</w:t>
      </w:r>
      <w:r w:rsidRPr="00CB4F47">
        <w:rPr>
          <w:rFonts w:cs="Arial"/>
          <w:sz w:val="16"/>
          <w:szCs w:val="16"/>
        </w:rPr>
        <w:t xml:space="preserve">ischarge </w:t>
      </w:r>
      <w:r>
        <w:rPr>
          <w:rFonts w:cs="Arial"/>
          <w:sz w:val="16"/>
          <w:szCs w:val="16"/>
        </w:rPr>
        <w:t>o</w:t>
      </w:r>
      <w:r w:rsidRPr="00CB4F47">
        <w:rPr>
          <w:rFonts w:cs="Arial"/>
          <w:sz w:val="16"/>
          <w:szCs w:val="16"/>
        </w:rPr>
        <w:t xml:space="preserve">r </w:t>
      </w:r>
      <w:r>
        <w:rPr>
          <w:rFonts w:cs="Arial"/>
          <w:sz w:val="16"/>
          <w:szCs w:val="16"/>
        </w:rPr>
        <w:t>r</w:t>
      </w:r>
      <w:r w:rsidRPr="00CB4F47">
        <w:rPr>
          <w:rFonts w:cs="Arial"/>
          <w:sz w:val="16"/>
          <w:szCs w:val="16"/>
        </w:rPr>
        <w:t xml:space="preserve">elease </w:t>
      </w:r>
      <w:r>
        <w:rPr>
          <w:rFonts w:cs="Arial"/>
          <w:sz w:val="16"/>
          <w:szCs w:val="16"/>
        </w:rPr>
        <w:t>o</w:t>
      </w:r>
      <w:r w:rsidRPr="00CB4F47">
        <w:rPr>
          <w:rFonts w:cs="Arial"/>
          <w:sz w:val="16"/>
          <w:szCs w:val="16"/>
        </w:rPr>
        <w:t xml:space="preserve">n </w:t>
      </w:r>
      <w:r>
        <w:rPr>
          <w:rFonts w:cs="Arial"/>
          <w:sz w:val="16"/>
          <w:szCs w:val="16"/>
        </w:rPr>
        <w:t>l</w:t>
      </w:r>
      <w:r w:rsidRPr="00CB4F47">
        <w:rPr>
          <w:rFonts w:cs="Arial"/>
          <w:sz w:val="16"/>
          <w:szCs w:val="16"/>
        </w:rPr>
        <w:t xml:space="preserve">eave </w:t>
      </w:r>
      <w:r>
        <w:rPr>
          <w:rFonts w:cs="Arial"/>
          <w:sz w:val="16"/>
          <w:szCs w:val="16"/>
        </w:rPr>
        <w:t>o</w:t>
      </w:r>
      <w:r w:rsidRPr="00CB4F47">
        <w:rPr>
          <w:rFonts w:cs="Arial"/>
          <w:sz w:val="16"/>
          <w:szCs w:val="16"/>
        </w:rPr>
        <w:t xml:space="preserve">f </w:t>
      </w:r>
      <w:r>
        <w:rPr>
          <w:rFonts w:cs="Arial"/>
          <w:sz w:val="16"/>
          <w:szCs w:val="16"/>
        </w:rPr>
        <w:t>c</w:t>
      </w:r>
      <w:r w:rsidRPr="00CB4F47">
        <w:rPr>
          <w:rFonts w:cs="Arial"/>
          <w:sz w:val="16"/>
          <w:szCs w:val="16"/>
        </w:rPr>
        <w:t xml:space="preserve">ertain </w:t>
      </w:r>
      <w:r>
        <w:rPr>
          <w:rFonts w:cs="Arial"/>
          <w:sz w:val="16"/>
          <w:szCs w:val="16"/>
        </w:rPr>
        <w:t>c</w:t>
      </w:r>
      <w:r w:rsidRPr="00CB4F47">
        <w:rPr>
          <w:rFonts w:cs="Arial"/>
          <w:sz w:val="16"/>
          <w:szCs w:val="16"/>
        </w:rPr>
        <w:t xml:space="preserve">lasses </w:t>
      </w:r>
      <w:r>
        <w:rPr>
          <w:rFonts w:cs="Arial"/>
          <w:sz w:val="16"/>
          <w:szCs w:val="16"/>
        </w:rPr>
        <w:t>o</w:t>
      </w:r>
      <w:r w:rsidRPr="00CB4F47">
        <w:rPr>
          <w:rFonts w:cs="Arial"/>
          <w:sz w:val="16"/>
          <w:szCs w:val="16"/>
        </w:rPr>
        <w:t xml:space="preserve">f </w:t>
      </w:r>
      <w:r>
        <w:rPr>
          <w:rFonts w:cs="Arial"/>
          <w:sz w:val="16"/>
          <w:szCs w:val="16"/>
        </w:rPr>
        <w:t>p</w:t>
      </w:r>
      <w:r w:rsidRPr="00CB4F47">
        <w:rPr>
          <w:rFonts w:cs="Arial"/>
          <w:sz w:val="16"/>
          <w:szCs w:val="16"/>
        </w:rPr>
        <w:t>atients (Ministry of Health, 1988)</w:t>
      </w:r>
      <w:r>
        <w:rPr>
          <w:rFonts w:cs="Arial"/>
          <w:sz w:val="16"/>
          <w:szCs w:val="16"/>
        </w:rPr>
        <w:t>;</w:t>
      </w:r>
      <w:r w:rsidRPr="00CB4F47">
        <w:rPr>
          <w:rFonts w:cs="Arial"/>
          <w:sz w:val="16"/>
          <w:szCs w:val="16"/>
        </w:rPr>
        <w:t xml:space="preserve"> Mason, K, Report of the Ministerial Inquiry to the Minister of Health Hon Jenny Shipley </w:t>
      </w:r>
      <w:r>
        <w:rPr>
          <w:rFonts w:cs="Arial"/>
          <w:sz w:val="16"/>
          <w:szCs w:val="16"/>
        </w:rPr>
        <w:t xml:space="preserve">– </w:t>
      </w:r>
      <w:r w:rsidRPr="00CB4F47">
        <w:rPr>
          <w:rFonts w:cs="Arial"/>
          <w:sz w:val="16"/>
          <w:szCs w:val="16"/>
        </w:rPr>
        <w:t>Inquiry under section 47 of the Health and Disability Services Act 1993 in respect of certain mental health services (Information Centre, Ministry of Health, 1996).</w:t>
      </w:r>
    </w:p>
  </w:endnote>
  <w:endnote w:id="362">
    <w:p w14:paraId="17BB0AC1" w14:textId="5DC98AC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Mental Health (Compulsory Assessment and Treatment) Act 1992, sections 2, 57</w:t>
      </w:r>
      <w:r w:rsidRPr="00CB4F47">
        <w:rPr>
          <w:rFonts w:eastAsia="Calibri" w:cs="Arial"/>
          <w:sz w:val="16"/>
          <w:szCs w:val="16"/>
          <w:lang w:val="en-US"/>
        </w:rPr>
        <w:t>–</w:t>
      </w:r>
      <w:r w:rsidRPr="00CB4F47">
        <w:rPr>
          <w:rFonts w:cs="Arial"/>
          <w:sz w:val="16"/>
          <w:szCs w:val="16"/>
        </w:rPr>
        <w:t>63 and Part VI.</w:t>
      </w:r>
    </w:p>
  </w:endnote>
  <w:endnote w:id="363">
    <w:p w14:paraId="7D985E8C" w14:textId="7061C76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Gawith, L &amp; Abrams, P, “Long journey to recovery for Kiwi consumers: Recent developments in mental health policy and practice in New Zealand</w:t>
      </w:r>
      <w:r>
        <w:rPr>
          <w:rFonts w:cs="Arial"/>
          <w:sz w:val="16"/>
          <w:szCs w:val="16"/>
        </w:rPr>
        <w:t>,</w:t>
      </w:r>
      <w:r w:rsidRPr="00CB4F47">
        <w:rPr>
          <w:rFonts w:cs="Arial"/>
          <w:sz w:val="16"/>
          <w:szCs w:val="16"/>
        </w:rPr>
        <w:t>” Australian Psychologist (2006,</w:t>
      </w:r>
      <w:r w:rsidRPr="00CB4F47">
        <w:rPr>
          <w:rFonts w:cs="Arial"/>
          <w:color w:val="000000"/>
          <w:sz w:val="16"/>
          <w:szCs w:val="16"/>
          <w:shd w:val="clear" w:color="auto" w:fill="FFFFFF"/>
        </w:rPr>
        <w:t xml:space="preserve"> pages </w:t>
      </w:r>
      <w:r w:rsidRPr="00CB4F47">
        <w:rPr>
          <w:rFonts w:cs="Arial"/>
          <w:sz w:val="16"/>
          <w:szCs w:val="16"/>
        </w:rPr>
        <w:t>140</w:t>
      </w:r>
      <w:r w:rsidRPr="00CB4F47">
        <w:rPr>
          <w:rFonts w:eastAsia="Calibri" w:cs="Arial"/>
          <w:sz w:val="16"/>
          <w:szCs w:val="16"/>
          <w:lang w:val="en-US"/>
        </w:rPr>
        <w:t>–</w:t>
      </w:r>
      <w:r w:rsidRPr="00CB4F47">
        <w:rPr>
          <w:rFonts w:cs="Arial"/>
          <w:sz w:val="16"/>
          <w:szCs w:val="16"/>
        </w:rPr>
        <w:t>148, page 142</w:t>
      </w:r>
      <w:r>
        <w:rPr>
          <w:rFonts w:cs="Arial"/>
          <w:sz w:val="16"/>
          <w:szCs w:val="16"/>
        </w:rPr>
        <w:t>)</w:t>
      </w:r>
      <w:r w:rsidRPr="00CB4F47">
        <w:rPr>
          <w:rFonts w:cs="Arial"/>
          <w:sz w:val="16"/>
          <w:szCs w:val="16"/>
        </w:rPr>
        <w:t xml:space="preserve">. </w:t>
      </w:r>
    </w:p>
  </w:endnote>
  <w:endnote w:id="364">
    <w:p w14:paraId="59700D8B" w14:textId="0CED006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Mason, K, Report of the Ministerial Inquiry to the Minister of Health Hon Jenny Shipley </w:t>
      </w:r>
      <w:r>
        <w:rPr>
          <w:rFonts w:cs="Arial"/>
          <w:sz w:val="16"/>
          <w:szCs w:val="16"/>
        </w:rPr>
        <w:t>–</w:t>
      </w:r>
      <w:r w:rsidRPr="00CB4F47">
        <w:rPr>
          <w:rFonts w:cs="Arial"/>
          <w:sz w:val="16"/>
          <w:szCs w:val="16"/>
        </w:rPr>
        <w:t xml:space="preserve"> Inquiry under section 47 of the Health and Disability Services Act 1993 in respect of certain mental health services (Information Centre, Ministry of Health, 1996, page 3</w:t>
      </w:r>
      <w:r>
        <w:rPr>
          <w:rFonts w:cs="Arial"/>
          <w:sz w:val="16"/>
          <w:szCs w:val="16"/>
        </w:rPr>
        <w:t>)</w:t>
      </w:r>
      <w:r w:rsidRPr="00CB4F47">
        <w:rPr>
          <w:rFonts w:cs="Arial"/>
          <w:sz w:val="16"/>
          <w:szCs w:val="16"/>
        </w:rPr>
        <w:t>.</w:t>
      </w:r>
    </w:p>
  </w:endnote>
  <w:endnote w:id="365">
    <w:p w14:paraId="3AC46649" w14:textId="7B35203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Mason, K, Report of the Ministerial Inquiry to the Minister of Health Hon Jenny Shipley </w:t>
      </w:r>
      <w:r>
        <w:rPr>
          <w:rFonts w:cs="Arial"/>
          <w:sz w:val="16"/>
          <w:szCs w:val="16"/>
        </w:rPr>
        <w:t>–</w:t>
      </w:r>
      <w:r w:rsidRPr="00CB4F47">
        <w:rPr>
          <w:rFonts w:cs="Arial"/>
          <w:sz w:val="16"/>
          <w:szCs w:val="16"/>
        </w:rPr>
        <w:t xml:space="preserve"> Inquiry under section 47 of the Health and Disability Services Act 1993 in respect of certain mental health services (Information Centre, Ministry of Health, 1996</w:t>
      </w:r>
      <w:r w:rsidRPr="001A740B">
        <w:rPr>
          <w:rFonts w:cs="Arial"/>
          <w:sz w:val="16"/>
          <w:szCs w:val="16"/>
        </w:rPr>
        <w:t>,</w:t>
      </w:r>
      <w:r w:rsidRPr="00CB4F47">
        <w:rPr>
          <w:rFonts w:cs="Arial"/>
          <w:sz w:val="16"/>
          <w:szCs w:val="16"/>
        </w:rPr>
        <w:t xml:space="preserve"> page 3</w:t>
      </w:r>
      <w:r>
        <w:rPr>
          <w:rFonts w:cs="Arial"/>
          <w:sz w:val="16"/>
          <w:szCs w:val="16"/>
        </w:rPr>
        <w:t>)</w:t>
      </w:r>
      <w:r w:rsidRPr="00CB4F47">
        <w:rPr>
          <w:rFonts w:cs="Arial"/>
          <w:sz w:val="16"/>
          <w:szCs w:val="16"/>
        </w:rPr>
        <w:t>.</w:t>
      </w:r>
    </w:p>
  </w:endnote>
  <w:endnote w:id="366">
    <w:p w14:paraId="1B94E1BA" w14:textId="2AA7698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Ministry of Health, Like minds, like mine: National plan 2007</w:t>
      </w:r>
      <w:r w:rsidRPr="001A740B">
        <w:rPr>
          <w:rFonts w:cs="Arial"/>
          <w:sz w:val="16"/>
          <w:szCs w:val="16"/>
        </w:rPr>
        <w:t>–</w:t>
      </w:r>
      <w:r w:rsidRPr="00CB4F47">
        <w:rPr>
          <w:rFonts w:cs="Arial"/>
          <w:sz w:val="16"/>
          <w:szCs w:val="16"/>
        </w:rPr>
        <w:t>2013: Programme to counter stigma and discrimination associated with mental illness</w:t>
      </w:r>
      <w:r w:rsidRPr="001A740B">
        <w:rPr>
          <w:rFonts w:cs="Arial"/>
          <w:sz w:val="16"/>
          <w:szCs w:val="16"/>
        </w:rPr>
        <w:t xml:space="preserve"> (</w:t>
      </w:r>
      <w:r w:rsidRPr="00CB4F47">
        <w:rPr>
          <w:rFonts w:cs="Arial"/>
          <w:sz w:val="16"/>
          <w:szCs w:val="16"/>
        </w:rPr>
        <w:t>2007</w:t>
      </w:r>
      <w:r w:rsidRPr="001A740B">
        <w:rPr>
          <w:rFonts w:cs="Arial"/>
          <w:sz w:val="16"/>
          <w:szCs w:val="16"/>
        </w:rPr>
        <w:t>,</w:t>
      </w:r>
      <w:r w:rsidRPr="00CB4F47">
        <w:rPr>
          <w:rFonts w:cs="Arial"/>
          <w:sz w:val="16"/>
          <w:szCs w:val="16"/>
        </w:rPr>
        <w:t xml:space="preserve"> page 1</w:t>
      </w:r>
      <w:r>
        <w:rPr>
          <w:rFonts w:cs="Arial"/>
          <w:sz w:val="16"/>
          <w:szCs w:val="16"/>
        </w:rPr>
        <w:t>)</w:t>
      </w:r>
      <w:r w:rsidRPr="00CB4F47">
        <w:rPr>
          <w:rFonts w:cs="Arial"/>
          <w:sz w:val="16"/>
          <w:szCs w:val="16"/>
        </w:rPr>
        <w:t>.</w:t>
      </w:r>
    </w:p>
  </w:endnote>
  <w:endnote w:id="367">
    <w:p w14:paraId="0158534B" w14:textId="792BBDE4" w:rsidR="00FE4E56" w:rsidRPr="001A740B" w:rsidRDefault="00FE4E56">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w:t>
      </w:r>
      <w:r w:rsidRPr="001A740B">
        <w:rPr>
          <w:rFonts w:cs="Arial"/>
          <w:sz w:val="16"/>
          <w:szCs w:val="16"/>
        </w:rPr>
        <w:t xml:space="preserve">National Advisory Committee on Health and Disability, To </w:t>
      </w:r>
      <w:r w:rsidRPr="001A740B">
        <w:rPr>
          <w:rFonts w:cs="Arial"/>
          <w:iCs/>
          <w:sz w:val="16"/>
          <w:szCs w:val="16"/>
        </w:rPr>
        <w:t>have</w:t>
      </w:r>
      <w:r w:rsidRPr="001A740B">
        <w:rPr>
          <w:rFonts w:cs="Arial"/>
          <w:sz w:val="16"/>
          <w:szCs w:val="16"/>
        </w:rPr>
        <w:t xml:space="preserve"> an ‘</w:t>
      </w:r>
      <w:r w:rsidRPr="001A740B">
        <w:rPr>
          <w:rFonts w:cs="Arial"/>
          <w:iCs/>
          <w:sz w:val="16"/>
          <w:szCs w:val="16"/>
        </w:rPr>
        <w:t>ordinary’ life:</w:t>
      </w:r>
      <w:r w:rsidRPr="001A740B">
        <w:rPr>
          <w:rFonts w:cs="Arial"/>
          <w:sz w:val="16"/>
          <w:szCs w:val="16"/>
        </w:rPr>
        <w:t xml:space="preserve"> Kia whai </w:t>
      </w:r>
      <w:r w:rsidRPr="001A740B">
        <w:rPr>
          <w:rFonts w:cs="Arial"/>
          <w:iCs/>
          <w:sz w:val="16"/>
          <w:szCs w:val="16"/>
        </w:rPr>
        <w:t>oranga ‘noa’</w:t>
      </w:r>
      <w:r w:rsidRPr="001A740B">
        <w:rPr>
          <w:rFonts w:cs="Arial"/>
          <w:sz w:val="16"/>
          <w:szCs w:val="16"/>
        </w:rPr>
        <w:t>: Background papers to inform the National Advisory Committee on Health and Disability (2004, page 16).</w:t>
      </w:r>
    </w:p>
  </w:endnote>
  <w:endnote w:id="368">
    <w:p w14:paraId="35748AFB" w14:textId="6D8F9BEC" w:rsidR="00FE4E56" w:rsidRPr="00FB6DE5" w:rsidRDefault="00FE4E56">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Gassin, T, Māori Mental Health – a report commissioned by the Waitangi Tribunal for the Health Services and Outcomes Kaupapa Inquiry (Waitangi Tribunal, </w:t>
      </w:r>
      <w:r w:rsidRPr="00FB6DE5">
        <w:rPr>
          <w:sz w:val="16"/>
          <w:szCs w:val="16"/>
        </w:rPr>
        <w:t>2019, page 10).</w:t>
      </w:r>
    </w:p>
  </w:endnote>
  <w:endnote w:id="369">
    <w:p w14:paraId="5D0ED69F" w14:textId="49834A84" w:rsidR="00FE4E56" w:rsidRPr="00CB4F47" w:rsidRDefault="00FE4E56" w:rsidP="00F31E79">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 xml:space="preserve">Bronfenbrenner, U, “The </w:t>
      </w:r>
      <w:r>
        <w:rPr>
          <w:rFonts w:cs="Arial"/>
          <w:sz w:val="16"/>
          <w:szCs w:val="16"/>
        </w:rPr>
        <w:t>e</w:t>
      </w:r>
      <w:r w:rsidRPr="00CB4F47">
        <w:rPr>
          <w:rFonts w:cs="Arial"/>
          <w:sz w:val="16"/>
          <w:szCs w:val="16"/>
        </w:rPr>
        <w:t xml:space="preserve">cology of </w:t>
      </w:r>
      <w:r>
        <w:rPr>
          <w:rFonts w:cs="Arial"/>
          <w:sz w:val="16"/>
          <w:szCs w:val="16"/>
        </w:rPr>
        <w:t>h</w:t>
      </w:r>
      <w:r w:rsidRPr="00CB4F47">
        <w:rPr>
          <w:rFonts w:cs="Arial"/>
          <w:sz w:val="16"/>
          <w:szCs w:val="16"/>
        </w:rPr>
        <w:t xml:space="preserve">uman </w:t>
      </w:r>
      <w:r>
        <w:rPr>
          <w:rFonts w:cs="Arial"/>
          <w:sz w:val="16"/>
          <w:szCs w:val="16"/>
        </w:rPr>
        <w:t>d</w:t>
      </w:r>
      <w:r w:rsidRPr="00CB4F47">
        <w:rPr>
          <w:rFonts w:cs="Arial"/>
          <w:sz w:val="16"/>
          <w:szCs w:val="16"/>
        </w:rPr>
        <w:t>evelopment</w:t>
      </w:r>
      <w:r>
        <w:rPr>
          <w:rFonts w:cs="Arial"/>
          <w:sz w:val="16"/>
          <w:szCs w:val="16"/>
        </w:rPr>
        <w:t>,</w:t>
      </w:r>
      <w:r w:rsidRPr="00CB4F47">
        <w:rPr>
          <w:rFonts w:cs="Arial"/>
          <w:sz w:val="16"/>
          <w:szCs w:val="16"/>
        </w:rPr>
        <w:t>” page 19, in Shonkoff</w:t>
      </w:r>
      <w:r>
        <w:rPr>
          <w:rFonts w:cs="Arial"/>
          <w:sz w:val="16"/>
          <w:szCs w:val="16"/>
        </w:rPr>
        <w:t>,</w:t>
      </w:r>
      <w:r w:rsidRPr="00CB4F47">
        <w:rPr>
          <w:rFonts w:cs="Arial"/>
          <w:sz w:val="16"/>
          <w:szCs w:val="16"/>
        </w:rPr>
        <w:t xml:space="preserve"> JP</w:t>
      </w:r>
      <w:r>
        <w:rPr>
          <w:rFonts w:cs="Arial"/>
          <w:sz w:val="16"/>
          <w:szCs w:val="16"/>
        </w:rPr>
        <w:t xml:space="preserve"> &amp;</w:t>
      </w:r>
      <w:r w:rsidRPr="00CB4F47">
        <w:rPr>
          <w:rFonts w:cs="Arial"/>
          <w:sz w:val="16"/>
          <w:szCs w:val="16"/>
        </w:rPr>
        <w:t xml:space="preserve"> Phillips</w:t>
      </w:r>
      <w:r>
        <w:rPr>
          <w:rFonts w:cs="Arial"/>
          <w:sz w:val="16"/>
          <w:szCs w:val="16"/>
        </w:rPr>
        <w:t>,</w:t>
      </w:r>
      <w:r w:rsidRPr="00CB4F47">
        <w:rPr>
          <w:rFonts w:cs="Arial"/>
          <w:sz w:val="16"/>
          <w:szCs w:val="16"/>
        </w:rPr>
        <w:t xml:space="preserve"> DA (eds)</w:t>
      </w:r>
      <w:r>
        <w:rPr>
          <w:rFonts w:cs="Arial"/>
          <w:sz w:val="16"/>
          <w:szCs w:val="16"/>
        </w:rPr>
        <w:t>,</w:t>
      </w:r>
      <w:r w:rsidRPr="00CB4F47">
        <w:rPr>
          <w:rFonts w:cs="Arial"/>
          <w:sz w:val="16"/>
          <w:szCs w:val="16"/>
        </w:rPr>
        <w:t xml:space="preserve"> From </w:t>
      </w:r>
      <w:r>
        <w:rPr>
          <w:rFonts w:cs="Arial"/>
          <w:sz w:val="16"/>
          <w:szCs w:val="16"/>
        </w:rPr>
        <w:t>n</w:t>
      </w:r>
      <w:r w:rsidRPr="00CB4F47">
        <w:rPr>
          <w:rFonts w:cs="Arial"/>
          <w:sz w:val="16"/>
          <w:szCs w:val="16"/>
        </w:rPr>
        <w:t xml:space="preserve">eurons to </w:t>
      </w:r>
      <w:r>
        <w:rPr>
          <w:rFonts w:cs="Arial"/>
          <w:sz w:val="16"/>
          <w:szCs w:val="16"/>
        </w:rPr>
        <w:t>n</w:t>
      </w:r>
      <w:r w:rsidRPr="00CB4F47">
        <w:rPr>
          <w:rFonts w:cs="Arial"/>
          <w:sz w:val="16"/>
          <w:szCs w:val="16"/>
        </w:rPr>
        <w:t xml:space="preserve">eighborhoods: The </w:t>
      </w:r>
      <w:r>
        <w:rPr>
          <w:rFonts w:cs="Arial"/>
          <w:sz w:val="16"/>
          <w:szCs w:val="16"/>
        </w:rPr>
        <w:t>s</w:t>
      </w:r>
      <w:r w:rsidRPr="00CB4F47">
        <w:rPr>
          <w:rFonts w:cs="Arial"/>
          <w:sz w:val="16"/>
          <w:szCs w:val="16"/>
        </w:rPr>
        <w:t xml:space="preserve">cience of </w:t>
      </w:r>
      <w:r>
        <w:rPr>
          <w:rFonts w:cs="Arial"/>
          <w:sz w:val="16"/>
          <w:szCs w:val="16"/>
        </w:rPr>
        <w:t>e</w:t>
      </w:r>
      <w:r w:rsidRPr="00CB4F47">
        <w:rPr>
          <w:rFonts w:cs="Arial"/>
          <w:sz w:val="16"/>
          <w:szCs w:val="16"/>
        </w:rPr>
        <w:t xml:space="preserve">arly </w:t>
      </w:r>
      <w:r>
        <w:rPr>
          <w:rFonts w:cs="Arial"/>
          <w:sz w:val="16"/>
          <w:szCs w:val="16"/>
        </w:rPr>
        <w:t>c</w:t>
      </w:r>
      <w:r w:rsidRPr="00CB4F47">
        <w:rPr>
          <w:rFonts w:cs="Arial"/>
          <w:sz w:val="16"/>
          <w:szCs w:val="16"/>
        </w:rPr>
        <w:t xml:space="preserve">hildhood </w:t>
      </w:r>
      <w:r>
        <w:rPr>
          <w:rFonts w:cs="Arial"/>
          <w:sz w:val="16"/>
          <w:szCs w:val="16"/>
        </w:rPr>
        <w:t>d</w:t>
      </w:r>
      <w:r w:rsidRPr="00CB4F47">
        <w:rPr>
          <w:rFonts w:cs="Arial"/>
          <w:sz w:val="16"/>
          <w:szCs w:val="16"/>
        </w:rPr>
        <w:t>evelopment (Committee on Integrating the Science of Early Childhood Development, 2000, page 58</w:t>
      </w:r>
      <w:r>
        <w:rPr>
          <w:rFonts w:cs="Arial"/>
          <w:sz w:val="16"/>
          <w:szCs w:val="16"/>
        </w:rPr>
        <w:t>)</w:t>
      </w:r>
      <w:r w:rsidRPr="00CB4F47">
        <w:rPr>
          <w:rFonts w:cs="Arial"/>
          <w:sz w:val="16"/>
          <w:szCs w:val="16"/>
        </w:rPr>
        <w:t>.</w:t>
      </w:r>
    </w:p>
  </w:endnote>
  <w:endnote w:id="370">
    <w:p w14:paraId="72DCFC27" w14:textId="68DFFD2A" w:rsidR="00FE4E56" w:rsidRPr="001142DD" w:rsidRDefault="00FE4E56">
      <w:pPr>
        <w:pStyle w:val="EndnoteText"/>
        <w:rPr>
          <w:sz w:val="16"/>
          <w:szCs w:val="16"/>
        </w:rPr>
      </w:pPr>
      <w:r>
        <w:rPr>
          <w:rStyle w:val="EndnoteReference"/>
        </w:rPr>
        <w:endnoteRef/>
      </w:r>
      <w:hyperlink r:id="rId92" w:history="1">
        <w:r w:rsidRPr="001142DD">
          <w:rPr>
            <w:rStyle w:val="Hyperlink"/>
            <w:sz w:val="16"/>
            <w:szCs w:val="16"/>
          </w:rPr>
          <w:t xml:space="preserve"> </w:t>
        </w:r>
        <w:r w:rsidRPr="00317445">
          <w:rPr>
            <w:rFonts w:cs="Arial"/>
            <w:sz w:val="16"/>
            <w:szCs w:val="16"/>
            <w:shd w:val="clear" w:color="auto" w:fill="FFFFFF"/>
          </w:rPr>
          <w:t>Ritchie, J &amp; Ritchie, JE, Spare the rod (Allen &amp; Unwin, 1981).</w:t>
        </w:r>
      </w:hyperlink>
    </w:p>
  </w:endnote>
  <w:endnote w:id="371">
    <w:p w14:paraId="747A5913" w14:textId="09EF6D5C" w:rsidR="00FE4E56" w:rsidRPr="00CB4F47" w:rsidRDefault="00FE4E56" w:rsidP="002F3A8B">
      <w:pPr>
        <w:pStyle w:val="EndnoteText"/>
        <w:spacing w:line="20" w:lineRule="atLeast"/>
        <w:rPr>
          <w:rFonts w:cs="Arial"/>
          <w:sz w:val="16"/>
          <w:szCs w:val="16"/>
          <w:shd w:val="clear" w:color="auto" w:fill="FFFFFF"/>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shd w:val="clear" w:color="auto" w:fill="FFFFFF"/>
        </w:rPr>
        <w:t>Tangaere, AR, “Māori human development learning theory</w:t>
      </w:r>
      <w:r>
        <w:rPr>
          <w:rFonts w:cs="Arial"/>
          <w:sz w:val="16"/>
          <w:szCs w:val="16"/>
          <w:shd w:val="clear" w:color="auto" w:fill="FFFFFF"/>
        </w:rPr>
        <w:t>,</w:t>
      </w:r>
      <w:r w:rsidRPr="00CB4F47">
        <w:rPr>
          <w:rFonts w:cs="Arial"/>
          <w:sz w:val="16"/>
          <w:szCs w:val="16"/>
          <w:shd w:val="clear" w:color="auto" w:fill="FFFFFF"/>
        </w:rPr>
        <w:t>” in Te Whāiti, P, McCarthy, B &amp; Durie, A (eds)</w:t>
      </w:r>
      <w:r>
        <w:rPr>
          <w:rFonts w:cs="Arial"/>
          <w:sz w:val="16"/>
          <w:szCs w:val="16"/>
          <w:shd w:val="clear" w:color="auto" w:fill="FFFFFF"/>
        </w:rPr>
        <w:t>,</w:t>
      </w:r>
      <w:r w:rsidRPr="00CB4F47">
        <w:rPr>
          <w:rFonts w:cs="Arial"/>
          <w:sz w:val="16"/>
          <w:szCs w:val="16"/>
          <w:shd w:val="clear" w:color="auto" w:fill="FFFFFF"/>
        </w:rPr>
        <w:t xml:space="preserve"> Mai i rangiātea: Māori wellbeing and development (Auckland University Press, 1997, </w:t>
      </w:r>
      <w:r w:rsidRPr="00CB4F47">
        <w:rPr>
          <w:rFonts w:cs="Arial"/>
          <w:sz w:val="16"/>
          <w:szCs w:val="16"/>
        </w:rPr>
        <w:t xml:space="preserve">pages </w:t>
      </w:r>
      <w:r w:rsidRPr="00CB4F47">
        <w:rPr>
          <w:rFonts w:cs="Arial"/>
          <w:sz w:val="16"/>
          <w:szCs w:val="16"/>
          <w:shd w:val="clear" w:color="auto" w:fill="FFFFFF"/>
        </w:rPr>
        <w:t>46</w:t>
      </w:r>
      <w:r w:rsidRPr="00CB4F47">
        <w:rPr>
          <w:rFonts w:eastAsia="Calibri" w:cs="Arial"/>
          <w:sz w:val="16"/>
          <w:szCs w:val="16"/>
          <w:lang w:val="en-US"/>
        </w:rPr>
        <w:t>–</w:t>
      </w:r>
      <w:r w:rsidRPr="00CB4F47">
        <w:rPr>
          <w:rFonts w:cs="Arial"/>
          <w:sz w:val="16"/>
          <w:szCs w:val="16"/>
          <w:shd w:val="clear" w:color="auto" w:fill="FFFFFF"/>
        </w:rPr>
        <w:t>60</w:t>
      </w:r>
      <w:r>
        <w:rPr>
          <w:rFonts w:cs="Arial"/>
          <w:sz w:val="16"/>
          <w:szCs w:val="16"/>
          <w:shd w:val="clear" w:color="auto" w:fill="FFFFFF"/>
        </w:rPr>
        <w:t>)</w:t>
      </w:r>
      <w:r w:rsidRPr="00CB4F47">
        <w:rPr>
          <w:rFonts w:cs="Arial"/>
          <w:sz w:val="16"/>
          <w:szCs w:val="16"/>
          <w:shd w:val="clear" w:color="auto" w:fill="FFFFFF"/>
        </w:rPr>
        <w:t>.</w:t>
      </w:r>
    </w:p>
  </w:endnote>
  <w:endnote w:id="372">
    <w:p w14:paraId="6ABDB753" w14:textId="4A2F5483" w:rsidR="00FE4E56" w:rsidRPr="00CB4F47" w:rsidRDefault="00FE4E56" w:rsidP="002F3A8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shd w:val="clear" w:color="auto" w:fill="FFFFFF"/>
        </w:rPr>
        <w:t>Tangaere, AR, “Māori human development learning theory</w:t>
      </w:r>
      <w:r>
        <w:rPr>
          <w:rFonts w:cs="Arial"/>
          <w:sz w:val="16"/>
          <w:szCs w:val="16"/>
          <w:shd w:val="clear" w:color="auto" w:fill="FFFFFF"/>
        </w:rPr>
        <w:t>,</w:t>
      </w:r>
      <w:r w:rsidRPr="00CB4F47">
        <w:rPr>
          <w:rFonts w:cs="Arial"/>
          <w:sz w:val="16"/>
          <w:szCs w:val="16"/>
          <w:shd w:val="clear" w:color="auto" w:fill="FFFFFF"/>
        </w:rPr>
        <w:t>” in Te Whāiti, P, McCarthy, B &amp; Durie, A (eds)</w:t>
      </w:r>
      <w:r>
        <w:rPr>
          <w:rFonts w:cs="Arial"/>
          <w:sz w:val="16"/>
          <w:szCs w:val="16"/>
          <w:shd w:val="clear" w:color="auto" w:fill="FFFFFF"/>
        </w:rPr>
        <w:t>,</w:t>
      </w:r>
      <w:r w:rsidRPr="00CB4F47">
        <w:rPr>
          <w:rFonts w:cs="Arial"/>
          <w:sz w:val="16"/>
          <w:szCs w:val="16"/>
          <w:shd w:val="clear" w:color="auto" w:fill="FFFFFF"/>
        </w:rPr>
        <w:t xml:space="preserve"> Mai i rangiātea: Māori wellbeing and development (Auckland University Press, 1997, </w:t>
      </w:r>
      <w:r w:rsidRPr="00CB4F47">
        <w:rPr>
          <w:rFonts w:cs="Arial"/>
          <w:sz w:val="16"/>
          <w:szCs w:val="16"/>
        </w:rPr>
        <w:t>page</w:t>
      </w:r>
      <w:r w:rsidRPr="00CB4F47">
        <w:rPr>
          <w:rFonts w:cs="Arial"/>
          <w:sz w:val="16"/>
          <w:szCs w:val="16"/>
          <w:shd w:val="clear" w:color="auto" w:fill="FFFFFF"/>
        </w:rPr>
        <w:t xml:space="preserve"> 58</w:t>
      </w:r>
      <w:r>
        <w:rPr>
          <w:rFonts w:cs="Arial"/>
          <w:sz w:val="16"/>
          <w:szCs w:val="16"/>
          <w:shd w:val="clear" w:color="auto" w:fill="FFFFFF"/>
        </w:rPr>
        <w:t>)</w:t>
      </w:r>
      <w:r w:rsidRPr="00CB4F47">
        <w:rPr>
          <w:rFonts w:cs="Arial"/>
          <w:sz w:val="16"/>
          <w:szCs w:val="16"/>
          <w:shd w:val="clear" w:color="auto" w:fill="FFFFFF"/>
        </w:rPr>
        <w:t>.</w:t>
      </w:r>
    </w:p>
  </w:endnote>
  <w:endnote w:id="373">
    <w:p w14:paraId="4371CBCC" w14:textId="22A1246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cs="Arial"/>
          <w:sz w:val="16"/>
          <w:szCs w:val="16"/>
          <w:shd w:val="clear" w:color="auto" w:fill="F9F7F4"/>
        </w:rPr>
        <w:t>Dalley, B, Child abuse (Te Ara</w:t>
      </w:r>
      <w:r>
        <w:rPr>
          <w:rFonts w:cs="Arial"/>
          <w:sz w:val="16"/>
          <w:szCs w:val="16"/>
          <w:shd w:val="clear" w:color="auto" w:fill="F9F7F4"/>
        </w:rPr>
        <w:t xml:space="preserve"> – The Encyclopedia of New Zealand</w:t>
      </w:r>
      <w:r w:rsidRPr="00CB4F47">
        <w:rPr>
          <w:rFonts w:cs="Arial"/>
          <w:sz w:val="16"/>
          <w:szCs w:val="16"/>
          <w:shd w:val="clear" w:color="auto" w:fill="F9F7F4"/>
        </w:rPr>
        <w:t>, 5 May 2011)</w:t>
      </w:r>
      <w:r>
        <w:rPr>
          <w:rFonts w:cs="Arial"/>
          <w:sz w:val="16"/>
          <w:szCs w:val="16"/>
          <w:shd w:val="clear" w:color="auto" w:fill="F9F7F4"/>
        </w:rPr>
        <w:t xml:space="preserve">, </w:t>
      </w:r>
      <w:hyperlink r:id="rId93" w:history="1">
        <w:r w:rsidRPr="00AE6EAE">
          <w:rPr>
            <w:rStyle w:val="Hyperlink"/>
            <w:rFonts w:cs="Arial"/>
            <w:sz w:val="16"/>
            <w:szCs w:val="16"/>
            <w:shd w:val="clear" w:color="auto" w:fill="F9F7F4"/>
          </w:rPr>
          <w:t>https://teara.govt.nz/en/child-abuse</w:t>
        </w:r>
      </w:hyperlink>
      <w:r w:rsidRPr="00CB4F47">
        <w:rPr>
          <w:rFonts w:cs="Arial"/>
          <w:sz w:val="16"/>
          <w:szCs w:val="16"/>
          <w:shd w:val="clear" w:color="auto" w:fill="F9F7F4"/>
        </w:rPr>
        <w:t>.</w:t>
      </w:r>
    </w:p>
  </w:endnote>
  <w:endnote w:id="374">
    <w:p w14:paraId="56757071" w14:textId="5DA2620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Fanslow, J, Hashem, L, Gulliver, P &amp; McIntosh, T, “A century of sexual abuse victimisation: A birth cohort analysis</w:t>
      </w:r>
      <w:r>
        <w:rPr>
          <w:rFonts w:cs="Arial"/>
          <w:sz w:val="16"/>
          <w:szCs w:val="16"/>
        </w:rPr>
        <w:t>,</w:t>
      </w:r>
      <w:r w:rsidRPr="00CB4F47">
        <w:rPr>
          <w:rFonts w:cs="Arial"/>
          <w:sz w:val="16"/>
          <w:szCs w:val="16"/>
        </w:rPr>
        <w:t>” Social Science and Medicine (2021, page 4</w:t>
      </w:r>
      <w:r>
        <w:rPr>
          <w:rFonts w:cs="Arial"/>
          <w:sz w:val="16"/>
          <w:szCs w:val="16"/>
        </w:rPr>
        <w:t>)</w:t>
      </w:r>
      <w:r w:rsidRPr="00CB4F47">
        <w:rPr>
          <w:rFonts w:cs="Arial"/>
          <w:sz w:val="16"/>
          <w:szCs w:val="16"/>
        </w:rPr>
        <w:t xml:space="preserve">. </w:t>
      </w:r>
    </w:p>
  </w:endnote>
  <w:endnote w:id="375">
    <w:p w14:paraId="36F6B190" w14:textId="7D28E9C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Friedman, MJ, PTSD History and Overview (US Department of Veterans Affairs</w:t>
      </w:r>
      <w:r>
        <w:rPr>
          <w:rFonts w:cs="Arial"/>
          <w:sz w:val="16"/>
          <w:szCs w:val="16"/>
        </w:rPr>
        <w:t xml:space="preserve"> accessed 9 March 2024), </w:t>
      </w:r>
      <w:hyperlink r:id="rId94" w:tgtFrame="_blank" w:tooltip="https://www.ptsd.va.gov/professional/treat/essentials/history_ptsd.asp" w:history="1">
        <w:r w:rsidRPr="001A740B">
          <w:rPr>
            <w:rFonts w:cs="Arial"/>
            <w:sz w:val="16"/>
            <w:szCs w:val="16"/>
          </w:rPr>
          <w:t>https://www.ptsd.va.gov/professional/treat/essentials/history_ptsd.asp</w:t>
        </w:r>
      </w:hyperlink>
      <w:r w:rsidRPr="001A740B">
        <w:rPr>
          <w:rFonts w:cs="Arial"/>
          <w:sz w:val="16"/>
          <w:szCs w:val="16"/>
        </w:rPr>
        <w:t>.</w:t>
      </w:r>
    </w:p>
  </w:endnote>
  <w:endnote w:id="376">
    <w:p w14:paraId="3F6E1843" w14:textId="1C674B87" w:rsidR="00FE4E56" w:rsidRPr="001A740B" w:rsidRDefault="00FE4E56">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American Psychiatric Association, Diagnostic and Statistical </w:t>
      </w:r>
      <w:r>
        <w:rPr>
          <w:sz w:val="16"/>
          <w:szCs w:val="16"/>
        </w:rPr>
        <w:t>M</w:t>
      </w:r>
      <w:r w:rsidRPr="00FC5F93">
        <w:rPr>
          <w:sz w:val="16"/>
          <w:szCs w:val="16"/>
        </w:rPr>
        <w:t xml:space="preserve">anual of </w:t>
      </w:r>
      <w:r>
        <w:rPr>
          <w:sz w:val="16"/>
          <w:szCs w:val="16"/>
        </w:rPr>
        <w:t>M</w:t>
      </w:r>
      <w:r w:rsidRPr="00FC5F93">
        <w:rPr>
          <w:sz w:val="16"/>
          <w:szCs w:val="16"/>
        </w:rPr>
        <w:t xml:space="preserve">ental </w:t>
      </w:r>
      <w:r>
        <w:rPr>
          <w:sz w:val="16"/>
          <w:szCs w:val="16"/>
        </w:rPr>
        <w:t>D</w:t>
      </w:r>
      <w:r w:rsidRPr="00FC5F93">
        <w:rPr>
          <w:sz w:val="16"/>
          <w:szCs w:val="16"/>
        </w:rPr>
        <w:t>isorders</w:t>
      </w:r>
      <w:r w:rsidRPr="001A740B">
        <w:rPr>
          <w:sz w:val="16"/>
          <w:szCs w:val="16"/>
        </w:rPr>
        <w:t xml:space="preserve"> (5</w:t>
      </w:r>
      <w:r w:rsidRPr="001A740B">
        <w:rPr>
          <w:sz w:val="16"/>
          <w:szCs w:val="16"/>
          <w:vertAlign w:val="superscript"/>
        </w:rPr>
        <w:t>th</w:t>
      </w:r>
      <w:r w:rsidRPr="001A740B">
        <w:rPr>
          <w:sz w:val="16"/>
          <w:szCs w:val="16"/>
        </w:rPr>
        <w:t xml:space="preserve"> edition</w:t>
      </w:r>
      <w:r>
        <w:rPr>
          <w:sz w:val="16"/>
          <w:szCs w:val="16"/>
        </w:rPr>
        <w:t xml:space="preserve">, </w:t>
      </w:r>
      <w:r w:rsidRPr="001A740B">
        <w:rPr>
          <w:sz w:val="16"/>
          <w:szCs w:val="16"/>
        </w:rPr>
        <w:t>American Psychiatric Association</w:t>
      </w:r>
      <w:r>
        <w:rPr>
          <w:sz w:val="16"/>
          <w:szCs w:val="16"/>
        </w:rPr>
        <w:t>,</w:t>
      </w:r>
      <w:r w:rsidRPr="001A740B">
        <w:rPr>
          <w:sz w:val="16"/>
          <w:szCs w:val="16"/>
        </w:rPr>
        <w:t xml:space="preserve"> 2013).</w:t>
      </w:r>
    </w:p>
  </w:endnote>
  <w:endnote w:id="377">
    <w:p w14:paraId="51CF2927" w14:textId="06A7614B" w:rsidR="00FE4E56" w:rsidRDefault="00FE4E56">
      <w:pPr>
        <w:pStyle w:val="EndnoteText"/>
      </w:pPr>
      <w:r>
        <w:rPr>
          <w:rStyle w:val="EndnoteReference"/>
        </w:rPr>
        <w:endnoteRef/>
      </w:r>
      <w:r>
        <w:t xml:space="preserve"> </w:t>
      </w:r>
      <w:r w:rsidRPr="00D668D0">
        <w:rPr>
          <w:sz w:val="16"/>
          <w:szCs w:val="18"/>
        </w:rPr>
        <w:t>Ministry of Social Development, Recognising and responding to child neglect in New Zealand (Ministry of Social Development 2010, page 10)</w:t>
      </w:r>
      <w:r>
        <w:rPr>
          <w:sz w:val="16"/>
          <w:szCs w:val="18"/>
        </w:rPr>
        <w:t>.</w:t>
      </w:r>
    </w:p>
  </w:endnote>
  <w:endnote w:id="378">
    <w:p w14:paraId="2DDAABD1" w14:textId="379F9B28" w:rsidR="00FE4E56" w:rsidRDefault="00FE4E56">
      <w:pPr>
        <w:pStyle w:val="EndnoteText"/>
      </w:pPr>
      <w:r>
        <w:rPr>
          <w:rStyle w:val="EndnoteReference"/>
        </w:rPr>
        <w:endnoteRef/>
      </w:r>
      <w:r>
        <w:t xml:space="preserve"> </w:t>
      </w:r>
      <w:r w:rsidRPr="00D668D0">
        <w:rPr>
          <w:sz w:val="16"/>
          <w:szCs w:val="18"/>
        </w:rPr>
        <w:t>Weir, Kirsten, The lasting impact of neglect</w:t>
      </w:r>
      <w:r w:rsidRPr="00D668D0">
        <w:t xml:space="preserve"> </w:t>
      </w:r>
      <w:r w:rsidRPr="00D668D0">
        <w:rPr>
          <w:sz w:val="16"/>
          <w:szCs w:val="18"/>
        </w:rPr>
        <w:t xml:space="preserve">(American Psychological Association Monitor on Psychology, June 2014, </w:t>
      </w:r>
      <w:r>
        <w:rPr>
          <w:sz w:val="16"/>
          <w:szCs w:val="18"/>
        </w:rPr>
        <w:t>Vol 45, No.6).</w:t>
      </w:r>
      <w:r w:rsidRPr="00D668D0">
        <w:rPr>
          <w:sz w:val="16"/>
          <w:szCs w:val="18"/>
        </w:rPr>
        <w:t xml:space="preserve"> </w:t>
      </w:r>
    </w:p>
  </w:endnote>
  <w:endnote w:id="379">
    <w:p w14:paraId="616B468F" w14:textId="5C242AC1" w:rsidR="00FE4E56" w:rsidRDefault="00FE4E56">
      <w:pPr>
        <w:pStyle w:val="EndnoteText"/>
      </w:pPr>
      <w:r>
        <w:rPr>
          <w:rStyle w:val="EndnoteReference"/>
        </w:rPr>
        <w:endnoteRef/>
      </w:r>
      <w:r>
        <w:t xml:space="preserve"> </w:t>
      </w:r>
      <w:r w:rsidRPr="00C74981">
        <w:rPr>
          <w:sz w:val="16"/>
          <w:szCs w:val="18"/>
        </w:rPr>
        <w:t xml:space="preserve">Ministry of Social Development, Recognising and responding to child neglect in New Zealand (Ministry of Social Development 2010, page </w:t>
      </w:r>
      <w:r>
        <w:rPr>
          <w:sz w:val="16"/>
          <w:szCs w:val="18"/>
        </w:rPr>
        <w:t>2).</w:t>
      </w:r>
    </w:p>
  </w:endnote>
  <w:endnote w:id="380">
    <w:p w14:paraId="4F5DEE5F" w14:textId="7E924703" w:rsidR="00FE4E56" w:rsidRPr="001A740B" w:rsidRDefault="00FE4E56" w:rsidP="007C417E">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McGregor, J, Bell, S &amp; Wilson, M, Fault lines: Human rights in New Zealand (Auckland University of Technology 2018, </w:t>
      </w:r>
      <w:r w:rsidRPr="001A740B">
        <w:rPr>
          <w:rFonts w:cs="Arial"/>
          <w:sz w:val="16"/>
          <w:szCs w:val="16"/>
        </w:rPr>
        <w:t xml:space="preserve">pages </w:t>
      </w:r>
      <w:r w:rsidRPr="001A740B">
        <w:rPr>
          <w:sz w:val="16"/>
          <w:szCs w:val="16"/>
        </w:rPr>
        <w:t>13 and 14).</w:t>
      </w:r>
    </w:p>
  </w:endnote>
  <w:endnote w:id="381">
    <w:p w14:paraId="618E9D6F" w14:textId="33D271B6" w:rsidR="00FE4E56" w:rsidRPr="00CB4F47" w:rsidRDefault="00FE4E56" w:rsidP="007C417E">
      <w:pPr>
        <w:pStyle w:val="EndnoteText"/>
        <w:rPr>
          <w:sz w:val="16"/>
          <w:szCs w:val="16"/>
        </w:rPr>
      </w:pPr>
      <w:r w:rsidRPr="00536E67">
        <w:rPr>
          <w:rStyle w:val="StyleFootnoteReferenceFagoFunotenzeichenFagoFunotenzeichen"/>
          <w:sz w:val="16"/>
          <w:szCs w:val="16"/>
        </w:rPr>
        <w:endnoteRef/>
      </w:r>
      <w:r w:rsidRPr="001A740B">
        <w:rPr>
          <w:sz w:val="16"/>
          <w:szCs w:val="16"/>
        </w:rPr>
        <w:t xml:space="preserve"> McGregor, J, Bell, S &amp; Wilson, M, Fault lines: Human rights in New Zealand (Auckland University of Technology 2018, </w:t>
      </w:r>
      <w:r w:rsidRPr="001A740B">
        <w:rPr>
          <w:rFonts w:cs="Arial"/>
          <w:sz w:val="16"/>
          <w:szCs w:val="16"/>
        </w:rPr>
        <w:t>page</w:t>
      </w:r>
      <w:r w:rsidRPr="001A740B">
        <w:rPr>
          <w:sz w:val="16"/>
          <w:szCs w:val="16"/>
        </w:rPr>
        <w:t xml:space="preserve"> 175).</w:t>
      </w:r>
    </w:p>
  </w:endnote>
  <w:endnote w:id="382">
    <w:p w14:paraId="5C3B809C" w14:textId="2B61313B" w:rsidR="00FE4E56" w:rsidRPr="00CB4F47" w:rsidRDefault="00FE4E56" w:rsidP="0048334E">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United Nations, Concluding observations of the Committee on Economic, Social and Cultural Rights: New Zealand E/C.12/NZL/CO/4 (2018</w:t>
      </w:r>
      <w:r w:rsidRPr="001A740B">
        <w:rPr>
          <w:rFonts w:cs="Arial"/>
          <w:sz w:val="16"/>
          <w:szCs w:val="16"/>
        </w:rPr>
        <w:t>,</w:t>
      </w:r>
      <w:r w:rsidRPr="00CB4F47">
        <w:rPr>
          <w:rFonts w:cs="Arial"/>
          <w:sz w:val="16"/>
          <w:szCs w:val="16"/>
        </w:rPr>
        <w:t xml:space="preserve"> para 6</w:t>
      </w:r>
      <w:r>
        <w:rPr>
          <w:rFonts w:cs="Arial"/>
          <w:sz w:val="16"/>
          <w:szCs w:val="16"/>
        </w:rPr>
        <w:t>)</w:t>
      </w:r>
      <w:r w:rsidRPr="00CB4F47">
        <w:rPr>
          <w:rFonts w:cs="Arial"/>
          <w:sz w:val="16"/>
          <w:szCs w:val="16"/>
        </w:rPr>
        <w:t>.</w:t>
      </w:r>
    </w:p>
  </w:endnote>
  <w:endnote w:id="383">
    <w:p w14:paraId="1AA0EB0F" w14:textId="45A1657D" w:rsidR="00FE4E56" w:rsidRPr="00CB4F47" w:rsidRDefault="00FE4E56" w:rsidP="00E65CD4">
      <w:pPr>
        <w:pStyle w:val="EndnoteText"/>
        <w:rPr>
          <w:rFonts w:eastAsia="BatangChe"/>
          <w:sz w:val="16"/>
          <w:szCs w:val="16"/>
        </w:rPr>
      </w:pPr>
      <w:r w:rsidRPr="00536E67">
        <w:rPr>
          <w:rStyle w:val="StyleFootnoteReferenceFagoFunotenzeichenFagoFunotenzeichen"/>
          <w:sz w:val="16"/>
          <w:szCs w:val="16"/>
        </w:rPr>
        <w:endnoteRef/>
      </w:r>
      <w:r w:rsidRPr="00CB4F47">
        <w:rPr>
          <w:rFonts w:eastAsia="BatangChe"/>
          <w:sz w:val="16"/>
          <w:szCs w:val="16"/>
        </w:rPr>
        <w:t xml:space="preserve"> Glazebrook, S, Baird, N &amp; Holden, S, “New Zealand: Country Report on Human Rights</w:t>
      </w:r>
      <w:r>
        <w:rPr>
          <w:rFonts w:eastAsia="BatangChe"/>
          <w:sz w:val="16"/>
          <w:szCs w:val="16"/>
        </w:rPr>
        <w:t>,</w:t>
      </w:r>
      <w:r w:rsidRPr="00CB4F47">
        <w:rPr>
          <w:rFonts w:eastAsia="BatangChe"/>
          <w:sz w:val="16"/>
          <w:szCs w:val="16"/>
        </w:rPr>
        <w:t>” Victoria University of Wellington Law Review</w:t>
      </w:r>
      <w:r>
        <w:rPr>
          <w:rFonts w:eastAsia="BatangChe"/>
          <w:sz w:val="16"/>
          <w:szCs w:val="16"/>
        </w:rPr>
        <w:t>, Volume 40</w:t>
      </w:r>
      <w:r w:rsidRPr="00CB4F47" w:rsidDel="00075676">
        <w:rPr>
          <w:rFonts w:eastAsia="BatangChe"/>
          <w:sz w:val="16"/>
          <w:szCs w:val="16"/>
        </w:rPr>
        <w:t xml:space="preserve"> </w:t>
      </w:r>
      <w:r w:rsidRPr="00CB4F47">
        <w:rPr>
          <w:rFonts w:eastAsia="BatangChe"/>
          <w:sz w:val="16"/>
          <w:szCs w:val="16"/>
        </w:rPr>
        <w:t xml:space="preserve">(2009, </w:t>
      </w:r>
      <w:r w:rsidRPr="00CB4F47">
        <w:rPr>
          <w:rFonts w:cs="Arial"/>
          <w:sz w:val="16"/>
          <w:szCs w:val="16"/>
        </w:rPr>
        <w:t>page</w:t>
      </w:r>
      <w:r w:rsidRPr="00CB4F47">
        <w:rPr>
          <w:rFonts w:eastAsia="BatangChe"/>
          <w:sz w:val="16"/>
          <w:szCs w:val="16"/>
        </w:rPr>
        <w:t xml:space="preserve"> 58</w:t>
      </w:r>
      <w:r>
        <w:rPr>
          <w:rFonts w:eastAsia="BatangChe"/>
          <w:sz w:val="16"/>
          <w:szCs w:val="16"/>
        </w:rPr>
        <w:t>)</w:t>
      </w:r>
      <w:r w:rsidRPr="00CB4F47">
        <w:rPr>
          <w:rFonts w:eastAsia="BatangChe"/>
          <w:sz w:val="16"/>
          <w:szCs w:val="16"/>
        </w:rPr>
        <w:t>.</w:t>
      </w:r>
    </w:p>
  </w:endnote>
  <w:endnote w:id="384">
    <w:p w14:paraId="3E0592F8" w14:textId="3E7A4767" w:rsidR="00FE4E56" w:rsidRPr="00CB4F47" w:rsidRDefault="00FE4E56">
      <w:pPr>
        <w:pStyle w:val="EndnoteText"/>
        <w:rPr>
          <w:sz w:val="16"/>
          <w:szCs w:val="16"/>
        </w:rPr>
      </w:pPr>
      <w:r w:rsidRPr="00536E67">
        <w:rPr>
          <w:rStyle w:val="StyleFootnoteReferenceFagoFunotenzeichenFagoFunotenzeichen"/>
          <w:sz w:val="16"/>
          <w:szCs w:val="16"/>
        </w:rPr>
        <w:endnoteRef/>
      </w:r>
      <w:r w:rsidRPr="00DD5764">
        <w:rPr>
          <w:sz w:val="16"/>
          <w:szCs w:val="16"/>
        </w:rPr>
        <w:t xml:space="preserve"> McGregor, J, Bell, S &amp; Wilson, M, Fault </w:t>
      </w:r>
      <w:r>
        <w:rPr>
          <w:sz w:val="16"/>
          <w:szCs w:val="16"/>
        </w:rPr>
        <w:t>l</w:t>
      </w:r>
      <w:r w:rsidRPr="00DD5764">
        <w:rPr>
          <w:sz w:val="16"/>
          <w:szCs w:val="16"/>
        </w:rPr>
        <w:t xml:space="preserve">ines: Human </w:t>
      </w:r>
      <w:r>
        <w:rPr>
          <w:sz w:val="16"/>
          <w:szCs w:val="16"/>
        </w:rPr>
        <w:t>r</w:t>
      </w:r>
      <w:r w:rsidRPr="00DD5764">
        <w:rPr>
          <w:sz w:val="16"/>
          <w:szCs w:val="16"/>
        </w:rPr>
        <w:t>ights in New Zealand (Auckland University of Technology</w:t>
      </w:r>
      <w:r>
        <w:rPr>
          <w:sz w:val="16"/>
          <w:szCs w:val="16"/>
        </w:rPr>
        <w:t>,</w:t>
      </w:r>
      <w:r w:rsidRPr="00DD5764">
        <w:rPr>
          <w:sz w:val="16"/>
          <w:szCs w:val="16"/>
        </w:rPr>
        <w:t xml:space="preserve"> 2018, </w:t>
      </w:r>
      <w:r w:rsidRPr="00DD5764">
        <w:rPr>
          <w:rFonts w:cs="Arial"/>
          <w:sz w:val="16"/>
          <w:szCs w:val="16"/>
        </w:rPr>
        <w:t>page</w:t>
      </w:r>
      <w:r w:rsidRPr="00DD5764">
        <w:rPr>
          <w:sz w:val="16"/>
          <w:szCs w:val="16"/>
        </w:rPr>
        <w:t xml:space="preserve"> 135</w:t>
      </w:r>
      <w:r>
        <w:rPr>
          <w:sz w:val="16"/>
          <w:szCs w:val="16"/>
        </w:rPr>
        <w:t>)</w:t>
      </w:r>
      <w:r w:rsidRPr="00DD5764">
        <w:rPr>
          <w:sz w:val="16"/>
          <w:szCs w:val="16"/>
        </w:rPr>
        <w:t>.</w:t>
      </w:r>
    </w:p>
  </w:endnote>
  <w:endnote w:id="385">
    <w:p w14:paraId="6B5BC1EB" w14:textId="5CA65B0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Consedine, R, Anti-racism and Treaty of Waitangi activism: Government and community anti-racism organisations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page 5</w:t>
      </w:r>
      <w:r>
        <w:rPr>
          <w:rFonts w:cs="Arial"/>
          <w:sz w:val="16"/>
          <w:szCs w:val="16"/>
        </w:rPr>
        <w:t xml:space="preserve">), </w:t>
      </w:r>
      <w:hyperlink r:id="rId95" w:history="1">
        <w:r w:rsidRPr="00414AB9">
          <w:rPr>
            <w:rStyle w:val="Hyperlink"/>
            <w:rFonts w:cs="Arial"/>
            <w:sz w:val="16"/>
            <w:szCs w:val="16"/>
          </w:rPr>
          <w:t>https://teara.govt.nz/en/anti-racism-and-treaty-of-waitangi-activism/page-5</w:t>
        </w:r>
      </w:hyperlink>
      <w:r w:rsidRPr="00CB4F47">
        <w:rPr>
          <w:rFonts w:cs="Arial"/>
          <w:sz w:val="16"/>
          <w:szCs w:val="16"/>
        </w:rPr>
        <w:t>.</w:t>
      </w:r>
    </w:p>
  </w:endnote>
  <w:endnote w:id="386">
    <w:p w14:paraId="3A2B32EE" w14:textId="4D400C5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Royal Commission of Inquiry into the terrorist attack on Christchurch masjidain on 15 March 2019, “Ko tō tātou kāinga tēnei: Report of the Royal Commission of Inquiry</w:t>
      </w:r>
      <w:r>
        <w:rPr>
          <w:rFonts w:cs="Arial"/>
          <w:sz w:val="16"/>
          <w:szCs w:val="16"/>
        </w:rPr>
        <w:t>,</w:t>
      </w:r>
      <w:r w:rsidRPr="00CB4F47">
        <w:rPr>
          <w:rFonts w:cs="Arial"/>
          <w:sz w:val="16"/>
          <w:szCs w:val="16"/>
        </w:rPr>
        <w:t>” Volume 1: Parts 1</w:t>
      </w:r>
      <w:r w:rsidRPr="00CB4F47">
        <w:rPr>
          <w:rStyle w:val="normaltextrun"/>
          <w:rFonts w:cs="Arial"/>
          <w:color w:val="000000"/>
          <w:sz w:val="16"/>
          <w:szCs w:val="16"/>
          <w:bdr w:val="none" w:sz="0" w:space="0" w:color="auto" w:frame="1"/>
        </w:rPr>
        <w:t>–</w:t>
      </w:r>
      <w:r w:rsidRPr="00CB4F47">
        <w:rPr>
          <w:rFonts w:cs="Arial"/>
          <w:sz w:val="16"/>
          <w:szCs w:val="16"/>
        </w:rPr>
        <w:t>3 (2020</w:t>
      </w:r>
      <w:r w:rsidRPr="00CB4F47" w:rsidDel="00F144B7">
        <w:rPr>
          <w:rFonts w:cs="Arial"/>
          <w:sz w:val="16"/>
          <w:szCs w:val="16"/>
        </w:rPr>
        <w:t xml:space="preserve">, </w:t>
      </w:r>
      <w:r w:rsidRPr="00CB4F47">
        <w:rPr>
          <w:rFonts w:cs="Arial"/>
          <w:sz w:val="16"/>
          <w:szCs w:val="16"/>
        </w:rPr>
        <w:t>page 84</w:t>
      </w:r>
      <w:r>
        <w:rPr>
          <w:rFonts w:cs="Arial"/>
          <w:sz w:val="16"/>
          <w:szCs w:val="16"/>
        </w:rPr>
        <w:t>)</w:t>
      </w:r>
      <w:r w:rsidRPr="00CB4F47">
        <w:rPr>
          <w:rFonts w:cs="Arial"/>
          <w:sz w:val="16"/>
          <w:szCs w:val="16"/>
        </w:rPr>
        <w:t>.</w:t>
      </w:r>
    </w:p>
  </w:endnote>
  <w:endnote w:id="387">
    <w:p w14:paraId="264DB74B" w14:textId="15A120D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Royal Commission of Inquiry into the terrorist attack on Christchurch masjidain on 15 March 2019, “Ko tō tātou kāinga tēnei: Report of the Royal Commission of Inquiry</w:t>
      </w:r>
      <w:r>
        <w:rPr>
          <w:rFonts w:cs="Arial"/>
          <w:sz w:val="16"/>
          <w:szCs w:val="16"/>
        </w:rPr>
        <w:t>,</w:t>
      </w:r>
      <w:r w:rsidRPr="00CB4F47">
        <w:rPr>
          <w:rFonts w:cs="Arial"/>
          <w:sz w:val="16"/>
          <w:szCs w:val="16"/>
        </w:rPr>
        <w:t>” Volume 1: Parts 1</w:t>
      </w:r>
      <w:r w:rsidRPr="00CB4F47">
        <w:rPr>
          <w:rStyle w:val="normaltextrun"/>
          <w:rFonts w:cs="Arial"/>
          <w:color w:val="000000"/>
          <w:sz w:val="16"/>
          <w:szCs w:val="16"/>
          <w:bdr w:val="none" w:sz="0" w:space="0" w:color="auto" w:frame="1"/>
        </w:rPr>
        <w:t>–</w:t>
      </w:r>
      <w:r w:rsidRPr="00CB4F47">
        <w:rPr>
          <w:rFonts w:cs="Arial"/>
          <w:sz w:val="16"/>
          <w:szCs w:val="16"/>
        </w:rPr>
        <w:t>3 (2020</w:t>
      </w:r>
      <w:r w:rsidRPr="00CB4F47" w:rsidDel="00F144B7">
        <w:rPr>
          <w:rFonts w:cs="Arial"/>
          <w:sz w:val="16"/>
          <w:szCs w:val="16"/>
        </w:rPr>
        <w:t xml:space="preserve">, </w:t>
      </w:r>
      <w:r w:rsidRPr="00CB4F47">
        <w:rPr>
          <w:rFonts w:cs="Arial"/>
          <w:sz w:val="16"/>
          <w:szCs w:val="16"/>
        </w:rPr>
        <w:t>page 82</w:t>
      </w:r>
      <w:r>
        <w:rPr>
          <w:rFonts w:cs="Arial"/>
          <w:sz w:val="16"/>
          <w:szCs w:val="16"/>
        </w:rPr>
        <w:t>)</w:t>
      </w:r>
      <w:r w:rsidRPr="00CB4F47">
        <w:rPr>
          <w:rFonts w:cs="Arial"/>
          <w:sz w:val="16"/>
          <w:szCs w:val="16"/>
        </w:rPr>
        <w:t>.</w:t>
      </w:r>
    </w:p>
  </w:endnote>
  <w:endnote w:id="388">
    <w:p w14:paraId="0E7D8221" w14:textId="3A2A580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National </w:t>
      </w:r>
      <w:r w:rsidRPr="005770A3">
        <w:rPr>
          <w:rFonts w:cs="Arial"/>
          <w:sz w:val="16"/>
          <w:szCs w:val="16"/>
        </w:rPr>
        <w:t xml:space="preserve">Advisory Committee on Health and Disability, To have an </w:t>
      </w:r>
      <w:r>
        <w:rPr>
          <w:rFonts w:cs="Arial"/>
          <w:sz w:val="16"/>
          <w:szCs w:val="16"/>
        </w:rPr>
        <w:t>‘</w:t>
      </w:r>
      <w:r w:rsidRPr="005770A3">
        <w:rPr>
          <w:rFonts w:cs="Arial"/>
          <w:sz w:val="16"/>
          <w:szCs w:val="16"/>
        </w:rPr>
        <w:t xml:space="preserve">ordinary' life, Kia whai oranga </w:t>
      </w:r>
      <w:r>
        <w:rPr>
          <w:rFonts w:cs="Arial"/>
          <w:sz w:val="16"/>
          <w:szCs w:val="16"/>
        </w:rPr>
        <w:t>‘</w:t>
      </w:r>
      <w:r w:rsidRPr="005770A3">
        <w:rPr>
          <w:rFonts w:cs="Arial"/>
          <w:sz w:val="16"/>
          <w:szCs w:val="16"/>
        </w:rPr>
        <w:t>noa</w:t>
      </w:r>
      <w:r>
        <w:rPr>
          <w:rFonts w:cs="Arial"/>
          <w:sz w:val="16"/>
          <w:szCs w:val="16"/>
        </w:rPr>
        <w:t>’</w:t>
      </w:r>
      <w:r w:rsidRPr="005770A3">
        <w:rPr>
          <w:rFonts w:cs="Arial"/>
          <w:sz w:val="16"/>
          <w:szCs w:val="16"/>
        </w:rPr>
        <w:t>: Background papers to inform the National Advisory Committee on Health and Disability (2004</w:t>
      </w:r>
      <w:r>
        <w:rPr>
          <w:rFonts w:cs="Arial"/>
          <w:sz w:val="16"/>
          <w:szCs w:val="16"/>
        </w:rPr>
        <w:t>,</w:t>
      </w:r>
      <w:r w:rsidRPr="005770A3" w:rsidDel="005770A3">
        <w:rPr>
          <w:rFonts w:cs="Arial"/>
          <w:sz w:val="16"/>
          <w:szCs w:val="16"/>
        </w:rPr>
        <w:t xml:space="preserve"> </w:t>
      </w:r>
      <w:r w:rsidRPr="00CB4F47">
        <w:rPr>
          <w:rFonts w:cs="Arial"/>
          <w:sz w:val="16"/>
          <w:szCs w:val="16"/>
        </w:rPr>
        <w:t>page 27</w:t>
      </w:r>
      <w:r>
        <w:rPr>
          <w:rFonts w:cs="Arial"/>
          <w:sz w:val="16"/>
          <w:szCs w:val="16"/>
        </w:rPr>
        <w:t>)</w:t>
      </w:r>
      <w:r w:rsidRPr="00CB4F47">
        <w:rPr>
          <w:rFonts w:cs="Arial"/>
          <w:sz w:val="16"/>
          <w:szCs w:val="16"/>
        </w:rPr>
        <w:t>.</w:t>
      </w:r>
    </w:p>
  </w:endnote>
  <w:endnote w:id="389">
    <w:p w14:paraId="7A1E8B5A" w14:textId="02D003B5" w:rsidR="00FE4E56" w:rsidRPr="00536E67" w:rsidRDefault="00FE4E56">
      <w:pPr>
        <w:pStyle w:val="EndnoteText"/>
        <w:rPr>
          <w:sz w:val="16"/>
          <w:szCs w:val="16"/>
        </w:rPr>
      </w:pPr>
      <w:r w:rsidRPr="00536E67">
        <w:rPr>
          <w:rStyle w:val="StyleFootnoteReferenceFagoFunotenzeichenFagoFunotenzeichen"/>
          <w:sz w:val="16"/>
          <w:szCs w:val="16"/>
        </w:rPr>
        <w:endnoteRef/>
      </w:r>
      <w:r w:rsidRPr="00DD5764">
        <w:rPr>
          <w:sz w:val="16"/>
          <w:szCs w:val="16"/>
        </w:rPr>
        <w:t xml:space="preserve"> Witness </w:t>
      </w:r>
      <w:r>
        <w:rPr>
          <w:sz w:val="16"/>
          <w:szCs w:val="16"/>
        </w:rPr>
        <w:t>s</w:t>
      </w:r>
      <w:r w:rsidRPr="00DD5764">
        <w:rPr>
          <w:sz w:val="16"/>
          <w:szCs w:val="16"/>
        </w:rPr>
        <w:t>tatement of Dr Oliver Sutherland (4 October 2019, page 20</w:t>
      </w:r>
      <w:r>
        <w:rPr>
          <w:sz w:val="16"/>
          <w:szCs w:val="16"/>
        </w:rPr>
        <w:t>)</w:t>
      </w:r>
      <w:r w:rsidRPr="00DD5764">
        <w:rPr>
          <w:sz w:val="16"/>
          <w:szCs w:val="16"/>
        </w:rPr>
        <w:t>; United Nations, Decision adopted by the Committee under article 22 of the Convention concerning communication No 852/2017 CAT/C/68/D/852/2017 (2020, para 9.7</w:t>
      </w:r>
      <w:r>
        <w:rPr>
          <w:sz w:val="16"/>
          <w:szCs w:val="16"/>
        </w:rPr>
        <w:t>)</w:t>
      </w:r>
      <w:r w:rsidRPr="00DD5764">
        <w:rPr>
          <w:sz w:val="16"/>
          <w:szCs w:val="16"/>
        </w:rPr>
        <w:t>; United Nations, Decision adopted by the Committee under article 22 of the Convention, concerning communication No 934/2019 CAT/C/73/D/934/2019 (2022, para 8.8</w:t>
      </w:r>
      <w:r>
        <w:rPr>
          <w:sz w:val="16"/>
          <w:szCs w:val="16"/>
        </w:rPr>
        <w:t>)</w:t>
      </w:r>
      <w:r w:rsidRPr="00536E67">
        <w:rPr>
          <w:sz w:val="16"/>
          <w:szCs w:val="16"/>
        </w:rPr>
        <w:t>.</w:t>
      </w:r>
    </w:p>
  </w:endnote>
  <w:endnote w:id="390">
    <w:p w14:paraId="1AC2CB4C" w14:textId="057FB600"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Consedine, R, Anti-racism and Treaty of Waitangi activism: Government and community anti-racism organisations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sidRPr="00CB4F47" w:rsidDel="00207C05">
        <w:rPr>
          <w:rFonts w:cs="Arial"/>
          <w:sz w:val="16"/>
          <w:szCs w:val="16"/>
        </w:rPr>
        <w:t>Encyclopedia</w:t>
      </w:r>
      <w:r w:rsidRPr="00CB4F47">
        <w:rPr>
          <w:rFonts w:cs="Arial"/>
          <w:sz w:val="16"/>
          <w:szCs w:val="16"/>
        </w:rPr>
        <w:t xml:space="preserve"> of New Zealand, page 5</w:t>
      </w:r>
      <w:r>
        <w:rPr>
          <w:rFonts w:cs="Arial"/>
          <w:sz w:val="16"/>
          <w:szCs w:val="16"/>
        </w:rPr>
        <w:t xml:space="preserve">), </w:t>
      </w:r>
      <w:hyperlink r:id="rId96" w:history="1">
        <w:r w:rsidRPr="00414AB9">
          <w:rPr>
            <w:rStyle w:val="Hyperlink"/>
            <w:rFonts w:cs="Arial"/>
            <w:sz w:val="16"/>
            <w:szCs w:val="16"/>
          </w:rPr>
          <w:t>https://teara.govt.nz/en/anti-racism-and-treaty-of-waitangi-activism/page-5</w:t>
        </w:r>
      </w:hyperlink>
      <w:r w:rsidRPr="00CB4F47">
        <w:rPr>
          <w:rFonts w:cs="Arial"/>
          <w:sz w:val="16"/>
          <w:szCs w:val="16"/>
        </w:rPr>
        <w:t>.</w:t>
      </w:r>
    </w:p>
  </w:endnote>
  <w:endnote w:id="391">
    <w:p w14:paraId="0AAEE8DC" w14:textId="16EA666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98561E">
        <w:rPr>
          <w:rFonts w:cs="Arial"/>
          <w:sz w:val="16"/>
          <w:szCs w:val="16"/>
        </w:rPr>
        <w:t>Te tai – Treaty Settlement Stories, Ngā Tamatoa and Te Reo Māori society (</w:t>
      </w:r>
      <w:r w:rsidRPr="0012481A">
        <w:rPr>
          <w:rFonts w:cs="Arial"/>
          <w:sz w:val="16"/>
          <w:szCs w:val="16"/>
        </w:rPr>
        <w:t xml:space="preserve">Te Ara </w:t>
      </w:r>
      <w:r w:rsidRPr="00381A77">
        <w:rPr>
          <w:rFonts w:cs="Arial"/>
          <w:sz w:val="16"/>
          <w:szCs w:val="16"/>
        </w:rPr>
        <w:t>–</w:t>
      </w:r>
      <w:r w:rsidRPr="007D7054">
        <w:rPr>
          <w:rFonts w:cs="Arial"/>
          <w:sz w:val="16"/>
          <w:szCs w:val="16"/>
        </w:rPr>
        <w:t xml:space="preserve"> the Encyclop</w:t>
      </w:r>
      <w:r w:rsidRPr="00112E87">
        <w:rPr>
          <w:rFonts w:cs="Arial"/>
          <w:sz w:val="16"/>
          <w:szCs w:val="16"/>
        </w:rPr>
        <w:t>edia</w:t>
      </w:r>
      <w:r w:rsidRPr="0021284F">
        <w:rPr>
          <w:rFonts w:cs="Arial"/>
          <w:sz w:val="16"/>
          <w:szCs w:val="16"/>
        </w:rPr>
        <w:t xml:space="preserve"> of New Zealand, 2023</w:t>
      </w:r>
      <w:r w:rsidRPr="0098561E">
        <w:rPr>
          <w:rFonts w:cs="Arial"/>
          <w:sz w:val="16"/>
          <w:szCs w:val="16"/>
        </w:rPr>
        <w:t>)</w:t>
      </w:r>
      <w:r w:rsidRPr="0012481A">
        <w:rPr>
          <w:rFonts w:cs="Arial"/>
          <w:sz w:val="16"/>
          <w:szCs w:val="16"/>
        </w:rPr>
        <w:t xml:space="preserve">, </w:t>
      </w:r>
      <w:hyperlink r:id="rId97" w:tgtFrame="_blank" w:tooltip="https://teara.govt.nz/en/te-tai/te-mana-o-te-reo-maori-nga-tamatoa" w:history="1">
        <w:r w:rsidRPr="00DD5764">
          <w:rPr>
            <w:rFonts w:cs="Arial"/>
            <w:sz w:val="16"/>
            <w:szCs w:val="16"/>
          </w:rPr>
          <w:t>https://teara.govt.nz/en/te-tai/te-mana-o-te-reo-maori-nga-tamatoa</w:t>
        </w:r>
      </w:hyperlink>
      <w:r w:rsidRPr="0098561E">
        <w:rPr>
          <w:rFonts w:cs="Arial"/>
          <w:sz w:val="16"/>
          <w:szCs w:val="16"/>
        </w:rPr>
        <w:t>.</w:t>
      </w:r>
    </w:p>
  </w:endnote>
  <w:endnote w:id="392">
    <w:p w14:paraId="04F7D9CD" w14:textId="6658E77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Witness statement of Dr Oliver Sutherland </w:t>
      </w:r>
      <w:r>
        <w:rPr>
          <w:rFonts w:cs="Arial"/>
          <w:sz w:val="16"/>
          <w:szCs w:val="16"/>
        </w:rPr>
        <w:t>(</w:t>
      </w:r>
      <w:r w:rsidRPr="00CB4F47">
        <w:rPr>
          <w:rFonts w:cs="Arial"/>
          <w:sz w:val="16"/>
          <w:szCs w:val="16"/>
        </w:rPr>
        <w:t>4 October 2019, page 9</w:t>
      </w:r>
      <w:r>
        <w:rPr>
          <w:rFonts w:cs="Arial"/>
          <w:sz w:val="16"/>
          <w:szCs w:val="16"/>
        </w:rPr>
        <w:t>)</w:t>
      </w:r>
      <w:r w:rsidRPr="00CB4F47">
        <w:rPr>
          <w:rFonts w:cs="Arial"/>
          <w:sz w:val="16"/>
          <w:szCs w:val="16"/>
        </w:rPr>
        <w:t>.</w:t>
      </w:r>
    </w:p>
  </w:endnote>
  <w:endnote w:id="393">
    <w:p w14:paraId="3B760072" w14:textId="0F75CCFC"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BatangChe" w:cs="Arial"/>
          <w:sz w:val="16"/>
          <w:szCs w:val="16"/>
        </w:rPr>
        <w:t xml:space="preserve">Savage, C, Moyle, P, Kus-Harbord, L, Ahuriri-Driscoll, A, Hynds, A, Paipa, K, Leonard, G, Maraki, J &amp; Leonard, J, Hāhā-uri, hāhā-tea: Māori involvement in State </w:t>
      </w:r>
      <w:r>
        <w:rPr>
          <w:rFonts w:eastAsia="BatangChe" w:cs="Arial"/>
          <w:sz w:val="16"/>
          <w:szCs w:val="16"/>
        </w:rPr>
        <w:t>c</w:t>
      </w:r>
      <w:r w:rsidRPr="00CB4F47">
        <w:rPr>
          <w:rFonts w:eastAsia="BatangChe" w:cs="Arial"/>
          <w:sz w:val="16"/>
          <w:szCs w:val="16"/>
        </w:rPr>
        <w:t xml:space="preserve">are 1950–1999 </w:t>
      </w:r>
      <w:r w:rsidRPr="00CB4F47">
        <w:rPr>
          <w:rFonts w:eastAsia="BatangChe" w:cs="Arial"/>
          <w:color w:val="001C2E"/>
          <w:sz w:val="16"/>
          <w:szCs w:val="16"/>
          <w:shd w:val="clear" w:color="auto" w:fill="FFFFFF"/>
        </w:rPr>
        <w:t xml:space="preserve">(Ihi Research, 2021, </w:t>
      </w:r>
      <w:r w:rsidRPr="00CB4F47">
        <w:rPr>
          <w:rFonts w:cs="Arial"/>
          <w:sz w:val="16"/>
          <w:szCs w:val="16"/>
        </w:rPr>
        <w:t>page 14</w:t>
      </w:r>
      <w:r>
        <w:rPr>
          <w:rFonts w:cs="Arial"/>
          <w:sz w:val="16"/>
          <w:szCs w:val="16"/>
        </w:rPr>
        <w:t>)</w:t>
      </w:r>
      <w:r w:rsidRPr="00CB4F47">
        <w:rPr>
          <w:rFonts w:cs="Arial"/>
          <w:sz w:val="16"/>
          <w:szCs w:val="16"/>
        </w:rPr>
        <w:t>.</w:t>
      </w:r>
    </w:p>
  </w:endnote>
  <w:endnote w:id="394">
    <w:p w14:paraId="7A210DDF" w14:textId="48824639"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Segoe UI" w:cs="Arial"/>
          <w:sz w:val="16"/>
          <w:szCs w:val="16"/>
        </w:rPr>
        <w:t>Waitangi Tribunal, He Pāharakeke, He Rito Whakakīkīnga Whāruarua: Oranga Tamariki Urgent Inquiry</w:t>
      </w:r>
      <w:r>
        <w:rPr>
          <w:rFonts w:eastAsia="Segoe UI" w:cs="Arial"/>
          <w:sz w:val="16"/>
          <w:szCs w:val="16"/>
        </w:rPr>
        <w:t xml:space="preserve">, </w:t>
      </w:r>
      <w:r w:rsidRPr="00CB4F47">
        <w:rPr>
          <w:rFonts w:eastAsia="Segoe UI" w:cs="Arial"/>
          <w:sz w:val="16"/>
          <w:szCs w:val="16"/>
        </w:rPr>
        <w:t>pre-publication version</w:t>
      </w:r>
      <w:r>
        <w:rPr>
          <w:rFonts w:eastAsia="Segoe UI" w:cs="Arial"/>
          <w:sz w:val="16"/>
          <w:szCs w:val="16"/>
        </w:rPr>
        <w:t xml:space="preserve"> (</w:t>
      </w:r>
      <w:r w:rsidRPr="00CB4F47">
        <w:rPr>
          <w:rFonts w:eastAsia="Segoe UI" w:cs="Arial"/>
          <w:sz w:val="16"/>
          <w:szCs w:val="16"/>
        </w:rPr>
        <w:t>Wai 2915</w:t>
      </w:r>
      <w:r>
        <w:rPr>
          <w:rFonts w:eastAsia="Segoe UI" w:cs="Arial"/>
          <w:sz w:val="16"/>
          <w:szCs w:val="16"/>
        </w:rPr>
        <w:t>)</w:t>
      </w:r>
      <w:r w:rsidRPr="00CB4F47">
        <w:rPr>
          <w:rFonts w:eastAsia="Segoe UI" w:cs="Arial"/>
          <w:sz w:val="16"/>
          <w:szCs w:val="16"/>
        </w:rPr>
        <w:t xml:space="preserve">, </w:t>
      </w:r>
      <w:r>
        <w:rPr>
          <w:rFonts w:eastAsia="Segoe UI" w:cs="Arial"/>
          <w:sz w:val="16"/>
          <w:szCs w:val="16"/>
        </w:rPr>
        <w:t>(</w:t>
      </w:r>
      <w:r w:rsidRPr="00CB4F47">
        <w:rPr>
          <w:rFonts w:eastAsia="Segoe UI" w:cs="Arial"/>
          <w:sz w:val="16"/>
          <w:szCs w:val="16"/>
        </w:rPr>
        <w:t>2021</w:t>
      </w:r>
      <w:r w:rsidRPr="00CB4F47">
        <w:rPr>
          <w:rFonts w:cs="Arial"/>
          <w:sz w:val="16"/>
          <w:szCs w:val="16"/>
        </w:rPr>
        <w:t>, page 32</w:t>
      </w:r>
      <w:r>
        <w:rPr>
          <w:rFonts w:cs="Arial"/>
          <w:sz w:val="16"/>
          <w:szCs w:val="16"/>
        </w:rPr>
        <w:t>)</w:t>
      </w:r>
      <w:r w:rsidRPr="00CB4F47">
        <w:rPr>
          <w:rFonts w:cs="Arial"/>
          <w:sz w:val="16"/>
          <w:szCs w:val="16"/>
        </w:rPr>
        <w:t>.</w:t>
      </w:r>
    </w:p>
  </w:endnote>
  <w:endnote w:id="395">
    <w:p w14:paraId="611E0F88" w14:textId="4CC2CF1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7</w:t>
      </w:r>
      <w:r>
        <w:rPr>
          <w:rFonts w:cs="Arial"/>
          <w:sz w:val="16"/>
          <w:szCs w:val="16"/>
        </w:rPr>
        <w:t>)</w:t>
      </w:r>
      <w:r w:rsidRPr="00CB4F47">
        <w:rPr>
          <w:rFonts w:cs="Arial"/>
          <w:sz w:val="16"/>
          <w:szCs w:val="16"/>
        </w:rPr>
        <w:t>.</w:t>
      </w:r>
    </w:p>
  </w:endnote>
  <w:endnote w:id="396">
    <w:p w14:paraId="5946C76C" w14:textId="5623133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 7</w:t>
      </w:r>
      <w:r>
        <w:rPr>
          <w:rFonts w:cs="Arial"/>
          <w:sz w:val="16"/>
          <w:szCs w:val="16"/>
        </w:rPr>
        <w:t>)</w:t>
      </w:r>
      <w:r w:rsidRPr="00CB4F47">
        <w:rPr>
          <w:rFonts w:cs="Arial"/>
          <w:sz w:val="16"/>
          <w:szCs w:val="16"/>
        </w:rPr>
        <w:t>.</w:t>
      </w:r>
    </w:p>
  </w:endnote>
  <w:endnote w:id="397">
    <w:p w14:paraId="0B5D4D1C" w14:textId="1AA46CB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Māori Perspective Advisory Committee, Puao-te-ata-tu (day break): The report of the Ministerial Advisory Committee on a Māori perspective for the Department of Social Welfare (Department of Social Welfare, 1988, pages 12 and 34</w:t>
      </w:r>
      <w:r>
        <w:rPr>
          <w:rFonts w:cs="Arial"/>
          <w:sz w:val="16"/>
          <w:szCs w:val="16"/>
        </w:rPr>
        <w:t>)</w:t>
      </w:r>
      <w:r w:rsidRPr="00CB4F47">
        <w:rPr>
          <w:rFonts w:cs="Arial"/>
          <w:sz w:val="16"/>
          <w:szCs w:val="16"/>
        </w:rPr>
        <w:t>.</w:t>
      </w:r>
    </w:p>
  </w:endnote>
  <w:endnote w:id="398">
    <w:p w14:paraId="1563DA9B" w14:textId="30EB4C2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Smale, A, “The Misery-Go-Round” (North &amp; South, September 2022).</w:t>
      </w:r>
    </w:p>
  </w:endnote>
  <w:endnote w:id="399">
    <w:p w14:paraId="093A235D" w14:textId="707B5582" w:rsidR="00FE4E56" w:rsidRPr="00CB4F47" w:rsidRDefault="00FE4E56" w:rsidP="005C11C1">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Transcript of evidence of Chief Ombudsman Peter Boshier (26 August 2022</w:t>
      </w:r>
      <w:r>
        <w:rPr>
          <w:rFonts w:cs="Arial"/>
          <w:sz w:val="16"/>
          <w:szCs w:val="16"/>
        </w:rPr>
        <w:t>,</w:t>
      </w:r>
      <w:r w:rsidRPr="00CB4F47">
        <w:rPr>
          <w:rFonts w:cs="Arial"/>
          <w:sz w:val="16"/>
          <w:szCs w:val="16"/>
        </w:rPr>
        <w:t xml:space="preserve"> pages 1041</w:t>
      </w:r>
      <w:r>
        <w:rPr>
          <w:rFonts w:cs="Arial"/>
          <w:sz w:val="16"/>
          <w:szCs w:val="16"/>
        </w:rPr>
        <w:t>–</w:t>
      </w:r>
      <w:r w:rsidRPr="00CB4F47">
        <w:rPr>
          <w:rFonts w:cs="Arial"/>
          <w:sz w:val="16"/>
          <w:szCs w:val="16"/>
        </w:rPr>
        <w:t>1042</w:t>
      </w:r>
      <w:r>
        <w:rPr>
          <w:rFonts w:cs="Arial"/>
          <w:sz w:val="16"/>
          <w:szCs w:val="16"/>
        </w:rPr>
        <w:t>)</w:t>
      </w:r>
      <w:r w:rsidRPr="00CB4F47">
        <w:rPr>
          <w:rFonts w:cs="Arial"/>
          <w:sz w:val="16"/>
          <w:szCs w:val="16"/>
        </w:rPr>
        <w:t xml:space="preserve">; </w:t>
      </w:r>
      <w:r w:rsidRPr="00CB4F47">
        <w:rPr>
          <w:rFonts w:cs="Arial"/>
          <w:color w:val="262626"/>
          <w:sz w:val="16"/>
          <w:szCs w:val="16"/>
        </w:rPr>
        <w:t>Hyslop, I &amp; Keddell, E, Changes needed to the current system of child protection and care in Aotearoa,</w:t>
      </w:r>
      <w:r>
        <w:rPr>
          <w:rFonts w:cs="Arial"/>
          <w:color w:val="262626"/>
          <w:sz w:val="16"/>
          <w:szCs w:val="16"/>
        </w:rPr>
        <w:t xml:space="preserve"> Expert opinion prepared for</w:t>
      </w:r>
      <w:r w:rsidRPr="00CB4F47" w:rsidDel="00390577">
        <w:rPr>
          <w:rFonts w:cs="Arial"/>
          <w:color w:val="262626"/>
          <w:sz w:val="16"/>
          <w:szCs w:val="16"/>
        </w:rPr>
        <w:t xml:space="preserve"> </w:t>
      </w:r>
      <w:r>
        <w:rPr>
          <w:rFonts w:cs="Arial"/>
          <w:color w:val="262626"/>
          <w:sz w:val="16"/>
          <w:szCs w:val="16"/>
        </w:rPr>
        <w:t xml:space="preserve">the </w:t>
      </w:r>
      <w:r w:rsidRPr="00CB4F47">
        <w:rPr>
          <w:rFonts w:cs="Arial"/>
          <w:color w:val="262626"/>
          <w:sz w:val="16"/>
          <w:szCs w:val="16"/>
        </w:rPr>
        <w:t xml:space="preserve">Royal Commission of Inquiry into Abuse in Care </w:t>
      </w:r>
      <w:r>
        <w:rPr>
          <w:rFonts w:cs="Arial"/>
          <w:color w:val="262626"/>
          <w:sz w:val="16"/>
          <w:szCs w:val="16"/>
        </w:rPr>
        <w:t>(</w:t>
      </w:r>
      <w:r w:rsidRPr="00CB4F47">
        <w:rPr>
          <w:rFonts w:cs="Arial"/>
          <w:color w:val="262626"/>
          <w:sz w:val="16"/>
          <w:szCs w:val="16"/>
        </w:rPr>
        <w:t xml:space="preserve">7 June 2022, </w:t>
      </w:r>
      <w:r w:rsidRPr="00CB4F47">
        <w:rPr>
          <w:rFonts w:cs="Arial"/>
          <w:sz w:val="16"/>
          <w:szCs w:val="16"/>
        </w:rPr>
        <w:t>page</w:t>
      </w:r>
      <w:r w:rsidRPr="00CB4F47">
        <w:rPr>
          <w:rFonts w:cs="Arial"/>
          <w:color w:val="262626"/>
          <w:sz w:val="16"/>
          <w:szCs w:val="16"/>
        </w:rPr>
        <w:t xml:space="preserve"> 5</w:t>
      </w:r>
      <w:r>
        <w:rPr>
          <w:rFonts w:cs="Arial"/>
          <w:color w:val="262626"/>
          <w:sz w:val="16"/>
          <w:szCs w:val="16"/>
        </w:rPr>
        <w:t xml:space="preserve">); </w:t>
      </w:r>
      <w:r w:rsidRPr="00FD11CA">
        <w:rPr>
          <w:rFonts w:cs="Arial"/>
          <w:sz w:val="16"/>
          <w:szCs w:val="16"/>
        </w:rPr>
        <w:t>Dalley, B, Family matters: Child welfare in twentieth-century New Zealand (Auckland University Press, 1998, page</w:t>
      </w:r>
      <w:r>
        <w:rPr>
          <w:rFonts w:cs="Arial"/>
          <w:sz w:val="16"/>
          <w:szCs w:val="16"/>
        </w:rPr>
        <w:t>s 265 – 266)</w:t>
      </w:r>
      <w:r w:rsidRPr="00FD11CA">
        <w:rPr>
          <w:rFonts w:cs="Arial"/>
          <w:sz w:val="16"/>
          <w:szCs w:val="16"/>
        </w:rPr>
        <w:t>.</w:t>
      </w:r>
    </w:p>
  </w:endnote>
  <w:endnote w:id="400">
    <w:p w14:paraId="4C3D5A3F" w14:textId="7559EF28"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sidDel="00A04830">
        <w:rPr>
          <w:rFonts w:cs="Arial"/>
          <w:sz w:val="16"/>
          <w:szCs w:val="16"/>
        </w:rPr>
        <w:t xml:space="preserve"> </w:t>
      </w:r>
      <w:r w:rsidRPr="00CB4F47">
        <w:rPr>
          <w:rFonts w:cs="Arial"/>
          <w:sz w:val="16"/>
          <w:szCs w:val="16"/>
        </w:rPr>
        <w:t>Powell</w:t>
      </w:r>
      <w:r>
        <w:rPr>
          <w:rFonts w:cs="Arial"/>
          <w:sz w:val="16"/>
          <w:szCs w:val="16"/>
        </w:rPr>
        <w:t>,</w:t>
      </w:r>
      <w:r w:rsidRPr="00CB4F47">
        <w:rPr>
          <w:rFonts w:cs="Arial"/>
          <w:sz w:val="16"/>
          <w:szCs w:val="16"/>
        </w:rPr>
        <w:t xml:space="preserve"> D &amp; Hyde</w:t>
      </w:r>
      <w:r>
        <w:rPr>
          <w:rFonts w:cs="Arial"/>
          <w:sz w:val="16"/>
          <w:szCs w:val="16"/>
        </w:rPr>
        <w:t>,</w:t>
      </w:r>
      <w:r w:rsidRPr="00CB4F47">
        <w:rPr>
          <w:rFonts w:cs="Arial"/>
          <w:sz w:val="16"/>
          <w:szCs w:val="16"/>
        </w:rPr>
        <w:t xml:space="preserve"> M, “Deaf Education in New Zealand: Where we have been and where we are going</w:t>
      </w:r>
      <w:r>
        <w:rPr>
          <w:rFonts w:cs="Arial"/>
          <w:sz w:val="16"/>
          <w:szCs w:val="16"/>
        </w:rPr>
        <w:t>,</w:t>
      </w:r>
      <w:r w:rsidRPr="00CB4F47">
        <w:rPr>
          <w:rFonts w:cs="Arial"/>
          <w:sz w:val="16"/>
          <w:szCs w:val="16"/>
        </w:rPr>
        <w:t>” Deafness &amp; Education International, 16(3) (2014, pages 129–145, page 13</w:t>
      </w:r>
      <w:r>
        <w:rPr>
          <w:rFonts w:cs="Arial"/>
          <w:sz w:val="16"/>
          <w:szCs w:val="16"/>
        </w:rPr>
        <w:t>1)</w:t>
      </w:r>
      <w:r w:rsidRPr="00CB4F47">
        <w:rPr>
          <w:rFonts w:cs="Arial"/>
          <w:sz w:val="16"/>
          <w:szCs w:val="16"/>
        </w:rPr>
        <w:t xml:space="preserve">. </w:t>
      </w:r>
    </w:p>
  </w:endnote>
  <w:endnote w:id="401">
    <w:p w14:paraId="68BC0D22" w14:textId="55739C4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Hopkins</w:t>
      </w:r>
      <w:r>
        <w:rPr>
          <w:rFonts w:cs="Arial"/>
          <w:sz w:val="16"/>
          <w:szCs w:val="16"/>
        </w:rPr>
        <w:t>,</w:t>
      </w:r>
      <w:r w:rsidRPr="00CB4F47">
        <w:rPr>
          <w:rFonts w:cs="Arial"/>
          <w:sz w:val="16"/>
          <w:szCs w:val="16"/>
        </w:rPr>
        <w:t xml:space="preserve"> R, Listening eyes, speaking hands: The story of Deaf Education in New Zealand (Ministry of Education, 2018, page 1</w:t>
      </w:r>
      <w:r>
        <w:rPr>
          <w:rFonts w:cs="Arial"/>
          <w:sz w:val="16"/>
          <w:szCs w:val="16"/>
        </w:rPr>
        <w:t>)</w:t>
      </w:r>
      <w:r w:rsidRPr="00CB4F47">
        <w:rPr>
          <w:rFonts w:cs="Arial"/>
          <w:sz w:val="16"/>
          <w:szCs w:val="16"/>
        </w:rPr>
        <w:t>.</w:t>
      </w:r>
    </w:p>
  </w:endnote>
  <w:endnote w:id="402">
    <w:p w14:paraId="1150C0EC" w14:textId="1638CC9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sidDel="00A04830">
        <w:rPr>
          <w:rFonts w:cs="Arial"/>
          <w:sz w:val="16"/>
          <w:szCs w:val="16"/>
        </w:rPr>
        <w:t xml:space="preserve"> </w:t>
      </w:r>
      <w:r w:rsidRPr="00CB4F47">
        <w:rPr>
          <w:rFonts w:cs="Arial"/>
          <w:sz w:val="16"/>
          <w:szCs w:val="16"/>
        </w:rPr>
        <w:t>Powell</w:t>
      </w:r>
      <w:r>
        <w:rPr>
          <w:rFonts w:cs="Arial"/>
          <w:sz w:val="16"/>
          <w:szCs w:val="16"/>
        </w:rPr>
        <w:t>,</w:t>
      </w:r>
      <w:r w:rsidRPr="00CB4F47">
        <w:rPr>
          <w:rFonts w:cs="Arial"/>
          <w:sz w:val="16"/>
          <w:szCs w:val="16"/>
        </w:rPr>
        <w:t xml:space="preserve"> D &amp; Hyde</w:t>
      </w:r>
      <w:r>
        <w:rPr>
          <w:rFonts w:cs="Arial"/>
          <w:sz w:val="16"/>
          <w:szCs w:val="16"/>
        </w:rPr>
        <w:t>,</w:t>
      </w:r>
      <w:r w:rsidRPr="00CB4F47">
        <w:rPr>
          <w:rFonts w:cs="Arial"/>
          <w:sz w:val="16"/>
          <w:szCs w:val="16"/>
        </w:rPr>
        <w:t xml:space="preserve"> M, “Deaf Education in New Zealand: Where we have been and where we are going</w:t>
      </w:r>
      <w:r>
        <w:rPr>
          <w:rFonts w:cs="Arial"/>
          <w:sz w:val="16"/>
          <w:szCs w:val="16"/>
        </w:rPr>
        <w:t>,</w:t>
      </w:r>
      <w:r w:rsidRPr="00CB4F47">
        <w:rPr>
          <w:rFonts w:cs="Arial"/>
          <w:sz w:val="16"/>
          <w:szCs w:val="16"/>
        </w:rPr>
        <w:t>” Deafness &amp; Education International, 16(3) (2014, pages 129–145</w:t>
      </w:r>
      <w:r>
        <w:rPr>
          <w:rFonts w:cs="Arial"/>
          <w:sz w:val="16"/>
          <w:szCs w:val="16"/>
        </w:rPr>
        <w:t xml:space="preserve">, page </w:t>
      </w:r>
      <w:r w:rsidRPr="00CB4F47">
        <w:rPr>
          <w:rFonts w:cs="Arial"/>
          <w:sz w:val="16"/>
          <w:szCs w:val="16"/>
        </w:rPr>
        <w:t>131</w:t>
      </w:r>
      <w:r>
        <w:rPr>
          <w:rFonts w:cs="Arial"/>
          <w:sz w:val="16"/>
          <w:szCs w:val="16"/>
        </w:rPr>
        <w:t>)</w:t>
      </w:r>
      <w:r w:rsidRPr="00CB4F47">
        <w:rPr>
          <w:rFonts w:cs="Arial"/>
          <w:sz w:val="16"/>
          <w:szCs w:val="16"/>
        </w:rPr>
        <w:t>.</w:t>
      </w:r>
    </w:p>
  </w:endnote>
  <w:endnote w:id="403">
    <w:p w14:paraId="6790F12E" w14:textId="08274FC6" w:rsidR="00FE4E56" w:rsidRPr="00DD5764" w:rsidRDefault="00FE4E56">
      <w:pPr>
        <w:pStyle w:val="EndnoteText"/>
        <w:rPr>
          <w:sz w:val="16"/>
          <w:szCs w:val="16"/>
        </w:rPr>
      </w:pPr>
      <w:r w:rsidRPr="00536E67">
        <w:rPr>
          <w:rStyle w:val="StyleFootnoteReferenceFagoFunotenzeichenFagoFunotenzeichen"/>
          <w:sz w:val="16"/>
          <w:szCs w:val="16"/>
        </w:rPr>
        <w:endnoteRef/>
      </w:r>
      <w:r w:rsidRPr="00DD5764">
        <w:rPr>
          <w:sz w:val="16"/>
          <w:szCs w:val="16"/>
        </w:rPr>
        <w:t xml:space="preserve"> Deaf Aotearoa</w:t>
      </w:r>
      <w:r>
        <w:rPr>
          <w:sz w:val="16"/>
          <w:szCs w:val="16"/>
        </w:rPr>
        <w:t xml:space="preserve"> website</w:t>
      </w:r>
      <w:r w:rsidRPr="00DD5764">
        <w:rPr>
          <w:sz w:val="16"/>
          <w:szCs w:val="16"/>
        </w:rPr>
        <w:t>, History</w:t>
      </w:r>
      <w:r>
        <w:rPr>
          <w:sz w:val="16"/>
          <w:szCs w:val="16"/>
        </w:rPr>
        <w:t xml:space="preserve"> (accessed 11 March 2024),</w:t>
      </w:r>
      <w:r w:rsidRPr="00DD5764">
        <w:rPr>
          <w:sz w:val="16"/>
          <w:szCs w:val="16"/>
        </w:rPr>
        <w:t xml:space="preserve"> </w:t>
      </w:r>
      <w:hyperlink r:id="rId98" w:history="1">
        <w:r w:rsidRPr="000454DB">
          <w:rPr>
            <w:rStyle w:val="Hyperlink"/>
            <w:sz w:val="16"/>
            <w:szCs w:val="16"/>
          </w:rPr>
          <w:t>https://www.deaf.org.nz/about/history/</w:t>
        </w:r>
      </w:hyperlink>
      <w:r>
        <w:rPr>
          <w:sz w:val="16"/>
          <w:szCs w:val="16"/>
        </w:rPr>
        <w:t>.</w:t>
      </w:r>
    </w:p>
  </w:endnote>
  <w:endnote w:id="404">
    <w:p w14:paraId="18E8E580" w14:textId="61C6AC3D" w:rsidR="00FE4E56" w:rsidRDefault="00FE4E56">
      <w:pPr>
        <w:pStyle w:val="EndnoteText"/>
      </w:pPr>
      <w:r>
        <w:rPr>
          <w:rStyle w:val="EndnoteReference"/>
        </w:rPr>
        <w:endnoteRef/>
      </w:r>
      <w:r>
        <w:t xml:space="preserve"> </w:t>
      </w:r>
      <w:r w:rsidRPr="00536E67">
        <w:rPr>
          <w:sz w:val="16"/>
          <w:szCs w:val="18"/>
        </w:rPr>
        <w:t xml:space="preserve">Bennion Law, amended Statement of Claim, Wai 2575 and Wai 2143 (Bennion Law 2019 pages 3–4). </w:t>
      </w:r>
    </w:p>
  </w:endnote>
  <w:endnote w:id="405">
    <w:p w14:paraId="67A0222B" w14:textId="672C018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Oliver, M, The politics of disablement (Springer, 1990, pages 1–11</w:t>
      </w:r>
      <w:r>
        <w:rPr>
          <w:rFonts w:cs="Arial"/>
          <w:sz w:val="16"/>
          <w:szCs w:val="16"/>
        </w:rPr>
        <w:t>)</w:t>
      </w:r>
      <w:r w:rsidRPr="00CB4F47">
        <w:rPr>
          <w:rFonts w:cs="Arial"/>
          <w:sz w:val="16"/>
          <w:szCs w:val="16"/>
        </w:rPr>
        <w:t>.</w:t>
      </w:r>
    </w:p>
  </w:endnote>
  <w:endnote w:id="406">
    <w:p w14:paraId="054BB32D" w14:textId="0459E396"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Webb, OJ,</w:t>
      </w:r>
      <w:r w:rsidRPr="00CB4F47" w:rsidDel="00176687">
        <w:rPr>
          <w:rFonts w:cs="Arial"/>
          <w:sz w:val="16"/>
          <w:szCs w:val="16"/>
        </w:rPr>
        <w:t xml:space="preserve"> </w:t>
      </w:r>
      <w:r w:rsidRPr="00CB4F47">
        <w:rPr>
          <w:rFonts w:cs="Arial"/>
          <w:sz w:val="16"/>
          <w:szCs w:val="16"/>
        </w:rPr>
        <w:t>The likely impact of prevailing conditions and environments on people now considered to be neurodiverse, between 1950 and 1990</w:t>
      </w:r>
      <w:r>
        <w:rPr>
          <w:rFonts w:cs="Arial"/>
          <w:sz w:val="16"/>
          <w:szCs w:val="16"/>
        </w:rPr>
        <w:t xml:space="preserve">, </w:t>
      </w:r>
      <w:r w:rsidRPr="00CB4F47">
        <w:rPr>
          <w:rFonts w:cs="Arial"/>
          <w:sz w:val="16"/>
          <w:szCs w:val="16"/>
        </w:rPr>
        <w:t>Paper prepared for the Royal Commission</w:t>
      </w:r>
      <w:r>
        <w:rPr>
          <w:rFonts w:cs="Arial"/>
          <w:sz w:val="16"/>
          <w:szCs w:val="16"/>
        </w:rPr>
        <w:t xml:space="preserve"> of Inquiry into Abuse in Care</w:t>
      </w:r>
      <w:r w:rsidRPr="00CB4F47">
        <w:rPr>
          <w:rFonts w:cs="Arial"/>
          <w:sz w:val="16"/>
          <w:szCs w:val="16"/>
        </w:rPr>
        <w:t xml:space="preserve"> (25 Nov</w:t>
      </w:r>
      <w:r>
        <w:rPr>
          <w:rFonts w:cs="Arial"/>
          <w:sz w:val="16"/>
          <w:szCs w:val="16"/>
        </w:rPr>
        <w:t>ember</w:t>
      </w:r>
      <w:r w:rsidRPr="00CB4F47">
        <w:rPr>
          <w:rFonts w:cs="Arial"/>
          <w:sz w:val="16"/>
          <w:szCs w:val="16"/>
        </w:rPr>
        <w:t xml:space="preserve"> 2022, page 11</w:t>
      </w:r>
      <w:r>
        <w:rPr>
          <w:rFonts w:cs="Arial"/>
          <w:sz w:val="16"/>
          <w:szCs w:val="16"/>
        </w:rPr>
        <w:t>)</w:t>
      </w:r>
      <w:r w:rsidRPr="00CB4F47">
        <w:rPr>
          <w:rFonts w:cs="Arial"/>
          <w:sz w:val="16"/>
          <w:szCs w:val="16"/>
        </w:rPr>
        <w:t>.</w:t>
      </w:r>
    </w:p>
  </w:endnote>
  <w:endnote w:id="407">
    <w:p w14:paraId="6CC14683" w14:textId="2CA8FEC3"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Third Report of the Royal Commission of Inquiry into </w:t>
      </w:r>
      <w:r>
        <w:rPr>
          <w:rFonts w:cs="Arial"/>
          <w:sz w:val="16"/>
          <w:szCs w:val="16"/>
        </w:rPr>
        <w:t>h</w:t>
      </w:r>
      <w:r w:rsidRPr="00CB4F47">
        <w:rPr>
          <w:rFonts w:cs="Arial"/>
          <w:sz w:val="16"/>
          <w:szCs w:val="16"/>
        </w:rPr>
        <w:t xml:space="preserve">ospital and </w:t>
      </w:r>
      <w:r>
        <w:rPr>
          <w:rFonts w:cs="Arial"/>
          <w:sz w:val="16"/>
          <w:szCs w:val="16"/>
        </w:rPr>
        <w:t>r</w:t>
      </w:r>
      <w:r w:rsidRPr="00CB4F47">
        <w:rPr>
          <w:rFonts w:cs="Arial"/>
          <w:sz w:val="16"/>
          <w:szCs w:val="16"/>
        </w:rPr>
        <w:t xml:space="preserve">elated </w:t>
      </w:r>
      <w:r>
        <w:rPr>
          <w:rFonts w:cs="Arial"/>
          <w:sz w:val="16"/>
          <w:szCs w:val="16"/>
        </w:rPr>
        <w:t>s</w:t>
      </w:r>
      <w:r w:rsidRPr="00CB4F47">
        <w:rPr>
          <w:rFonts w:cs="Arial"/>
          <w:sz w:val="16"/>
          <w:szCs w:val="16"/>
        </w:rPr>
        <w:t xml:space="preserve">ervices, </w:t>
      </w:r>
      <w:r>
        <w:rPr>
          <w:rFonts w:cs="Arial"/>
          <w:sz w:val="16"/>
          <w:szCs w:val="16"/>
        </w:rPr>
        <w:t>s</w:t>
      </w:r>
      <w:r w:rsidRPr="00CB4F47">
        <w:rPr>
          <w:rFonts w:cs="Arial"/>
          <w:sz w:val="16"/>
          <w:szCs w:val="16"/>
        </w:rPr>
        <w:t xml:space="preserve">ervices for the </w:t>
      </w:r>
      <w:r>
        <w:rPr>
          <w:rFonts w:cs="Arial"/>
          <w:sz w:val="16"/>
          <w:szCs w:val="16"/>
        </w:rPr>
        <w:t>m</w:t>
      </w:r>
      <w:r w:rsidRPr="00CB4F47">
        <w:rPr>
          <w:rFonts w:cs="Arial"/>
          <w:sz w:val="16"/>
          <w:szCs w:val="16"/>
        </w:rPr>
        <w:t xml:space="preserve">entally </w:t>
      </w:r>
      <w:r>
        <w:rPr>
          <w:rFonts w:cs="Arial"/>
          <w:sz w:val="16"/>
          <w:szCs w:val="16"/>
        </w:rPr>
        <w:t>h</w:t>
      </w:r>
      <w:r w:rsidRPr="00CB4F47">
        <w:rPr>
          <w:rFonts w:cs="Arial"/>
          <w:sz w:val="16"/>
          <w:szCs w:val="16"/>
        </w:rPr>
        <w:t>andicapped (1973, page 15</w:t>
      </w:r>
      <w:r>
        <w:rPr>
          <w:rFonts w:cs="Arial"/>
          <w:sz w:val="16"/>
          <w:szCs w:val="16"/>
        </w:rPr>
        <w:t>)</w:t>
      </w:r>
      <w:r w:rsidRPr="00CB4F47">
        <w:rPr>
          <w:rFonts w:cs="Arial"/>
          <w:sz w:val="16"/>
          <w:szCs w:val="16"/>
        </w:rPr>
        <w:t xml:space="preserve">. </w:t>
      </w:r>
    </w:p>
  </w:endnote>
  <w:endnote w:id="408">
    <w:p w14:paraId="4DBAFC03" w14:textId="6A424A97"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Fonts w:eastAsia="Calibri" w:cs="Arial"/>
          <w:sz w:val="16"/>
          <w:szCs w:val="16"/>
        </w:rPr>
        <w:t xml:space="preserve">Millen, </w:t>
      </w:r>
      <w:r w:rsidRPr="00CB4F47">
        <w:rPr>
          <w:rFonts w:cs="Arial"/>
          <w:sz w:val="16"/>
          <w:szCs w:val="16"/>
        </w:rPr>
        <w:t xml:space="preserve">J, Breaking barriers: IHC's first 50 years (IHC </w:t>
      </w:r>
      <w:r>
        <w:rPr>
          <w:rFonts w:cs="Arial"/>
          <w:sz w:val="16"/>
          <w:szCs w:val="16"/>
        </w:rPr>
        <w:t>New Zealand</w:t>
      </w:r>
      <w:r w:rsidRPr="00CB4F47">
        <w:rPr>
          <w:rFonts w:cs="Arial"/>
          <w:sz w:val="16"/>
          <w:szCs w:val="16"/>
        </w:rPr>
        <w:t xml:space="preserve">, </w:t>
      </w:r>
      <w:r w:rsidRPr="00CB4F47">
        <w:rPr>
          <w:rFonts w:eastAsia="Calibri" w:cs="Arial"/>
          <w:sz w:val="16"/>
          <w:szCs w:val="16"/>
        </w:rPr>
        <w:t xml:space="preserve">1999, </w:t>
      </w:r>
      <w:r w:rsidRPr="00CB4F47">
        <w:rPr>
          <w:rFonts w:cs="Arial"/>
          <w:sz w:val="16"/>
          <w:szCs w:val="16"/>
        </w:rPr>
        <w:t>page</w:t>
      </w:r>
      <w:r w:rsidRPr="00CB4F47">
        <w:rPr>
          <w:rFonts w:eastAsia="Calibri" w:cs="Arial"/>
          <w:sz w:val="16"/>
          <w:szCs w:val="16"/>
        </w:rPr>
        <w:t xml:space="preserve"> 81</w:t>
      </w:r>
      <w:r>
        <w:rPr>
          <w:rFonts w:eastAsia="Calibri" w:cs="Arial"/>
          <w:sz w:val="16"/>
          <w:szCs w:val="16"/>
        </w:rPr>
        <w:t>)</w:t>
      </w:r>
      <w:r w:rsidRPr="00CB4F47">
        <w:rPr>
          <w:rFonts w:eastAsia="Calibri" w:cs="Arial"/>
          <w:sz w:val="16"/>
          <w:szCs w:val="16"/>
        </w:rPr>
        <w:t>.</w:t>
      </w:r>
    </w:p>
  </w:endnote>
  <w:endnote w:id="409">
    <w:p w14:paraId="1962D2A3" w14:textId="031C093B"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Sullivan, M &amp; Stace, H, A brief history of disability in Aotearoa New Zealand (Office for Disability Issues, 2020, page 22</w:t>
      </w:r>
      <w:r>
        <w:rPr>
          <w:rFonts w:cs="Arial"/>
          <w:sz w:val="16"/>
          <w:szCs w:val="16"/>
        </w:rPr>
        <w:t>)</w:t>
      </w:r>
      <w:r w:rsidRPr="00CB4F47">
        <w:rPr>
          <w:rFonts w:cs="Arial"/>
          <w:sz w:val="16"/>
          <w:szCs w:val="16"/>
        </w:rPr>
        <w:t>.</w:t>
      </w:r>
    </w:p>
  </w:endnote>
  <w:endnote w:id="410">
    <w:p w14:paraId="7F377EFE" w14:textId="33CB7E10"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Sullivan, M, Disability and disability organisations (Te Ara </w:t>
      </w:r>
      <w:r>
        <w:rPr>
          <w:rFonts w:cs="Arial"/>
          <w:sz w:val="16"/>
          <w:szCs w:val="16"/>
        </w:rPr>
        <w:t>–</w:t>
      </w:r>
      <w:r w:rsidRPr="00CB4F47">
        <w:rPr>
          <w:rFonts w:cs="Arial"/>
          <w:sz w:val="16"/>
          <w:szCs w:val="16"/>
        </w:rPr>
        <w:t xml:space="preserve"> </w:t>
      </w:r>
      <w:r>
        <w:rPr>
          <w:rFonts w:cs="Arial"/>
          <w:sz w:val="16"/>
          <w:szCs w:val="16"/>
        </w:rPr>
        <w:t>T</w:t>
      </w:r>
      <w:r w:rsidRPr="00CB4F47">
        <w:rPr>
          <w:rFonts w:cs="Arial"/>
          <w:sz w:val="16"/>
          <w:szCs w:val="16"/>
        </w:rPr>
        <w:t xml:space="preserve">he </w:t>
      </w:r>
      <w:r>
        <w:rPr>
          <w:rFonts w:cs="Arial"/>
          <w:sz w:val="16"/>
          <w:szCs w:val="16"/>
        </w:rPr>
        <w:t>Encyclopedia</w:t>
      </w:r>
      <w:r w:rsidRPr="00CB4F47">
        <w:rPr>
          <w:rFonts w:cs="Arial"/>
          <w:sz w:val="16"/>
          <w:szCs w:val="16"/>
        </w:rPr>
        <w:t xml:space="preserve"> of New Zealand, 2018)</w:t>
      </w:r>
      <w:r>
        <w:rPr>
          <w:rFonts w:cs="Arial"/>
          <w:sz w:val="16"/>
          <w:szCs w:val="16"/>
        </w:rPr>
        <w:t xml:space="preserve">, </w:t>
      </w:r>
      <w:hyperlink r:id="rId99" w:history="1">
        <w:r w:rsidRPr="0012481A">
          <w:rPr>
            <w:rStyle w:val="Hyperlink"/>
            <w:rFonts w:cs="Arial"/>
            <w:sz w:val="16"/>
            <w:szCs w:val="16"/>
          </w:rPr>
          <w:t>https://teara.govt.nz/en/disability-and-disability-organisations.</w:t>
        </w:r>
      </w:hyperlink>
    </w:p>
  </w:endnote>
  <w:endnote w:id="411">
    <w:p w14:paraId="0E959961" w14:textId="06FCB157" w:rsidR="00FE4E56" w:rsidRPr="00536E67" w:rsidRDefault="00FE4E56">
      <w:pPr>
        <w:pStyle w:val="EndnoteText"/>
        <w:rPr>
          <w:sz w:val="16"/>
          <w:szCs w:val="16"/>
        </w:rPr>
      </w:pPr>
      <w:r w:rsidRPr="00536E67">
        <w:rPr>
          <w:rStyle w:val="EndnoteReference"/>
          <w:sz w:val="16"/>
          <w:szCs w:val="16"/>
        </w:rPr>
        <w:endnoteRef/>
      </w:r>
      <w:r w:rsidRPr="00536E67">
        <w:rPr>
          <w:sz w:val="16"/>
          <w:szCs w:val="16"/>
        </w:rPr>
        <w:t xml:space="preserve"> Hickey, H </w:t>
      </w:r>
      <w:r>
        <w:rPr>
          <w:sz w:val="16"/>
          <w:szCs w:val="16"/>
        </w:rPr>
        <w:t>&amp;</w:t>
      </w:r>
      <w:r w:rsidRPr="00536E67">
        <w:rPr>
          <w:sz w:val="16"/>
          <w:szCs w:val="16"/>
        </w:rPr>
        <w:t xml:space="preserve"> Wilson, D, Wh</w:t>
      </w:r>
      <w:r>
        <w:rPr>
          <w:sz w:val="16"/>
          <w:szCs w:val="16"/>
        </w:rPr>
        <w:t>ā</w:t>
      </w:r>
      <w:r w:rsidRPr="00536E67">
        <w:rPr>
          <w:sz w:val="16"/>
          <w:szCs w:val="16"/>
        </w:rPr>
        <w:t xml:space="preserve">nau </w:t>
      </w:r>
      <w:r>
        <w:rPr>
          <w:sz w:val="16"/>
          <w:szCs w:val="16"/>
        </w:rPr>
        <w:t>h</w:t>
      </w:r>
      <w:r w:rsidRPr="00536E67">
        <w:rPr>
          <w:sz w:val="16"/>
          <w:szCs w:val="16"/>
        </w:rPr>
        <w:t>au</w:t>
      </w:r>
      <w:r>
        <w:rPr>
          <w:sz w:val="16"/>
          <w:szCs w:val="16"/>
        </w:rPr>
        <w:t>ā</w:t>
      </w:r>
      <w:r w:rsidRPr="00536E67">
        <w:rPr>
          <w:sz w:val="16"/>
          <w:szCs w:val="16"/>
        </w:rPr>
        <w:t>: reframing disability from an indigenous perspective</w:t>
      </w:r>
      <w:r>
        <w:rPr>
          <w:sz w:val="16"/>
          <w:szCs w:val="16"/>
        </w:rPr>
        <w:t>,</w:t>
      </w:r>
      <w:r w:rsidRPr="00536E67">
        <w:rPr>
          <w:sz w:val="16"/>
          <w:szCs w:val="16"/>
        </w:rPr>
        <w:t xml:space="preserve"> MAI Journal </w:t>
      </w:r>
      <w:r>
        <w:rPr>
          <w:sz w:val="16"/>
          <w:szCs w:val="16"/>
        </w:rPr>
        <w:t>(</w:t>
      </w:r>
      <w:r w:rsidRPr="00536E67">
        <w:rPr>
          <w:sz w:val="16"/>
          <w:szCs w:val="16"/>
        </w:rPr>
        <w:t>2017, pages 1 and 7)</w:t>
      </w:r>
      <w:r>
        <w:rPr>
          <w:sz w:val="16"/>
          <w:szCs w:val="16"/>
        </w:rPr>
        <w:t>.</w:t>
      </w:r>
    </w:p>
  </w:endnote>
  <w:endnote w:id="412">
    <w:p w14:paraId="1D80F341" w14:textId="4E1FB3B5" w:rsidR="00FE4E56" w:rsidRDefault="00FE4E56">
      <w:pPr>
        <w:pStyle w:val="EndnoteText"/>
      </w:pPr>
      <w:r w:rsidRPr="00536E67">
        <w:rPr>
          <w:rStyle w:val="EndnoteReference"/>
          <w:sz w:val="16"/>
          <w:szCs w:val="16"/>
        </w:rPr>
        <w:endnoteRef/>
      </w:r>
      <w:r w:rsidRPr="00536E67">
        <w:rPr>
          <w:sz w:val="16"/>
          <w:szCs w:val="16"/>
        </w:rPr>
        <w:t xml:space="preserve"> Hickey, H </w:t>
      </w:r>
      <w:r>
        <w:rPr>
          <w:sz w:val="16"/>
          <w:szCs w:val="16"/>
        </w:rPr>
        <w:t>&amp;</w:t>
      </w:r>
      <w:r w:rsidRPr="00536E67">
        <w:rPr>
          <w:sz w:val="16"/>
          <w:szCs w:val="16"/>
        </w:rPr>
        <w:t xml:space="preserve"> Wilson, D, Wh</w:t>
      </w:r>
      <w:r>
        <w:rPr>
          <w:sz w:val="16"/>
          <w:szCs w:val="16"/>
        </w:rPr>
        <w:t>ā</w:t>
      </w:r>
      <w:r w:rsidRPr="00536E67">
        <w:rPr>
          <w:sz w:val="16"/>
          <w:szCs w:val="16"/>
        </w:rPr>
        <w:t xml:space="preserve">nau </w:t>
      </w:r>
      <w:r>
        <w:rPr>
          <w:sz w:val="16"/>
          <w:szCs w:val="16"/>
        </w:rPr>
        <w:t>h</w:t>
      </w:r>
      <w:r w:rsidRPr="00536E67">
        <w:rPr>
          <w:sz w:val="16"/>
          <w:szCs w:val="16"/>
        </w:rPr>
        <w:t>au</w:t>
      </w:r>
      <w:r>
        <w:rPr>
          <w:sz w:val="16"/>
          <w:szCs w:val="16"/>
        </w:rPr>
        <w:t>ā</w:t>
      </w:r>
      <w:r w:rsidRPr="00536E67">
        <w:rPr>
          <w:sz w:val="16"/>
          <w:szCs w:val="16"/>
        </w:rPr>
        <w:t>: reframing disability from an indigenous perspective</w:t>
      </w:r>
      <w:r>
        <w:rPr>
          <w:sz w:val="16"/>
          <w:szCs w:val="16"/>
        </w:rPr>
        <w:t>,</w:t>
      </w:r>
      <w:r w:rsidRPr="00536E67">
        <w:rPr>
          <w:sz w:val="16"/>
          <w:szCs w:val="16"/>
        </w:rPr>
        <w:t xml:space="preserve"> MAI Journal </w:t>
      </w:r>
      <w:r>
        <w:rPr>
          <w:sz w:val="16"/>
          <w:szCs w:val="16"/>
        </w:rPr>
        <w:t>(</w:t>
      </w:r>
      <w:r w:rsidRPr="00536E67">
        <w:rPr>
          <w:sz w:val="16"/>
          <w:szCs w:val="16"/>
        </w:rPr>
        <w:t>2017, page 1)</w:t>
      </w:r>
      <w:r>
        <w:rPr>
          <w:sz w:val="16"/>
          <w:szCs w:val="16"/>
        </w:rPr>
        <w:t>.</w:t>
      </w:r>
    </w:p>
  </w:endnote>
  <w:endnote w:id="413">
    <w:p w14:paraId="0F0FD6EE" w14:textId="20AFF193"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sidRPr="00CB4F47">
        <w:rPr>
          <w:rStyle w:val="normaltextrun"/>
          <w:rFonts w:cs="Arial"/>
          <w:sz w:val="16"/>
          <w:szCs w:val="16"/>
          <w:shd w:val="clear" w:color="auto" w:fill="FFFFFF"/>
        </w:rPr>
        <w:t xml:space="preserve">Craig, T &amp; Mills, M, Care and control: The role of institutions in New Zealand (New Zealand Planning Council, 1987, </w:t>
      </w:r>
      <w:r w:rsidRPr="00CB4F47">
        <w:rPr>
          <w:rFonts w:cs="Arial"/>
          <w:sz w:val="16"/>
          <w:szCs w:val="16"/>
        </w:rPr>
        <w:t>page 44</w:t>
      </w:r>
      <w:r>
        <w:rPr>
          <w:rFonts w:cs="Arial"/>
          <w:sz w:val="16"/>
          <w:szCs w:val="16"/>
        </w:rPr>
        <w:t>)</w:t>
      </w:r>
      <w:r w:rsidRPr="00CB4F47">
        <w:rPr>
          <w:rFonts w:cs="Arial"/>
          <w:sz w:val="16"/>
          <w:szCs w:val="16"/>
        </w:rPr>
        <w:t>.</w:t>
      </w:r>
    </w:p>
  </w:endnote>
  <w:endnote w:id="414">
    <w:p w14:paraId="6DB5174A" w14:textId="5380E00C" w:rsidR="00FE4E56" w:rsidRPr="00CB4F47" w:rsidRDefault="00FE4E56" w:rsidP="00E4178E">
      <w:pPr>
        <w:pStyle w:val="EndnoteTex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Moore, D, Anderson, A, Timperley, H, Macfarlane, A, Brown, D, Thomson, C &amp; Glynn, T, “Caught between stories: Special Education in New Zealand” (New Zealand Council for Educational Research</w:t>
      </w:r>
      <w:r w:rsidRPr="00CB4F47" w:rsidDel="005871A8">
        <w:rPr>
          <w:rFonts w:cs="Arial"/>
          <w:sz w:val="16"/>
          <w:szCs w:val="16"/>
        </w:rPr>
        <w:t xml:space="preserve">, </w:t>
      </w:r>
      <w:r w:rsidRPr="00CB4F47">
        <w:rPr>
          <w:rFonts w:cs="Arial"/>
          <w:sz w:val="16"/>
          <w:szCs w:val="16"/>
        </w:rPr>
        <w:t>1999)</w:t>
      </w:r>
      <w:r>
        <w:rPr>
          <w:rFonts w:cs="Arial"/>
          <w:sz w:val="16"/>
          <w:szCs w:val="16"/>
        </w:rPr>
        <w:t>,</w:t>
      </w:r>
      <w:r w:rsidRPr="00CB4F47">
        <w:rPr>
          <w:rFonts w:cs="Arial"/>
          <w:sz w:val="16"/>
          <w:szCs w:val="16"/>
        </w:rPr>
        <w:t xml:space="preserve"> in Selvaraj, JA, “Inclusive education in New Zealand: rhetoric and reality</w:t>
      </w:r>
      <w:r>
        <w:rPr>
          <w:rFonts w:cs="Arial"/>
          <w:sz w:val="16"/>
          <w:szCs w:val="16"/>
        </w:rPr>
        <w:t>,</w:t>
      </w:r>
      <w:r w:rsidRPr="00CB4F47">
        <w:rPr>
          <w:rFonts w:cs="Arial"/>
          <w:sz w:val="16"/>
          <w:szCs w:val="16"/>
        </w:rPr>
        <w:t>” History of Education Review 45(1)</w:t>
      </w:r>
      <w:r>
        <w:rPr>
          <w:rFonts w:cs="Arial"/>
          <w:sz w:val="16"/>
          <w:szCs w:val="16"/>
        </w:rPr>
        <w:t>,</w:t>
      </w:r>
      <w:r w:rsidRPr="00CB4F47">
        <w:rPr>
          <w:rFonts w:cs="Arial"/>
          <w:sz w:val="16"/>
          <w:szCs w:val="16"/>
        </w:rPr>
        <w:t xml:space="preserve"> (2016, pages 54–68, page 61</w:t>
      </w:r>
      <w:r>
        <w:rPr>
          <w:rFonts w:cs="Arial"/>
          <w:sz w:val="16"/>
          <w:szCs w:val="16"/>
        </w:rPr>
        <w:t>)</w:t>
      </w:r>
      <w:r w:rsidRPr="00CB4F47">
        <w:rPr>
          <w:rFonts w:cs="Arial"/>
          <w:sz w:val="16"/>
          <w:szCs w:val="16"/>
        </w:rPr>
        <w:t>.</w:t>
      </w:r>
    </w:p>
  </w:endnote>
  <w:endnote w:id="415">
    <w:p w14:paraId="18ACAFCA" w14:textId="583625B6" w:rsidR="00FE4E56" w:rsidRPr="00CB4F47" w:rsidRDefault="00FE4E56" w:rsidP="00E4178E">
      <w:pPr>
        <w:spacing w:before="0" w:after="0"/>
        <w:rPr>
          <w:rFonts w:eastAsia="Calibri"/>
          <w:sz w:val="16"/>
          <w:szCs w:val="16"/>
        </w:rPr>
      </w:pPr>
      <w:r w:rsidRPr="00536E67">
        <w:rPr>
          <w:rStyle w:val="StyleFootnoteReferenceFagoFunotenzeichenFagoFunotenzeichen"/>
          <w:sz w:val="16"/>
          <w:szCs w:val="16"/>
        </w:rPr>
        <w:endnoteRef/>
      </w:r>
      <w:r w:rsidRPr="00CB4F47">
        <w:rPr>
          <w:rStyle w:val="EndnoteReference"/>
          <w:rFonts w:ascii="Arial" w:hAnsi="Arial"/>
          <w:color w:val="000000" w:themeColor="text1"/>
          <w:sz w:val="16"/>
          <w:szCs w:val="16"/>
        </w:rPr>
        <w:t xml:space="preserve"> </w:t>
      </w:r>
      <w:r w:rsidRPr="00CB4F47">
        <w:rPr>
          <w:rFonts w:ascii="Arial" w:eastAsia="Calibri" w:hAnsi="Arial" w:cs="Arial"/>
          <w:color w:val="0A0A0A"/>
          <w:sz w:val="16"/>
          <w:szCs w:val="16"/>
        </w:rPr>
        <w:t>National Health &amp; Disability Advocacy Service</w:t>
      </w:r>
      <w:r>
        <w:rPr>
          <w:rFonts w:ascii="Arial" w:eastAsia="Calibri" w:hAnsi="Arial" w:cs="Arial"/>
          <w:color w:val="0A0A0A"/>
          <w:sz w:val="16"/>
          <w:szCs w:val="16"/>
        </w:rPr>
        <w:t xml:space="preserve"> website</w:t>
      </w:r>
      <w:r w:rsidRPr="00CB4F47">
        <w:rPr>
          <w:rFonts w:ascii="Arial" w:eastAsia="Calibri" w:hAnsi="Arial" w:cs="Arial"/>
          <w:color w:val="0A0A0A"/>
          <w:sz w:val="16"/>
          <w:szCs w:val="16"/>
        </w:rPr>
        <w:t xml:space="preserve">, </w:t>
      </w:r>
      <w:r w:rsidRPr="00DD5764">
        <w:rPr>
          <w:rFonts w:ascii="Arial" w:eastAsia="Calibri" w:hAnsi="Arial" w:cs="Arial"/>
          <w:color w:val="0A0A0A"/>
          <w:sz w:val="16"/>
          <w:szCs w:val="16"/>
        </w:rPr>
        <w:t>About us</w:t>
      </w:r>
      <w:r w:rsidDel="00207D43">
        <w:rPr>
          <w:rFonts w:ascii="Arial" w:eastAsia="Calibri" w:hAnsi="Arial" w:cs="Arial"/>
          <w:color w:val="0A0A0A"/>
          <w:sz w:val="16"/>
          <w:szCs w:val="16"/>
        </w:rPr>
        <w:t xml:space="preserve"> (</w:t>
      </w:r>
      <w:r>
        <w:rPr>
          <w:rFonts w:ascii="Arial" w:eastAsia="Calibri" w:hAnsi="Arial" w:cs="Arial"/>
          <w:color w:val="0A0A0A"/>
          <w:sz w:val="16"/>
          <w:szCs w:val="16"/>
        </w:rPr>
        <w:t>accessed 2023),</w:t>
      </w:r>
      <w:r w:rsidRPr="00DD5764">
        <w:rPr>
          <w:rFonts w:ascii="Arial" w:eastAsia="Calibri" w:hAnsi="Arial" w:cs="Arial"/>
          <w:color w:val="0A0A0A"/>
          <w:sz w:val="16"/>
          <w:szCs w:val="16"/>
        </w:rPr>
        <w:t xml:space="preserve"> </w:t>
      </w:r>
      <w:hyperlink r:id="rId100" w:history="1">
        <w:r w:rsidRPr="00DD5764">
          <w:rPr>
            <w:rStyle w:val="Hyperlink"/>
            <w:rFonts w:ascii="Arial" w:eastAsia="Calibri" w:hAnsi="Arial" w:cs="Arial"/>
            <w:sz w:val="16"/>
            <w:szCs w:val="16"/>
          </w:rPr>
          <w:t>https://advocacy.org.nz/abo</w:t>
        </w:r>
        <w:bookmarkStart w:id="486" w:name="_Hlt165014410"/>
        <w:bookmarkStart w:id="487" w:name="_Hlt165014411"/>
        <w:r w:rsidRPr="00DD5764">
          <w:rPr>
            <w:rStyle w:val="Hyperlink"/>
            <w:rFonts w:ascii="Arial" w:eastAsia="Calibri" w:hAnsi="Arial" w:cs="Arial"/>
            <w:sz w:val="16"/>
            <w:szCs w:val="16"/>
          </w:rPr>
          <w:t>u</w:t>
        </w:r>
        <w:bookmarkEnd w:id="486"/>
        <w:bookmarkEnd w:id="487"/>
        <w:r w:rsidRPr="00DD5764">
          <w:rPr>
            <w:rStyle w:val="Hyperlink"/>
            <w:rFonts w:ascii="Arial" w:eastAsia="Calibri" w:hAnsi="Arial" w:cs="Arial"/>
            <w:sz w:val="16"/>
            <w:szCs w:val="16"/>
          </w:rPr>
          <w:t>t-the-advocacy-service/</w:t>
        </w:r>
      </w:hyperlink>
      <w:r w:rsidRPr="00DD5764">
        <w:rPr>
          <w:rFonts w:ascii="Arial" w:eastAsia="Calibri" w:hAnsi="Arial" w:cs="Arial"/>
          <w:color w:val="0A0A0A"/>
          <w:sz w:val="16"/>
          <w:szCs w:val="16"/>
        </w:rPr>
        <w:t>.</w:t>
      </w:r>
      <w:r w:rsidRPr="00CB4F47">
        <w:rPr>
          <w:rFonts w:eastAsia="Calibri"/>
          <w:sz w:val="16"/>
          <w:szCs w:val="16"/>
        </w:rPr>
        <w:t xml:space="preserve"> </w:t>
      </w:r>
    </w:p>
  </w:endnote>
  <w:endnote w:id="416">
    <w:p w14:paraId="57A4A3C0" w14:textId="122000E2" w:rsidR="00FE4E56" w:rsidRPr="00CB4F47" w:rsidRDefault="00FE4E56" w:rsidP="00E4178E">
      <w:pPr>
        <w:pStyle w:val="EndnoteText"/>
        <w:rPr>
          <w:sz w:val="16"/>
          <w:szCs w:val="16"/>
        </w:rPr>
      </w:pPr>
      <w:r w:rsidRPr="00536E67">
        <w:rPr>
          <w:rStyle w:val="StyleFootnoteReferenceFagoFunotenzeichenFagoFunotenzeichen"/>
          <w:sz w:val="16"/>
          <w:szCs w:val="16"/>
        </w:rPr>
        <w:endnoteRef/>
      </w:r>
      <w:r w:rsidRPr="00CB4F47">
        <w:rPr>
          <w:sz w:val="16"/>
          <w:szCs w:val="16"/>
        </w:rPr>
        <w:t xml:space="preserve"> </w:t>
      </w:r>
      <w:r w:rsidRPr="00CB4F47">
        <w:rPr>
          <w:rFonts w:cs="Arial"/>
          <w:sz w:val="16"/>
          <w:szCs w:val="16"/>
        </w:rPr>
        <w:t>Mental Health (Compulsory Assessment and Treatment) Act 1992, sections 101</w:t>
      </w:r>
      <w:r>
        <w:rPr>
          <w:rFonts w:cs="Arial"/>
          <w:sz w:val="16"/>
          <w:szCs w:val="16"/>
        </w:rPr>
        <w:t xml:space="preserve"> and </w:t>
      </w:r>
      <w:r w:rsidRPr="00CB4F47">
        <w:rPr>
          <w:rFonts w:cs="Arial"/>
          <w:sz w:val="16"/>
          <w:szCs w:val="16"/>
        </w:rPr>
        <w:t>102(1).</w:t>
      </w:r>
    </w:p>
  </w:endnote>
  <w:endnote w:id="417">
    <w:p w14:paraId="01AA0718" w14:textId="0926787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Charlton, JI, Nothing about us without us: Disability oppression and empowerment (University of California Press, 1998, page 3</w:t>
      </w:r>
      <w:r>
        <w:rPr>
          <w:rFonts w:cs="Arial"/>
          <w:sz w:val="16"/>
          <w:szCs w:val="16"/>
        </w:rPr>
        <w:t>)</w:t>
      </w:r>
      <w:r w:rsidRPr="00CB4F47">
        <w:rPr>
          <w:rFonts w:cs="Arial"/>
          <w:sz w:val="16"/>
          <w:szCs w:val="16"/>
        </w:rPr>
        <w:t>.</w:t>
      </w:r>
    </w:p>
  </w:endnote>
  <w:endnote w:id="418">
    <w:p w14:paraId="7F9CC50F" w14:textId="5B36203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Lesbian and Gay Archives of New Zealand, “Legislating homosexuality</w:t>
      </w:r>
      <w:r>
        <w:rPr>
          <w:rFonts w:cs="Arial"/>
          <w:sz w:val="16"/>
          <w:szCs w:val="16"/>
        </w:rPr>
        <w:t>,</w:t>
      </w:r>
      <w:r w:rsidRPr="00CB4F47">
        <w:rPr>
          <w:rFonts w:cs="Arial"/>
          <w:sz w:val="16"/>
          <w:szCs w:val="16"/>
        </w:rPr>
        <w:t>” in Laurie, A &amp; Evans, L (eds)</w:t>
      </w:r>
      <w:r>
        <w:rPr>
          <w:rFonts w:cs="Arial"/>
          <w:sz w:val="16"/>
          <w:szCs w:val="16"/>
        </w:rPr>
        <w:t>,</w:t>
      </w:r>
      <w:r w:rsidRPr="00CB4F47">
        <w:rPr>
          <w:rFonts w:cs="Arial"/>
          <w:sz w:val="16"/>
          <w:szCs w:val="16"/>
        </w:rPr>
        <w:t xml:space="preserve"> Twenty years on: Histories of homosexual law reform in New Zealand (Massey University, 2009, pages 95–97</w:t>
      </w:r>
      <w:r>
        <w:rPr>
          <w:rFonts w:cs="Arial"/>
          <w:sz w:val="16"/>
          <w:szCs w:val="16"/>
        </w:rPr>
        <w:t>)</w:t>
      </w:r>
      <w:r w:rsidRPr="00CB4F47">
        <w:rPr>
          <w:rFonts w:cs="Arial"/>
          <w:sz w:val="16"/>
          <w:szCs w:val="16"/>
        </w:rPr>
        <w:t>.</w:t>
      </w:r>
    </w:p>
  </w:endnote>
  <w:endnote w:id="419">
    <w:p w14:paraId="450357B3" w14:textId="77777777" w:rsidR="00FE4E56" w:rsidRPr="00CB4F47" w:rsidRDefault="00FE4E56" w:rsidP="00867B0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Children and Young Persons Act 1974, </w:t>
      </w:r>
      <w:r w:rsidRPr="00CB4F47">
        <w:rPr>
          <w:rStyle w:val="normaltextrun"/>
          <w:rFonts w:cs="Arial"/>
          <w:sz w:val="16"/>
          <w:szCs w:val="16"/>
          <w:shd w:val="clear" w:color="auto" w:fill="FFFFFF"/>
        </w:rPr>
        <w:t>section 20(1).</w:t>
      </w:r>
    </w:p>
  </w:endnote>
  <w:endnote w:id="420">
    <w:p w14:paraId="2C484552" w14:textId="77777777" w:rsidR="00FE4E56" w:rsidRPr="00CB4F47" w:rsidRDefault="00FE4E56" w:rsidP="00867B0B">
      <w:pPr>
        <w:pStyle w:val="EndnoteText"/>
        <w:spacing w:line="20" w:lineRule="atLeast"/>
        <w:rPr>
          <w:sz w:val="16"/>
          <w:szCs w:val="16"/>
        </w:rPr>
      </w:pPr>
      <w:r w:rsidRPr="00536E67">
        <w:rPr>
          <w:rStyle w:val="StyleFootnoteReferenceFagoFunotenzeichenFagoFunotenzeichen"/>
          <w:sz w:val="16"/>
          <w:szCs w:val="16"/>
        </w:rPr>
        <w:endnoteRef/>
      </w:r>
      <w:r w:rsidRPr="00CB4F47">
        <w:rPr>
          <w:sz w:val="16"/>
          <w:szCs w:val="16"/>
        </w:rPr>
        <w:t xml:space="preserve"> Criminal Justice Act 1985, section 8.</w:t>
      </w:r>
    </w:p>
  </w:endnote>
  <w:endnote w:id="421">
    <w:p w14:paraId="60F8923D" w14:textId="70CE8D61" w:rsidR="00FE4E56" w:rsidRPr="00CB4F47" w:rsidRDefault="00FE4E56" w:rsidP="00EC3169">
      <w:pPr>
        <w:pStyle w:val="footnotes"/>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Children, Young Persons, and Their Families Act 1989, </w:t>
      </w:r>
      <w:r>
        <w:rPr>
          <w:rFonts w:ascii="Arial" w:hAnsi="Arial" w:cs="Arial"/>
          <w:sz w:val="16"/>
          <w:szCs w:val="16"/>
        </w:rPr>
        <w:t>s</w:t>
      </w:r>
      <w:r w:rsidRPr="00CB4F47">
        <w:rPr>
          <w:rFonts w:ascii="Arial" w:hAnsi="Arial" w:cs="Arial"/>
          <w:sz w:val="16"/>
          <w:szCs w:val="16"/>
        </w:rPr>
        <w:t>ection 410.</w:t>
      </w:r>
    </w:p>
  </w:endnote>
  <w:endnote w:id="422">
    <w:p w14:paraId="3B0F2991" w14:textId="3F12B3AE" w:rsidR="00FE4E56" w:rsidRPr="00CB4F47" w:rsidRDefault="00FE4E56" w:rsidP="00EC3169">
      <w:pPr>
        <w:pStyle w:val="footnotes"/>
        <w:rPr>
          <w:rFonts w:ascii="Arial" w:hAnsi="Arial" w:cs="Arial"/>
          <w:sz w:val="16"/>
          <w:szCs w:val="16"/>
        </w:rPr>
      </w:pPr>
      <w:r w:rsidRPr="00536E67">
        <w:rPr>
          <w:rStyle w:val="StyleFootnoteReferenceFagoFunotenzeichenFagoFunotenzeichen"/>
          <w:sz w:val="16"/>
          <w:szCs w:val="16"/>
        </w:rPr>
        <w:endnoteRef/>
      </w:r>
      <w:r w:rsidRPr="00CB4F47">
        <w:rPr>
          <w:rFonts w:ascii="Arial" w:hAnsi="Arial" w:cs="Arial"/>
          <w:sz w:val="16"/>
          <w:szCs w:val="16"/>
        </w:rPr>
        <w:t xml:space="preserve"> Children, Young Persons, and Their Families Act 1989, </w:t>
      </w:r>
      <w:r>
        <w:rPr>
          <w:rFonts w:ascii="Arial" w:hAnsi="Arial" w:cs="Arial"/>
          <w:sz w:val="16"/>
          <w:szCs w:val="16"/>
        </w:rPr>
        <w:t>s</w:t>
      </w:r>
      <w:r w:rsidRPr="00CB4F47">
        <w:rPr>
          <w:rFonts w:ascii="Arial" w:hAnsi="Arial" w:cs="Arial"/>
          <w:sz w:val="16"/>
          <w:szCs w:val="16"/>
        </w:rPr>
        <w:t>ection 411.</w:t>
      </w:r>
    </w:p>
  </w:endnote>
  <w:endnote w:id="423">
    <w:p w14:paraId="6B9825B7" w14:textId="4B83F459" w:rsidR="00FE4E56" w:rsidRPr="00CB4F47" w:rsidRDefault="00FE4E56" w:rsidP="00867B0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United Nations General Assembly, Convention on the Rights of the Child (entry into force on 2 September 1990)</w:t>
      </w:r>
      <w:r>
        <w:rPr>
          <w:rFonts w:cs="Arial"/>
          <w:sz w:val="16"/>
          <w:szCs w:val="16"/>
        </w:rPr>
        <w:t>,</w:t>
      </w:r>
      <w:r w:rsidRPr="00CB4F47">
        <w:rPr>
          <w:rFonts w:cs="Arial"/>
          <w:sz w:val="16"/>
          <w:szCs w:val="16"/>
        </w:rPr>
        <w:t xml:space="preserve"> </w:t>
      </w:r>
      <w:r>
        <w:rPr>
          <w:rFonts w:cs="Arial"/>
          <w:sz w:val="16"/>
          <w:szCs w:val="16"/>
        </w:rPr>
        <w:t>(</w:t>
      </w:r>
      <w:r w:rsidRPr="00CB4F47">
        <w:rPr>
          <w:rFonts w:cs="Arial"/>
          <w:sz w:val="16"/>
          <w:szCs w:val="16"/>
        </w:rPr>
        <w:t>page 5</w:t>
      </w:r>
      <w:r>
        <w:rPr>
          <w:rFonts w:cs="Arial"/>
          <w:sz w:val="16"/>
          <w:szCs w:val="16"/>
        </w:rPr>
        <w:t>)</w:t>
      </w:r>
      <w:r w:rsidRPr="00CB4F47">
        <w:rPr>
          <w:rFonts w:cs="Arial"/>
          <w:sz w:val="16"/>
          <w:szCs w:val="16"/>
        </w:rPr>
        <w:t>.</w:t>
      </w:r>
    </w:p>
  </w:endnote>
  <w:endnote w:id="424">
    <w:p w14:paraId="46EBCFE5" w14:textId="467E4E9F" w:rsidR="00FE4E56" w:rsidRPr="00CB4F47" w:rsidRDefault="00FE4E56" w:rsidP="00867B0B">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Ministry of Justice, United Nations Convention on the Rights of the Child (2020).</w:t>
      </w:r>
    </w:p>
  </w:endnote>
  <w:endnote w:id="425">
    <w:p w14:paraId="0D582EF3" w14:textId="328A2C44" w:rsidR="00FE4E56" w:rsidRPr="00CB4F47" w:rsidRDefault="00FE4E56" w:rsidP="007A349A">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United Nations, Committee on the Rights of the Child: Concluding observations of the Committee on the Rights of the Child: New Zealand CRC/C/15/Add.71 (1997, page 4, para 23</w:t>
      </w:r>
      <w:r>
        <w:rPr>
          <w:rFonts w:cs="Arial"/>
          <w:sz w:val="16"/>
          <w:szCs w:val="16"/>
        </w:rPr>
        <w:t>)</w:t>
      </w:r>
      <w:r w:rsidRPr="00CB4F47">
        <w:rPr>
          <w:rFonts w:cs="Arial"/>
          <w:sz w:val="16"/>
          <w:szCs w:val="16"/>
        </w:rPr>
        <w:t xml:space="preserve">. </w:t>
      </w:r>
    </w:p>
  </w:endnote>
  <w:endnote w:id="426">
    <w:p w14:paraId="6AC84A9C" w14:textId="1B696BA5" w:rsidR="00FE4E56" w:rsidRPr="00CB4F47" w:rsidRDefault="00FE4E56" w:rsidP="00C57877">
      <w:pPr>
        <w:pStyle w:val="EndNoteBibliography"/>
        <w:spacing w:before="0" w:line="20" w:lineRule="atLeast"/>
        <w:rPr>
          <w:rFonts w:ascii="Arial" w:hAnsi="Arial" w:cs="Arial"/>
          <w:sz w:val="16"/>
          <w:szCs w:val="16"/>
          <w:lang w:val="en-NZ"/>
        </w:rPr>
      </w:pPr>
      <w:r w:rsidRPr="00536E67">
        <w:rPr>
          <w:rStyle w:val="StyleFootnoteReferenceFagoFunotenzeichenFagoFunotenzeichen"/>
          <w:sz w:val="16"/>
          <w:szCs w:val="16"/>
        </w:rPr>
        <w:endnoteRef/>
      </w:r>
      <w:r w:rsidRPr="00CB4F47">
        <w:rPr>
          <w:rFonts w:ascii="Arial" w:hAnsi="Arial" w:cs="Arial"/>
          <w:sz w:val="16"/>
          <w:szCs w:val="16"/>
          <w:lang w:val="en-NZ"/>
        </w:rPr>
        <w:t xml:space="preserve"> </w:t>
      </w:r>
      <w:r w:rsidRPr="00CB4F47">
        <w:rPr>
          <w:rFonts w:ascii="Arial" w:eastAsiaTheme="minorHAnsi" w:hAnsi="Arial" w:cs="Arial"/>
          <w:sz w:val="16"/>
          <w:szCs w:val="16"/>
        </w:rPr>
        <w:t>Anae, M</w:t>
      </w:r>
      <w:r w:rsidRPr="00CB4F47">
        <w:rPr>
          <w:rFonts w:ascii="Arial" w:hAnsi="Arial" w:cs="Arial"/>
          <w:sz w:val="16"/>
          <w:szCs w:val="16"/>
        </w:rPr>
        <w:t>,</w:t>
      </w:r>
      <w:r w:rsidRPr="00CB4F47">
        <w:rPr>
          <w:rFonts w:ascii="Arial" w:eastAsiaTheme="minorHAnsi" w:hAnsi="Arial" w:cs="Arial"/>
          <w:sz w:val="16"/>
          <w:szCs w:val="16"/>
        </w:rPr>
        <w:t xml:space="preserve"> “All power to the people: Overstayers, </w:t>
      </w:r>
      <w:r>
        <w:rPr>
          <w:rFonts w:ascii="Arial" w:eastAsiaTheme="minorHAnsi" w:hAnsi="Arial" w:cs="Arial"/>
          <w:sz w:val="16"/>
          <w:szCs w:val="16"/>
        </w:rPr>
        <w:t>D</w:t>
      </w:r>
      <w:r w:rsidRPr="00CB4F47">
        <w:rPr>
          <w:rFonts w:ascii="Arial" w:eastAsiaTheme="minorHAnsi" w:hAnsi="Arial" w:cs="Arial"/>
          <w:sz w:val="16"/>
          <w:szCs w:val="16"/>
        </w:rPr>
        <w:t xml:space="preserve">awn </w:t>
      </w:r>
      <w:r>
        <w:rPr>
          <w:rFonts w:ascii="Arial" w:eastAsiaTheme="minorHAnsi" w:hAnsi="Arial" w:cs="Arial"/>
          <w:sz w:val="16"/>
          <w:szCs w:val="16"/>
        </w:rPr>
        <w:t>R</w:t>
      </w:r>
      <w:r w:rsidRPr="00CB4F47">
        <w:rPr>
          <w:rFonts w:ascii="Arial" w:eastAsiaTheme="minorHAnsi" w:hAnsi="Arial" w:cs="Arial"/>
          <w:sz w:val="16"/>
          <w:szCs w:val="16"/>
        </w:rPr>
        <w:t xml:space="preserve">aids and the Polynesian Panthers” in </w:t>
      </w:r>
      <w:r w:rsidRPr="00CB4F47">
        <w:rPr>
          <w:rFonts w:ascii="Arial" w:eastAsia="Calibri" w:hAnsi="Arial" w:cs="Arial"/>
          <w:sz w:val="16"/>
          <w:szCs w:val="16"/>
          <w:lang w:val="en-US"/>
        </w:rPr>
        <w:t xml:space="preserve">Mallon, S, Māhina-Tuai, K &amp; Salesa, D (eds), </w:t>
      </w:r>
      <w:r w:rsidRPr="00CB4F47">
        <w:rPr>
          <w:rFonts w:ascii="Arial" w:eastAsiaTheme="minorHAnsi" w:hAnsi="Arial" w:cs="Arial"/>
          <w:sz w:val="16"/>
          <w:szCs w:val="16"/>
        </w:rPr>
        <w:t>Tangata o le Moana:</w:t>
      </w:r>
      <w:r w:rsidRPr="00CB4F47">
        <w:rPr>
          <w:rStyle w:val="normaltextrun"/>
          <w:rFonts w:ascii="Arial" w:eastAsiaTheme="minorHAnsi" w:hAnsi="Arial" w:cs="Arial"/>
          <w:sz w:val="16"/>
          <w:szCs w:val="16"/>
          <w:bdr w:val="none" w:sz="0" w:space="0" w:color="auto" w:frame="1"/>
        </w:rPr>
        <w:t xml:space="preserve"> </w:t>
      </w:r>
      <w:r w:rsidRPr="00CB4F47">
        <w:rPr>
          <w:rStyle w:val="normaltextrun"/>
          <w:rFonts w:ascii="Arial" w:hAnsi="Arial" w:cs="Arial"/>
          <w:sz w:val="16"/>
          <w:szCs w:val="16"/>
          <w:bdr w:val="none" w:sz="0" w:space="0" w:color="auto" w:frame="1"/>
        </w:rPr>
        <w:t>New Zealand and the People of the Pacific</w:t>
      </w:r>
      <w:r w:rsidRPr="00CB4F47">
        <w:rPr>
          <w:rFonts w:ascii="Arial" w:hAnsi="Arial" w:cs="Arial"/>
          <w:sz w:val="16"/>
          <w:szCs w:val="16"/>
        </w:rPr>
        <w:t xml:space="preserve"> </w:t>
      </w:r>
      <w:r w:rsidRPr="00CB4F47">
        <w:rPr>
          <w:rFonts w:ascii="Arial" w:eastAsiaTheme="minorHAnsi" w:hAnsi="Arial" w:cs="Arial"/>
          <w:sz w:val="16"/>
          <w:szCs w:val="16"/>
        </w:rPr>
        <w:t xml:space="preserve">(Te Papa Press, 2012, </w:t>
      </w:r>
      <w:r w:rsidRPr="00CB4F47">
        <w:rPr>
          <w:rFonts w:ascii="Arial" w:hAnsi="Arial" w:cs="Arial"/>
          <w:sz w:val="16"/>
          <w:szCs w:val="16"/>
        </w:rPr>
        <w:t>pages</w:t>
      </w:r>
      <w:r w:rsidRPr="00CB4F47">
        <w:rPr>
          <w:rFonts w:ascii="Arial" w:eastAsiaTheme="minorHAnsi" w:hAnsi="Arial" w:cs="Arial"/>
          <w:sz w:val="16"/>
          <w:szCs w:val="16"/>
        </w:rPr>
        <w:t xml:space="preserve"> 221</w:t>
      </w:r>
      <w:r w:rsidRPr="00CB4F47">
        <w:rPr>
          <w:rFonts w:ascii="Arial" w:eastAsia="Calibri" w:hAnsi="Arial" w:cs="Arial"/>
          <w:sz w:val="16"/>
          <w:szCs w:val="16"/>
          <w:lang w:val="en-US"/>
        </w:rPr>
        <w:t>–</w:t>
      </w:r>
      <w:r w:rsidRPr="00CB4F47">
        <w:rPr>
          <w:rFonts w:ascii="Arial" w:eastAsiaTheme="minorHAnsi" w:hAnsi="Arial" w:cs="Arial"/>
          <w:sz w:val="16"/>
          <w:szCs w:val="16"/>
        </w:rPr>
        <w:t>240</w:t>
      </w:r>
      <w:r>
        <w:rPr>
          <w:rFonts w:ascii="Arial" w:eastAsiaTheme="minorHAnsi" w:hAnsi="Arial" w:cs="Arial"/>
          <w:sz w:val="16"/>
          <w:szCs w:val="16"/>
        </w:rPr>
        <w:t>)</w:t>
      </w:r>
      <w:r w:rsidRPr="00CB4F47">
        <w:rPr>
          <w:rFonts w:ascii="Arial" w:eastAsiaTheme="minorHAnsi" w:hAnsi="Arial" w:cs="Arial"/>
          <w:sz w:val="16"/>
          <w:szCs w:val="16"/>
          <w:lang w:val="en-NZ" w:eastAsia="en-US"/>
        </w:rPr>
        <w:t>.</w:t>
      </w:r>
    </w:p>
  </w:endnote>
  <w:endnote w:id="427">
    <w:p w14:paraId="20E323DB" w14:textId="38E325CA" w:rsidR="00FE4E56" w:rsidRPr="00CB4F47" w:rsidRDefault="00FE4E56" w:rsidP="00C57877">
      <w:pPr>
        <w:pStyle w:val="EndNoteBibliography"/>
        <w:spacing w:before="0" w:line="20" w:lineRule="atLeast"/>
        <w:rPr>
          <w:rFonts w:ascii="Arial" w:hAnsi="Arial" w:cs="Arial"/>
          <w:sz w:val="16"/>
          <w:szCs w:val="16"/>
          <w:lang w:val="en-NZ"/>
        </w:rPr>
      </w:pPr>
      <w:r w:rsidRPr="00536E67">
        <w:rPr>
          <w:rStyle w:val="StyleFootnoteReferenceFagoFunotenzeichenFagoFunotenzeichen"/>
          <w:sz w:val="16"/>
          <w:szCs w:val="16"/>
        </w:rPr>
        <w:endnoteRef/>
      </w:r>
      <w:r w:rsidRPr="00CB4F47">
        <w:rPr>
          <w:rFonts w:ascii="Arial" w:hAnsi="Arial" w:cs="Arial"/>
          <w:sz w:val="16"/>
          <w:szCs w:val="16"/>
          <w:lang w:val="en-NZ"/>
        </w:rPr>
        <w:t xml:space="preserve"> </w:t>
      </w:r>
      <w:r w:rsidRPr="00CB4F47">
        <w:rPr>
          <w:rFonts w:ascii="Arial" w:eastAsiaTheme="minorHAnsi" w:hAnsi="Arial" w:cs="Arial"/>
          <w:sz w:val="16"/>
          <w:szCs w:val="16"/>
        </w:rPr>
        <w:t>Anae, M</w:t>
      </w:r>
      <w:r w:rsidRPr="00CB4F47">
        <w:rPr>
          <w:rFonts w:ascii="Arial" w:hAnsi="Arial" w:cs="Arial"/>
          <w:sz w:val="16"/>
          <w:szCs w:val="16"/>
        </w:rPr>
        <w:t>,</w:t>
      </w:r>
      <w:r w:rsidRPr="00CB4F47">
        <w:rPr>
          <w:rFonts w:ascii="Arial" w:eastAsiaTheme="minorHAnsi" w:hAnsi="Arial" w:cs="Arial"/>
          <w:sz w:val="16"/>
          <w:szCs w:val="16"/>
        </w:rPr>
        <w:t xml:space="preserve"> “All power to the people: Overstayers, </w:t>
      </w:r>
      <w:r>
        <w:rPr>
          <w:rFonts w:ascii="Arial" w:eastAsiaTheme="minorHAnsi" w:hAnsi="Arial" w:cs="Arial"/>
          <w:sz w:val="16"/>
          <w:szCs w:val="16"/>
        </w:rPr>
        <w:t>D</w:t>
      </w:r>
      <w:r w:rsidRPr="00CB4F47">
        <w:rPr>
          <w:rFonts w:ascii="Arial" w:eastAsiaTheme="minorHAnsi" w:hAnsi="Arial" w:cs="Arial"/>
          <w:sz w:val="16"/>
          <w:szCs w:val="16"/>
        </w:rPr>
        <w:t xml:space="preserve">awn </w:t>
      </w:r>
      <w:r>
        <w:rPr>
          <w:rFonts w:ascii="Arial" w:eastAsiaTheme="minorHAnsi" w:hAnsi="Arial" w:cs="Arial"/>
          <w:sz w:val="16"/>
          <w:szCs w:val="16"/>
        </w:rPr>
        <w:t>R</w:t>
      </w:r>
      <w:r w:rsidRPr="00CB4F47">
        <w:rPr>
          <w:rFonts w:ascii="Arial" w:eastAsiaTheme="minorHAnsi" w:hAnsi="Arial" w:cs="Arial"/>
          <w:sz w:val="16"/>
          <w:szCs w:val="16"/>
        </w:rPr>
        <w:t xml:space="preserve">aids and the Polynesian Panthers” in </w:t>
      </w:r>
      <w:r w:rsidRPr="00CB4F47">
        <w:rPr>
          <w:rFonts w:ascii="Arial" w:eastAsia="Calibri" w:hAnsi="Arial" w:cs="Arial"/>
          <w:sz w:val="16"/>
          <w:szCs w:val="16"/>
          <w:lang w:val="en-US"/>
        </w:rPr>
        <w:t xml:space="preserve">Mallon, S, Māhina-Tuai, K &amp; Salesa, D (eds), </w:t>
      </w:r>
      <w:r w:rsidRPr="00CB4F47">
        <w:rPr>
          <w:rFonts w:ascii="Arial" w:eastAsiaTheme="minorHAnsi" w:hAnsi="Arial" w:cs="Arial"/>
          <w:sz w:val="16"/>
          <w:szCs w:val="16"/>
        </w:rPr>
        <w:t>Tangata o le Moana:</w:t>
      </w:r>
      <w:r w:rsidRPr="00CB4F47">
        <w:rPr>
          <w:rStyle w:val="normaltextrun"/>
          <w:rFonts w:ascii="Arial" w:eastAsiaTheme="minorHAnsi" w:hAnsi="Arial" w:cs="Arial"/>
          <w:sz w:val="16"/>
          <w:szCs w:val="16"/>
          <w:bdr w:val="none" w:sz="0" w:space="0" w:color="auto" w:frame="1"/>
        </w:rPr>
        <w:t xml:space="preserve"> </w:t>
      </w:r>
      <w:r w:rsidRPr="00CB4F47">
        <w:rPr>
          <w:rStyle w:val="normaltextrun"/>
          <w:rFonts w:ascii="Arial" w:hAnsi="Arial" w:cs="Arial"/>
          <w:sz w:val="16"/>
          <w:szCs w:val="16"/>
          <w:bdr w:val="none" w:sz="0" w:space="0" w:color="auto" w:frame="1"/>
        </w:rPr>
        <w:t>New Zealand and the People of the Pacific</w:t>
      </w:r>
      <w:r w:rsidRPr="00CB4F47">
        <w:rPr>
          <w:rFonts w:ascii="Arial" w:hAnsi="Arial" w:cs="Arial"/>
          <w:sz w:val="16"/>
          <w:szCs w:val="16"/>
        </w:rPr>
        <w:t xml:space="preserve"> </w:t>
      </w:r>
      <w:r w:rsidRPr="00CB4F47">
        <w:rPr>
          <w:rFonts w:ascii="Arial" w:eastAsiaTheme="minorHAnsi" w:hAnsi="Arial" w:cs="Arial"/>
          <w:sz w:val="16"/>
          <w:szCs w:val="16"/>
        </w:rPr>
        <w:t xml:space="preserve">(Te Papa Press, 2012, </w:t>
      </w:r>
      <w:r w:rsidRPr="00CB4F47">
        <w:rPr>
          <w:rFonts w:ascii="Arial" w:hAnsi="Arial" w:cs="Arial"/>
          <w:sz w:val="16"/>
          <w:szCs w:val="16"/>
        </w:rPr>
        <w:t>pages</w:t>
      </w:r>
      <w:r w:rsidRPr="00CB4F47">
        <w:rPr>
          <w:rFonts w:ascii="Arial" w:eastAsiaTheme="minorHAnsi" w:hAnsi="Arial" w:cs="Arial"/>
          <w:sz w:val="16"/>
          <w:szCs w:val="16"/>
        </w:rPr>
        <w:t xml:space="preserve"> 221</w:t>
      </w:r>
      <w:r w:rsidRPr="00CB4F47">
        <w:rPr>
          <w:rFonts w:ascii="Arial" w:eastAsia="Calibri" w:hAnsi="Arial" w:cs="Arial"/>
          <w:sz w:val="16"/>
          <w:szCs w:val="16"/>
          <w:lang w:val="en-US"/>
        </w:rPr>
        <w:t>–</w:t>
      </w:r>
      <w:r w:rsidRPr="00CB4F47">
        <w:rPr>
          <w:rFonts w:ascii="Arial" w:eastAsiaTheme="minorHAnsi" w:hAnsi="Arial" w:cs="Arial"/>
          <w:sz w:val="16"/>
          <w:szCs w:val="16"/>
        </w:rPr>
        <w:t>240</w:t>
      </w:r>
      <w:r>
        <w:rPr>
          <w:rFonts w:ascii="Arial" w:eastAsiaTheme="minorHAnsi" w:hAnsi="Arial" w:cs="Arial"/>
          <w:sz w:val="16"/>
          <w:szCs w:val="16"/>
        </w:rPr>
        <w:t>)</w:t>
      </w:r>
      <w:r w:rsidRPr="00CB4F47">
        <w:rPr>
          <w:rFonts w:ascii="Arial" w:eastAsiaTheme="minorHAnsi" w:hAnsi="Arial" w:cs="Arial"/>
          <w:sz w:val="16"/>
          <w:szCs w:val="16"/>
        </w:rPr>
        <w:t>.</w:t>
      </w:r>
    </w:p>
  </w:endnote>
  <w:endnote w:id="428">
    <w:p w14:paraId="3C45FB5D" w14:textId="55146E22" w:rsidR="00FE4E56" w:rsidRPr="00CB4F47" w:rsidRDefault="00FE4E56" w:rsidP="00CC20FC">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 xml:space="preserve">Stats NZ, </w:t>
      </w:r>
      <w:r w:rsidRPr="00CB4F47">
        <w:rPr>
          <w:rFonts w:cs="Arial"/>
          <w:sz w:val="16"/>
          <w:szCs w:val="16"/>
        </w:rPr>
        <w:t>New Zealand Official Yearbook</w:t>
      </w:r>
      <w:r>
        <w:rPr>
          <w:rFonts w:cs="Arial"/>
          <w:sz w:val="16"/>
          <w:szCs w:val="16"/>
        </w:rPr>
        <w:t xml:space="preserve"> 1978</w:t>
      </w:r>
      <w:r w:rsidRPr="00CB4F47">
        <w:rPr>
          <w:rFonts w:cs="Arial"/>
          <w:sz w:val="16"/>
          <w:szCs w:val="16"/>
        </w:rPr>
        <w:t>, Population (1978)</w:t>
      </w:r>
      <w:r>
        <w:rPr>
          <w:rFonts w:cs="Arial"/>
          <w:sz w:val="16"/>
          <w:szCs w:val="16"/>
        </w:rPr>
        <w:t>.</w:t>
      </w:r>
      <w:r w:rsidRPr="00CB4F47">
        <w:rPr>
          <w:rFonts w:cs="Arial"/>
          <w:sz w:val="16"/>
          <w:szCs w:val="16"/>
        </w:rPr>
        <w:t xml:space="preserve"> </w:t>
      </w:r>
    </w:p>
  </w:endnote>
  <w:endnote w:id="429">
    <w:p w14:paraId="63C8F0E8" w14:textId="77777777" w:rsidR="00FE4E56" w:rsidRPr="00CB4F47" w:rsidRDefault="00FE4E56" w:rsidP="00CC20FC">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 xml:space="preserve">Stats NZ, </w:t>
      </w:r>
      <w:r w:rsidRPr="00CB4F47">
        <w:rPr>
          <w:rFonts w:cs="Arial"/>
          <w:sz w:val="16"/>
          <w:szCs w:val="16"/>
        </w:rPr>
        <w:t xml:space="preserve">New Zealand Official Yearbook 1998, Table 5.1 population growth, Table 5.15 ethnic composition (1998). </w:t>
      </w:r>
    </w:p>
  </w:endnote>
  <w:endnote w:id="430">
    <w:p w14:paraId="14765266" w14:textId="0BD1E93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Cook, L, A </w:t>
      </w:r>
      <w:r>
        <w:rPr>
          <w:rFonts w:cs="Arial"/>
          <w:sz w:val="16"/>
          <w:szCs w:val="16"/>
        </w:rPr>
        <w:t>s</w:t>
      </w:r>
      <w:r w:rsidRPr="00CB4F47">
        <w:rPr>
          <w:rFonts w:cs="Arial"/>
          <w:sz w:val="16"/>
          <w:szCs w:val="16"/>
        </w:rPr>
        <w:t xml:space="preserve">tatistical </w:t>
      </w:r>
      <w:r>
        <w:rPr>
          <w:rFonts w:cs="Arial"/>
          <w:sz w:val="16"/>
          <w:szCs w:val="16"/>
        </w:rPr>
        <w:t>w</w:t>
      </w:r>
      <w:r w:rsidRPr="00CB4F47">
        <w:rPr>
          <w:rFonts w:cs="Arial"/>
          <w:sz w:val="16"/>
          <w:szCs w:val="16"/>
        </w:rPr>
        <w:t xml:space="preserve">indow for the </w:t>
      </w:r>
      <w:r>
        <w:rPr>
          <w:rFonts w:cs="Arial"/>
          <w:sz w:val="16"/>
          <w:szCs w:val="16"/>
        </w:rPr>
        <w:t>j</w:t>
      </w:r>
      <w:r w:rsidRPr="00CB4F47">
        <w:rPr>
          <w:rFonts w:cs="Arial"/>
          <w:sz w:val="16"/>
          <w:szCs w:val="16"/>
        </w:rPr>
        <w:t xml:space="preserve">ustice </w:t>
      </w:r>
      <w:r>
        <w:rPr>
          <w:rFonts w:cs="Arial"/>
          <w:sz w:val="16"/>
          <w:szCs w:val="16"/>
        </w:rPr>
        <w:t>s</w:t>
      </w:r>
      <w:r w:rsidRPr="00CB4F47">
        <w:rPr>
          <w:rFonts w:cs="Arial"/>
          <w:sz w:val="16"/>
          <w:szCs w:val="16"/>
        </w:rPr>
        <w:t xml:space="preserve">ystem: Putting a </w:t>
      </w:r>
      <w:r>
        <w:rPr>
          <w:rFonts w:cs="Arial"/>
          <w:sz w:val="16"/>
          <w:szCs w:val="16"/>
        </w:rPr>
        <w:t>s</w:t>
      </w:r>
      <w:r w:rsidRPr="00CB4F47">
        <w:rPr>
          <w:rFonts w:cs="Arial"/>
          <w:sz w:val="16"/>
          <w:szCs w:val="16"/>
        </w:rPr>
        <w:t xml:space="preserve">potlight on the </w:t>
      </w:r>
      <w:r>
        <w:rPr>
          <w:rFonts w:cs="Arial"/>
          <w:sz w:val="16"/>
          <w:szCs w:val="16"/>
        </w:rPr>
        <w:t>s</w:t>
      </w:r>
      <w:r w:rsidRPr="00CB4F47">
        <w:rPr>
          <w:rFonts w:cs="Arial"/>
          <w:sz w:val="16"/>
          <w:szCs w:val="16"/>
        </w:rPr>
        <w:t xml:space="preserve">cale of State </w:t>
      </w:r>
      <w:r>
        <w:rPr>
          <w:rFonts w:cs="Arial"/>
          <w:sz w:val="16"/>
          <w:szCs w:val="16"/>
        </w:rPr>
        <w:t>c</w:t>
      </w:r>
      <w:r w:rsidRPr="00CB4F47">
        <w:rPr>
          <w:rFonts w:cs="Arial"/>
          <w:sz w:val="16"/>
          <w:szCs w:val="16"/>
        </w:rPr>
        <w:t xml:space="preserve">ustody of </w:t>
      </w:r>
      <w:r>
        <w:rPr>
          <w:rFonts w:cs="Arial"/>
          <w:sz w:val="16"/>
          <w:szCs w:val="16"/>
        </w:rPr>
        <w:t>g</w:t>
      </w:r>
      <w:r w:rsidRPr="00CB4F47">
        <w:rPr>
          <w:rFonts w:cs="Arial"/>
          <w:sz w:val="16"/>
          <w:szCs w:val="16"/>
        </w:rPr>
        <w:t>enerations of Māori (</w:t>
      </w:r>
      <w:r>
        <w:rPr>
          <w:rFonts w:cs="Arial"/>
          <w:sz w:val="16"/>
          <w:szCs w:val="16"/>
        </w:rPr>
        <w:t xml:space="preserve">Victoria University of Wellington – </w:t>
      </w:r>
      <w:r w:rsidRPr="00120E85">
        <w:rPr>
          <w:rFonts w:cs="Arial"/>
          <w:sz w:val="16"/>
          <w:szCs w:val="16"/>
        </w:rPr>
        <w:t>Te Herenga Waka</w:t>
      </w:r>
      <w:r>
        <w:rPr>
          <w:rFonts w:cs="Arial"/>
          <w:sz w:val="16"/>
          <w:szCs w:val="16"/>
        </w:rPr>
        <w:t>, 2020</w:t>
      </w:r>
      <w:r w:rsidRPr="00CB4F47">
        <w:rPr>
          <w:rFonts w:cs="Arial"/>
          <w:sz w:val="16"/>
          <w:szCs w:val="16"/>
        </w:rPr>
        <w:t>, pages 6</w:t>
      </w:r>
      <w:r w:rsidRPr="00CB4F47">
        <w:rPr>
          <w:rFonts w:eastAsia="Calibri" w:cs="Arial"/>
          <w:sz w:val="16"/>
          <w:szCs w:val="16"/>
          <w:lang w:val="en-US"/>
        </w:rPr>
        <w:t>–</w:t>
      </w:r>
      <w:r w:rsidRPr="00CB4F47">
        <w:rPr>
          <w:rFonts w:cs="Arial"/>
          <w:sz w:val="16"/>
          <w:szCs w:val="16"/>
        </w:rPr>
        <w:t>7</w:t>
      </w:r>
      <w:r>
        <w:rPr>
          <w:rFonts w:cs="Arial"/>
          <w:sz w:val="16"/>
          <w:szCs w:val="16"/>
        </w:rPr>
        <w:t>)</w:t>
      </w:r>
      <w:r w:rsidRPr="00CB4F47">
        <w:rPr>
          <w:rFonts w:cs="Arial"/>
          <w:sz w:val="16"/>
          <w:szCs w:val="16"/>
        </w:rPr>
        <w:t>.</w:t>
      </w:r>
    </w:p>
  </w:endnote>
  <w:endnote w:id="431">
    <w:p w14:paraId="3449AAE8" w14:textId="0EEDAFA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 xml:space="preserve">Stats NZ, </w:t>
      </w:r>
      <w:r w:rsidRPr="00CB4F47">
        <w:rPr>
          <w:rFonts w:cs="Arial"/>
          <w:sz w:val="16"/>
          <w:szCs w:val="16"/>
        </w:rPr>
        <w:t xml:space="preserve">New Zealand Official Yearbook 1972, New Zealand Maori </w:t>
      </w:r>
      <w:r>
        <w:rPr>
          <w:rFonts w:cs="Arial"/>
          <w:sz w:val="16"/>
          <w:szCs w:val="16"/>
        </w:rPr>
        <w:t>p</w:t>
      </w:r>
      <w:r w:rsidRPr="00CB4F47">
        <w:rPr>
          <w:rFonts w:cs="Arial"/>
          <w:sz w:val="16"/>
          <w:szCs w:val="16"/>
        </w:rPr>
        <w:t xml:space="preserve">opulation (1972). </w:t>
      </w:r>
    </w:p>
  </w:endnote>
  <w:endnote w:id="432">
    <w:p w14:paraId="092E65F8" w14:textId="4F78D2D1"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Cook, L, A </w:t>
      </w:r>
      <w:r>
        <w:rPr>
          <w:rFonts w:cs="Arial"/>
          <w:sz w:val="16"/>
          <w:szCs w:val="16"/>
        </w:rPr>
        <w:t>s</w:t>
      </w:r>
      <w:r w:rsidRPr="00CB4F47">
        <w:rPr>
          <w:rFonts w:cs="Arial"/>
          <w:sz w:val="16"/>
          <w:szCs w:val="16"/>
        </w:rPr>
        <w:t xml:space="preserve">tatistical </w:t>
      </w:r>
      <w:r>
        <w:rPr>
          <w:rFonts w:cs="Arial"/>
          <w:sz w:val="16"/>
          <w:szCs w:val="16"/>
        </w:rPr>
        <w:t>w</w:t>
      </w:r>
      <w:r w:rsidRPr="00CB4F47">
        <w:rPr>
          <w:rFonts w:cs="Arial"/>
          <w:sz w:val="16"/>
          <w:szCs w:val="16"/>
        </w:rPr>
        <w:t xml:space="preserve">indow for the </w:t>
      </w:r>
      <w:r>
        <w:rPr>
          <w:rFonts w:cs="Arial"/>
          <w:sz w:val="16"/>
          <w:szCs w:val="16"/>
        </w:rPr>
        <w:t>j</w:t>
      </w:r>
      <w:r w:rsidRPr="00CB4F47">
        <w:rPr>
          <w:rFonts w:cs="Arial"/>
          <w:sz w:val="16"/>
          <w:szCs w:val="16"/>
        </w:rPr>
        <w:t xml:space="preserve">ustice </w:t>
      </w:r>
      <w:r>
        <w:rPr>
          <w:rFonts w:cs="Arial"/>
          <w:sz w:val="16"/>
          <w:szCs w:val="16"/>
        </w:rPr>
        <w:t>s</w:t>
      </w:r>
      <w:r w:rsidRPr="00CB4F47">
        <w:rPr>
          <w:rFonts w:cs="Arial"/>
          <w:sz w:val="16"/>
          <w:szCs w:val="16"/>
        </w:rPr>
        <w:t xml:space="preserve">ystem: Putting a </w:t>
      </w:r>
      <w:r>
        <w:rPr>
          <w:rFonts w:cs="Arial"/>
          <w:sz w:val="16"/>
          <w:szCs w:val="16"/>
        </w:rPr>
        <w:t>s</w:t>
      </w:r>
      <w:r w:rsidRPr="00CB4F47">
        <w:rPr>
          <w:rFonts w:cs="Arial"/>
          <w:sz w:val="16"/>
          <w:szCs w:val="16"/>
        </w:rPr>
        <w:t xml:space="preserve">potlight on the </w:t>
      </w:r>
      <w:r>
        <w:rPr>
          <w:rFonts w:cs="Arial"/>
          <w:sz w:val="16"/>
          <w:szCs w:val="16"/>
        </w:rPr>
        <w:t>s</w:t>
      </w:r>
      <w:r w:rsidRPr="00CB4F47">
        <w:rPr>
          <w:rFonts w:cs="Arial"/>
          <w:sz w:val="16"/>
          <w:szCs w:val="16"/>
        </w:rPr>
        <w:t xml:space="preserve">cale of State </w:t>
      </w:r>
      <w:r>
        <w:rPr>
          <w:rFonts w:cs="Arial"/>
          <w:sz w:val="16"/>
          <w:szCs w:val="16"/>
        </w:rPr>
        <w:t>c</w:t>
      </w:r>
      <w:r w:rsidRPr="00CB4F47">
        <w:rPr>
          <w:rFonts w:cs="Arial"/>
          <w:sz w:val="16"/>
          <w:szCs w:val="16"/>
        </w:rPr>
        <w:t xml:space="preserve">ustody of </w:t>
      </w:r>
      <w:r>
        <w:rPr>
          <w:rFonts w:cs="Arial"/>
          <w:sz w:val="16"/>
          <w:szCs w:val="16"/>
        </w:rPr>
        <w:t>g</w:t>
      </w:r>
      <w:r w:rsidRPr="00CB4F47">
        <w:rPr>
          <w:rFonts w:cs="Arial"/>
          <w:sz w:val="16"/>
          <w:szCs w:val="16"/>
        </w:rPr>
        <w:t>enerations of Māori (</w:t>
      </w:r>
      <w:r>
        <w:rPr>
          <w:rFonts w:cs="Arial"/>
          <w:sz w:val="16"/>
          <w:szCs w:val="16"/>
        </w:rPr>
        <w:t xml:space="preserve">Victoria University of Wellington – </w:t>
      </w:r>
      <w:r w:rsidRPr="00147DBB">
        <w:rPr>
          <w:rFonts w:cs="Arial"/>
          <w:sz w:val="16"/>
          <w:szCs w:val="16"/>
        </w:rPr>
        <w:t>Te Herenga Waka</w:t>
      </w:r>
      <w:r w:rsidRPr="00CB4F47">
        <w:rPr>
          <w:rFonts w:cs="Arial"/>
          <w:sz w:val="16"/>
          <w:szCs w:val="16"/>
        </w:rPr>
        <w:t>,</w:t>
      </w:r>
      <w:r>
        <w:rPr>
          <w:rFonts w:cs="Arial"/>
          <w:sz w:val="16"/>
          <w:szCs w:val="16"/>
        </w:rPr>
        <w:t xml:space="preserve"> 2020,</w:t>
      </w:r>
      <w:r w:rsidRPr="00CB4F47">
        <w:rPr>
          <w:rFonts w:cs="Arial"/>
          <w:sz w:val="16"/>
          <w:szCs w:val="16"/>
        </w:rPr>
        <w:t xml:space="preserve"> page 5</w:t>
      </w:r>
      <w:r>
        <w:rPr>
          <w:rFonts w:cs="Arial"/>
          <w:sz w:val="16"/>
          <w:szCs w:val="16"/>
        </w:rPr>
        <w:t>)</w:t>
      </w:r>
      <w:r w:rsidRPr="00CB4F47">
        <w:rPr>
          <w:rFonts w:cs="Arial"/>
          <w:sz w:val="16"/>
          <w:szCs w:val="16"/>
        </w:rPr>
        <w:t xml:space="preserve">. </w:t>
      </w:r>
    </w:p>
  </w:endnote>
  <w:endnote w:id="433">
    <w:p w14:paraId="540A8CD8" w14:textId="693C6F65"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Cook, L, A </w:t>
      </w:r>
      <w:r>
        <w:rPr>
          <w:rFonts w:cs="Arial"/>
          <w:sz w:val="16"/>
          <w:szCs w:val="16"/>
        </w:rPr>
        <w:t>s</w:t>
      </w:r>
      <w:r w:rsidRPr="00CB4F47">
        <w:rPr>
          <w:rFonts w:cs="Arial"/>
          <w:sz w:val="16"/>
          <w:szCs w:val="16"/>
        </w:rPr>
        <w:t xml:space="preserve">tatistical </w:t>
      </w:r>
      <w:r>
        <w:rPr>
          <w:rFonts w:cs="Arial"/>
          <w:sz w:val="16"/>
          <w:szCs w:val="16"/>
        </w:rPr>
        <w:t>w</w:t>
      </w:r>
      <w:r w:rsidRPr="00CB4F47">
        <w:rPr>
          <w:rFonts w:cs="Arial"/>
          <w:sz w:val="16"/>
          <w:szCs w:val="16"/>
        </w:rPr>
        <w:t xml:space="preserve">indow for the </w:t>
      </w:r>
      <w:r>
        <w:rPr>
          <w:rFonts w:cs="Arial"/>
          <w:sz w:val="16"/>
          <w:szCs w:val="16"/>
        </w:rPr>
        <w:t>j</w:t>
      </w:r>
      <w:r w:rsidRPr="00CB4F47">
        <w:rPr>
          <w:rFonts w:cs="Arial"/>
          <w:sz w:val="16"/>
          <w:szCs w:val="16"/>
        </w:rPr>
        <w:t xml:space="preserve">ustice </w:t>
      </w:r>
      <w:r>
        <w:rPr>
          <w:rFonts w:cs="Arial"/>
          <w:sz w:val="16"/>
          <w:szCs w:val="16"/>
        </w:rPr>
        <w:t>s</w:t>
      </w:r>
      <w:r w:rsidRPr="00CB4F47">
        <w:rPr>
          <w:rFonts w:cs="Arial"/>
          <w:sz w:val="16"/>
          <w:szCs w:val="16"/>
        </w:rPr>
        <w:t xml:space="preserve">ystem: Putting a </w:t>
      </w:r>
      <w:r>
        <w:rPr>
          <w:rFonts w:cs="Arial"/>
          <w:sz w:val="16"/>
          <w:szCs w:val="16"/>
        </w:rPr>
        <w:t>s</w:t>
      </w:r>
      <w:r w:rsidRPr="00CB4F47">
        <w:rPr>
          <w:rFonts w:cs="Arial"/>
          <w:sz w:val="16"/>
          <w:szCs w:val="16"/>
        </w:rPr>
        <w:t xml:space="preserve">potlight on the </w:t>
      </w:r>
      <w:r>
        <w:rPr>
          <w:rFonts w:cs="Arial"/>
          <w:sz w:val="16"/>
          <w:szCs w:val="16"/>
        </w:rPr>
        <w:t>s</w:t>
      </w:r>
      <w:r w:rsidRPr="00CB4F47">
        <w:rPr>
          <w:rFonts w:cs="Arial"/>
          <w:sz w:val="16"/>
          <w:szCs w:val="16"/>
        </w:rPr>
        <w:t xml:space="preserve">cale of State </w:t>
      </w:r>
      <w:r>
        <w:rPr>
          <w:rFonts w:cs="Arial"/>
          <w:sz w:val="16"/>
          <w:szCs w:val="16"/>
        </w:rPr>
        <w:t>c</w:t>
      </w:r>
      <w:r w:rsidRPr="00CB4F47">
        <w:rPr>
          <w:rFonts w:cs="Arial"/>
          <w:sz w:val="16"/>
          <w:szCs w:val="16"/>
        </w:rPr>
        <w:t xml:space="preserve">ustody of </w:t>
      </w:r>
      <w:r>
        <w:rPr>
          <w:rFonts w:cs="Arial"/>
          <w:sz w:val="16"/>
          <w:szCs w:val="16"/>
        </w:rPr>
        <w:t>g</w:t>
      </w:r>
      <w:r w:rsidRPr="00CB4F47">
        <w:rPr>
          <w:rFonts w:cs="Arial"/>
          <w:sz w:val="16"/>
          <w:szCs w:val="16"/>
        </w:rPr>
        <w:t>enerations of Māori (</w:t>
      </w:r>
      <w:r>
        <w:rPr>
          <w:rFonts w:cs="Arial"/>
          <w:sz w:val="16"/>
          <w:szCs w:val="16"/>
        </w:rPr>
        <w:t xml:space="preserve">Victoria University of Wellington – </w:t>
      </w:r>
      <w:r w:rsidRPr="00147DBB">
        <w:rPr>
          <w:rFonts w:cs="Arial"/>
          <w:sz w:val="16"/>
          <w:szCs w:val="16"/>
        </w:rPr>
        <w:t>Te Herenga Waka</w:t>
      </w:r>
      <w:r w:rsidRPr="00CB4F47">
        <w:rPr>
          <w:rFonts w:cs="Arial"/>
          <w:sz w:val="16"/>
          <w:szCs w:val="16"/>
        </w:rPr>
        <w:t>,</w:t>
      </w:r>
      <w:r>
        <w:rPr>
          <w:rFonts w:cs="Arial"/>
          <w:sz w:val="16"/>
          <w:szCs w:val="16"/>
        </w:rPr>
        <w:t xml:space="preserve"> 2020,</w:t>
      </w:r>
      <w:r w:rsidRPr="00CB4F47">
        <w:rPr>
          <w:rFonts w:cs="Arial"/>
          <w:sz w:val="16"/>
          <w:szCs w:val="16"/>
        </w:rPr>
        <w:t xml:space="preserve"> page 6</w:t>
      </w:r>
      <w:r>
        <w:rPr>
          <w:rFonts w:cs="Arial"/>
          <w:sz w:val="16"/>
          <w:szCs w:val="16"/>
        </w:rPr>
        <w:t>)</w:t>
      </w:r>
      <w:r w:rsidRPr="00CB4F47">
        <w:rPr>
          <w:rFonts w:cs="Arial"/>
          <w:sz w:val="16"/>
          <w:szCs w:val="16"/>
        </w:rPr>
        <w:t>.</w:t>
      </w:r>
    </w:p>
  </w:endnote>
  <w:endnote w:id="434">
    <w:p w14:paraId="33CA2BB0" w14:textId="6977AE4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 xml:space="preserve">Stats NZ, </w:t>
      </w:r>
      <w:r w:rsidRPr="00CB4F47">
        <w:rPr>
          <w:rFonts w:cs="Arial"/>
          <w:sz w:val="16"/>
          <w:szCs w:val="16"/>
        </w:rPr>
        <w:t xml:space="preserve">New Zealand Official Yearbook 1998, Table 6.28 Comparison of age structure of major ethnic groups, 1996 census (1998). </w:t>
      </w:r>
    </w:p>
  </w:endnote>
  <w:endnote w:id="435">
    <w:p w14:paraId="3096A084" w14:textId="109AFBFD"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endnote>
  <w:endnote w:id="436">
    <w:p w14:paraId="6BF4D508" w14:textId="0767DE7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endnote>
  <w:endnote w:id="437">
    <w:p w14:paraId="75337063" w14:textId="523CD823"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Census and Statistics Office, Report on the results of a census of the population of the Dominion of New Zealand taken for the night of the 15th October, 1916, Section VIII – Infirmity, Chapter 45.</w:t>
      </w:r>
    </w:p>
  </w:endnote>
  <w:endnote w:id="438">
    <w:p w14:paraId="4BFF4D3C" w14:textId="40DB2DA3" w:rsidR="00FE4E56" w:rsidRPr="00FC5F93"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Census and Statistics Office, Report on the results of a census of the population of the Dominion of New Zealand taken for the night of the 15th October, 1916, Section VIII – Infirmity, Chapter 45.</w:t>
      </w:r>
    </w:p>
  </w:endnote>
  <w:endnote w:id="439">
    <w:p w14:paraId="2BC563A9" w14:textId="4ADAD95B"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xml:space="preserve">, 1996 Census classification counts (1996 Census of Population and Dwellings) </w:t>
      </w:r>
      <w:r>
        <w:rPr>
          <w:rFonts w:cs="Arial"/>
          <w:sz w:val="16"/>
          <w:szCs w:val="16"/>
        </w:rPr>
        <w:t>–</w:t>
      </w:r>
      <w:r w:rsidRPr="00CB4F47">
        <w:rPr>
          <w:rFonts w:cs="Arial"/>
          <w:sz w:val="16"/>
          <w:szCs w:val="16"/>
        </w:rPr>
        <w:t xml:space="preserve"> People (1996, page 3</w:t>
      </w:r>
      <w:r>
        <w:rPr>
          <w:rFonts w:cs="Arial"/>
          <w:sz w:val="16"/>
          <w:szCs w:val="16"/>
        </w:rPr>
        <w:t>)</w:t>
      </w:r>
      <w:r w:rsidRPr="00CB4F47">
        <w:rPr>
          <w:rFonts w:cs="Arial"/>
          <w:sz w:val="16"/>
          <w:szCs w:val="16"/>
        </w:rPr>
        <w:t xml:space="preserve">. </w:t>
      </w:r>
    </w:p>
  </w:endnote>
  <w:endnote w:id="440">
    <w:p w14:paraId="6B145264" w14:textId="44127867"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xml:space="preserve">, 1996 Census classification counts (1996 Census of Population and Dwellings) </w:t>
      </w:r>
      <w:r>
        <w:rPr>
          <w:rFonts w:cs="Arial"/>
          <w:sz w:val="16"/>
          <w:szCs w:val="16"/>
        </w:rPr>
        <w:t>–</w:t>
      </w:r>
      <w:r w:rsidRPr="00CB4F47">
        <w:rPr>
          <w:rFonts w:cs="Arial"/>
          <w:sz w:val="16"/>
          <w:szCs w:val="16"/>
        </w:rPr>
        <w:t xml:space="preserve"> People (1996, page 3</w:t>
      </w:r>
      <w:r>
        <w:rPr>
          <w:rFonts w:cs="Arial"/>
          <w:sz w:val="16"/>
          <w:szCs w:val="16"/>
        </w:rPr>
        <w:t>)</w:t>
      </w:r>
      <w:r w:rsidRPr="00CB4F47">
        <w:rPr>
          <w:rFonts w:cs="Arial"/>
          <w:sz w:val="16"/>
          <w:szCs w:val="16"/>
        </w:rPr>
        <w:t>.</w:t>
      </w:r>
    </w:p>
  </w:endnote>
  <w:endnote w:id="441">
    <w:p w14:paraId="2CD93275" w14:textId="7203A08F"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xml:space="preserve">, </w:t>
      </w:r>
      <w:r>
        <w:rPr>
          <w:rFonts w:cs="Arial"/>
          <w:sz w:val="16"/>
          <w:szCs w:val="16"/>
        </w:rPr>
        <w:t>1996 census of population and dwellings: ethnic groups (Stats New Zealand page 10)</w:t>
      </w:r>
      <w:r w:rsidRPr="00CB4F47">
        <w:rPr>
          <w:rFonts w:cs="Arial"/>
          <w:sz w:val="16"/>
          <w:szCs w:val="16"/>
        </w:rPr>
        <w:t>.</w:t>
      </w:r>
    </w:p>
  </w:endnote>
  <w:endnote w:id="442">
    <w:p w14:paraId="237177BD" w14:textId="4E8A5CD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xml:space="preserve">, New Zealand Official Yearbook 1983, Pacific Island Polynesian population (1983); </w:t>
      </w:r>
      <w:r>
        <w:rPr>
          <w:rFonts w:cs="Arial"/>
          <w:sz w:val="16"/>
          <w:szCs w:val="16"/>
        </w:rPr>
        <w:t>Stats NZ</w:t>
      </w:r>
      <w:r w:rsidRPr="00CB4F47">
        <w:rPr>
          <w:rFonts w:cs="Arial"/>
          <w:sz w:val="16"/>
          <w:szCs w:val="16"/>
        </w:rPr>
        <w:t xml:space="preserve">, New Zealand Official Yearbook 1998, Table 6.28 Comparison of age structure of major ethnic groups, 1996 census (1998). </w:t>
      </w:r>
    </w:p>
  </w:endnote>
  <w:endnote w:id="443">
    <w:p w14:paraId="1BE9CE2B" w14:textId="60F71C74"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xml:space="preserve">, New Zealand Yearbook 1953, Religious professions (1953). </w:t>
      </w:r>
    </w:p>
  </w:endnote>
  <w:endnote w:id="444">
    <w:p w14:paraId="7396F5ED" w14:textId="6C8061BA"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Stats NZ</w:t>
      </w:r>
      <w:r w:rsidRPr="00CB4F47">
        <w:rPr>
          <w:rFonts w:cs="Arial"/>
          <w:sz w:val="16"/>
          <w:szCs w:val="16"/>
        </w:rPr>
        <w:t>, New Zealand Yearbook 1998, Table 6.26. Religious affiliations (1998).</w:t>
      </w:r>
    </w:p>
  </w:endnote>
  <w:endnote w:id="445">
    <w:p w14:paraId="016568AE" w14:textId="7879C60E" w:rsidR="00FE4E56" w:rsidRPr="00CB4F47" w:rsidRDefault="00FE4E56" w:rsidP="00C57877">
      <w:pPr>
        <w:pStyle w:val="EndnoteText"/>
        <w:spacing w:line="20" w:lineRule="atLeast"/>
        <w:rPr>
          <w:rFonts w:cs="Arial"/>
          <w:sz w:val="16"/>
          <w:szCs w:val="16"/>
        </w:rPr>
      </w:pPr>
      <w:r w:rsidRPr="00536E67">
        <w:rPr>
          <w:rStyle w:val="StyleFootnoteReferenceFagoFunotenzeichenFagoFunotenzeichen"/>
          <w:sz w:val="16"/>
          <w:szCs w:val="16"/>
        </w:rPr>
        <w:endnoteRef/>
      </w:r>
      <w:r w:rsidRPr="00CB4F47">
        <w:rPr>
          <w:rFonts w:cs="Arial"/>
          <w:sz w:val="16"/>
          <w:szCs w:val="16"/>
        </w:rPr>
        <w:t xml:space="preserve"> </w:t>
      </w:r>
      <w:r>
        <w:rPr>
          <w:rFonts w:cs="Arial"/>
          <w:sz w:val="16"/>
          <w:szCs w:val="16"/>
        </w:rPr>
        <w:t>Stenhouse, J, Religion and society: Towards secularism and religious diversity, 1970–21</w:t>
      </w:r>
      <w:r w:rsidRPr="00DD5764">
        <w:rPr>
          <w:rFonts w:cs="Arial"/>
          <w:sz w:val="16"/>
          <w:szCs w:val="16"/>
          <w:vertAlign w:val="superscript"/>
        </w:rPr>
        <w:t>st</w:t>
      </w:r>
      <w:r>
        <w:rPr>
          <w:rFonts w:cs="Arial"/>
          <w:sz w:val="16"/>
          <w:szCs w:val="16"/>
        </w:rPr>
        <w:t xml:space="preserve"> century, </w:t>
      </w:r>
      <w:r w:rsidRPr="00CB4F47">
        <w:rPr>
          <w:rFonts w:cs="Arial"/>
          <w:sz w:val="16"/>
          <w:szCs w:val="16"/>
        </w:rPr>
        <w:t>Religious adherence, 1878–2013 (Te Ara</w:t>
      </w:r>
      <w:r>
        <w:rPr>
          <w:rFonts w:cs="Arial"/>
          <w:sz w:val="16"/>
          <w:szCs w:val="16"/>
        </w:rPr>
        <w:t xml:space="preserve"> –</w:t>
      </w:r>
      <w:r w:rsidRPr="00CB4F47">
        <w:rPr>
          <w:rFonts w:cs="Arial"/>
          <w:sz w:val="16"/>
          <w:szCs w:val="16"/>
        </w:rPr>
        <w:t xml:space="preserve"> The Encyclopedia of New Zealand, 2018)</w:t>
      </w:r>
      <w:r>
        <w:rPr>
          <w:rFonts w:cs="Arial"/>
          <w:sz w:val="16"/>
          <w:szCs w:val="16"/>
        </w:rPr>
        <w:t xml:space="preserve">, </w:t>
      </w:r>
      <w:hyperlink r:id="rId101" w:history="1">
        <w:r w:rsidRPr="003838EB">
          <w:rPr>
            <w:rStyle w:val="Hyperlink"/>
            <w:rFonts w:cs="Arial"/>
            <w:sz w:val="16"/>
            <w:szCs w:val="16"/>
          </w:rPr>
          <w:t>https://teara.govt.nz/en/interactive/28422/religious-adherence-1878-2013</w:t>
        </w:r>
      </w:hyperlink>
      <w:r>
        <w:rPr>
          <w:rFonts w:cs="Arial"/>
          <w:sz w:val="16"/>
          <w:szCs w:val="16"/>
        </w:rPr>
        <w:t>.</w:t>
      </w:r>
    </w:p>
  </w:endnote>
  <w:endnote w:id="446">
    <w:p w14:paraId="2A820C92" w14:textId="6AA6E9E2" w:rsidR="00FE4E56" w:rsidRPr="00536E67" w:rsidRDefault="00FE4E56" w:rsidP="00F4713A">
      <w:pPr>
        <w:pStyle w:val="paragraph"/>
        <w:spacing w:before="0" w:beforeAutospacing="0" w:after="0" w:afterAutospacing="0"/>
        <w:textAlignment w:val="baseline"/>
        <w:rPr>
          <w:rFonts w:ascii="Segoe UI" w:hAnsi="Segoe UI" w:cs="Segoe UI"/>
          <w:sz w:val="16"/>
          <w:szCs w:val="16"/>
        </w:rPr>
      </w:pPr>
      <w:r w:rsidRPr="00536E67">
        <w:rPr>
          <w:rStyle w:val="StyleFootnoteReferenceFagoFunotenzeichenFagoFunotenzeichen"/>
          <w:sz w:val="16"/>
          <w:szCs w:val="16"/>
        </w:rPr>
        <w:endnoteRef/>
      </w:r>
      <w:r w:rsidRPr="00536E67">
        <w:rPr>
          <w:sz w:val="16"/>
          <w:szCs w:val="16"/>
        </w:rPr>
        <w:t xml:space="preserve"> </w:t>
      </w:r>
      <w:r w:rsidRPr="00536E67">
        <w:rPr>
          <w:rStyle w:val="normaltextrun"/>
          <w:rFonts w:ascii="Arial" w:hAnsi="Arial" w:cs="Arial"/>
          <w:sz w:val="16"/>
          <w:szCs w:val="16"/>
        </w:rPr>
        <w:t>Witness statement of Andrew Brown (13 July 2022).</w:t>
      </w:r>
      <w:r w:rsidRPr="00536E67">
        <w:rPr>
          <w:rStyle w:val="eop"/>
          <w:rFonts w:ascii="Calibri" w:hAnsi="Calibri" w:cs="Calibri"/>
          <w:sz w:val="16"/>
          <w:szCs w:val="16"/>
        </w:rPr>
        <w:t> </w:t>
      </w:r>
    </w:p>
    <w:p w14:paraId="141AF3E9" w14:textId="5A28F9A8" w:rsidR="00FE4E56" w:rsidRPr="00536E67" w:rsidRDefault="00FE4E56">
      <w:pPr>
        <w:pStyle w:val="EndnoteText"/>
        <w:rPr>
          <w:sz w:val="16"/>
          <w:szCs w:val="16"/>
        </w:rPr>
      </w:pPr>
    </w:p>
  </w:endnote>
  <w:endnote w:id="447">
    <w:p w14:paraId="105ABEB0" w14:textId="608A6A64" w:rsidR="00FE4E56" w:rsidRDefault="00FE4E56">
      <w:pPr>
        <w:pStyle w:val="EndnoteText"/>
      </w:pPr>
      <w:r>
        <w:rPr>
          <w:rStyle w:val="EndnoteReference"/>
        </w:rPr>
        <w:endnoteRef/>
      </w:r>
      <w:r>
        <w:t xml:space="preserve"> </w:t>
      </w:r>
      <w:r w:rsidRPr="0047516E">
        <w:t xml:space="preserve">Witness statement </w:t>
      </w:r>
      <w:r>
        <w:t xml:space="preserve">of </w:t>
      </w:r>
      <w:r w:rsidRPr="0047516E">
        <w:t>Kamahl Tupetagi</w:t>
      </w:r>
      <w:r w:rsidRPr="00B65D65">
        <w:t xml:space="preserve"> </w:t>
      </w:r>
      <w:r w:rsidRPr="0047516E">
        <w:t>(September 2021).</w:t>
      </w:r>
    </w:p>
  </w:endnote>
  <w:endnote w:id="448">
    <w:p w14:paraId="6F09E3DB" w14:textId="77777777" w:rsidR="00FE4E56" w:rsidRPr="00FC5F93" w:rsidRDefault="00FE4E56" w:rsidP="004368C0">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Palmer, G, New Zealand's constitution in crisis: reforming our political system (John McIndoe Limited, 1992, pages 4 and 5).</w:t>
      </w:r>
    </w:p>
  </w:endnote>
  <w:endnote w:id="449">
    <w:p w14:paraId="6977325B" w14:textId="77777777" w:rsidR="00FE4E56" w:rsidRPr="00FC5F93" w:rsidRDefault="00FE4E56" w:rsidP="004368C0">
      <w:pPr>
        <w:pStyle w:val="EndnoteText"/>
        <w:rPr>
          <w:rFonts w:cs="Arial"/>
          <w:sz w:val="16"/>
          <w:szCs w:val="16"/>
        </w:rPr>
      </w:pPr>
      <w:r w:rsidRPr="00536E67">
        <w:rPr>
          <w:rStyle w:val="StyleFootnoteReferenceFagoFunotenzeichenFagoFunotenzeichen"/>
          <w:sz w:val="16"/>
          <w:szCs w:val="16"/>
        </w:rPr>
        <w:endnoteRef/>
      </w:r>
      <w:r w:rsidRPr="00536E67">
        <w:rPr>
          <w:sz w:val="16"/>
          <w:szCs w:val="16"/>
        </w:rPr>
        <w:t xml:space="preserve"> </w:t>
      </w:r>
      <w:r w:rsidRPr="00FC5F93">
        <w:rPr>
          <w:rFonts w:cs="Arial"/>
          <w:sz w:val="16"/>
          <w:szCs w:val="16"/>
        </w:rPr>
        <w:t>Palmer, G, New Zealand's constitution in crisis: reforming our political system (John McIndoe Limited, 1992, page 49).</w:t>
      </w:r>
    </w:p>
  </w:endnote>
  <w:endnote w:id="450">
    <w:p w14:paraId="1CD3B92F" w14:textId="77777777" w:rsidR="00FE4E56" w:rsidRPr="005848F0" w:rsidRDefault="00FE4E56" w:rsidP="004368C0">
      <w:pPr>
        <w:pStyle w:val="EndnoteText"/>
        <w:rPr>
          <w:sz w:val="16"/>
          <w:szCs w:val="16"/>
        </w:rPr>
      </w:pPr>
      <w:r w:rsidRPr="005848F0">
        <w:rPr>
          <w:rStyle w:val="EndnoteReference"/>
          <w:sz w:val="16"/>
          <w:szCs w:val="16"/>
        </w:rPr>
        <w:endnoteRef/>
      </w:r>
      <w:r w:rsidRPr="005848F0">
        <w:rPr>
          <w:sz w:val="16"/>
          <w:szCs w:val="16"/>
        </w:rPr>
        <w:t xml:space="preserve"> Kumarasingham, H, Executive Power: 60 Years On Has Anything Changed?, Policy Quarterly</w:t>
      </w:r>
      <w:r>
        <w:rPr>
          <w:sz w:val="16"/>
          <w:szCs w:val="16"/>
        </w:rPr>
        <w:t>, Volume 6:4 (2010, page 47).</w:t>
      </w:r>
      <w:r w:rsidRPr="005848F0">
        <w:rPr>
          <w:sz w:val="16"/>
          <w:szCs w:val="16"/>
        </w:rPr>
        <w:t xml:space="preserve"> </w:t>
      </w:r>
    </w:p>
  </w:endnote>
  <w:endnote w:id="451">
    <w:p w14:paraId="0173F7AD" w14:textId="77777777" w:rsidR="00FE4E56" w:rsidRPr="00FC5F93" w:rsidRDefault="00FE4E56" w:rsidP="004368C0">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McGee, D, “The Parliament of New Zealand,” Parliamentary Practice in New Zealand 2023 (Clerk of the House of Representatives, 2023). </w:t>
      </w:r>
    </w:p>
  </w:endnote>
  <w:endnote w:id="452">
    <w:p w14:paraId="3D019F92" w14:textId="77777777" w:rsidR="00FE4E56" w:rsidRPr="00FC5F93" w:rsidRDefault="00FE4E56" w:rsidP="004368C0">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McGee, D, “Government,” Parliamentary Practice in New Zealand 2023 (Clerk of the House of Representatives, 2023).</w:t>
      </w:r>
    </w:p>
  </w:endnote>
  <w:endnote w:id="453">
    <w:p w14:paraId="02536BF9" w14:textId="77777777" w:rsidR="00FE4E56" w:rsidRPr="00FC5F93" w:rsidRDefault="00FE4E56" w:rsidP="004368C0">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Te Kawa Mataaho Public Service Commission website, How the public sector is organised (accessed January 2024), </w:t>
      </w:r>
      <w:hyperlink r:id="rId102" w:history="1">
        <w:r w:rsidRPr="00FC5F93">
          <w:rPr>
            <w:rStyle w:val="Hyperlink"/>
            <w:rFonts w:cs="Arial"/>
            <w:sz w:val="16"/>
            <w:szCs w:val="16"/>
          </w:rPr>
          <w:t>https://www.publicservice.govt.nz/system/system-architecture-and-design/how-the-public-sector-is-organised</w:t>
        </w:r>
      </w:hyperlink>
      <w:r w:rsidRPr="00FC5F93">
        <w:rPr>
          <w:rFonts w:cs="Arial"/>
          <w:sz w:val="16"/>
          <w:szCs w:val="16"/>
        </w:rPr>
        <w:t>.</w:t>
      </w:r>
    </w:p>
  </w:endnote>
  <w:endnote w:id="454">
    <w:p w14:paraId="5561F151" w14:textId="6CCFFE75" w:rsidR="00FE4E56" w:rsidRPr="00FC5F93" w:rsidRDefault="00FE4E56" w:rsidP="004368C0">
      <w:pPr>
        <w:pStyle w:val="EndnoteText"/>
        <w:spacing w:line="20" w:lineRule="atLeast"/>
        <w:rPr>
          <w:rFonts w:cs="Arial"/>
          <w:sz w:val="16"/>
          <w:szCs w:val="16"/>
        </w:rPr>
      </w:pPr>
      <w:r w:rsidRPr="00536E67">
        <w:rPr>
          <w:rStyle w:val="StyleFootnoteReferenceFagoFunotenzeichenFagoFunotenzeichen"/>
          <w:sz w:val="16"/>
          <w:szCs w:val="16"/>
        </w:rPr>
        <w:endnoteRef/>
      </w:r>
      <w:r w:rsidRPr="00FC5F93">
        <w:rPr>
          <w:rFonts w:cs="Arial"/>
          <w:sz w:val="16"/>
          <w:szCs w:val="16"/>
        </w:rPr>
        <w:t xml:space="preserve"> McGee, D, “Government,” Parliamentary Practice in New Zealand 2023 (Clerk of the House of Representatives, 2023).</w:t>
      </w:r>
    </w:p>
  </w:endnote>
  <w:endnote w:id="455">
    <w:p w14:paraId="2973A3AB" w14:textId="7E7B1A6F" w:rsidR="00FE4E56" w:rsidRPr="00FC5F93" w:rsidRDefault="00FE4E56" w:rsidP="004368C0">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w:t>
      </w:r>
      <w:r w:rsidRPr="00FC5F93">
        <w:rPr>
          <w:rFonts w:cs="Arial"/>
          <w:sz w:val="16"/>
          <w:szCs w:val="16"/>
        </w:rPr>
        <w:t>Witness statement of Peter Hughes (24 August 2022, page 3</w:t>
      </w:r>
      <w:r w:rsidRPr="00FC5F93" w:rsidDel="00F756D1">
        <w:rPr>
          <w:rFonts w:cs="Arial"/>
          <w:sz w:val="16"/>
          <w:szCs w:val="16"/>
        </w:rPr>
        <w:t>)</w:t>
      </w:r>
      <w:r w:rsidRPr="00FC5F93">
        <w:rPr>
          <w:rFonts w:cs="Arial"/>
          <w:sz w:val="16"/>
          <w:szCs w:val="16"/>
        </w:rPr>
        <w:t>.</w:t>
      </w:r>
    </w:p>
  </w:endnote>
  <w:endnote w:id="456">
    <w:p w14:paraId="25EC5DEE" w14:textId="170315B6" w:rsidR="00FE4E56" w:rsidRDefault="00FE4E56" w:rsidP="00F304A1">
      <w:pPr>
        <w:pStyle w:val="EndnoteText"/>
      </w:pPr>
      <w:r w:rsidRPr="001E6DB2">
        <w:rPr>
          <w:rStyle w:val="StyleFootnoteReferenceFagoFunotenzeichenFagoFunotenzeichen"/>
          <w:sz w:val="16"/>
          <w:szCs w:val="16"/>
        </w:rPr>
        <w:endnoteRef/>
      </w:r>
      <w:r w:rsidRPr="001E6DB2">
        <w:rPr>
          <w:rStyle w:val="StyleFootnoteReferenceFagoFunotenzeichenFagoFunotenzeichen"/>
          <w:sz w:val="16"/>
          <w:szCs w:val="16"/>
        </w:rPr>
        <w:t xml:space="preserve"> </w:t>
      </w:r>
      <w:r w:rsidRPr="001E6DB2">
        <w:rPr>
          <w:sz w:val="16"/>
          <w:szCs w:val="16"/>
        </w:rPr>
        <w:t xml:space="preserve">Te Kawa Mataaho Public Service Commission website, How the public service has changed over time (accessed May 2024) </w:t>
      </w:r>
      <w:hyperlink r:id="rId103" w:history="1">
        <w:r w:rsidRPr="00425961">
          <w:rPr>
            <w:rStyle w:val="Hyperlink"/>
            <w:sz w:val="16"/>
            <w:szCs w:val="16"/>
          </w:rPr>
          <w:t>https://www.publicservice.govt.nz/news/how-the-public-service-has-changed-over-time</w:t>
        </w:r>
      </w:hyperlink>
      <w:r w:rsidRPr="001E6DB2">
        <w:rPr>
          <w:sz w:val="16"/>
          <w:szCs w:val="16"/>
        </w:rPr>
        <w:t>.</w:t>
      </w:r>
    </w:p>
  </w:endnote>
  <w:endnote w:id="457">
    <w:p w14:paraId="77DC2B34" w14:textId="77777777" w:rsidR="00FE4E56" w:rsidRPr="00FC5F93" w:rsidRDefault="00FE4E56" w:rsidP="00F304A1">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Public Service Act 2020, section 11.</w:t>
      </w:r>
    </w:p>
  </w:endnote>
  <w:endnote w:id="458">
    <w:p w14:paraId="4A2FEA31" w14:textId="7A2AA820" w:rsidR="00FE4E56" w:rsidRPr="00083726" w:rsidRDefault="00FE4E56">
      <w:pPr>
        <w:pStyle w:val="EndnoteText"/>
      </w:pPr>
      <w:r w:rsidRPr="00083726">
        <w:rPr>
          <w:rStyle w:val="EndnoteReference"/>
        </w:rPr>
        <w:endnoteRef/>
      </w:r>
      <w:r w:rsidRPr="00083726">
        <w:t xml:space="preserve"> Public Service Act 2020.</w:t>
      </w:r>
    </w:p>
  </w:endnote>
  <w:endnote w:id="459">
    <w:p w14:paraId="38ED4439" w14:textId="47EBCD8C" w:rsidR="00FE4E56" w:rsidRPr="00083726" w:rsidRDefault="00FE4E56">
      <w:pPr>
        <w:pStyle w:val="EndnoteText"/>
      </w:pPr>
      <w:r w:rsidRPr="00083726">
        <w:rPr>
          <w:rStyle w:val="EndnoteReference"/>
        </w:rPr>
        <w:endnoteRef/>
      </w:r>
      <w:r w:rsidRPr="00083726">
        <w:t xml:space="preserve"> Te Kawa Mataaho Public Service Commission Nga Tohutohu mo te Minita Tomo Mai, Briefing to the Incoming Minister 2023, Te Kawa Mataaho (New Zealand, 2023) page 6.</w:t>
      </w:r>
    </w:p>
  </w:endnote>
  <w:endnote w:id="460">
    <w:p w14:paraId="0D91C674" w14:textId="18986FEE" w:rsidR="00FE4E56" w:rsidRPr="00083726" w:rsidRDefault="00FE4E56">
      <w:pPr>
        <w:pStyle w:val="EndnoteText"/>
      </w:pPr>
      <w:r w:rsidRPr="00083726">
        <w:rPr>
          <w:rStyle w:val="EndnoteReference"/>
        </w:rPr>
        <w:endnoteRef/>
      </w:r>
      <w:r w:rsidRPr="00083726">
        <w:t xml:space="preserve"> Te Kawa Mataaho Public Service Commission Nga Tohutohu mo te Minita Tomo Mai, Briefing to the Incoming Minister 2023, Te Kawa Mataaho (New Zealand, 2023) page 7.</w:t>
      </w:r>
    </w:p>
  </w:endnote>
  <w:endnote w:id="461">
    <w:p w14:paraId="6E9710C6" w14:textId="4306106D" w:rsidR="00FE4E56" w:rsidRPr="00CD37E7" w:rsidRDefault="00FE4E56" w:rsidP="00CD37E7">
      <w:pPr>
        <w:pStyle w:val="EndnoteText"/>
        <w:rPr>
          <w:vertAlign w:val="superscript"/>
        </w:rPr>
      </w:pPr>
      <w:r w:rsidRPr="00CD37E7">
        <w:rPr>
          <w:rStyle w:val="EndnoteReference"/>
          <w:sz w:val="16"/>
          <w:szCs w:val="18"/>
        </w:rPr>
        <w:endnoteRef/>
      </w:r>
      <w:r w:rsidRPr="00CD37E7">
        <w:rPr>
          <w:sz w:val="16"/>
          <w:szCs w:val="18"/>
          <w:vertAlign w:val="superscript"/>
        </w:rPr>
        <w:t xml:space="preserve"> </w:t>
      </w:r>
      <w:r w:rsidRPr="00CD37E7">
        <w:rPr>
          <w:szCs w:val="22"/>
          <w:vertAlign w:val="superscript"/>
        </w:rPr>
        <w:t>Public Finance Act 1989</w:t>
      </w:r>
    </w:p>
  </w:endnote>
  <w:endnote w:id="462">
    <w:p w14:paraId="3276BEBF" w14:textId="04FD15B2" w:rsidR="00FE4E56" w:rsidRDefault="00FE4E56" w:rsidP="005B06A0">
      <w:pPr>
        <w:pStyle w:val="TSOtherBodyText"/>
      </w:pPr>
      <w:r w:rsidRPr="005B06A0">
        <w:rPr>
          <w:rStyle w:val="EndnoteReference"/>
        </w:rPr>
        <w:endnoteRef/>
      </w:r>
      <w:r w:rsidRPr="005B06A0">
        <w:t xml:space="preserve"> Treasury, Briefing to the Incoming Minister of Finance 2023 (The Treasury, 2023</w:t>
      </w:r>
      <w:r>
        <w:t>,</w:t>
      </w:r>
      <w:r w:rsidRPr="005B06A0">
        <w:t xml:space="preserve"> </w:t>
      </w:r>
      <w:r w:rsidRPr="005B06A0">
        <w:rPr>
          <w:rFonts w:cs="Arial"/>
        </w:rPr>
        <w:t xml:space="preserve">pages </w:t>
      </w:r>
      <w:r w:rsidRPr="005B06A0">
        <w:t>18–19)</w:t>
      </w:r>
      <w:r>
        <w:t>.</w:t>
      </w:r>
    </w:p>
  </w:endnote>
  <w:endnote w:id="463">
    <w:p w14:paraId="7EB2641B" w14:textId="4A30FC20" w:rsidR="00FE4E56" w:rsidRDefault="00FE4E56">
      <w:pPr>
        <w:pStyle w:val="EndnoteText"/>
      </w:pPr>
      <w:r w:rsidRPr="00536E67">
        <w:rPr>
          <w:rStyle w:val="StyleFootnoteReferenceFagoFunotenzeichenFagoFunotenzeichen"/>
          <w:sz w:val="16"/>
          <w:szCs w:val="16"/>
        </w:rPr>
        <w:endnoteRef/>
      </w:r>
      <w:r w:rsidRPr="00FC5F93">
        <w:rPr>
          <w:sz w:val="16"/>
          <w:szCs w:val="16"/>
        </w:rPr>
        <w:t xml:space="preserve"> </w:t>
      </w:r>
      <w:r w:rsidRPr="00FC5F93">
        <w:rPr>
          <w:sz w:val="16"/>
          <w:szCs w:val="16"/>
          <w:lang w:val="en-US"/>
        </w:rPr>
        <w:t>Department of the Prime Minister and Cabinet, Briefing to the Incoming Prime Minister 2023 (2023, pages 3</w:t>
      </w:r>
      <w:r w:rsidRPr="00FC5F93">
        <w:rPr>
          <w:rStyle w:val="normaltextrun"/>
          <w:rFonts w:cs="Arial"/>
          <w:sz w:val="16"/>
          <w:szCs w:val="16"/>
          <w:bdr w:val="none" w:sz="0" w:space="0" w:color="auto" w:frame="1"/>
        </w:rPr>
        <w:t>–</w:t>
      </w:r>
      <w:r w:rsidRPr="00FC5F93">
        <w:rPr>
          <w:sz w:val="16"/>
          <w:szCs w:val="16"/>
          <w:lang w:val="en-US"/>
        </w:rPr>
        <w:t>6).</w:t>
      </w:r>
    </w:p>
  </w:endnote>
  <w:endnote w:id="464">
    <w:p w14:paraId="3125C51F" w14:textId="06707EE2" w:rsidR="00FE4E56" w:rsidRDefault="00FE4E56">
      <w:pPr>
        <w:pStyle w:val="EndnoteText"/>
      </w:pPr>
      <w:r>
        <w:rPr>
          <w:rStyle w:val="EndnoteReference"/>
        </w:rPr>
        <w:endnoteRef/>
      </w:r>
      <w:r>
        <w:t xml:space="preserve"> </w:t>
      </w:r>
      <w:r w:rsidRPr="00FC5F93">
        <w:rPr>
          <w:sz w:val="16"/>
          <w:szCs w:val="16"/>
          <w:lang w:val="en-US"/>
        </w:rPr>
        <w:t>Department of the Prime Minister and Cabinet, Briefing to the Incoming Prime Minister 2023 (2023, page 4).</w:t>
      </w:r>
    </w:p>
  </w:endnote>
  <w:endnote w:id="465">
    <w:p w14:paraId="03A25500" w14:textId="32AD2ED2" w:rsidR="00FE4E56" w:rsidRDefault="00FE4E56">
      <w:pPr>
        <w:pStyle w:val="EndnoteText"/>
      </w:pPr>
      <w:r>
        <w:rPr>
          <w:rStyle w:val="EndnoteReference"/>
        </w:rPr>
        <w:endnoteRef/>
      </w:r>
      <w:r>
        <w:t xml:space="preserve"> </w:t>
      </w:r>
      <w:r w:rsidRPr="00FC5F93">
        <w:rPr>
          <w:sz w:val="16"/>
          <w:szCs w:val="16"/>
        </w:rPr>
        <w:t xml:space="preserve">Controller and Auditor General website, What we do (accessed February 2024), </w:t>
      </w:r>
      <w:hyperlink r:id="rId104" w:history="1">
        <w:r w:rsidRPr="00FC5F93">
          <w:rPr>
            <w:rStyle w:val="Hyperlink"/>
            <w:color w:val="auto"/>
            <w:sz w:val="16"/>
            <w:szCs w:val="16"/>
          </w:rPr>
          <w:t>https://www.oag.parliament.nz/about-us/what-we-do</w:t>
        </w:r>
      </w:hyperlink>
      <w:r w:rsidRPr="00FC5F93">
        <w:rPr>
          <w:sz w:val="16"/>
          <w:szCs w:val="16"/>
        </w:rPr>
        <w:t>.</w:t>
      </w:r>
    </w:p>
  </w:endnote>
  <w:endnote w:id="466">
    <w:p w14:paraId="4990F597" w14:textId="04C286D6" w:rsidR="00FE4E56" w:rsidRDefault="00FE4E56">
      <w:pPr>
        <w:pStyle w:val="EndnoteText"/>
      </w:pPr>
      <w:r>
        <w:rPr>
          <w:rStyle w:val="EndnoteReference"/>
        </w:rPr>
        <w:endnoteRef/>
      </w:r>
      <w:r>
        <w:t xml:space="preserve"> </w:t>
      </w:r>
      <w:r w:rsidRPr="00FC5F93">
        <w:rPr>
          <w:sz w:val="16"/>
          <w:szCs w:val="16"/>
        </w:rPr>
        <w:t>The Treasury, Briefing to the Incoming Government 1984, Part 2: Economic Management (1984, page 289).</w:t>
      </w:r>
    </w:p>
  </w:endnote>
  <w:endnote w:id="467">
    <w:p w14:paraId="137F2D18"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McKinlay, P, The New Zealand reforms: They worked in theory, what about the practice? (McKinlay Douglas Limited, 2000, page 3).</w:t>
      </w:r>
    </w:p>
  </w:endnote>
  <w:endnote w:id="468">
    <w:p w14:paraId="10F1AB0B"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 287).</w:t>
      </w:r>
    </w:p>
  </w:endnote>
  <w:endnote w:id="469">
    <w:p w14:paraId="223B76C0" w14:textId="77777777" w:rsidR="00FE4E56" w:rsidRPr="00FC5F93" w:rsidRDefault="00FE4E56" w:rsidP="002C3153">
      <w:pPr>
        <w:pStyle w:val="EndnoteText"/>
        <w:rPr>
          <w:color w:val="FF0000"/>
          <w:sz w:val="16"/>
          <w:szCs w:val="16"/>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 289).</w:t>
      </w:r>
    </w:p>
  </w:endnote>
  <w:endnote w:id="470">
    <w:p w14:paraId="5E476E9A"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w:t>
      </w:r>
      <w:r w:rsidRPr="00FC5F93">
        <w:rPr>
          <w:rFonts w:cs="Arial"/>
          <w:sz w:val="16"/>
          <w:szCs w:val="16"/>
        </w:rPr>
        <w:t>Department of Education, Child Welfare Division Field Officers’ Manual, part 1 (1953, page 98).</w:t>
      </w:r>
    </w:p>
  </w:endnote>
  <w:endnote w:id="471">
    <w:p w14:paraId="756AF564"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 289).</w:t>
      </w:r>
    </w:p>
  </w:endnote>
  <w:endnote w:id="472">
    <w:p w14:paraId="2354E94D"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w:t>
      </w:r>
      <w:r w:rsidRPr="00FC5F93">
        <w:rPr>
          <w:rFonts w:cs="Arial"/>
          <w:sz w:val="16"/>
          <w:szCs w:val="16"/>
        </w:rPr>
        <w:t>Department of Education, Child Welfare Division Field Officers’ Manual, part 1 (1953, page 98).</w:t>
      </w:r>
    </w:p>
  </w:endnote>
  <w:endnote w:id="473">
    <w:p w14:paraId="0B86FF13" w14:textId="77777777" w:rsidR="00FE4E56" w:rsidRPr="00FC5F93" w:rsidRDefault="00FE4E56" w:rsidP="002C3153">
      <w:pPr>
        <w:pStyle w:val="EndnoteText"/>
        <w:rPr>
          <w:sz w:val="16"/>
          <w:szCs w:val="16"/>
          <w:highlight w:val="yellow"/>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 289).</w:t>
      </w:r>
    </w:p>
  </w:endnote>
  <w:endnote w:id="474">
    <w:p w14:paraId="54F4360C"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 290).</w:t>
      </w:r>
    </w:p>
  </w:endnote>
  <w:endnote w:id="475">
    <w:p w14:paraId="37CA4267"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Office of the Ombudsman, About the Ombudsman: Past, present and future (15 September 2020), </w:t>
      </w:r>
      <w:hyperlink r:id="rId105" w:history="1">
        <w:r w:rsidRPr="00FC5F93">
          <w:rPr>
            <w:rStyle w:val="Hyperlink"/>
            <w:sz w:val="16"/>
            <w:szCs w:val="16"/>
          </w:rPr>
          <w:t>https://www.ombudsman.parliament.nz/about-ombudsman/past-present-and-future</w:t>
        </w:r>
      </w:hyperlink>
      <w:r w:rsidRPr="00FC5F93">
        <w:rPr>
          <w:sz w:val="16"/>
          <w:szCs w:val="16"/>
        </w:rPr>
        <w:t>.</w:t>
      </w:r>
    </w:p>
  </w:endnote>
  <w:endnote w:id="476">
    <w:p w14:paraId="65622D4D" w14:textId="77777777" w:rsidR="00FE4E56" w:rsidRPr="00FC5F93" w:rsidRDefault="00FE4E56" w:rsidP="002C3153">
      <w:pPr>
        <w:pStyle w:val="EndnoteText"/>
        <w:spacing w:line="20" w:lineRule="atLeast"/>
        <w:rPr>
          <w:rFonts w:cs="Arial"/>
          <w:color w:val="FF0000"/>
          <w:sz w:val="16"/>
          <w:szCs w:val="16"/>
        </w:rPr>
      </w:pPr>
      <w:r w:rsidRPr="00536E67">
        <w:rPr>
          <w:rStyle w:val="StyleFootnoteReferenceFagoFunotenzeichenFagoFunotenzeichen"/>
          <w:sz w:val="16"/>
          <w:szCs w:val="16"/>
        </w:rPr>
        <w:endnoteRef/>
      </w:r>
      <w:r w:rsidRPr="00FC5F93">
        <w:rPr>
          <w:rFonts w:cs="Arial"/>
          <w:sz w:val="16"/>
          <w:szCs w:val="16"/>
        </w:rPr>
        <w:t xml:space="preserve"> The Treasury, Economic management: Part Two – Policy and organisational issues (1984, pages 103</w:t>
      </w:r>
      <w:r w:rsidRPr="00FC5F93">
        <w:rPr>
          <w:rFonts w:eastAsia="Calibri" w:cs="Arial"/>
          <w:sz w:val="16"/>
          <w:szCs w:val="16"/>
          <w:lang w:val="en-US"/>
        </w:rPr>
        <w:t>–</w:t>
      </w:r>
      <w:r w:rsidRPr="00FC5F93">
        <w:rPr>
          <w:rFonts w:cs="Arial"/>
          <w:sz w:val="16"/>
          <w:szCs w:val="16"/>
        </w:rPr>
        <w:t>104).</w:t>
      </w:r>
    </w:p>
  </w:endnote>
  <w:endnote w:id="477">
    <w:p w14:paraId="0270D28C"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Schick, A, The spirit of reform: Managing the New Zealand State sector in a time of change (State Services Commission, 1996, </w:t>
      </w:r>
      <w:r w:rsidRPr="00FC5F93">
        <w:rPr>
          <w:rFonts w:cs="Arial"/>
          <w:sz w:val="16"/>
          <w:szCs w:val="16"/>
        </w:rPr>
        <w:t xml:space="preserve">pages </w:t>
      </w:r>
      <w:r w:rsidRPr="00FC5F93">
        <w:rPr>
          <w:sz w:val="16"/>
          <w:szCs w:val="16"/>
        </w:rPr>
        <w:t>16</w:t>
      </w:r>
      <w:r w:rsidRPr="00FC5F93">
        <w:rPr>
          <w:sz w:val="16"/>
          <w:szCs w:val="16"/>
          <w:shd w:val="clear" w:color="auto" w:fill="FFFFFF"/>
        </w:rPr>
        <w:t>–</w:t>
      </w:r>
      <w:r w:rsidRPr="00FC5F93">
        <w:rPr>
          <w:sz w:val="16"/>
          <w:szCs w:val="16"/>
        </w:rPr>
        <w:t>17).</w:t>
      </w:r>
    </w:p>
  </w:endnote>
  <w:endnote w:id="478">
    <w:p w14:paraId="3D49E3BB"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The Treasury, Briefing to the Incoming Government 1984, Part 2: Economic Management (1984, pages 288</w:t>
      </w:r>
      <w:r w:rsidRPr="00FC5F93">
        <w:rPr>
          <w:rStyle w:val="normaltextrun"/>
          <w:rFonts w:cs="Arial"/>
          <w:sz w:val="16"/>
          <w:szCs w:val="16"/>
          <w:bdr w:val="none" w:sz="0" w:space="0" w:color="auto" w:frame="1"/>
        </w:rPr>
        <w:t>–</w:t>
      </w:r>
      <w:r w:rsidRPr="00FC5F93">
        <w:rPr>
          <w:sz w:val="16"/>
          <w:szCs w:val="16"/>
        </w:rPr>
        <w:t>290).</w:t>
      </w:r>
    </w:p>
  </w:endnote>
  <w:endnote w:id="479">
    <w:p w14:paraId="56B2507B"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Schick, A, The spirit of reform: Managing the New Zealand State sector in a time of change (State Services Commission, 1996, </w:t>
      </w:r>
      <w:r w:rsidRPr="00FC5F93">
        <w:rPr>
          <w:rStyle w:val="normaltextrun"/>
          <w:rFonts w:cs="Arial"/>
          <w:sz w:val="16"/>
          <w:szCs w:val="16"/>
          <w:bdr w:val="none" w:sz="0" w:space="0" w:color="auto" w:frame="1"/>
        </w:rPr>
        <w:t>page</w:t>
      </w:r>
      <w:r w:rsidRPr="00FC5F93">
        <w:rPr>
          <w:sz w:val="16"/>
          <w:szCs w:val="16"/>
        </w:rPr>
        <w:t xml:space="preserve"> 3).</w:t>
      </w:r>
    </w:p>
  </w:endnote>
  <w:endnote w:id="480">
    <w:p w14:paraId="11C65D79"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Schick, A, The spirit of reform: Managing the New Zealand State sector in a time of change (State Services Commission, 1996, </w:t>
      </w:r>
      <w:r w:rsidRPr="00FC5F93">
        <w:rPr>
          <w:rStyle w:val="normaltextrun"/>
          <w:rFonts w:cs="Arial"/>
          <w:sz w:val="16"/>
          <w:szCs w:val="16"/>
          <w:bdr w:val="none" w:sz="0" w:space="0" w:color="auto" w:frame="1"/>
        </w:rPr>
        <w:t>page</w:t>
      </w:r>
      <w:r w:rsidRPr="00FC5F93">
        <w:rPr>
          <w:sz w:val="16"/>
          <w:szCs w:val="16"/>
        </w:rPr>
        <w:t xml:space="preserve"> 3).</w:t>
      </w:r>
    </w:p>
  </w:endnote>
  <w:endnote w:id="481">
    <w:p w14:paraId="01FC95D2"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Archives Act 1957, section 5.</w:t>
      </w:r>
    </w:p>
  </w:endnote>
  <w:endnote w:id="482">
    <w:p w14:paraId="520C48DE"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Ministry of Social Development, Record keeping history of the Ministry of Social Development and its predecessor agencies: Part One agency structure, records systems and procedures (n.d., page 7).</w:t>
      </w:r>
    </w:p>
  </w:endnote>
  <w:endnote w:id="483">
    <w:p w14:paraId="3C54539A"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Archives Act 1957, section 8.</w:t>
      </w:r>
    </w:p>
  </w:endnote>
  <w:endnote w:id="484">
    <w:p w14:paraId="0A181B75"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Archives Act 1957, sections 15–17.</w:t>
      </w:r>
    </w:p>
  </w:endnote>
  <w:endnote w:id="485">
    <w:p w14:paraId="59E2092E"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Ministry of Social Development, Record keeping history of the Ministry of Social Development and its predecessor agencies: Part One agency structure, records systems and procedures (n.d., page 8).</w:t>
      </w:r>
    </w:p>
  </w:endnote>
  <w:endnote w:id="486">
    <w:p w14:paraId="4F8713F5"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Ministry of Social Development, Record keeping history of the Ministry of Social Development and its predecessor agencies: Part One agency structure, records systems and procedures (n.d., page 8).</w:t>
      </w:r>
    </w:p>
  </w:endnote>
  <w:endnote w:id="487">
    <w:p w14:paraId="0C158D93"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Ministry of Social Development, Record keeping history of the Ministry of Social Development and its predecessor agencies: Part One agency structure, records systems and procedures (n.d., page 9).</w:t>
      </w:r>
    </w:p>
  </w:endnote>
  <w:endnote w:id="488">
    <w:p w14:paraId="31E505A3"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Committee on Official Information, Towards open government (Government Printer, 1981, page 13).</w:t>
      </w:r>
    </w:p>
  </w:endnote>
  <w:endnote w:id="489">
    <w:p w14:paraId="3A1611C3"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Official Secrets Act 1951, section 15.</w:t>
      </w:r>
    </w:p>
  </w:endnote>
  <w:endnote w:id="490">
    <w:p w14:paraId="7BB42D9E" w14:textId="77777777" w:rsidR="00FE4E56" w:rsidRPr="005C11C1"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Committee on Official Information, Towards open government (Government Printer, 1981, page </w:t>
      </w:r>
      <w:r w:rsidRPr="005C11C1">
        <w:rPr>
          <w:sz w:val="16"/>
          <w:szCs w:val="16"/>
        </w:rPr>
        <w:t>13).</w:t>
      </w:r>
    </w:p>
  </w:endnote>
  <w:endnote w:id="491">
    <w:p w14:paraId="4A47070D" w14:textId="77777777"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Committee on Official Information, Towards open government (Government Printer, 1981, </w:t>
      </w:r>
      <w:r w:rsidRPr="00FC5F93">
        <w:rPr>
          <w:rFonts w:cs="Arial"/>
          <w:sz w:val="16"/>
          <w:szCs w:val="16"/>
        </w:rPr>
        <w:t xml:space="preserve">pages </w:t>
      </w:r>
      <w:r w:rsidRPr="00FC5F93">
        <w:rPr>
          <w:sz w:val="16"/>
          <w:szCs w:val="16"/>
        </w:rPr>
        <w:t xml:space="preserve">14–15). </w:t>
      </w:r>
    </w:p>
  </w:endnote>
  <w:endnote w:id="492">
    <w:p w14:paraId="21E652EB" w14:textId="7046A4A9" w:rsidR="00FE4E56" w:rsidRPr="00FC5F93" w:rsidRDefault="00FE4E56" w:rsidP="002C3153">
      <w:pPr>
        <w:pStyle w:val="EndnoteText"/>
        <w:rPr>
          <w:sz w:val="16"/>
          <w:szCs w:val="16"/>
        </w:rPr>
      </w:pPr>
      <w:r w:rsidRPr="00536E67">
        <w:rPr>
          <w:rStyle w:val="StyleFootnoteReferenceFagoFunotenzeichenFagoFunotenzeichen"/>
          <w:sz w:val="16"/>
          <w:szCs w:val="16"/>
        </w:rPr>
        <w:endnoteRef/>
      </w:r>
      <w:r w:rsidRPr="00FC5F93">
        <w:rPr>
          <w:sz w:val="16"/>
          <w:szCs w:val="16"/>
        </w:rPr>
        <w:t xml:space="preserve"> Committee on Official Information, Towards open government (Government Printer, 1981, </w:t>
      </w:r>
      <w:r>
        <w:rPr>
          <w:sz w:val="16"/>
          <w:szCs w:val="16"/>
        </w:rPr>
        <w:t xml:space="preserve">page </w:t>
      </w:r>
      <w:r w:rsidRPr="00FC5F93">
        <w:rPr>
          <w:sz w:val="16"/>
          <w:szCs w:val="16"/>
        </w:rPr>
        <w:t>24).</w:t>
      </w:r>
    </w:p>
  </w:endnote>
  <w:endnote w:id="493">
    <w:p w14:paraId="1C07C901" w14:textId="77777777" w:rsidR="00FE4E56" w:rsidRPr="00FC5F93" w:rsidRDefault="00FE4E56" w:rsidP="002C3153">
      <w:pPr>
        <w:pStyle w:val="EndnoteText"/>
        <w:rPr>
          <w:sz w:val="16"/>
          <w:szCs w:val="16"/>
          <w:highlight w:val="yellow"/>
        </w:rPr>
      </w:pPr>
      <w:r w:rsidRPr="00536E67">
        <w:rPr>
          <w:rStyle w:val="StyleFootnoteReferenceFagoFunotenzeichenFagoFunotenzeichen"/>
          <w:sz w:val="16"/>
          <w:szCs w:val="16"/>
        </w:rPr>
        <w:endnoteRef/>
      </w:r>
      <w:r w:rsidRPr="00FC5F93">
        <w:rPr>
          <w:sz w:val="16"/>
          <w:szCs w:val="16"/>
        </w:rPr>
        <w:t xml:space="preserve"> Official Information Act 1982, sections 6, 7, 9, 10 and 18.</w:t>
      </w:r>
    </w:p>
  </w:endnote>
  <w:endnote w:id="494">
    <w:p w14:paraId="71B6F7B6" w14:textId="1D0BDB91" w:rsidR="00FE4E56" w:rsidRPr="008439BB" w:rsidRDefault="00FE4E56" w:rsidP="002C3153">
      <w:pPr>
        <w:pStyle w:val="EndnoteText"/>
        <w:rPr>
          <w:rFonts w:cs="Arial"/>
          <w:sz w:val="16"/>
          <w:szCs w:val="16"/>
        </w:rPr>
      </w:pPr>
      <w:r w:rsidRPr="00536E67">
        <w:rPr>
          <w:rStyle w:val="StyleFootnoteReferenceFagoFunotenzeichenFagoFunotenzeichen"/>
          <w:sz w:val="16"/>
          <w:szCs w:val="16"/>
        </w:rPr>
        <w:endnoteRef/>
      </w:r>
      <w:r w:rsidRPr="00FC5F93">
        <w:rPr>
          <w:sz w:val="16"/>
          <w:szCs w:val="16"/>
        </w:rPr>
        <w:t xml:space="preserve"> </w:t>
      </w:r>
      <w:r w:rsidRPr="008439BB">
        <w:rPr>
          <w:rFonts w:cs="Arial"/>
          <w:sz w:val="16"/>
          <w:szCs w:val="16"/>
        </w:rPr>
        <w:t>Official Information Act 1982, section 2 and Schedule 1.</w:t>
      </w:r>
    </w:p>
  </w:endnote>
  <w:endnote w:id="495">
    <w:p w14:paraId="134A04D8"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Stewart, B, Necessary and desirable, Privacy Act 1993 review (Office of the Privacy Commissioner, 1997, page 1).</w:t>
      </w:r>
    </w:p>
  </w:endnote>
  <w:endnote w:id="496">
    <w:p w14:paraId="19A89289"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6, 12.</w:t>
      </w:r>
    </w:p>
  </w:endnote>
  <w:endnote w:id="497">
    <w:p w14:paraId="730A50DB"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6.</w:t>
      </w:r>
    </w:p>
  </w:endnote>
  <w:endnote w:id="498">
    <w:p w14:paraId="6DCCDF83"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29(1)(a).</w:t>
      </w:r>
    </w:p>
  </w:endnote>
  <w:endnote w:id="499">
    <w:p w14:paraId="67A78B77"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6.</w:t>
      </w:r>
    </w:p>
  </w:endnote>
  <w:endnote w:id="500">
    <w:p w14:paraId="219E3D35" w14:textId="77777777" w:rsidR="00FE4E56" w:rsidRPr="00FB6DE5"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Stewart, B, Necessary and desirable, Privacy Act 1993 review (Office of the Privacy Commissioner, 1997, page 1).</w:t>
      </w:r>
    </w:p>
  </w:endnote>
  <w:endnote w:id="501">
    <w:p w14:paraId="4E9EE016"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6.</w:t>
      </w:r>
    </w:p>
  </w:endnote>
  <w:endnote w:id="502">
    <w:p w14:paraId="400790EC" w14:textId="77777777" w:rsidR="00FE4E56" w:rsidRPr="008439BB" w:rsidRDefault="00FE4E56" w:rsidP="002C3153">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Privacy Act 1993, section 2. The Privacy Act 1993 was replaced by a new Privacy Act in 2020.</w:t>
      </w:r>
    </w:p>
  </w:endnote>
  <w:endnote w:id="503">
    <w:p w14:paraId="010B9E9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E37AA8">
        <w:rPr>
          <w:rFonts w:cs="Arial"/>
          <w:sz w:val="16"/>
          <w:szCs w:val="16"/>
        </w:rPr>
        <w:t xml:space="preserve"> </w:t>
      </w:r>
      <w:r w:rsidRPr="008439BB">
        <w:rPr>
          <w:rStyle w:val="normaltextrun"/>
          <w:rFonts w:cs="Arial"/>
          <w:sz w:val="16"/>
          <w:szCs w:val="16"/>
          <w:shd w:val="clear" w:color="auto" w:fill="FFFFFF"/>
        </w:rPr>
        <w:t>Children and Young Persons </w:t>
      </w:r>
      <w:r w:rsidRPr="008439BB">
        <w:rPr>
          <w:rStyle w:val="findhit"/>
          <w:rFonts w:cs="Arial"/>
          <w:iCs/>
          <w:sz w:val="16"/>
          <w:szCs w:val="16"/>
          <w:shd w:val="clear" w:color="auto" w:fill="FFFFFF"/>
        </w:rPr>
        <w:t>Amendment</w:t>
      </w:r>
      <w:r w:rsidRPr="008439BB">
        <w:rPr>
          <w:rStyle w:val="normaltextrun"/>
          <w:rFonts w:cs="Arial"/>
          <w:sz w:val="16"/>
          <w:szCs w:val="16"/>
          <w:shd w:val="clear" w:color="auto" w:fill="FFFFFF"/>
        </w:rPr>
        <w:t> Act 1983, sections 4A, 4B and 4C.</w:t>
      </w:r>
    </w:p>
  </w:endnote>
  <w:endnote w:id="504">
    <w:p w14:paraId="35CFE42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w:t>
      </w:r>
    </w:p>
  </w:endnote>
  <w:endnote w:id="505">
    <w:p w14:paraId="0370186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6E6691">
        <w:rPr>
          <w:rFonts w:cs="Arial"/>
          <w:sz w:val="16"/>
          <w:szCs w:val="16"/>
        </w:rPr>
        <w:t xml:space="preserve"> </w:t>
      </w:r>
      <w:r w:rsidRPr="008439BB">
        <w:rPr>
          <w:rFonts w:cs="Arial"/>
          <w:sz w:val="16"/>
          <w:szCs w:val="16"/>
        </w:rPr>
        <w:t>Frater, M, Why and how children went into care: a legal analysis of the legislative framework for care: Background paper for the Royal Commission of Inquiry into Abuse in Care (2019, page 29).</w:t>
      </w:r>
    </w:p>
  </w:endnote>
  <w:endnote w:id="506">
    <w:p w14:paraId="7E64751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0A1A80">
        <w:rPr>
          <w:rFonts w:cs="Arial"/>
          <w:sz w:val="16"/>
          <w:szCs w:val="16"/>
        </w:rPr>
        <w:t xml:space="preserve"> </w:t>
      </w:r>
      <w:r w:rsidRPr="008439BB">
        <w:rPr>
          <w:rFonts w:cs="Arial"/>
          <w:sz w:val="16"/>
          <w:szCs w:val="16"/>
        </w:rPr>
        <w:t>Frater, M, Why and how children went into care: a legal analysis of the legislative framework for care: Background paper for the Royal Commission of Inquiry into Abuse in Care (2019, page 29).</w:t>
      </w:r>
    </w:p>
  </w:endnote>
  <w:endnote w:id="507">
    <w:p w14:paraId="6EEBE49D"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Parker, W, </w:t>
      </w:r>
      <w:r w:rsidRPr="008439BB">
        <w:rPr>
          <w:rFonts w:ascii="Arial" w:eastAsia="Arial" w:hAnsi="Arial" w:cs="Arial"/>
          <w:color w:val="auto"/>
          <w:sz w:val="16"/>
          <w:szCs w:val="16"/>
        </w:rPr>
        <w:t>Social Welfare residential care 1950</w:t>
      </w:r>
      <w:r w:rsidRPr="008439BB">
        <w:rPr>
          <w:rStyle w:val="normaltextrun"/>
          <w:rFonts w:ascii="Arial" w:hAnsi="Arial" w:cs="Arial"/>
          <w:color w:val="auto"/>
          <w:sz w:val="16"/>
          <w:szCs w:val="16"/>
          <w:bdr w:val="none" w:sz="0" w:space="0" w:color="auto" w:frame="1"/>
        </w:rPr>
        <w:t>–</w:t>
      </w:r>
      <w:r w:rsidRPr="008439BB">
        <w:rPr>
          <w:rFonts w:ascii="Arial" w:eastAsia="Arial" w:hAnsi="Arial" w:cs="Arial"/>
          <w:color w:val="auto"/>
          <w:sz w:val="16"/>
          <w:szCs w:val="16"/>
        </w:rPr>
        <w:t xml:space="preserve">1994, Volume I: National policies and procedures (Ministry of Social Development, 2006, </w:t>
      </w:r>
      <w:r w:rsidRPr="008439BB">
        <w:rPr>
          <w:rFonts w:ascii="Arial" w:hAnsi="Arial" w:cs="Arial"/>
          <w:color w:val="auto"/>
          <w:sz w:val="16"/>
          <w:szCs w:val="16"/>
        </w:rPr>
        <w:t>page 9).</w:t>
      </w:r>
    </w:p>
  </w:endnote>
  <w:endnote w:id="508">
    <w:p w14:paraId="6AAE5A56"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Department of Education, Child Welfare Division Field Officers’ Manual, part 1, chapter 2 (1953, page 4).</w:t>
      </w:r>
    </w:p>
  </w:endnote>
  <w:endnote w:id="509">
    <w:p w14:paraId="3DCC8676"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sidDel="00DE4751">
        <w:rPr>
          <w:rFonts w:ascii="Arial" w:hAnsi="Arial" w:cs="Arial"/>
          <w:color w:val="auto"/>
          <w:sz w:val="16"/>
          <w:szCs w:val="16"/>
        </w:rPr>
        <w:t xml:space="preserve"> </w:t>
      </w:r>
      <w:r w:rsidRPr="008439BB">
        <w:rPr>
          <w:rFonts w:ascii="Arial" w:hAnsi="Arial" w:cs="Arial"/>
          <w:color w:val="auto"/>
          <w:sz w:val="16"/>
          <w:szCs w:val="16"/>
        </w:rPr>
        <w:t>Child Welfare Act 1925, section 3; Department of Education, Child Welfare Division Field Officers’ Manual, part 1, chapter 2 (1953</w:t>
      </w:r>
      <w:r w:rsidRPr="008439BB" w:rsidDel="005430FA">
        <w:rPr>
          <w:rFonts w:ascii="Arial" w:hAnsi="Arial" w:cs="Arial"/>
          <w:color w:val="auto"/>
          <w:sz w:val="16"/>
          <w:szCs w:val="16"/>
        </w:rPr>
        <w:t>,</w:t>
      </w:r>
      <w:r w:rsidRPr="008439BB">
        <w:rPr>
          <w:rFonts w:ascii="Arial" w:hAnsi="Arial" w:cs="Arial"/>
          <w:color w:val="auto"/>
          <w:sz w:val="16"/>
          <w:szCs w:val="16"/>
        </w:rPr>
        <w:t xml:space="preserve"> page 4);</w:t>
      </w:r>
      <w:r w:rsidRPr="008439BB" w:rsidDel="00DC1600">
        <w:rPr>
          <w:rFonts w:ascii="Arial" w:hAnsi="Arial" w:cs="Arial"/>
          <w:color w:val="auto"/>
          <w:sz w:val="16"/>
          <w:szCs w:val="16"/>
        </w:rPr>
        <w:t xml:space="preserve"> </w:t>
      </w:r>
      <w:r w:rsidRPr="008439BB">
        <w:rPr>
          <w:rFonts w:ascii="Arial" w:hAnsi="Arial" w:cs="Arial"/>
          <w:color w:val="auto"/>
          <w:sz w:val="16"/>
          <w:szCs w:val="16"/>
        </w:rPr>
        <w:t xml:space="preserve">The Infants Act 1908 was repealed in 1989. </w:t>
      </w:r>
    </w:p>
  </w:endnote>
  <w:endnote w:id="510">
    <w:p w14:paraId="6A4F21F3"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Parker, W, Social Welfare residential care 1950</w:t>
      </w:r>
      <w:r w:rsidRPr="008439BB">
        <w:rPr>
          <w:rStyle w:val="normaltextrun"/>
          <w:rFonts w:ascii="Arial" w:hAnsi="Arial" w:cs="Arial"/>
          <w:color w:val="auto"/>
          <w:sz w:val="16"/>
          <w:szCs w:val="16"/>
          <w:bdr w:val="none" w:sz="0" w:space="0" w:color="auto" w:frame="1"/>
        </w:rPr>
        <w:t>–</w:t>
      </w:r>
      <w:r w:rsidRPr="008439BB">
        <w:rPr>
          <w:rFonts w:ascii="Arial" w:hAnsi="Arial" w:cs="Arial"/>
          <w:color w:val="auto"/>
          <w:sz w:val="16"/>
          <w:szCs w:val="16"/>
        </w:rPr>
        <w:t xml:space="preserve">1994, </w:t>
      </w:r>
      <w:r w:rsidRPr="008439BB">
        <w:rPr>
          <w:rFonts w:ascii="Arial" w:eastAsia="Arial" w:hAnsi="Arial" w:cs="Arial"/>
          <w:color w:val="auto"/>
          <w:sz w:val="16"/>
          <w:szCs w:val="16"/>
        </w:rPr>
        <w:t>Volume I: National policies and procedures</w:t>
      </w:r>
      <w:r w:rsidRPr="008439BB">
        <w:rPr>
          <w:rFonts w:ascii="Arial" w:hAnsi="Arial" w:cs="Arial"/>
          <w:color w:val="auto"/>
          <w:sz w:val="16"/>
          <w:szCs w:val="16"/>
        </w:rPr>
        <w:t xml:space="preserve"> (Ministry of Social Development, 2006, page 9).</w:t>
      </w:r>
    </w:p>
  </w:endnote>
  <w:endnote w:id="511">
    <w:p w14:paraId="78D6533F" w14:textId="77777777" w:rsidR="00FE4E56" w:rsidRPr="008439BB" w:rsidRDefault="00FE4E56" w:rsidP="0062717F">
      <w:pPr>
        <w:pStyle w:val="footnotes"/>
        <w:spacing w:after="0"/>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Parker, W, Social Welfare residential care 1950-1994, </w:t>
      </w:r>
      <w:r w:rsidRPr="008439BB">
        <w:rPr>
          <w:rFonts w:ascii="Arial" w:eastAsia="Arial" w:hAnsi="Arial" w:cs="Arial"/>
          <w:color w:val="auto"/>
          <w:sz w:val="16"/>
          <w:szCs w:val="16"/>
        </w:rPr>
        <w:t xml:space="preserve">Volume I: National policies and procedures </w:t>
      </w:r>
      <w:r w:rsidRPr="008439BB">
        <w:rPr>
          <w:rFonts w:ascii="Arial" w:hAnsi="Arial" w:cs="Arial"/>
          <w:color w:val="auto"/>
          <w:sz w:val="16"/>
          <w:szCs w:val="16"/>
        </w:rPr>
        <w:t>(Ministry of Social Development, 2006, page 9).</w:t>
      </w:r>
    </w:p>
  </w:endnote>
  <w:endnote w:id="512">
    <w:p w14:paraId="51448E46" w14:textId="77777777" w:rsidR="00FE4E56" w:rsidRPr="008439BB" w:rsidRDefault="00FE4E56" w:rsidP="0062717F">
      <w:pPr>
        <w:pStyle w:val="footnotes"/>
        <w:spacing w:after="0"/>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Child Welfare Act 1925, section 12(1).</w:t>
      </w:r>
    </w:p>
  </w:endnote>
  <w:endnote w:id="513">
    <w:p w14:paraId="4E12ECF8" w14:textId="77777777" w:rsidR="00FE4E56" w:rsidRPr="008439BB" w:rsidRDefault="00FE4E56" w:rsidP="0062717F">
      <w:pPr>
        <w:pStyle w:val="footnotes"/>
        <w:spacing w:after="0"/>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Child Welfare Act 1925, section 13(4).</w:t>
      </w:r>
    </w:p>
  </w:endnote>
  <w:endnote w:id="514">
    <w:p w14:paraId="4719C24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 section 16.</w:t>
      </w:r>
    </w:p>
  </w:endnote>
  <w:endnote w:id="515">
    <w:p w14:paraId="423E217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Earl White v Attorney General, HC, Wellington, CIV-2001-485-864 (28 November 2007</w:t>
      </w:r>
      <w:r w:rsidRPr="008439BB">
        <w:rPr>
          <w:rFonts w:cs="Arial"/>
          <w:sz w:val="16"/>
          <w:szCs w:val="16"/>
        </w:rPr>
        <w:t>, para 346).</w:t>
      </w:r>
    </w:p>
  </w:endnote>
  <w:endnote w:id="516">
    <w:p w14:paraId="64978523" w14:textId="77777777" w:rsidR="00FE4E56" w:rsidRPr="008439BB" w:rsidRDefault="00FE4E56" w:rsidP="0062717F">
      <w:pPr>
        <w:pStyle w:val="footnotes"/>
        <w:rPr>
          <w:rFonts w:ascii="Arial" w:hAnsi="Arial" w:cs="Arial"/>
          <w:color w:val="auto"/>
          <w:sz w:val="16"/>
          <w:szCs w:val="16"/>
          <w:lang w:val="mi-NZ"/>
        </w:rPr>
      </w:pPr>
      <w:r w:rsidRPr="008439BB">
        <w:rPr>
          <w:rStyle w:val="StyleFootnoteReferenceFagoFunotenzeichenFagoFunotenzeichen"/>
          <w:color w:val="auto"/>
          <w:sz w:val="16"/>
          <w:szCs w:val="16"/>
        </w:rPr>
        <w:endnoteRef/>
      </w:r>
      <w:r w:rsidRPr="008439BB" w:rsidDel="007C19CE">
        <w:rPr>
          <w:rFonts w:ascii="Arial" w:hAnsi="Arial" w:cs="Arial"/>
          <w:color w:val="auto"/>
          <w:sz w:val="16"/>
          <w:szCs w:val="16"/>
        </w:rPr>
        <w:t xml:space="preserve"> </w:t>
      </w:r>
      <w:r w:rsidRPr="008439BB">
        <w:rPr>
          <w:rFonts w:ascii="Arial" w:hAnsi="Arial" w:cs="Arial"/>
          <w:color w:val="auto"/>
          <w:sz w:val="16"/>
          <w:szCs w:val="16"/>
          <w:lang w:val="mi-NZ"/>
        </w:rPr>
        <w:t>Department of Social Welfare Act 1971, section 6.</w:t>
      </w:r>
    </w:p>
  </w:endnote>
  <w:endnote w:id="517">
    <w:p w14:paraId="23DB698E" w14:textId="77777777" w:rsidR="00FE4E56" w:rsidRPr="008439BB" w:rsidRDefault="00FE4E56" w:rsidP="0062717F">
      <w:pPr>
        <w:pStyle w:val="footnotes"/>
        <w:rPr>
          <w:rFonts w:ascii="Arial" w:hAnsi="Arial" w:cs="Arial"/>
          <w:color w:val="auto"/>
          <w:sz w:val="16"/>
          <w:szCs w:val="16"/>
          <w:lang w:val="mi-NZ"/>
        </w:rPr>
      </w:pPr>
      <w:r w:rsidRPr="008439BB">
        <w:rPr>
          <w:rStyle w:val="StyleFootnoteReferenceFagoFunotenzeichenFagoFunotenzeichen"/>
          <w:color w:val="auto"/>
          <w:sz w:val="16"/>
          <w:szCs w:val="16"/>
        </w:rPr>
        <w:endnoteRef/>
      </w:r>
      <w:r w:rsidRPr="008439BB" w:rsidDel="007C19CE">
        <w:rPr>
          <w:rFonts w:ascii="Arial" w:hAnsi="Arial" w:cs="Arial"/>
          <w:color w:val="auto"/>
          <w:sz w:val="16"/>
          <w:szCs w:val="16"/>
        </w:rPr>
        <w:t xml:space="preserve"> </w:t>
      </w:r>
      <w:r w:rsidRPr="008439BB">
        <w:rPr>
          <w:rFonts w:ascii="Arial" w:hAnsi="Arial" w:cs="Arial"/>
          <w:color w:val="auto"/>
          <w:sz w:val="16"/>
          <w:szCs w:val="16"/>
          <w:lang w:val="mi-NZ"/>
        </w:rPr>
        <w:t>Children and Young Persons Act 1974, section 49(4).</w:t>
      </w:r>
    </w:p>
  </w:endnote>
  <w:endnote w:id="518">
    <w:p w14:paraId="336D3E42" w14:textId="77777777" w:rsidR="00FE4E56" w:rsidRPr="008439BB" w:rsidRDefault="00FE4E56" w:rsidP="0062717F">
      <w:pPr>
        <w:pStyle w:val="footnotes"/>
        <w:rPr>
          <w:rFonts w:ascii="Arial" w:hAnsi="Arial" w:cs="Arial"/>
          <w:color w:val="auto"/>
          <w:sz w:val="16"/>
          <w:szCs w:val="16"/>
          <w:lang w:val="mi-NZ"/>
        </w:rPr>
      </w:pPr>
      <w:r w:rsidRPr="008439BB">
        <w:rPr>
          <w:rStyle w:val="StyleFootnoteReferenceFagoFunotenzeichenFagoFunotenzeichen"/>
          <w:color w:val="auto"/>
          <w:sz w:val="16"/>
          <w:szCs w:val="16"/>
        </w:rPr>
        <w:endnoteRef/>
      </w:r>
      <w:r w:rsidRPr="008439BB" w:rsidDel="006E3E01">
        <w:rPr>
          <w:rFonts w:ascii="Arial" w:hAnsi="Arial" w:cs="Arial"/>
          <w:color w:val="auto"/>
          <w:sz w:val="16"/>
          <w:szCs w:val="16"/>
        </w:rPr>
        <w:t xml:space="preserve"> </w:t>
      </w:r>
      <w:r w:rsidRPr="008439BB">
        <w:rPr>
          <w:rFonts w:ascii="Arial" w:hAnsi="Arial" w:cs="Arial"/>
          <w:color w:val="auto"/>
          <w:sz w:val="16"/>
          <w:szCs w:val="16"/>
          <w:lang w:val="mi-NZ"/>
        </w:rPr>
        <w:t xml:space="preserve">Children and Young Persons Act 1974, section 5(1). </w:t>
      </w:r>
    </w:p>
  </w:endnote>
  <w:endnote w:id="519">
    <w:p w14:paraId="00FA435F" w14:textId="77777777" w:rsidR="00FE4E56" w:rsidRPr="008439BB" w:rsidRDefault="00FE4E56" w:rsidP="0062717F">
      <w:pPr>
        <w:pStyle w:val="footnotes"/>
        <w:rPr>
          <w:rFonts w:ascii="Arial" w:hAnsi="Arial" w:cs="Arial"/>
          <w:color w:val="auto"/>
          <w:sz w:val="16"/>
          <w:szCs w:val="16"/>
          <w:lang w:val="mi-NZ"/>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Style w:val="normaltextrun"/>
          <w:rFonts w:ascii="Arial" w:hAnsi="Arial" w:cs="Arial"/>
          <w:color w:val="auto"/>
          <w:sz w:val="16"/>
          <w:szCs w:val="16"/>
          <w:shd w:val="clear" w:color="auto" w:fill="FFFFFF"/>
        </w:rPr>
        <w:t>Earl White v Attorney General, HC, Wellington, CIV-2001-485-864 (28 November 2007</w:t>
      </w:r>
      <w:r w:rsidRPr="008439BB">
        <w:rPr>
          <w:rFonts w:ascii="Arial" w:hAnsi="Arial" w:cs="Arial"/>
          <w:color w:val="auto"/>
          <w:sz w:val="16"/>
          <w:szCs w:val="16"/>
        </w:rPr>
        <w:t>, para 346).</w:t>
      </w:r>
    </w:p>
  </w:endnote>
  <w:endnote w:id="520">
    <w:p w14:paraId="1BF73B6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cs="Arial"/>
          <w:sz w:val="16"/>
          <w:szCs w:val="16"/>
          <w:lang w:val="mi-NZ"/>
        </w:rPr>
        <w:t>Children, Young Persons, and Their Families Act 1989, section 7.</w:t>
      </w:r>
    </w:p>
  </w:endnote>
  <w:endnote w:id="521">
    <w:p w14:paraId="76AD9DA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Education, Child Welfare Division Field Officers’ Manual, part 1 (1953, page 104).</w:t>
      </w:r>
    </w:p>
  </w:endnote>
  <w:endnote w:id="522">
    <w:p w14:paraId="7D8500F7"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Education, Child Welfare Division Field Officers’ Manual, part 1 (1953, page 106).</w:t>
      </w:r>
    </w:p>
  </w:endnote>
  <w:endnote w:id="523">
    <w:p w14:paraId="7282F34C" w14:textId="2EDDD433"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vertAlign w:val="superscript"/>
        </w:rPr>
        <w:t xml:space="preserve"> </w:t>
      </w:r>
      <w:r w:rsidRPr="008439BB">
        <w:rPr>
          <w:rFonts w:cs="Arial"/>
          <w:sz w:val="16"/>
          <w:szCs w:val="16"/>
        </w:rPr>
        <w:t>Department of Education, Child Welfare Division Field Officers’ Manual, part 1 (1953, page 106); Ministry of Social Development, Record keeping history of the Ministry of Social Development and its predecessor agencies: Part One agency structure, records systems and procedures (n.d., page 37).</w:t>
      </w:r>
    </w:p>
  </w:endnote>
  <w:endnote w:id="524">
    <w:p w14:paraId="24BC964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Social Development, Record keeping history of the Ministry of Social Development and its predecessor agencies: Part One agency structure, records systems and procedures (n.d., page 46).</w:t>
      </w:r>
    </w:p>
  </w:endnote>
  <w:endnote w:id="525">
    <w:p w14:paraId="71DE22BE" w14:textId="77777777" w:rsidR="00FE4E56" w:rsidRPr="008439BB" w:rsidRDefault="00FE4E56" w:rsidP="0062717F">
      <w:pPr>
        <w:pStyle w:val="footnotes"/>
        <w:spacing w:after="0"/>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Child Welfare Act 1925, section 6(1).</w:t>
      </w:r>
    </w:p>
  </w:endnote>
  <w:endnote w:id="526">
    <w:p w14:paraId="71E7C40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Parker, W, </w:t>
      </w:r>
      <w:r w:rsidRPr="008439BB">
        <w:rPr>
          <w:rFonts w:eastAsia="Arial" w:cs="Arial"/>
          <w:sz w:val="16"/>
          <w:szCs w:val="16"/>
        </w:rPr>
        <w:t>Social Welfare residential care 1950</w:t>
      </w:r>
      <w:r w:rsidRPr="008439BB">
        <w:rPr>
          <w:rStyle w:val="normaltextrun"/>
          <w:rFonts w:cs="Arial"/>
          <w:sz w:val="16"/>
          <w:szCs w:val="16"/>
          <w:bdr w:val="none" w:sz="0" w:space="0" w:color="auto" w:frame="1"/>
        </w:rPr>
        <w:t>–</w:t>
      </w:r>
      <w:r w:rsidRPr="008439BB">
        <w:rPr>
          <w:rFonts w:eastAsia="Arial" w:cs="Arial"/>
          <w:sz w:val="16"/>
          <w:szCs w:val="16"/>
        </w:rPr>
        <w:t xml:space="preserve">1994, Volume I: National policies and procedures (Ministry of Social Development, 2006, </w:t>
      </w:r>
      <w:r w:rsidRPr="008439BB">
        <w:rPr>
          <w:rFonts w:cs="Arial"/>
          <w:sz w:val="16"/>
          <w:szCs w:val="16"/>
        </w:rPr>
        <w:t>page 11).</w:t>
      </w:r>
    </w:p>
  </w:endnote>
  <w:endnote w:id="527">
    <w:p w14:paraId="6357A3F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Education, Child Welfare Division Field Officers’ Manual, part 1 (1953, page 106).</w:t>
      </w:r>
    </w:p>
  </w:endnote>
  <w:endnote w:id="528">
    <w:p w14:paraId="343B3FAF"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w:t>
      </w:r>
      <w:r w:rsidRPr="008439BB">
        <w:rPr>
          <w:rFonts w:eastAsia="Calibri" w:cs="Arial"/>
          <w:sz w:val="16"/>
          <w:szCs w:val="16"/>
        </w:rPr>
        <w:t>Family matters: Child welfare in twentieth-century New Zealand (Auckland University Press, 1998</w:t>
      </w:r>
      <w:r w:rsidRPr="008439BB">
        <w:rPr>
          <w:rFonts w:cs="Arial"/>
          <w:sz w:val="16"/>
          <w:szCs w:val="16"/>
        </w:rPr>
        <w:t xml:space="preserve">, page 97);  Parker, W, </w:t>
      </w:r>
      <w:r w:rsidRPr="008439BB">
        <w:rPr>
          <w:rFonts w:eastAsia="Arial" w:cs="Arial"/>
          <w:sz w:val="16"/>
          <w:szCs w:val="16"/>
        </w:rPr>
        <w:t xml:space="preserve">Social Welfare residential care 1950–1994, Volume I: National policies and procedures (Ministry of Social Development, 2006, </w:t>
      </w:r>
      <w:r w:rsidRPr="008439BB">
        <w:rPr>
          <w:rFonts w:cs="Arial"/>
          <w:sz w:val="16"/>
          <w:szCs w:val="16"/>
        </w:rPr>
        <w:t>page 9).</w:t>
      </w:r>
    </w:p>
  </w:endnote>
  <w:endnote w:id="529">
    <w:p w14:paraId="6006F271"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 (No 22), section 13 (2).</w:t>
      </w:r>
    </w:p>
  </w:endnote>
  <w:endnote w:id="530">
    <w:p w14:paraId="058FB90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F952A3">
        <w:rPr>
          <w:rFonts w:cs="Arial"/>
          <w:sz w:val="16"/>
          <w:szCs w:val="16"/>
        </w:rPr>
        <w:t xml:space="preserve"> </w:t>
      </w:r>
      <w:r w:rsidRPr="008439BB">
        <w:rPr>
          <w:rFonts w:cs="Arial"/>
          <w:sz w:val="16"/>
          <w:szCs w:val="16"/>
        </w:rPr>
        <w:t>Child Welfare Act 1925, sections 13 (9) and 20(1), (Repealed); Children and Young Persons Act 1974, section 49(4</w:t>
      </w:r>
      <w:r w:rsidRPr="008439BB" w:rsidDel="006A5883">
        <w:rPr>
          <w:rFonts w:cs="Arial"/>
          <w:sz w:val="16"/>
          <w:szCs w:val="16"/>
        </w:rPr>
        <w:t>)</w:t>
      </w:r>
      <w:r w:rsidRPr="008439BB">
        <w:rPr>
          <w:rFonts w:cs="Arial"/>
          <w:sz w:val="16"/>
          <w:szCs w:val="16"/>
        </w:rPr>
        <w:t>; Children, Young Persons, and Their Families Act 1989, sections 105 and 362.</w:t>
      </w:r>
    </w:p>
  </w:endnote>
  <w:endnote w:id="531">
    <w:p w14:paraId="28BD7BB2" w14:textId="59590196" w:rsidR="00FE4E56" w:rsidRPr="008439BB" w:rsidRDefault="00FE4E56">
      <w:pPr>
        <w:pStyle w:val="EndnoteText"/>
        <w:rPr>
          <w:rFonts w:cs="Arial"/>
          <w:sz w:val="16"/>
          <w:szCs w:val="16"/>
        </w:rPr>
      </w:pPr>
      <w:r w:rsidRPr="008439BB">
        <w:rPr>
          <w:rStyle w:val="EndnoteReference"/>
          <w:sz w:val="16"/>
          <w:szCs w:val="16"/>
        </w:rPr>
        <w:endnoteRef/>
      </w:r>
      <w:r w:rsidRPr="008439BB">
        <w:rPr>
          <w:rFonts w:cs="Arial"/>
          <w:sz w:val="16"/>
          <w:szCs w:val="16"/>
        </w:rPr>
        <w:t xml:space="preserve"> Department of Social Welfare, Social Workers Manual (1984, page 47); Department of Social Welfare, Social Workers Manual (1985, page 83); Department of Social Welfare, Social Workers Manual (1989, page 81).</w:t>
      </w:r>
    </w:p>
  </w:endnote>
  <w:endnote w:id="532">
    <w:p w14:paraId="661B8AC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Sagar, M, Psychologists and the Department of Social Welfare (publisher unknown, 1986, pages 2</w:t>
      </w:r>
      <w:r w:rsidRPr="008439BB">
        <w:rPr>
          <w:rStyle w:val="normaltextrun"/>
          <w:rFonts w:cs="Arial"/>
          <w:sz w:val="16"/>
          <w:szCs w:val="16"/>
          <w:bdr w:val="none" w:sz="0" w:space="0" w:color="auto" w:frame="1"/>
        </w:rPr>
        <w:t>–</w:t>
      </w:r>
      <w:r w:rsidRPr="008439BB">
        <w:rPr>
          <w:rFonts w:cs="Arial"/>
          <w:sz w:val="16"/>
          <w:szCs w:val="16"/>
        </w:rPr>
        <w:t>3).</w:t>
      </w:r>
    </w:p>
  </w:endnote>
  <w:endnote w:id="533">
    <w:p w14:paraId="49A6F2F7"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Sagar, M, Psychologists and the Department of Social Welfare (publisher unknown, 1986, page 3).</w:t>
      </w:r>
    </w:p>
  </w:endnote>
  <w:endnote w:id="534">
    <w:p w14:paraId="24C3DA4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Social Development, Record keeping history of the Ministry of Social Development and its predecessor agencies: Part One agency structure, records systems and procedures (n.d., pages 125–126).</w:t>
      </w:r>
    </w:p>
  </w:endnote>
  <w:endnote w:id="535">
    <w:p w14:paraId="089A9D6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Social Development, Record keeping history of the Ministry of Social Development and its predecessor agencies: Part One agency structure, records systems and procedures (n.d., pages 125–156). </w:t>
      </w:r>
    </w:p>
  </w:endnote>
  <w:endnote w:id="536">
    <w:p w14:paraId="2E94712C" w14:textId="77777777" w:rsidR="00FE4E56" w:rsidRPr="008439BB" w:rsidRDefault="00FE4E56" w:rsidP="0062717F">
      <w:pPr>
        <w:pStyle w:val="EndnoteText"/>
        <w:rPr>
          <w:rFonts w:cs="Arial"/>
          <w:sz w:val="16"/>
          <w:szCs w:val="16"/>
        </w:rPr>
      </w:pPr>
      <w:r w:rsidRPr="008439BB">
        <w:rPr>
          <w:rStyle w:val="EndnoteReference"/>
          <w:sz w:val="16"/>
          <w:szCs w:val="16"/>
        </w:rPr>
        <w:endnoteRef/>
      </w:r>
      <w:r w:rsidRPr="008439BB">
        <w:rPr>
          <w:rFonts w:cs="Arial"/>
          <w:sz w:val="16"/>
          <w:szCs w:val="16"/>
        </w:rPr>
        <w:t xml:space="preserve"> Garlick, T, Social developments: An organisational history of the Ministry of Social Development and its predecessors, 1860–2011 (Steele Roberts Aotearoa, 2012, pages 278 and 283–286).</w:t>
      </w:r>
    </w:p>
  </w:endnote>
  <w:endnote w:id="537">
    <w:p w14:paraId="0FC6842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Social Development, Record keeping history of the Ministry of Social Development and its predecessor agencies: Part One agency structure, records systems and procedures (n.d., page 157).</w:t>
      </w:r>
    </w:p>
  </w:endnote>
  <w:endnote w:id="538">
    <w:p w14:paraId="4DC84D24" w14:textId="77777777" w:rsidR="00FE4E56" w:rsidRPr="008439BB" w:rsidRDefault="00FE4E56" w:rsidP="0062717F">
      <w:pPr>
        <w:pStyle w:val="EndnoteText"/>
        <w:rPr>
          <w:rFonts w:cs="Arial"/>
          <w:sz w:val="16"/>
          <w:szCs w:val="16"/>
        </w:rPr>
      </w:pPr>
      <w:r w:rsidRPr="008439BB">
        <w:rPr>
          <w:rStyle w:val="EndnoteReference"/>
          <w:sz w:val="16"/>
          <w:szCs w:val="16"/>
        </w:rPr>
        <w:endnoteRef/>
      </w:r>
      <w:r w:rsidRPr="008439BB">
        <w:rPr>
          <w:rFonts w:cs="Arial"/>
          <w:sz w:val="16"/>
          <w:szCs w:val="16"/>
        </w:rPr>
        <w:t xml:space="preserve"> Garlick, T, Social developments: An organisational history of the Ministry of Social Development and its predecessors, 1860–2011 (Steele Roberts Aotearoa, 2012, pages 53 and 93).</w:t>
      </w:r>
    </w:p>
  </w:endnote>
  <w:endnote w:id="539">
    <w:p w14:paraId="184445C8" w14:textId="77777777" w:rsidR="00FE4E56" w:rsidRPr="008439BB" w:rsidRDefault="00FE4E56" w:rsidP="0062717F">
      <w:pPr>
        <w:pStyle w:val="EndnoteText"/>
        <w:rPr>
          <w:rFonts w:cs="Arial"/>
          <w:sz w:val="16"/>
          <w:szCs w:val="16"/>
        </w:rPr>
      </w:pPr>
      <w:r w:rsidRPr="008439BB">
        <w:rPr>
          <w:rStyle w:val="EndnoteReference"/>
          <w:sz w:val="16"/>
          <w:szCs w:val="16"/>
        </w:rPr>
        <w:endnoteRef/>
      </w:r>
      <w:r w:rsidRPr="008439BB">
        <w:rPr>
          <w:rFonts w:cs="Arial"/>
          <w:sz w:val="16"/>
          <w:szCs w:val="16"/>
        </w:rPr>
        <w:t xml:space="preserve"> Garlick, T, Social developments: An organisational history of the Ministry of Social Development and its predecessors, 1860–2011 (Steele Roberts Aotearoa, 2012, page 132).</w:t>
      </w:r>
    </w:p>
  </w:endnote>
  <w:endnote w:id="540">
    <w:p w14:paraId="0E35CC1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 section 12(1).</w:t>
      </w:r>
    </w:p>
  </w:endnote>
  <w:endnote w:id="541">
    <w:p w14:paraId="40E4792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FE0693">
        <w:rPr>
          <w:rFonts w:cs="Arial"/>
          <w:sz w:val="16"/>
          <w:szCs w:val="16"/>
        </w:rPr>
        <w:t xml:space="preserve"> </w:t>
      </w:r>
      <w:r w:rsidRPr="008439BB">
        <w:rPr>
          <w:rFonts w:cs="Arial"/>
          <w:sz w:val="16"/>
          <w:szCs w:val="16"/>
        </w:rPr>
        <w:t>Child Welfare Act 1925, section 12(2).</w:t>
      </w:r>
    </w:p>
  </w:endnote>
  <w:endnote w:id="542">
    <w:p w14:paraId="1808E0B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FE0693">
        <w:rPr>
          <w:rFonts w:cs="Arial"/>
          <w:sz w:val="16"/>
          <w:szCs w:val="16"/>
        </w:rPr>
        <w:t xml:space="preserve"> </w:t>
      </w:r>
      <w:r w:rsidRPr="008439BB">
        <w:rPr>
          <w:rFonts w:cs="Arial"/>
          <w:sz w:val="16"/>
          <w:szCs w:val="16"/>
        </w:rPr>
        <w:t>Child Welfare Act 1925, section 12(2).</w:t>
      </w:r>
    </w:p>
  </w:endnote>
  <w:endnote w:id="543">
    <w:p w14:paraId="27A125D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 sections 13(1) and 13(2).</w:t>
      </w:r>
    </w:p>
  </w:endnote>
  <w:endnote w:id="544">
    <w:p w14:paraId="6C34A74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Welfare Act 1925, section 13(4).</w:t>
      </w:r>
    </w:p>
  </w:endnote>
  <w:endnote w:id="545">
    <w:p w14:paraId="3B014AC5"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351D5E">
        <w:rPr>
          <w:rFonts w:cs="Arial"/>
          <w:sz w:val="16"/>
          <w:szCs w:val="16"/>
        </w:rPr>
        <w:t xml:space="preserve"> </w:t>
      </w:r>
      <w:r w:rsidRPr="008439BB">
        <w:rPr>
          <w:rFonts w:cs="Arial"/>
          <w:sz w:val="16"/>
          <w:szCs w:val="16"/>
        </w:rPr>
        <w:t>Child Welfare Act 1925, sections 13(5), 13(7).</w:t>
      </w:r>
    </w:p>
  </w:endnote>
  <w:endnote w:id="546">
    <w:p w14:paraId="3B9E3F9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351D5E">
        <w:rPr>
          <w:rFonts w:cs="Arial"/>
          <w:sz w:val="16"/>
          <w:szCs w:val="16"/>
        </w:rPr>
        <w:t xml:space="preserve"> </w:t>
      </w:r>
      <w:r w:rsidRPr="008439BB">
        <w:rPr>
          <w:rFonts w:cs="Arial"/>
          <w:sz w:val="16"/>
          <w:szCs w:val="16"/>
        </w:rPr>
        <w:t>Child Welfare Act 1925, section 13(6).</w:t>
      </w:r>
    </w:p>
  </w:endnote>
  <w:endnote w:id="547">
    <w:p w14:paraId="40FB078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351D5E">
        <w:rPr>
          <w:rFonts w:cs="Arial"/>
          <w:sz w:val="16"/>
          <w:szCs w:val="16"/>
        </w:rPr>
        <w:t xml:space="preserve"> </w:t>
      </w:r>
      <w:r w:rsidRPr="008439BB">
        <w:rPr>
          <w:rFonts w:cs="Arial"/>
          <w:sz w:val="16"/>
          <w:szCs w:val="16"/>
        </w:rPr>
        <w:t>Child Welfare Act 1925, section 13(5).</w:t>
      </w:r>
    </w:p>
  </w:endnote>
  <w:endnote w:id="548">
    <w:p w14:paraId="795DC227"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351D5E">
        <w:rPr>
          <w:rFonts w:cs="Arial"/>
          <w:sz w:val="16"/>
          <w:szCs w:val="16"/>
        </w:rPr>
        <w:t xml:space="preserve"> </w:t>
      </w:r>
      <w:r w:rsidRPr="008439BB">
        <w:rPr>
          <w:rFonts w:cs="Arial"/>
          <w:sz w:val="16"/>
          <w:szCs w:val="16"/>
        </w:rPr>
        <w:t>Child Welfare Act 1925, section 31.</w:t>
      </w:r>
    </w:p>
  </w:endnote>
  <w:endnote w:id="549">
    <w:p w14:paraId="1CEE3DC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351D5E">
        <w:rPr>
          <w:rFonts w:cs="Arial"/>
          <w:sz w:val="16"/>
          <w:szCs w:val="16"/>
        </w:rPr>
        <w:t xml:space="preserve"> </w:t>
      </w:r>
      <w:r w:rsidRPr="008439BB">
        <w:rPr>
          <w:rFonts w:cs="Arial"/>
          <w:sz w:val="16"/>
          <w:szCs w:val="16"/>
        </w:rPr>
        <w:t>Children and Young Persons Act 1974, section 4.</w:t>
      </w:r>
    </w:p>
  </w:endnote>
  <w:endnote w:id="550">
    <w:p w14:paraId="7AC45BB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As inserted by the Children and Young Persons Amendment Act 1977 (No 126), section 3.</w:t>
      </w:r>
    </w:p>
  </w:endnote>
  <w:endnote w:id="551">
    <w:p w14:paraId="5A009C8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E66106">
        <w:rPr>
          <w:rFonts w:cs="Arial"/>
          <w:sz w:val="16"/>
          <w:szCs w:val="16"/>
        </w:rPr>
        <w:t xml:space="preserve"> </w:t>
      </w:r>
      <w:r w:rsidRPr="008439BB">
        <w:rPr>
          <w:rFonts w:cs="Arial"/>
          <w:sz w:val="16"/>
          <w:szCs w:val="16"/>
        </w:rPr>
        <w:t>Children and Young Persons Act 1974 (No 72), section 13.</w:t>
      </w:r>
    </w:p>
  </w:endnote>
  <w:endnote w:id="552">
    <w:p w14:paraId="6481E7D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E66106">
        <w:rPr>
          <w:rFonts w:cs="Arial"/>
          <w:sz w:val="16"/>
          <w:szCs w:val="16"/>
        </w:rPr>
        <w:t xml:space="preserve"> </w:t>
      </w:r>
      <w:r w:rsidRPr="008439BB">
        <w:rPr>
          <w:rFonts w:cs="Arial"/>
          <w:sz w:val="16"/>
          <w:szCs w:val="16"/>
        </w:rPr>
        <w:t>Children and Young Persons Act 1974 (No 72), section 15(8).</w:t>
      </w:r>
    </w:p>
  </w:endnote>
  <w:endnote w:id="553">
    <w:p w14:paraId="66A82C8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E66106">
        <w:rPr>
          <w:rFonts w:cs="Arial"/>
          <w:sz w:val="16"/>
          <w:szCs w:val="16"/>
        </w:rPr>
        <w:t xml:space="preserve"> </w:t>
      </w:r>
      <w:r w:rsidRPr="008439BB">
        <w:rPr>
          <w:rFonts w:cs="Arial"/>
          <w:sz w:val="16"/>
          <w:szCs w:val="16"/>
        </w:rPr>
        <w:t>Children and Young Persons Act 1974 (No 72), section 15(7).</w:t>
      </w:r>
    </w:p>
  </w:endnote>
  <w:endnote w:id="554">
    <w:p w14:paraId="5CC0EF7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As inserted by the Children and Young Persons Amendment Act 1977 (No 126), section 7.</w:t>
      </w:r>
    </w:p>
  </w:endnote>
  <w:endnote w:id="555">
    <w:p w14:paraId="70AF797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evidence of Chief Ombudsman Peter Boshier (26 August 2022, pages 1041</w:t>
      </w:r>
      <w:r w:rsidRPr="008439BB">
        <w:rPr>
          <w:rStyle w:val="normaltextrun"/>
          <w:rFonts w:cs="Arial"/>
          <w:sz w:val="16"/>
          <w:szCs w:val="16"/>
          <w:bdr w:val="none" w:sz="0" w:space="0" w:color="auto" w:frame="1"/>
        </w:rPr>
        <w:t>–</w:t>
      </w:r>
      <w:r w:rsidRPr="008439BB">
        <w:rPr>
          <w:rFonts w:cs="Arial"/>
          <w:sz w:val="16"/>
          <w:szCs w:val="16"/>
        </w:rPr>
        <w:t>1042).</w:t>
      </w:r>
    </w:p>
  </w:endnote>
  <w:endnote w:id="556">
    <w:p w14:paraId="16D32D1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E66106">
        <w:rPr>
          <w:rFonts w:cs="Arial"/>
          <w:sz w:val="16"/>
          <w:szCs w:val="16"/>
        </w:rPr>
        <w:t xml:space="preserve"> </w:t>
      </w:r>
      <w:r w:rsidRPr="008439BB">
        <w:rPr>
          <w:rFonts w:cs="Arial"/>
          <w:sz w:val="16"/>
          <w:szCs w:val="16"/>
        </w:rPr>
        <w:t>Frater, M, Why and how children went into care: a legal analysis of the legislative framework for care: background paper for the Royal Commission of Inquiry into Abuse in Care (2019, page 29).</w:t>
      </w:r>
    </w:p>
  </w:endnote>
  <w:endnote w:id="557">
    <w:p w14:paraId="3E7565A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Children, Young Persons, and Their Families Act 1989, sections 5 and 13.</w:t>
      </w:r>
    </w:p>
  </w:endnote>
  <w:endnote w:id="558">
    <w:p w14:paraId="38C9AE8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Children, Young Persons, and Their Families Act 1989, sections 20–38.</w:t>
      </w:r>
    </w:p>
  </w:endnote>
  <w:endnote w:id="559">
    <w:p w14:paraId="2C3867D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226F9">
        <w:rPr>
          <w:rFonts w:cs="Arial"/>
          <w:sz w:val="16"/>
          <w:szCs w:val="16"/>
        </w:rPr>
        <w:t xml:space="preserve"> </w:t>
      </w:r>
      <w:r w:rsidRPr="008439BB">
        <w:rPr>
          <w:rFonts w:cs="Arial"/>
          <w:sz w:val="16"/>
          <w:szCs w:val="16"/>
        </w:rPr>
        <w:t>Frater, M, Why and how children went into care: a legal analysis of the legislative framework for care: background paper for the Royal Commission of Inquiry into Abuse in Care (2019, page 29).</w:t>
      </w:r>
    </w:p>
  </w:endnote>
  <w:endnote w:id="560">
    <w:p w14:paraId="0AF4D9A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Watt, E, A history of youth justice in New Zealand, research paper commissioned by the Principal Youth Court Judge (2003, pages 24–26); Children, Young Persons, and their Families Act 1989 (No 24), section 208.</w:t>
      </w:r>
    </w:p>
  </w:endnote>
  <w:endnote w:id="561">
    <w:p w14:paraId="6E4DE19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 15.</w:t>
      </w:r>
    </w:p>
  </w:endnote>
  <w:endnote w:id="562">
    <w:p w14:paraId="3CD4FBA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sections 18(1) and 19(3).</w:t>
      </w:r>
    </w:p>
  </w:endnote>
  <w:endnote w:id="563">
    <w:p w14:paraId="51C6474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sections 30 and 34.</w:t>
      </w:r>
    </w:p>
  </w:endnote>
  <w:endnote w:id="564">
    <w:p w14:paraId="3EAA1975"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sections 31 and 31(2).</w:t>
      </w:r>
    </w:p>
  </w:endnote>
  <w:endnote w:id="565">
    <w:p w14:paraId="1E9F781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sections 39</w:t>
      </w:r>
      <w:r w:rsidRPr="008439BB">
        <w:rPr>
          <w:rStyle w:val="normaltextrun"/>
          <w:rFonts w:cs="Arial"/>
          <w:sz w:val="16"/>
          <w:szCs w:val="16"/>
          <w:bdr w:val="none" w:sz="0" w:space="0" w:color="auto" w:frame="1"/>
        </w:rPr>
        <w:t>–</w:t>
      </w:r>
      <w:r w:rsidRPr="008439BB">
        <w:rPr>
          <w:rFonts w:cs="Arial"/>
          <w:sz w:val="16"/>
          <w:szCs w:val="16"/>
        </w:rPr>
        <w:t>40.</w:t>
      </w:r>
    </w:p>
  </w:endnote>
  <w:endnote w:id="566">
    <w:p w14:paraId="66CEFB5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7E5677">
        <w:rPr>
          <w:rFonts w:cs="Arial"/>
          <w:sz w:val="16"/>
          <w:szCs w:val="16"/>
        </w:rPr>
        <w:t xml:space="preserve"> </w:t>
      </w:r>
      <w:r w:rsidRPr="008439BB">
        <w:rPr>
          <w:rFonts w:cs="Arial"/>
          <w:sz w:val="16"/>
          <w:szCs w:val="16"/>
        </w:rPr>
        <w:t>Children, Young Persons, and Their Families Act 1989 (No 24), sections 39</w:t>
      </w:r>
      <w:r w:rsidRPr="008439BB">
        <w:rPr>
          <w:rStyle w:val="normaltextrun"/>
          <w:rFonts w:cs="Arial"/>
          <w:sz w:val="16"/>
          <w:szCs w:val="16"/>
          <w:bdr w:val="none" w:sz="0" w:space="0" w:color="auto" w:frame="1"/>
        </w:rPr>
        <w:t>–</w:t>
      </w:r>
      <w:r w:rsidRPr="008439BB">
        <w:rPr>
          <w:rFonts w:cs="Arial"/>
          <w:sz w:val="16"/>
          <w:szCs w:val="16"/>
        </w:rPr>
        <w:t>40.</w:t>
      </w:r>
    </w:p>
  </w:endnote>
  <w:endnote w:id="567">
    <w:p w14:paraId="2D8D5BE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Children, Young Persons, and Their Families Act 1989 (No 24), section 396.</w:t>
      </w:r>
    </w:p>
  </w:endnote>
  <w:endnote w:id="568">
    <w:p w14:paraId="3B2283FC" w14:textId="5BC34386" w:rsidR="00FE4E56" w:rsidRPr="008439BB" w:rsidRDefault="00FE4E56">
      <w:pPr>
        <w:pStyle w:val="EndnoteText"/>
        <w:rPr>
          <w:rFonts w:cs="Arial"/>
          <w:sz w:val="16"/>
          <w:szCs w:val="16"/>
        </w:rPr>
      </w:pPr>
      <w:r w:rsidRPr="008439BB">
        <w:rPr>
          <w:rStyle w:val="EndnoteReference"/>
          <w:sz w:val="16"/>
          <w:szCs w:val="16"/>
        </w:rPr>
        <w:endnoteRef/>
      </w:r>
      <w:r w:rsidRPr="008439BB">
        <w:rPr>
          <w:rFonts w:cs="Arial"/>
          <w:sz w:val="16"/>
          <w:szCs w:val="16"/>
        </w:rPr>
        <w:t xml:space="preserve"> Children, Young Persons, and Their Families Act 1989 (No 24), section 141.</w:t>
      </w:r>
    </w:p>
  </w:endnote>
  <w:endnote w:id="569">
    <w:p w14:paraId="7689AD16" w14:textId="57D7FC91" w:rsidR="00FE4E56" w:rsidRPr="008439BB" w:rsidRDefault="00FE4E56" w:rsidP="00E65E7D">
      <w:pPr>
        <w:pStyle w:val="EndnoteText"/>
        <w:rPr>
          <w:rFonts w:cs="Arial"/>
          <w:sz w:val="16"/>
          <w:szCs w:val="16"/>
        </w:rPr>
      </w:pPr>
      <w:r w:rsidRPr="008439BB">
        <w:rPr>
          <w:rStyle w:val="EndnoteReference"/>
          <w:sz w:val="16"/>
          <w:szCs w:val="16"/>
        </w:rPr>
        <w:endnoteRef/>
      </w:r>
      <w:r w:rsidRPr="008439BB">
        <w:rPr>
          <w:rFonts w:cs="Arial"/>
          <w:sz w:val="16"/>
          <w:szCs w:val="16"/>
        </w:rPr>
        <w:t xml:space="preserve"> Child Youth and Family Care and Protection Handbook, 1996-2002, (Version 2.1, June 2000). 10-6. </w:t>
      </w:r>
    </w:p>
  </w:endnote>
  <w:endnote w:id="570">
    <w:p w14:paraId="2A60068F" w14:textId="5EC1D969" w:rsidR="00FE4E56" w:rsidRPr="008439BB" w:rsidRDefault="00FE4E56">
      <w:pPr>
        <w:pStyle w:val="EndnoteText"/>
        <w:rPr>
          <w:rFonts w:cs="Arial"/>
          <w:sz w:val="16"/>
          <w:szCs w:val="16"/>
        </w:rPr>
      </w:pPr>
      <w:r w:rsidRPr="008439BB">
        <w:rPr>
          <w:rStyle w:val="EndnoteReference"/>
          <w:sz w:val="16"/>
          <w:szCs w:val="16"/>
        </w:rPr>
        <w:endnoteRef/>
      </w:r>
      <w:r w:rsidRPr="008439BB">
        <w:rPr>
          <w:rFonts w:cs="Arial"/>
          <w:sz w:val="16"/>
          <w:szCs w:val="16"/>
        </w:rPr>
        <w:t xml:space="preserve"> Child Youth and Family Care and Protection Handbook, 1996-2002, (Version 2.1, June 2000). 10-7.</w:t>
      </w:r>
    </w:p>
  </w:endnote>
  <w:endnote w:id="571">
    <w:p w14:paraId="230A725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rPr>
        <w:t xml:space="preserve">Child Welfare Act 1925 (No 22), section 23. </w:t>
      </w:r>
    </w:p>
  </w:endnote>
  <w:endnote w:id="572">
    <w:p w14:paraId="62D18F3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rPr>
        <w:t>Either married, or was adopted other than by a parent (Children and Young Persons Act 1974, No 72, section 49(7)).</w:t>
      </w:r>
      <w:r w:rsidRPr="008439BB">
        <w:rPr>
          <w:rStyle w:val="eop"/>
          <w:rFonts w:cs="Arial"/>
          <w:sz w:val="16"/>
          <w:szCs w:val="16"/>
        </w:rPr>
        <w:t> </w:t>
      </w:r>
    </w:p>
  </w:endnote>
  <w:endnote w:id="573">
    <w:p w14:paraId="1C70AE8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rPr>
        <w:t>Children, Young Persons, and Their Families Act 1989, sections 101(1) and (2); Children, Young Persons, and Their Families Act 1989 (No 24), section 110(1)(a)-(e).</w:t>
      </w:r>
    </w:p>
  </w:endnote>
  <w:endnote w:id="574">
    <w:p w14:paraId="29E4B163" w14:textId="3F0B6DE5"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rPr>
        <w:t>Department of Education,</w:t>
      </w:r>
      <w:r w:rsidRPr="008439BB">
        <w:rPr>
          <w:rStyle w:val="normaltextrun"/>
          <w:rFonts w:cs="Arial"/>
          <w:sz w:val="16"/>
          <w:szCs w:val="16"/>
          <w:shd w:val="clear" w:color="auto" w:fill="FFFFFF"/>
        </w:rPr>
        <w:t xml:space="preserve"> Child Welfare Division Field Officers’ Manual (</w:t>
      </w:r>
      <w:r w:rsidRPr="008439BB" w:rsidDel="00212680">
        <w:rPr>
          <w:rStyle w:val="normaltextrun"/>
          <w:rFonts w:cs="Arial"/>
          <w:sz w:val="16"/>
          <w:szCs w:val="16"/>
          <w:shd w:val="clear" w:color="auto" w:fill="FFFFFF"/>
        </w:rPr>
        <w:t>1957</w:t>
      </w:r>
      <w:r w:rsidRPr="008439BB">
        <w:rPr>
          <w:rStyle w:val="normaltextrun"/>
          <w:rFonts w:cs="Arial"/>
          <w:sz w:val="16"/>
          <w:szCs w:val="16"/>
          <w:shd w:val="clear" w:color="auto" w:fill="FFFFFF"/>
        </w:rPr>
        <w:t>, section J.468); </w:t>
      </w:r>
      <w:r w:rsidRPr="008439BB">
        <w:rPr>
          <w:rStyle w:val="normaltextrun"/>
          <w:rFonts w:cs="Arial"/>
          <w:sz w:val="16"/>
          <w:szCs w:val="16"/>
        </w:rPr>
        <w:t>Department of Education,</w:t>
      </w:r>
      <w:r w:rsidRPr="008439BB">
        <w:rPr>
          <w:rStyle w:val="normaltextrun"/>
          <w:rFonts w:cs="Arial"/>
          <w:sz w:val="16"/>
          <w:szCs w:val="16"/>
          <w:shd w:val="clear" w:color="auto" w:fill="FFFFFF"/>
        </w:rPr>
        <w:t xml:space="preserve"> Child Welfare Division Social Workers’ Manual (</w:t>
      </w:r>
      <w:r w:rsidRPr="008439BB" w:rsidDel="001454B3">
        <w:rPr>
          <w:rStyle w:val="normaltextrun"/>
          <w:rFonts w:cs="Arial"/>
          <w:sz w:val="16"/>
          <w:szCs w:val="16"/>
          <w:shd w:val="clear" w:color="auto" w:fill="FFFFFF"/>
        </w:rPr>
        <w:t>1970</w:t>
      </w:r>
      <w:r w:rsidRPr="008439BB">
        <w:rPr>
          <w:rStyle w:val="normaltextrun"/>
          <w:rFonts w:cs="Arial"/>
          <w:sz w:val="16"/>
          <w:szCs w:val="16"/>
          <w:shd w:val="clear" w:color="auto" w:fill="FFFFFF"/>
        </w:rPr>
        <w:t>, section J27); Department of Social Welfare, Social Work Manual, Volume 2 (1984, section N21).</w:t>
      </w:r>
      <w:r w:rsidRPr="008439BB">
        <w:rPr>
          <w:rStyle w:val="eop"/>
          <w:rFonts w:cs="Arial"/>
          <w:sz w:val="16"/>
          <w:szCs w:val="16"/>
          <w:shd w:val="clear" w:color="auto" w:fill="FFFFFF"/>
        </w:rPr>
        <w:t> </w:t>
      </w:r>
    </w:p>
  </w:endnote>
  <w:endnote w:id="575">
    <w:p w14:paraId="4575E0D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rPr>
        <w:t>Department of Social Welfare, Social Work Manual, Volume 2 (1984</w:t>
      </w:r>
      <w:r w:rsidRPr="008439BB">
        <w:rPr>
          <w:rFonts w:eastAsia="Arial" w:cs="Arial"/>
          <w:sz w:val="16"/>
          <w:szCs w:val="16"/>
        </w:rPr>
        <w:t>, s</w:t>
      </w:r>
      <w:r w:rsidRPr="008439BB">
        <w:rPr>
          <w:rStyle w:val="normaltextrun"/>
          <w:rFonts w:cs="Arial"/>
          <w:sz w:val="16"/>
          <w:szCs w:val="16"/>
        </w:rPr>
        <w:t>ection N21.3).</w:t>
      </w:r>
    </w:p>
  </w:endnote>
  <w:endnote w:id="576">
    <w:p w14:paraId="3998C222" w14:textId="06756CCF" w:rsidR="00FE4E56" w:rsidRPr="008439BB" w:rsidRDefault="00FE4E56">
      <w:pPr>
        <w:pStyle w:val="EndnoteText"/>
        <w:rPr>
          <w:rFonts w:cs="Arial"/>
          <w:sz w:val="16"/>
          <w:szCs w:val="16"/>
        </w:rPr>
      </w:pPr>
      <w:r w:rsidRPr="008439BB">
        <w:rPr>
          <w:rStyle w:val="EndnoteReference"/>
          <w:sz w:val="16"/>
          <w:szCs w:val="16"/>
        </w:rPr>
        <w:endnoteRef/>
      </w:r>
      <w:r w:rsidRPr="008439BB">
        <w:rPr>
          <w:rFonts w:cs="Arial"/>
          <w:sz w:val="16"/>
          <w:szCs w:val="16"/>
        </w:rPr>
        <w:t xml:space="preserve"> Children, Young Persons, and Their Families Act 1989 (No 24), section 141.</w:t>
      </w:r>
    </w:p>
  </w:endnote>
  <w:endnote w:id="577">
    <w:p w14:paraId="56400CBF"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Craig, T &amp; Mills, M, Care and control: The role of institutions in New Zealand (New Zealand Planning Council, 1987, page 36).</w:t>
      </w:r>
    </w:p>
  </w:endnote>
  <w:endnote w:id="578">
    <w:p w14:paraId="7235D765"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Dalley, B, Family matters: Child welfare in twentieth-century New Zealand (Auckland University Press, 1998,</w:t>
      </w:r>
      <w:r w:rsidRPr="008439BB">
        <w:rPr>
          <w:rStyle w:val="Hyperlink"/>
          <w:rFonts w:cs="Arial"/>
          <w:color w:val="auto"/>
          <w:sz w:val="16"/>
          <w:szCs w:val="16"/>
          <w:u w:val="none"/>
        </w:rPr>
        <w:t xml:space="preserve"> page 173).</w:t>
      </w:r>
    </w:p>
  </w:endnote>
  <w:endnote w:id="579">
    <w:p w14:paraId="16953FF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Parker, W, </w:t>
      </w:r>
      <w:r w:rsidRPr="008439BB">
        <w:rPr>
          <w:rFonts w:eastAsia="Arial" w:cs="Arial"/>
          <w:sz w:val="16"/>
          <w:szCs w:val="16"/>
        </w:rPr>
        <w:t>Social Welfare residential care 1950</w:t>
      </w:r>
      <w:r w:rsidRPr="008439BB">
        <w:rPr>
          <w:rFonts w:cs="Arial"/>
          <w:sz w:val="16"/>
          <w:szCs w:val="16"/>
        </w:rPr>
        <w:t>–</w:t>
      </w:r>
      <w:r w:rsidRPr="008439BB">
        <w:rPr>
          <w:rFonts w:eastAsia="Arial" w:cs="Arial"/>
          <w:sz w:val="16"/>
          <w:szCs w:val="16"/>
        </w:rPr>
        <w:t xml:space="preserve">1994, Volume. I: National policies and procedures (Ministry of Social Development, 2006, </w:t>
      </w:r>
      <w:r w:rsidRPr="008439BB">
        <w:rPr>
          <w:rFonts w:cs="Arial"/>
          <w:sz w:val="16"/>
          <w:szCs w:val="16"/>
        </w:rPr>
        <w:t>page 10).</w:t>
      </w:r>
    </w:p>
  </w:endnote>
  <w:endnote w:id="580">
    <w:p w14:paraId="76C4C85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Parker, W, </w:t>
      </w:r>
      <w:r w:rsidRPr="008439BB">
        <w:rPr>
          <w:rFonts w:eastAsia="Arial" w:cs="Arial"/>
          <w:sz w:val="16"/>
          <w:szCs w:val="16"/>
        </w:rPr>
        <w:t>Social Welfare residential care 1950</w:t>
      </w:r>
      <w:r w:rsidRPr="008439BB">
        <w:rPr>
          <w:rFonts w:cs="Arial"/>
          <w:sz w:val="16"/>
          <w:szCs w:val="16"/>
        </w:rPr>
        <w:t>–</w:t>
      </w:r>
      <w:r w:rsidRPr="008439BB">
        <w:rPr>
          <w:rFonts w:eastAsia="Arial" w:cs="Arial"/>
          <w:sz w:val="16"/>
          <w:szCs w:val="16"/>
        </w:rPr>
        <w:t xml:space="preserve">1994, Volume I: National policies and procedures (Ministry of Social Development, 2006, </w:t>
      </w:r>
      <w:r w:rsidRPr="008439BB">
        <w:rPr>
          <w:rFonts w:cs="Arial"/>
          <w:sz w:val="16"/>
          <w:szCs w:val="16"/>
        </w:rPr>
        <w:t>page 51).</w:t>
      </w:r>
    </w:p>
  </w:endnote>
  <w:endnote w:id="581">
    <w:p w14:paraId="7645AB7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Parker, W, </w:t>
      </w:r>
      <w:r w:rsidRPr="008439BB">
        <w:rPr>
          <w:rFonts w:eastAsia="Arial" w:cs="Arial"/>
          <w:sz w:val="16"/>
          <w:szCs w:val="16"/>
        </w:rPr>
        <w:t>Social Welfare residential care 1950</w:t>
      </w:r>
      <w:r w:rsidRPr="008439BB">
        <w:rPr>
          <w:rFonts w:cs="Arial"/>
          <w:sz w:val="16"/>
          <w:szCs w:val="16"/>
        </w:rPr>
        <w:t>–</w:t>
      </w:r>
      <w:r w:rsidRPr="008439BB">
        <w:rPr>
          <w:rFonts w:eastAsia="Arial" w:cs="Arial"/>
          <w:sz w:val="16"/>
          <w:szCs w:val="16"/>
        </w:rPr>
        <w:t xml:space="preserve">1994, Volume. I: National policies and procedures (Ministry of Social Development, 2006, </w:t>
      </w:r>
      <w:r w:rsidRPr="008439BB">
        <w:rPr>
          <w:rFonts w:cs="Arial"/>
          <w:sz w:val="16"/>
          <w:szCs w:val="16"/>
        </w:rPr>
        <w:t xml:space="preserve">pages </w:t>
      </w:r>
      <w:r w:rsidRPr="008439BB">
        <w:rPr>
          <w:rFonts w:eastAsia="Arial" w:cs="Arial"/>
          <w:sz w:val="16"/>
          <w:szCs w:val="16"/>
        </w:rPr>
        <w:t xml:space="preserve">50–51); </w:t>
      </w:r>
      <w:r w:rsidRPr="008439BB">
        <w:rPr>
          <w:rFonts w:cs="Arial"/>
          <w:sz w:val="16"/>
          <w:szCs w:val="16"/>
        </w:rPr>
        <w:t>Garlick, T, Social developments: An organisational history of the Ministry of Social Development and its predecessors, 1860–2011 (Steele Roberts Aotearoa, 2012, page 133).</w:t>
      </w:r>
    </w:p>
  </w:endnote>
  <w:endnote w:id="582">
    <w:p w14:paraId="69D088C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Parker, W, </w:t>
      </w:r>
      <w:r w:rsidRPr="008439BB">
        <w:rPr>
          <w:rFonts w:eastAsia="Arial" w:cs="Arial"/>
          <w:sz w:val="16"/>
          <w:szCs w:val="16"/>
        </w:rPr>
        <w:t>Social Welfare residential care 1950</w:t>
      </w:r>
      <w:r w:rsidRPr="008439BB">
        <w:rPr>
          <w:rFonts w:cs="Arial"/>
          <w:sz w:val="16"/>
          <w:szCs w:val="16"/>
        </w:rPr>
        <w:t>–</w:t>
      </w:r>
      <w:r w:rsidRPr="008439BB">
        <w:rPr>
          <w:rFonts w:eastAsia="Arial" w:cs="Arial"/>
          <w:sz w:val="16"/>
          <w:szCs w:val="16"/>
        </w:rPr>
        <w:t xml:space="preserve">1994, Volume I: National policies and procedures (Ministry of Social Development, 2006, </w:t>
      </w:r>
      <w:r w:rsidRPr="008439BB">
        <w:rPr>
          <w:rFonts w:cs="Arial"/>
          <w:sz w:val="16"/>
          <w:szCs w:val="16"/>
        </w:rPr>
        <w:t>page 51).</w:t>
      </w:r>
    </w:p>
  </w:endnote>
  <w:endnote w:id="583">
    <w:p w14:paraId="001C9803"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Carson, R, New horizons: A review of the residential services of the Department of Social Welfare (Department of Social Welfare, 1982, page 59).</w:t>
      </w:r>
    </w:p>
  </w:endnote>
  <w:endnote w:id="584">
    <w:p w14:paraId="64004A68"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Garlick, T, Social developments: An organisational history of the Ministry of Social Development and its predecessors, 1860–2011 (Steele Roberts Aotearoa, 2012, page 133); Savage, C, Moyle, P, Kus-Harbord, L, Ahuriri-Driscoll, A, Hynds, A, Paipa, K, Leonard, G, Maraki, J, &amp; Leonard, J</w:t>
      </w:r>
      <w:r w:rsidRPr="008439BB" w:rsidDel="002966D0">
        <w:rPr>
          <w:rFonts w:cs="Arial"/>
          <w:sz w:val="16"/>
          <w:szCs w:val="16"/>
        </w:rPr>
        <w:t xml:space="preserve">, </w:t>
      </w:r>
      <w:r w:rsidRPr="008439BB">
        <w:rPr>
          <w:rFonts w:cs="Arial"/>
          <w:sz w:val="16"/>
          <w:szCs w:val="16"/>
        </w:rPr>
        <w:t>Hāhā-uri, hāhā-tea: Māori involvement in State care 1950–1999 (Ihi Research, 2021, page 92).</w:t>
      </w:r>
    </w:p>
  </w:endnote>
  <w:endnote w:id="585">
    <w:p w14:paraId="7A33752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C12819">
        <w:rPr>
          <w:rFonts w:cs="Arial"/>
          <w:sz w:val="16"/>
          <w:szCs w:val="16"/>
        </w:rPr>
        <w:t xml:space="preserve"> </w:t>
      </w:r>
      <w:r w:rsidRPr="008439BB">
        <w:rPr>
          <w:rFonts w:cs="Arial"/>
          <w:sz w:val="16"/>
          <w:szCs w:val="16"/>
        </w:rPr>
        <w:t>Else, A, A question of adoption: Closed stranger adoption in New Zealand, 1944–1974 (Bridget Williams Books, 1991, pages x–xi, page 24).</w:t>
      </w:r>
    </w:p>
  </w:endnote>
  <w:endnote w:id="586">
    <w:p w14:paraId="2321A385"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224). </w:t>
      </w:r>
    </w:p>
  </w:endnote>
  <w:endnote w:id="587">
    <w:p w14:paraId="5C8AFD0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bdr w:val="none" w:sz="0" w:space="0" w:color="auto" w:frame="1"/>
        </w:rPr>
        <w:t xml:space="preserve">Else, A, A question of adoption: Closed stranger adoption in New Zealand, 1944–1974 </w:t>
      </w:r>
      <w:r w:rsidRPr="008439BB">
        <w:rPr>
          <w:rFonts w:cs="Arial"/>
          <w:sz w:val="16"/>
          <w:szCs w:val="16"/>
        </w:rPr>
        <w:t>(</w:t>
      </w:r>
      <w:r w:rsidRPr="008439BB">
        <w:rPr>
          <w:rStyle w:val="normaltextrun"/>
          <w:rFonts w:cs="Arial"/>
          <w:sz w:val="16"/>
          <w:szCs w:val="16"/>
          <w:bdr w:val="none" w:sz="0" w:space="0" w:color="auto" w:frame="1"/>
        </w:rPr>
        <w:t xml:space="preserve">Bridget Williams Books, 1991, </w:t>
      </w:r>
      <w:r w:rsidRPr="008439BB">
        <w:rPr>
          <w:rFonts w:cs="Arial"/>
          <w:sz w:val="16"/>
          <w:szCs w:val="16"/>
        </w:rPr>
        <w:t>page 48); Dalley, B, Family matters: Child welfare in twentieth-century New Zealand (Auckland University Press, 1998, page 233).</w:t>
      </w:r>
    </w:p>
  </w:endnote>
  <w:endnote w:id="588">
    <w:p w14:paraId="5B1AF6D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bdr w:val="none" w:sz="0" w:space="0" w:color="auto" w:frame="1"/>
        </w:rPr>
        <w:t>Else, A, A question of adoption: Closed stranger adoption in New Zealand, 1944–1974 (Bridget Williams Books, 1991,</w:t>
      </w:r>
      <w:r w:rsidRPr="008439BB">
        <w:rPr>
          <w:rFonts w:cs="Arial"/>
          <w:sz w:val="16"/>
          <w:szCs w:val="16"/>
        </w:rPr>
        <w:t xml:space="preserve"> paras 67–69).</w:t>
      </w:r>
    </w:p>
  </w:endnote>
  <w:endnote w:id="589">
    <w:p w14:paraId="347BD65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page 4). </w:t>
      </w:r>
    </w:p>
  </w:endnote>
  <w:endnote w:id="590">
    <w:p w14:paraId="0DDAB1B5" w14:textId="77777777" w:rsidR="00FE4E56" w:rsidRPr="008439BB" w:rsidRDefault="00FE4E56" w:rsidP="0062717F">
      <w:pPr>
        <w:spacing w:before="0" w:after="0"/>
        <w:rPr>
          <w:rFonts w:ascii="Arial" w:hAnsi="Arial" w:cs="Arial"/>
          <w:sz w:val="16"/>
          <w:szCs w:val="16"/>
        </w:rPr>
      </w:pPr>
      <w:r w:rsidRPr="008439BB">
        <w:rPr>
          <w:rStyle w:val="StyleFootnoteReferenceFagoFunotenzeichenFagoFunotenzeichen"/>
          <w:color w:val="auto"/>
          <w:sz w:val="16"/>
          <w:szCs w:val="16"/>
        </w:rPr>
        <w:endnoteRef/>
      </w:r>
      <w:r w:rsidRPr="008439BB" w:rsidDel="00B76CB2">
        <w:rPr>
          <w:rFonts w:ascii="Arial" w:hAnsi="Arial" w:cs="Arial"/>
          <w:sz w:val="16"/>
          <w:szCs w:val="16"/>
        </w:rPr>
        <w:t xml:space="preserve"> </w:t>
      </w:r>
      <w:r w:rsidRPr="008439BB">
        <w:rPr>
          <w:rFonts w:ascii="Arial" w:hAnsi="Arial" w:cs="Arial"/>
          <w:sz w:val="16"/>
          <w:szCs w:val="16"/>
        </w:rPr>
        <w:t xml:space="preserve">Else, A, Adoption: Growth in adoption (Te Ara – The Encyclopedia of New Zealand, 2011, page 2), </w:t>
      </w:r>
      <w:hyperlink r:id="rId106" w:history="1">
        <w:r w:rsidRPr="008439BB">
          <w:rPr>
            <w:rStyle w:val="Hyperlink"/>
            <w:rFonts w:ascii="Arial" w:hAnsi="Arial" w:cs="Arial"/>
            <w:color w:val="auto"/>
            <w:sz w:val="16"/>
            <w:szCs w:val="16"/>
          </w:rPr>
          <w:t>https://teara.govt.nz/en/adoption/page-2</w:t>
        </w:r>
      </w:hyperlink>
      <w:r w:rsidRPr="008439BB">
        <w:rPr>
          <w:rFonts w:ascii="Arial" w:hAnsi="Arial" w:cs="Arial"/>
          <w:sz w:val="16"/>
          <w:szCs w:val="16"/>
        </w:rPr>
        <w:t>.</w:t>
      </w:r>
    </w:p>
  </w:endnote>
  <w:endnote w:id="591">
    <w:p w14:paraId="19E0280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Adoption Act 1955.</w:t>
      </w:r>
    </w:p>
  </w:endnote>
  <w:endnote w:id="592">
    <w:p w14:paraId="476C3BA8" w14:textId="77777777" w:rsidR="00FE4E56" w:rsidRPr="008439BB" w:rsidRDefault="00FE4E56" w:rsidP="0062717F">
      <w:pPr>
        <w:spacing w:before="0" w:after="0"/>
        <w:jc w:val="both"/>
        <w:rPr>
          <w:rFonts w:ascii="Arial"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Witness statement of Dr Anne Else (9 October 2019, page 5).</w:t>
      </w:r>
    </w:p>
  </w:endnote>
  <w:endnote w:id="593">
    <w:p w14:paraId="1E396ED4" w14:textId="77777777" w:rsidR="00FE4E56" w:rsidRPr="008439BB" w:rsidRDefault="00FE4E56" w:rsidP="0062717F">
      <w:pPr>
        <w:spacing w:before="0" w:after="0"/>
        <w:jc w:val="both"/>
        <w:rPr>
          <w:rFonts w:ascii="Arial"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Haenga-Collins, M, Closed stranger adoption, Māori and race relations in Aotearoa New Zealand, 1955</w:t>
      </w:r>
      <w:r w:rsidRPr="008439BB">
        <w:rPr>
          <w:rStyle w:val="normaltextrun"/>
          <w:rFonts w:ascii="Arial" w:hAnsi="Arial" w:cs="Arial"/>
          <w:sz w:val="16"/>
          <w:szCs w:val="16"/>
          <w:bdr w:val="none" w:sz="0" w:space="0" w:color="auto" w:frame="1"/>
        </w:rPr>
        <w:t>–</w:t>
      </w:r>
      <w:r w:rsidRPr="008439BB">
        <w:rPr>
          <w:rFonts w:ascii="Arial" w:hAnsi="Arial" w:cs="Arial"/>
          <w:sz w:val="16"/>
          <w:szCs w:val="16"/>
        </w:rPr>
        <w:t>1985, Doctoral Thesis, Australian National University (March 2017, page 1).</w:t>
      </w:r>
    </w:p>
  </w:endnote>
  <w:endnote w:id="594">
    <w:p w14:paraId="1C5D89D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page 5).</w:t>
      </w:r>
    </w:p>
  </w:endnote>
  <w:endnote w:id="595">
    <w:p w14:paraId="4B7DDA3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Adoption Act 1955, section 8(1).</w:t>
      </w:r>
    </w:p>
  </w:endnote>
  <w:endnote w:id="596">
    <w:p w14:paraId="362A4DE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Adoption Act 1955, section 8(2).</w:t>
      </w:r>
    </w:p>
  </w:endnote>
  <w:endnote w:id="597">
    <w:p w14:paraId="0FFB2E13" w14:textId="77777777" w:rsidR="00FE4E56" w:rsidRPr="008439BB" w:rsidRDefault="00FE4E56" w:rsidP="0062717F">
      <w:pPr>
        <w:keepNext/>
        <w:widowControl w:val="0"/>
        <w:spacing w:before="0" w:after="0"/>
        <w:jc w:val="both"/>
        <w:rPr>
          <w:rFonts w:ascii="Arial"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Department of Education, Child Welfare Division Field Officers Manual (c. 1958-1969, I.289). </w:t>
      </w:r>
    </w:p>
  </w:endnote>
  <w:endnote w:id="598">
    <w:p w14:paraId="3223474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264).</w:t>
      </w:r>
    </w:p>
  </w:endnote>
  <w:endnote w:id="599">
    <w:p w14:paraId="0E712C82" w14:textId="77777777" w:rsidR="00FE4E56" w:rsidRPr="008439BB" w:rsidRDefault="00FE4E56" w:rsidP="0062717F">
      <w:pPr>
        <w:widowControl w:val="0"/>
        <w:spacing w:before="0" w:after="0"/>
        <w:jc w:val="both"/>
        <w:rPr>
          <w:rFonts w:ascii="Arial"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Department of Social Welfare, Social Work Manual (1984</w:t>
      </w:r>
      <w:r w:rsidRPr="008439BB">
        <w:rPr>
          <w:rFonts w:ascii="Arial" w:eastAsia="Arial" w:hAnsi="Arial" w:cs="Arial"/>
          <w:sz w:val="16"/>
          <w:szCs w:val="16"/>
        </w:rPr>
        <w:t xml:space="preserve">, </w:t>
      </w:r>
      <w:r w:rsidRPr="008439BB">
        <w:rPr>
          <w:rFonts w:ascii="Arial" w:hAnsi="Arial" w:cs="Arial"/>
          <w:sz w:val="16"/>
          <w:szCs w:val="16"/>
        </w:rPr>
        <w:t>E4.1).</w:t>
      </w:r>
    </w:p>
  </w:endnote>
  <w:endnote w:id="600">
    <w:p w14:paraId="26C52AE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Social Work Manual (1984, E4.1).</w:t>
      </w:r>
    </w:p>
  </w:endnote>
  <w:endnote w:id="601">
    <w:p w14:paraId="750CACAC" w14:textId="3B69CB70"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bdr w:val="none" w:sz="0" w:space="0" w:color="auto" w:frame="1"/>
        </w:rPr>
        <w:t xml:space="preserve">Else, A, A question of adoption: Closed stranger adoption in New Zealand, 1944–1974 (Bridget Williams Books, 1991, page xii). </w:t>
      </w:r>
    </w:p>
  </w:endnote>
  <w:endnote w:id="602">
    <w:p w14:paraId="024935E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para 7).</w:t>
      </w:r>
    </w:p>
  </w:endnote>
  <w:endnote w:id="603">
    <w:p w14:paraId="4DA4A1B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223).</w:t>
      </w:r>
    </w:p>
  </w:endnote>
  <w:endnote w:id="604">
    <w:p w14:paraId="3FDD1DC3" w14:textId="64AE6D3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Haenga-Collins, M, “Creating fictitious family memories: The closed stranger adoption of Māori children into white families,” Journal of New Zealand studies (2019, page 37).</w:t>
      </w:r>
    </w:p>
  </w:endnote>
  <w:endnote w:id="605">
    <w:p w14:paraId="636F59F0" w14:textId="77777777" w:rsidR="00FE4E56" w:rsidRPr="008439BB" w:rsidRDefault="00FE4E56" w:rsidP="009E392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Adult Adoption Information Act 1985, sections 4 and 9.</w:t>
      </w:r>
    </w:p>
  </w:endnote>
  <w:endnote w:id="606">
    <w:p w14:paraId="20CB8D5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page 3). </w:t>
      </w:r>
    </w:p>
  </w:endnote>
  <w:endnote w:id="607">
    <w:p w14:paraId="2DEA3D6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bdr w:val="none" w:sz="0" w:space="0" w:color="auto" w:frame="1"/>
        </w:rPr>
        <w:t xml:space="preserve">Else, A, A question of adoption: Closed stranger adoption in New Zealand, 1944–1974 (Bridget Williams Books, 1991); </w:t>
      </w:r>
      <w:r w:rsidRPr="008439BB">
        <w:rPr>
          <w:rFonts w:cs="Arial"/>
          <w:sz w:val="16"/>
          <w:szCs w:val="16"/>
        </w:rPr>
        <w:t>Dalley, B, Family matters: Child welfare in twentieth-century New Zealand (Auckland University Press, 1998, page 60).</w:t>
      </w:r>
    </w:p>
  </w:endnote>
  <w:endnote w:id="608">
    <w:p w14:paraId="0E415F4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Savage, C, Moyle, P, Kus-Harbord, L, Ahuriri-Driscoll, A, Hynds, A, Paipa, K, Leonard, G, Maraki, J, &amp; Leonard, J, Hāhā-uri hāhā-tea: Māori involvement in State care 1950–1999 (Ihi Research, 2021, page 35). </w:t>
      </w:r>
    </w:p>
  </w:endnote>
  <w:endnote w:id="609">
    <w:p w14:paraId="7CF0BA45"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233).</w:t>
      </w:r>
    </w:p>
  </w:endnote>
  <w:endnote w:id="610">
    <w:p w14:paraId="3A26F1F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bdr w:val="none" w:sz="0" w:space="0" w:color="auto" w:frame="1"/>
        </w:rPr>
        <w:t xml:space="preserve">Else, A, A question of adoption: Closed stranger adoption in New Zealand, 1944–1974 (Bridget Williams Books, 1991, </w:t>
      </w:r>
      <w:r w:rsidRPr="008439BB">
        <w:rPr>
          <w:rFonts w:cs="Arial"/>
          <w:sz w:val="16"/>
          <w:szCs w:val="16"/>
        </w:rPr>
        <w:t xml:space="preserve">page 180). </w:t>
      </w:r>
    </w:p>
  </w:endnote>
  <w:endnote w:id="611">
    <w:p w14:paraId="031D3ED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NZ Press Association, “New Law Reduces Adoptions,” The Press (29 July 1966). </w:t>
      </w:r>
      <w:hyperlink r:id="rId107" w:history="1">
        <w:r w:rsidRPr="008439BB">
          <w:rPr>
            <w:rStyle w:val="Hyperlink"/>
            <w:rFonts w:cs="Arial"/>
            <w:color w:val="auto"/>
            <w:sz w:val="16"/>
            <w:szCs w:val="16"/>
          </w:rPr>
          <w:t>https://paperspast.natlib.govt.nz/newspapers/CHP19660729.2.36?phrase=2&amp;query=New+Law+Reduces+Adoptions&amp;snippet=true</w:t>
        </w:r>
      </w:hyperlink>
    </w:p>
  </w:endnote>
  <w:endnote w:id="612">
    <w:p w14:paraId="13FF803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234)</w:t>
      </w:r>
    </w:p>
  </w:endnote>
  <w:endnote w:id="613">
    <w:p w14:paraId="4BE7735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234); Witness statements of Dr Anne Else (9 October 2019, page 18); Ms AF (</w:t>
      </w:r>
      <w:r w:rsidRPr="008439BB">
        <w:rPr>
          <w:rFonts w:eastAsia="Arial" w:cs="Arial"/>
          <w:sz w:val="16"/>
          <w:szCs w:val="16"/>
        </w:rPr>
        <w:t>13 August 2021,</w:t>
      </w:r>
      <w:r w:rsidRPr="008439BB">
        <w:rPr>
          <w:rFonts w:cs="Arial"/>
          <w:sz w:val="16"/>
          <w:szCs w:val="16"/>
        </w:rPr>
        <w:t xml:space="preserve"> paras 3.3–3.5) and Dallas Pickering (n.d., para 27); Haenga-Collins, M, Closed stranger adoption, Māori and race relations in Aotearoa New Zealand, 1955–1985, Doctoral Thesis,</w:t>
      </w:r>
      <w:r w:rsidRPr="008439BB" w:rsidDel="006735EF">
        <w:rPr>
          <w:rFonts w:cs="Arial"/>
          <w:sz w:val="16"/>
          <w:szCs w:val="16"/>
        </w:rPr>
        <w:t xml:space="preserve"> </w:t>
      </w:r>
      <w:r w:rsidRPr="008439BB">
        <w:rPr>
          <w:rFonts w:cs="Arial"/>
          <w:sz w:val="16"/>
          <w:szCs w:val="16"/>
        </w:rPr>
        <w:t>Australian National University (March 2017, page 7).</w:t>
      </w:r>
      <w:r w:rsidRPr="008439BB">
        <w:rPr>
          <w:rFonts w:cs="Arial"/>
          <w:sz w:val="16"/>
          <w:szCs w:val="16"/>
          <w:highlight w:val="green"/>
        </w:rPr>
        <w:t xml:space="preserve"> </w:t>
      </w:r>
    </w:p>
  </w:endnote>
  <w:endnote w:id="614">
    <w:p w14:paraId="0941810B" w14:textId="77777777" w:rsidR="00FE4E56" w:rsidRPr="008439BB" w:rsidRDefault="00FE4E56" w:rsidP="0062717F">
      <w:pPr>
        <w:pStyle w:val="EndnoteText"/>
        <w:rPr>
          <w:rFonts w:eastAsiaTheme="minorEastAsia" w:cs="Arial"/>
          <w:sz w:val="16"/>
          <w:szCs w:val="16"/>
          <w:lang w:val="en-AU"/>
        </w:rPr>
      </w:pPr>
      <w:r w:rsidRPr="008439BB">
        <w:rPr>
          <w:rStyle w:val="StyleFootnoteReferenceFagoFunotenzeichenFagoFunotenzeichen"/>
          <w:color w:val="auto"/>
          <w:sz w:val="16"/>
          <w:szCs w:val="16"/>
        </w:rPr>
        <w:endnoteRef/>
      </w:r>
      <w:r w:rsidRPr="008439BB">
        <w:rPr>
          <w:rFonts w:eastAsia="Calibri" w:cs="Arial"/>
          <w:sz w:val="16"/>
          <w:szCs w:val="16"/>
        </w:rPr>
        <w:t xml:space="preserve"> </w:t>
      </w:r>
      <w:r w:rsidRPr="008439BB">
        <w:rPr>
          <w:rFonts w:eastAsia="Calibri" w:cs="Arial"/>
          <w:sz w:val="16"/>
          <w:szCs w:val="16"/>
          <w:lang w:val="en-US"/>
        </w:rPr>
        <w:t>Else, A</w:t>
      </w:r>
      <w:r w:rsidRPr="008439BB" w:rsidDel="00BE41C9">
        <w:rPr>
          <w:rFonts w:eastAsia="Calibri" w:cs="Arial"/>
          <w:sz w:val="16"/>
          <w:szCs w:val="16"/>
          <w:lang w:val="en-US"/>
        </w:rPr>
        <w:t xml:space="preserve"> </w:t>
      </w:r>
      <w:r w:rsidRPr="008439BB">
        <w:rPr>
          <w:rFonts w:eastAsia="Calibri" w:cs="Arial"/>
          <w:sz w:val="16"/>
          <w:szCs w:val="16"/>
          <w:lang w:val="en-US"/>
        </w:rPr>
        <w:t xml:space="preserve">in </w:t>
      </w:r>
      <w:r w:rsidRPr="008439BB">
        <w:rPr>
          <w:rFonts w:cs="Arial"/>
          <w:sz w:val="16"/>
          <w:szCs w:val="16"/>
        </w:rPr>
        <w:t xml:space="preserve">Savage, C, Moyle, P, Kus-Harbord, L, Ahuriri-Driscoll, A, Hynds, A, Paipa, K, Leonard, G, Maraki, J &amp; Leonard, J, Hāhā-uri hāhā-tea: Māori involvement in State care 1950–1999 (Ihi Research, 2021, page </w:t>
      </w:r>
      <w:r w:rsidRPr="008439BB">
        <w:rPr>
          <w:rFonts w:eastAsia="Calibri" w:cs="Arial"/>
          <w:sz w:val="16"/>
          <w:szCs w:val="16"/>
          <w:lang w:val="en-US"/>
        </w:rPr>
        <w:t>168).</w:t>
      </w:r>
    </w:p>
  </w:endnote>
  <w:endnote w:id="615">
    <w:p w14:paraId="310036B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para 14).</w:t>
      </w:r>
    </w:p>
  </w:endnote>
  <w:endnote w:id="616">
    <w:p w14:paraId="703F313D" w14:textId="192A6B06" w:rsidR="00FE4E56" w:rsidRPr="008439BB" w:rsidRDefault="00FE4E56" w:rsidP="0062717F">
      <w:pPr>
        <w:spacing w:before="0" w:after="0"/>
        <w:rPr>
          <w:rFonts w:ascii="Arial"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Ahuriri-Driscoll, A, Blake, D, Potter, H, McBreen, K &amp; Mikaere, A, “A ’forgotten’ whakapapa: historical narratives of Māori and closed adoption, New Zealand Journal of Social Sciences Online,” 18(2), (2023, page 136). </w:t>
      </w:r>
    </w:p>
  </w:endnote>
  <w:endnote w:id="617">
    <w:p w14:paraId="4350E48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Children, Young Persons. and Their Families Act 1989 (No 24), sections 241(1)– (2).</w:t>
      </w:r>
    </w:p>
  </w:endnote>
  <w:endnote w:id="618">
    <w:p w14:paraId="115CC493"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Penal Institutions Act 1958, sections 12(1)–(2): Sentences of imprisonment for less than one month could be served in a police jail.</w:t>
      </w:r>
    </w:p>
  </w:endnote>
  <w:endnote w:id="619">
    <w:p w14:paraId="2EEDFC97"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 xml:space="preserve">Criminal Justice Act 1954, section 14(1). </w:t>
      </w:r>
    </w:p>
  </w:endnote>
  <w:endnote w:id="620">
    <w:p w14:paraId="7B0007B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 and Young Persons Act 1974, section 12.</w:t>
      </w:r>
    </w:p>
  </w:endnote>
  <w:endnote w:id="621">
    <w:p w14:paraId="4B35EA86" w14:textId="77777777" w:rsidR="00FE4E56" w:rsidRPr="00FB6DE5"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evidence of Commissioner Andrew Coster for NZ Police</w:t>
      </w:r>
      <w:r w:rsidRPr="008439BB" w:rsidDel="00A032BC">
        <w:rPr>
          <w:rFonts w:cs="Arial"/>
          <w:sz w:val="16"/>
          <w:szCs w:val="16"/>
        </w:rPr>
        <w:t xml:space="preserve"> </w:t>
      </w:r>
      <w:r w:rsidRPr="008439BB">
        <w:rPr>
          <w:rFonts w:cs="Arial"/>
          <w:sz w:val="16"/>
          <w:szCs w:val="16"/>
        </w:rPr>
        <w:t xml:space="preserve">at the Inquiry’s State Institutional Response Hearing </w:t>
      </w:r>
      <w:r w:rsidRPr="00FB6DE5">
        <w:rPr>
          <w:rFonts w:cs="Arial"/>
          <w:sz w:val="16"/>
          <w:szCs w:val="16"/>
        </w:rPr>
        <w:t xml:space="preserve">(Royal Commission of Inquiry into Abuse in Care, 16 August 2022, </w:t>
      </w:r>
      <w:r w:rsidRPr="002A7FB5">
        <w:rPr>
          <w:rFonts w:cs="Arial"/>
          <w:sz w:val="16"/>
          <w:szCs w:val="16"/>
        </w:rPr>
        <w:t xml:space="preserve">pages </w:t>
      </w:r>
      <w:r w:rsidRPr="00FB6DE5">
        <w:rPr>
          <w:rFonts w:cs="Arial"/>
          <w:sz w:val="16"/>
          <w:szCs w:val="16"/>
        </w:rPr>
        <w:t>104–105).</w:t>
      </w:r>
    </w:p>
  </w:endnote>
  <w:endnote w:id="622">
    <w:p w14:paraId="6E73031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076EE3">
        <w:rPr>
          <w:rFonts w:cs="Arial"/>
          <w:sz w:val="16"/>
          <w:szCs w:val="16"/>
        </w:rPr>
        <w:t xml:space="preserve"> </w:t>
      </w:r>
      <w:r w:rsidRPr="008439BB">
        <w:rPr>
          <w:rFonts w:cs="Arial"/>
          <w:sz w:val="16"/>
          <w:szCs w:val="16"/>
          <w:lang w:val="mi-NZ"/>
        </w:rPr>
        <w:t xml:space="preserve">Children, Young Persons, and Their Families Act 1989 (No 24), section </w:t>
      </w:r>
      <w:r w:rsidRPr="008439BB">
        <w:rPr>
          <w:rFonts w:cs="Arial"/>
          <w:sz w:val="16"/>
          <w:szCs w:val="16"/>
        </w:rPr>
        <w:t>208(a).</w:t>
      </w:r>
    </w:p>
  </w:endnote>
  <w:endnote w:id="623">
    <w:p w14:paraId="4D4ACFE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076EE3">
        <w:rPr>
          <w:rFonts w:cs="Arial"/>
          <w:sz w:val="16"/>
          <w:szCs w:val="16"/>
        </w:rPr>
        <w:t xml:space="preserve"> </w:t>
      </w:r>
      <w:r w:rsidRPr="008439BB">
        <w:rPr>
          <w:rFonts w:cs="Arial"/>
          <w:sz w:val="16"/>
          <w:szCs w:val="16"/>
          <w:lang w:val="mi-NZ"/>
        </w:rPr>
        <w:t xml:space="preserve">Children, Young Persons, and Their Families Act 1989 (No 24), section </w:t>
      </w:r>
      <w:r w:rsidRPr="008439BB">
        <w:rPr>
          <w:rFonts w:cs="Arial"/>
          <w:sz w:val="16"/>
          <w:szCs w:val="16"/>
        </w:rPr>
        <w:t>208(b)–(c).</w:t>
      </w:r>
    </w:p>
  </w:endnote>
  <w:endnote w:id="624">
    <w:p w14:paraId="4A172B55"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076EE3">
        <w:rPr>
          <w:rFonts w:cs="Arial"/>
          <w:sz w:val="16"/>
          <w:szCs w:val="16"/>
        </w:rPr>
        <w:t xml:space="preserve"> </w:t>
      </w:r>
      <w:r w:rsidRPr="008439BB">
        <w:rPr>
          <w:rFonts w:cs="Arial"/>
          <w:sz w:val="16"/>
          <w:szCs w:val="16"/>
          <w:lang w:val="mi-NZ"/>
        </w:rPr>
        <w:t xml:space="preserve">Children, Young Persons, and Their Families Act 1989 (No 24), sections </w:t>
      </w:r>
      <w:r w:rsidRPr="008439BB">
        <w:rPr>
          <w:rFonts w:cs="Arial"/>
          <w:sz w:val="16"/>
          <w:szCs w:val="16"/>
        </w:rPr>
        <w:t>209 and 211.</w:t>
      </w:r>
    </w:p>
  </w:endnote>
  <w:endnote w:id="625">
    <w:p w14:paraId="75E6483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Children, Young Persons, and Their Families Act 1989 (No 24), section 258.</w:t>
      </w:r>
    </w:p>
  </w:endnote>
  <w:endnote w:id="626">
    <w:p w14:paraId="1E6DA593"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Dalley, B, Family matters: Child welfare in twentieth-century New Zealand (Auckland University Press, 1998, page 288).</w:t>
      </w:r>
    </w:p>
  </w:endnote>
  <w:endnote w:id="627">
    <w:p w14:paraId="6F75BD6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 xml:space="preserve">Children, Young Persons, and Their Families Act 1989 (No 24), sections 241(1)–(2). </w:t>
      </w:r>
    </w:p>
  </w:endnote>
  <w:endnote w:id="628">
    <w:p w14:paraId="12F04A27"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 xml:space="preserve">Children, Young Persons, and Their Families Act 1989 (No 24), section 234. </w:t>
      </w:r>
    </w:p>
  </w:endnote>
  <w:endnote w:id="629">
    <w:p w14:paraId="275967F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Children, Young Persons, and Their Families Act 1989 (No 24), section 235(1).</w:t>
      </w:r>
    </w:p>
  </w:endnote>
  <w:endnote w:id="630">
    <w:p w14:paraId="2BF5AE7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Children, Young Persons, and Their Families Act 1989 (No 24), section 236.</w:t>
      </w:r>
    </w:p>
  </w:endnote>
  <w:endnote w:id="631">
    <w:p w14:paraId="0B3204B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sidDel="00BC29C0">
        <w:rPr>
          <w:rFonts w:cs="Arial"/>
          <w:sz w:val="16"/>
          <w:szCs w:val="16"/>
        </w:rPr>
        <w:t xml:space="preserve"> </w:t>
      </w:r>
      <w:r w:rsidRPr="008439BB">
        <w:rPr>
          <w:rFonts w:cs="Arial"/>
          <w:sz w:val="16"/>
          <w:szCs w:val="16"/>
        </w:rPr>
        <w:t>Children, Young Persons, and Their Families Act 1989 (No 24), section 236(1).</w:t>
      </w:r>
    </w:p>
  </w:endnote>
  <w:endnote w:id="632">
    <w:p w14:paraId="18EC786A" w14:textId="77777777" w:rsidR="00FE4E56" w:rsidRPr="008439BB" w:rsidRDefault="00FE4E56" w:rsidP="0062717F">
      <w:pPr>
        <w:pStyle w:val="EndnoteText"/>
        <w:spacing w:before="120"/>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evidence of Chief Executive Jeremy Lightfoot for the Department of Corrections</w:t>
      </w:r>
      <w:r w:rsidRPr="008439BB" w:rsidDel="00A032BC">
        <w:rPr>
          <w:rFonts w:cs="Arial"/>
          <w:sz w:val="16"/>
          <w:szCs w:val="16"/>
        </w:rPr>
        <w:t xml:space="preserve"> </w:t>
      </w:r>
      <w:r w:rsidRPr="008439BB">
        <w:rPr>
          <w:rFonts w:cs="Arial"/>
          <w:sz w:val="16"/>
          <w:szCs w:val="16"/>
        </w:rPr>
        <w:t>at the Inquiry’s State Institutional Response Hearing (</w:t>
      </w:r>
      <w:r w:rsidRPr="008439BB" w:rsidDel="00D62D33">
        <w:rPr>
          <w:rFonts w:cs="Arial"/>
          <w:sz w:val="16"/>
          <w:szCs w:val="16"/>
        </w:rPr>
        <w:t xml:space="preserve">Royal Commission of Inquiry into Abuse in Care, </w:t>
      </w:r>
      <w:r w:rsidRPr="008439BB">
        <w:rPr>
          <w:rFonts w:cs="Arial"/>
          <w:sz w:val="16"/>
          <w:szCs w:val="16"/>
        </w:rPr>
        <w:t>25 August 2022, page 894</w:t>
      </w:r>
      <w:r w:rsidRPr="008439BB" w:rsidDel="00694135">
        <w:rPr>
          <w:rFonts w:cs="Arial"/>
          <w:sz w:val="16"/>
          <w:szCs w:val="16"/>
        </w:rPr>
        <w:t>)</w:t>
      </w:r>
      <w:r w:rsidRPr="008439BB">
        <w:rPr>
          <w:rFonts w:cs="Arial"/>
          <w:sz w:val="16"/>
          <w:szCs w:val="16"/>
        </w:rPr>
        <w:t>.</w:t>
      </w:r>
    </w:p>
  </w:endnote>
  <w:endnote w:id="633">
    <w:p w14:paraId="42D4455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evidence of Chief Executive Jeremy Lightfoot for the Department of Corrections</w:t>
      </w:r>
      <w:r w:rsidRPr="008439BB" w:rsidDel="00A032BC">
        <w:rPr>
          <w:rFonts w:cs="Arial"/>
          <w:sz w:val="16"/>
          <w:szCs w:val="16"/>
        </w:rPr>
        <w:t xml:space="preserve"> </w:t>
      </w:r>
      <w:r w:rsidRPr="008439BB">
        <w:rPr>
          <w:rFonts w:cs="Arial"/>
          <w:sz w:val="16"/>
          <w:szCs w:val="16"/>
        </w:rPr>
        <w:t>at the Inquiry’s State Institutional Response Hearing (</w:t>
      </w:r>
      <w:r w:rsidRPr="008439BB" w:rsidDel="00D62D33">
        <w:rPr>
          <w:rFonts w:cs="Arial"/>
          <w:sz w:val="16"/>
          <w:szCs w:val="16"/>
        </w:rPr>
        <w:t xml:space="preserve">Royal Commission of Inquiry into Abuse in Care, </w:t>
      </w:r>
      <w:r w:rsidRPr="008439BB">
        <w:rPr>
          <w:rFonts w:cs="Arial"/>
          <w:sz w:val="16"/>
          <w:szCs w:val="16"/>
        </w:rPr>
        <w:t>25 August 2022, pages 910–912</w:t>
      </w:r>
      <w:r w:rsidRPr="008439BB" w:rsidDel="00694135">
        <w:rPr>
          <w:rFonts w:cs="Arial"/>
          <w:sz w:val="16"/>
          <w:szCs w:val="16"/>
        </w:rPr>
        <w:t>)</w:t>
      </w:r>
      <w:r w:rsidRPr="008439BB">
        <w:rPr>
          <w:rFonts w:cs="Arial"/>
          <w:sz w:val="16"/>
          <w:szCs w:val="16"/>
        </w:rPr>
        <w:t>.</w:t>
      </w:r>
    </w:p>
  </w:endnote>
  <w:endnote w:id="634">
    <w:p w14:paraId="6475C5D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Criminal Justice Act 1954, sections 18(1)–(2).</w:t>
      </w:r>
    </w:p>
  </w:endnote>
  <w:endnote w:id="635">
    <w:p w14:paraId="1534C19F"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Criminal Justice Act 1954, section 20.</w:t>
      </w:r>
    </w:p>
  </w:endnote>
  <w:endnote w:id="636">
    <w:p w14:paraId="23F4C0C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Criminal Justice Act 1954, section 18(1).</w:t>
      </w:r>
    </w:p>
  </w:endnote>
  <w:endnote w:id="637">
    <w:p w14:paraId="7F94B88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ui-provider"/>
          <w:rFonts w:cs="Arial"/>
          <w:sz w:val="16"/>
          <w:szCs w:val="16"/>
        </w:rPr>
        <w:t>Williams, DV, The abolition of borstal training: A penal policy reform or a failure to reform penal policy? (New Zealand Legal Information Institute, 1984, page 78).</w:t>
      </w:r>
    </w:p>
  </w:endnote>
  <w:endnote w:id="638">
    <w:p w14:paraId="0779221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Hanan, JR, Review of borstal policy in New Zealand (Department of Justice, 1969, page 5).</w:t>
      </w:r>
    </w:p>
  </w:endnote>
  <w:endnote w:id="639">
    <w:p w14:paraId="4D1E763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Hanan, JR, Review of borstal policy in New Zealand (Department of Justice, 1969, page 5).</w:t>
      </w:r>
    </w:p>
  </w:endnote>
  <w:endnote w:id="640">
    <w:p w14:paraId="24A936D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Maxwell, G, Youth offenders:</w:t>
      </w:r>
      <w:r w:rsidRPr="008439BB" w:rsidDel="008401A6">
        <w:rPr>
          <w:rFonts w:cs="Arial"/>
          <w:sz w:val="16"/>
          <w:szCs w:val="16"/>
        </w:rPr>
        <w:t xml:space="preserve"> </w:t>
      </w:r>
      <w:r w:rsidRPr="008439BB">
        <w:rPr>
          <w:rFonts w:cs="Arial"/>
          <w:sz w:val="16"/>
          <w:szCs w:val="16"/>
        </w:rPr>
        <w:t>Youth justice in the 1990s and 21</w:t>
      </w:r>
      <w:r w:rsidRPr="008439BB">
        <w:rPr>
          <w:rFonts w:cs="Arial"/>
          <w:sz w:val="16"/>
          <w:szCs w:val="16"/>
          <w:vertAlign w:val="superscript"/>
        </w:rPr>
        <w:t>st</w:t>
      </w:r>
      <w:r w:rsidRPr="008439BB">
        <w:rPr>
          <w:rFonts w:cs="Arial"/>
          <w:sz w:val="16"/>
          <w:szCs w:val="16"/>
        </w:rPr>
        <w:t xml:space="preserve"> century (Te Ara – The Encyclopedia of New Zealand, 2017, page 3), </w:t>
      </w:r>
      <w:hyperlink r:id="rId108" w:history="1">
        <w:r w:rsidRPr="008439BB">
          <w:rPr>
            <w:rStyle w:val="Hyperlink"/>
            <w:rFonts w:cs="Arial"/>
            <w:color w:val="auto"/>
            <w:sz w:val="16"/>
            <w:szCs w:val="16"/>
          </w:rPr>
          <w:t>https://teara.govt.nz/en/youth-offenders/page-3</w:t>
        </w:r>
      </w:hyperlink>
      <w:r w:rsidRPr="008439BB">
        <w:rPr>
          <w:rFonts w:cs="Arial"/>
          <w:sz w:val="16"/>
          <w:szCs w:val="16"/>
        </w:rPr>
        <w:t>; Hanan, JR, Review of borstal policy in New Zealand (Department of Justice, 1969, page 6).</w:t>
      </w:r>
    </w:p>
  </w:endnote>
  <w:endnote w:id="641">
    <w:p w14:paraId="0AA9349E" w14:textId="77777777" w:rsidR="00FE4E56" w:rsidRPr="008439BB" w:rsidRDefault="00FE4E56" w:rsidP="0062717F">
      <w:pPr>
        <w:pStyle w:val="EndnoteText"/>
        <w:rPr>
          <w:rFonts w:cs="Arial"/>
          <w:sz w:val="16"/>
          <w:szCs w:val="16"/>
          <w:highlight w:val="yellow"/>
        </w:rPr>
      </w:pPr>
      <w:r w:rsidRPr="008439BB">
        <w:rPr>
          <w:rStyle w:val="StyleFootnoteReferenceFagoFunotenzeichenFagoFunotenzeichen"/>
          <w:color w:val="auto"/>
          <w:sz w:val="16"/>
          <w:szCs w:val="16"/>
        </w:rPr>
        <w:endnoteRef/>
      </w:r>
      <w:r w:rsidRPr="008439BB">
        <w:rPr>
          <w:rFonts w:cs="Arial"/>
          <w:sz w:val="16"/>
          <w:szCs w:val="16"/>
        </w:rPr>
        <w:t xml:space="preserve"> Criminal Justice Act 1954, sections 18(16)–(17).</w:t>
      </w:r>
    </w:p>
  </w:endnote>
  <w:endnote w:id="642">
    <w:p w14:paraId="18543D7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Criminal Justice Amendment Act 1960, section 4, brought into force by the Detention Centres Order 1961.</w:t>
      </w:r>
    </w:p>
  </w:endnote>
  <w:endnote w:id="643">
    <w:p w14:paraId="72C683D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ui-provider"/>
          <w:rFonts w:cs="Arial"/>
          <w:sz w:val="16"/>
          <w:szCs w:val="16"/>
        </w:rPr>
        <w:t xml:space="preserve">Criminal Justice Amendment (No 2) Act 1980, section 7, in Williams, DV, The abolition of borstal training: A penal policy reform or a failure to reform penal policy? (New Zealand Legal Information Institute, 1984, </w:t>
      </w:r>
      <w:r w:rsidRPr="008439BB">
        <w:rPr>
          <w:rFonts w:cs="Arial"/>
          <w:sz w:val="16"/>
          <w:szCs w:val="16"/>
        </w:rPr>
        <w:t xml:space="preserve">page </w:t>
      </w:r>
      <w:r w:rsidRPr="008439BB">
        <w:rPr>
          <w:rStyle w:val="ui-provider"/>
          <w:rFonts w:cs="Arial"/>
          <w:sz w:val="16"/>
          <w:szCs w:val="16"/>
        </w:rPr>
        <w:t>78).</w:t>
      </w:r>
    </w:p>
  </w:endnote>
  <w:endnote w:id="644">
    <w:p w14:paraId="44BD0D9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Penal Institutions Amendment Act, 1980, sections 2, 6(2); </w:t>
      </w:r>
      <w:r w:rsidRPr="008439BB">
        <w:rPr>
          <w:rStyle w:val="ui-provider"/>
          <w:rFonts w:cs="Arial"/>
          <w:sz w:val="16"/>
          <w:szCs w:val="16"/>
        </w:rPr>
        <w:t>Williams, DV, The abolition of borstal training: A penal policy reform or a failure to reform penal policy? (New Zealand Legal Information Institute, 1984, page 81).</w:t>
      </w:r>
    </w:p>
  </w:endnote>
  <w:endnote w:id="645">
    <w:p w14:paraId="23BE900E"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Criminal Justice Act 1954, section 14(1).</w:t>
      </w:r>
    </w:p>
  </w:endnote>
  <w:endnote w:id="646">
    <w:p w14:paraId="60A91FC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evidence of Commissioner Andrew Coster for NZ Police at the Inquiry’s State Institutional Response Hearing (</w:t>
      </w:r>
      <w:r w:rsidRPr="008439BB" w:rsidDel="00D62D33">
        <w:rPr>
          <w:rFonts w:cs="Arial"/>
          <w:sz w:val="16"/>
          <w:szCs w:val="16"/>
        </w:rPr>
        <w:t xml:space="preserve">Royal Commission of Inquiry into Abuse in Care, </w:t>
      </w:r>
      <w:r w:rsidRPr="008439BB">
        <w:rPr>
          <w:rFonts w:cs="Arial"/>
          <w:sz w:val="16"/>
          <w:szCs w:val="16"/>
        </w:rPr>
        <w:t>16 August 2022, pages 119–122).</w:t>
      </w:r>
    </w:p>
  </w:endnote>
  <w:endnote w:id="647">
    <w:p w14:paraId="53352C6C"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Law Commission, Community Safety: Mental health and criminal justice issues (August 1994, page 107).</w:t>
      </w:r>
    </w:p>
  </w:endnote>
  <w:endnote w:id="648">
    <w:p w14:paraId="39F6133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Parliamentary Library, New Zealand health system reforms (Parliamentary Library research paper, 2009, pages 2–3).</w:t>
      </w:r>
    </w:p>
  </w:endnote>
  <w:endnote w:id="649">
    <w:p w14:paraId="304CC322"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Parliamentary Library, New Zealand health system reforms (Parliamentary Library research paper, 2009, pages 2–3).</w:t>
      </w:r>
    </w:p>
  </w:endnote>
  <w:endnote w:id="650">
    <w:p w14:paraId="0BE6BD21"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Dr John Crawshaw (1 April 2021, page 7).</w:t>
      </w:r>
    </w:p>
  </w:endnote>
  <w:endnote w:id="651">
    <w:p w14:paraId="20ADBF42" w14:textId="58CC2562"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Mental Defectives Act 1911, section 5; Mental Health Act 1969, section 3; Mental Health (Compulsory Assessment and Treatment) Act 1992.</w:t>
      </w:r>
    </w:p>
  </w:endnote>
  <w:endnote w:id="652">
    <w:p w14:paraId="46D818F3" w14:textId="0F227375"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Brief of evidence of Dr John Crawshaw on behalf of the Ministry of Health at the Inquiry’s Institutional Response Hearing (1 April 2021, para 3.24</w:t>
      </w:r>
      <w:r w:rsidRPr="008439BB" w:rsidDel="003467F2">
        <w:rPr>
          <w:rFonts w:ascii="Arial" w:hAnsi="Arial" w:cs="Arial"/>
          <w:color w:val="auto"/>
          <w:sz w:val="16"/>
          <w:szCs w:val="16"/>
        </w:rPr>
        <w:t>)</w:t>
      </w:r>
      <w:r w:rsidRPr="008439BB">
        <w:rPr>
          <w:rFonts w:ascii="Arial" w:hAnsi="Arial" w:cs="Arial"/>
          <w:color w:val="auto"/>
          <w:sz w:val="16"/>
          <w:szCs w:val="16"/>
        </w:rPr>
        <w:t>.</w:t>
      </w:r>
    </w:p>
  </w:endnote>
  <w:endnote w:id="653">
    <w:p w14:paraId="6B4200E9"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Shipley, J &amp; Upton, S, Support for independence for people with disabilities – A New Deal (Ministers of Health and Social Welfare, 1992). </w:t>
      </w:r>
    </w:p>
  </w:endnote>
  <w:endnote w:id="654">
    <w:p w14:paraId="5E29D44B"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Sullivan, M &amp; Stace, H, A brief history of disability in Aotearoa New Zealand (Office for Disability Issues, 2020, page 15). </w:t>
      </w:r>
    </w:p>
  </w:endnote>
  <w:endnote w:id="655">
    <w:p w14:paraId="05C21F96"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Sullivan, M &amp; Stace, H, A brief history of disability in Aotearoa New Zealand (Office for Disability Issues, 2020, page 15).</w:t>
      </w:r>
    </w:p>
  </w:endnote>
  <w:endnote w:id="656">
    <w:p w14:paraId="034264E9" w14:textId="3A6151D0"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Mental Defectives Amendment Act 1911, section 2 (I–VI).</w:t>
      </w:r>
    </w:p>
  </w:endnote>
  <w:endnote w:id="657">
    <w:p w14:paraId="2525E097"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Mental Defectives Amendment Act 1928, section 7.</w:t>
      </w:r>
    </w:p>
  </w:endnote>
  <w:endnote w:id="658">
    <w:p w14:paraId="3925BF33" w14:textId="77777777" w:rsidR="00FE4E56" w:rsidRPr="008439BB" w:rsidRDefault="00FE4E56" w:rsidP="0062717F">
      <w:pPr>
        <w:pStyle w:val="EndnoteText"/>
        <w:rPr>
          <w:rFonts w:cs="Arial"/>
          <w:sz w:val="16"/>
          <w:szCs w:val="16"/>
        </w:rPr>
      </w:pPr>
      <w:r w:rsidRPr="008439BB">
        <w:rPr>
          <w:rStyle w:val="EndnoteReference"/>
          <w:sz w:val="16"/>
          <w:szCs w:val="16"/>
        </w:rPr>
        <w:endnoteRef/>
      </w:r>
      <w:r w:rsidRPr="008439BB">
        <w:rPr>
          <w:rFonts w:cs="Arial"/>
          <w:sz w:val="16"/>
          <w:szCs w:val="16"/>
        </w:rPr>
        <w:t xml:space="preserve"> Mental Health Act 1969, sections 19–22.</w:t>
      </w:r>
    </w:p>
  </w:endnote>
  <w:endnote w:id="659">
    <w:p w14:paraId="7824D6C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Mental Defectives Act 1911, section 39(1), Mental Health Amendment Act 1958, section 2.</w:t>
      </w:r>
    </w:p>
  </w:endnote>
  <w:endnote w:id="660">
    <w:p w14:paraId="3851570E" w14:textId="48128AB9"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Dr John Crawshaw </w:t>
      </w:r>
      <w:r w:rsidRPr="009E52EC">
        <w:rPr>
          <w:rFonts w:cs="Arial"/>
          <w:sz w:val="16"/>
          <w:szCs w:val="16"/>
        </w:rPr>
        <w:t>on behalf of the Ministry of Health at the Inquiry’s Institutional Response Hearing</w:t>
      </w:r>
      <w:r w:rsidRPr="008439BB">
        <w:rPr>
          <w:rFonts w:cs="Arial"/>
          <w:sz w:val="16"/>
          <w:szCs w:val="16"/>
        </w:rPr>
        <w:t xml:space="preserve"> (1 April 2021, pages 3-4).</w:t>
      </w:r>
    </w:p>
  </w:endnote>
  <w:endnote w:id="661">
    <w:p w14:paraId="2385932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Mental Health (Compulsory Assessment and Treatment) Act 1992, sections 28 and 29.</w:t>
      </w:r>
    </w:p>
  </w:endnote>
  <w:endnote w:id="662">
    <w:p w14:paraId="566BC5B7"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Mental Health (Compulsory Assessment and Treatment) Act 1992, section 91.</w:t>
      </w:r>
    </w:p>
  </w:endnote>
  <w:endnote w:id="663">
    <w:p w14:paraId="7F8CE94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Health, Office of the Director of Mental Health Annual Report 2013 (2013, page 6).</w:t>
      </w:r>
    </w:p>
  </w:endnote>
  <w:endnote w:id="664">
    <w:p w14:paraId="5BDF176C"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Campion, M, “Mental health and legal landscapes,” in Coleborne, C &amp; Waikato Mental Health History Group, (eds), Changing times, changing places: From Tokanui Hospital to mental health services in the Waikato (</w:t>
      </w:r>
      <w:r w:rsidRPr="008439BB">
        <w:rPr>
          <w:rFonts w:cs="Arial"/>
          <w:sz w:val="16"/>
          <w:szCs w:val="16"/>
          <w:shd w:val="clear" w:color="auto" w:fill="FFFFFF"/>
        </w:rPr>
        <w:t>Half Court Press Ltd,</w:t>
      </w:r>
      <w:r w:rsidRPr="008439BB">
        <w:rPr>
          <w:rFonts w:cs="Arial"/>
          <w:sz w:val="16"/>
          <w:szCs w:val="16"/>
        </w:rPr>
        <w:t xml:space="preserve"> 2012, page 22).</w:t>
      </w:r>
    </w:p>
  </w:endnote>
  <w:endnote w:id="665">
    <w:p w14:paraId="18926C2B"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Brunton, W, Mental health services:</w:t>
      </w:r>
      <w:r w:rsidRPr="008439BB" w:rsidDel="00C93891">
        <w:rPr>
          <w:rFonts w:cs="Arial"/>
          <w:sz w:val="16"/>
          <w:szCs w:val="16"/>
        </w:rPr>
        <w:t xml:space="preserve"> </w:t>
      </w:r>
      <w:r w:rsidRPr="008439BB">
        <w:rPr>
          <w:rFonts w:cs="Arial"/>
          <w:sz w:val="16"/>
          <w:szCs w:val="16"/>
        </w:rPr>
        <w:t xml:space="preserve">Mental hospitals, 1910s to 1930s (Te Ara – The Encyclopedia of New Zealand, 2011, page 3), </w:t>
      </w:r>
      <w:hyperlink r:id="rId109" w:history="1">
        <w:r w:rsidRPr="008439BB">
          <w:rPr>
            <w:rStyle w:val="Hyperlink"/>
            <w:rFonts w:cs="Arial"/>
            <w:color w:val="auto"/>
            <w:sz w:val="16"/>
            <w:szCs w:val="16"/>
          </w:rPr>
          <w:t>https://teara.govt.nz/en/mental-health-services/page-3</w:t>
        </w:r>
      </w:hyperlink>
      <w:r w:rsidRPr="008439BB">
        <w:rPr>
          <w:rFonts w:cs="Arial"/>
          <w:sz w:val="16"/>
          <w:szCs w:val="16"/>
        </w:rPr>
        <w:t xml:space="preserve">. </w:t>
      </w:r>
    </w:p>
  </w:endnote>
  <w:endnote w:id="666">
    <w:p w14:paraId="444C709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Gassin, T, Māori Mental Health – a report commissioned by the Waitangi Tribunal for the Health Services and Outcomes Kaupapa Inquiry (Waitangi Tribunal, 2019, page 10).</w:t>
      </w:r>
    </w:p>
  </w:endnote>
  <w:endnote w:id="667">
    <w:p w14:paraId="4388D2FC"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Aitken, RS, Caughley, JG, Lopdell, FC, McLeod, GL, Robertson, JM, Tothill, GM &amp; Hull, DN, Intellectually handicapped children report: Report of the consultative committee set up by the Minister of Education in August 1951 (Department of Education, 1953, page 38).</w:t>
      </w:r>
    </w:p>
  </w:endnote>
  <w:endnote w:id="668">
    <w:p w14:paraId="7312DDDE" w14:textId="77777777" w:rsidR="00FE4E56" w:rsidRPr="008439BB" w:rsidRDefault="00FE4E56" w:rsidP="0062717F">
      <w:pPr>
        <w:pStyle w:val="EndnoteText"/>
        <w:spacing w:before="120"/>
        <w:rPr>
          <w:rFonts w:cs="Arial"/>
          <w:sz w:val="16"/>
          <w:szCs w:val="16"/>
        </w:rPr>
      </w:pPr>
      <w:r w:rsidRPr="008439BB">
        <w:rPr>
          <w:rStyle w:val="EndnoteReference"/>
          <w:sz w:val="16"/>
          <w:szCs w:val="16"/>
        </w:rPr>
        <w:endnoteRef/>
      </w:r>
      <w:r w:rsidRPr="008439BB">
        <w:rPr>
          <w:rFonts w:cs="Arial"/>
          <w:sz w:val="16"/>
          <w:szCs w:val="16"/>
        </w:rPr>
        <w:t xml:space="preserve"> Millen, J, Breaking barriers: IHC's first 50 years (IHC New Zealand, 1999, pages </w:t>
      </w:r>
      <w:r w:rsidRPr="008439BB">
        <w:rPr>
          <w:rStyle w:val="normaltextrun"/>
          <w:rFonts w:cs="Arial"/>
          <w:sz w:val="16"/>
          <w:szCs w:val="16"/>
          <w:bdr w:val="none" w:sz="0" w:space="0" w:color="auto" w:frame="1"/>
        </w:rPr>
        <w:t>29</w:t>
      </w:r>
      <w:r w:rsidRPr="008439BB">
        <w:rPr>
          <w:rFonts w:cs="Arial"/>
          <w:sz w:val="16"/>
          <w:szCs w:val="16"/>
          <w:shd w:val="clear" w:color="auto" w:fill="FFFFFF"/>
        </w:rPr>
        <w:t>–</w:t>
      </w:r>
      <w:r w:rsidRPr="008439BB">
        <w:rPr>
          <w:rStyle w:val="normaltextrun"/>
          <w:rFonts w:cs="Arial"/>
          <w:sz w:val="16"/>
          <w:szCs w:val="16"/>
          <w:bdr w:val="none" w:sz="0" w:space="0" w:color="auto" w:frame="1"/>
        </w:rPr>
        <w:t>41).</w:t>
      </w:r>
    </w:p>
  </w:endnote>
  <w:endnote w:id="669">
    <w:p w14:paraId="35D68310"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Swarbrick, N, Care and carers:</w:t>
      </w:r>
      <w:r w:rsidRPr="008439BB" w:rsidDel="00317112">
        <w:rPr>
          <w:rFonts w:cs="Arial"/>
          <w:sz w:val="16"/>
          <w:szCs w:val="16"/>
        </w:rPr>
        <w:t xml:space="preserve"> </w:t>
      </w:r>
      <w:r w:rsidRPr="008439BB">
        <w:rPr>
          <w:rFonts w:cs="Arial"/>
          <w:sz w:val="16"/>
          <w:szCs w:val="16"/>
        </w:rPr>
        <w:t xml:space="preserve">Care of people with disabilities (Te Ara – The Encyclopedia of New Zealand, 2011, page 4), </w:t>
      </w:r>
      <w:hyperlink r:id="rId110" w:history="1">
        <w:r w:rsidRPr="008439BB">
          <w:rPr>
            <w:rStyle w:val="Hyperlink"/>
            <w:rFonts w:cs="Arial"/>
            <w:color w:val="auto"/>
            <w:sz w:val="16"/>
            <w:szCs w:val="16"/>
          </w:rPr>
          <w:t>https://teara.govt.nz/en/care-and-carers/page-4</w:t>
        </w:r>
      </w:hyperlink>
      <w:r w:rsidRPr="008439BB">
        <w:rPr>
          <w:rFonts w:cs="Arial"/>
          <w:sz w:val="16"/>
          <w:szCs w:val="16"/>
        </w:rPr>
        <w:t>.</w:t>
      </w:r>
    </w:p>
  </w:endnote>
  <w:endnote w:id="670">
    <w:p w14:paraId="016EC892"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Sullivan, M &amp; Stace, H, A brief history of disability in Aotearoa New Zealand (Office for Disability Issues, 2020, page 7).</w:t>
      </w:r>
    </w:p>
  </w:endnote>
  <w:endnote w:id="671">
    <w:p w14:paraId="12112EA8"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Disabled Persons Employment Promotion Act 1960.</w:t>
      </w:r>
    </w:p>
  </w:endnote>
  <w:endnote w:id="672">
    <w:p w14:paraId="38379D8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422 (17 June 2022, page 82).</w:t>
      </w:r>
    </w:p>
  </w:endnote>
  <w:endnote w:id="673">
    <w:p w14:paraId="48A40A3E"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Disabled Persons Employment Promotion Act 1960.</w:t>
      </w:r>
    </w:p>
  </w:endnote>
  <w:endnote w:id="674">
    <w:p w14:paraId="5829D0C7"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Tennant, M, Voluntary welfare organisations:</w:t>
      </w:r>
      <w:r w:rsidRPr="008439BB" w:rsidDel="008401A6">
        <w:rPr>
          <w:rFonts w:cs="Arial"/>
          <w:sz w:val="16"/>
          <w:szCs w:val="16"/>
        </w:rPr>
        <w:t xml:space="preserve"> </w:t>
      </w:r>
      <w:r w:rsidRPr="008439BB">
        <w:rPr>
          <w:rFonts w:cs="Arial"/>
          <w:sz w:val="16"/>
          <w:szCs w:val="16"/>
        </w:rPr>
        <w:t xml:space="preserve">Depression and the welfare state (Te Ara – The Encyclopedia of New Zealand, 2018, page 4), </w:t>
      </w:r>
      <w:hyperlink r:id="rId111" w:history="1">
        <w:r w:rsidRPr="008439BB">
          <w:rPr>
            <w:rStyle w:val="Hyperlink"/>
            <w:rFonts w:cs="Arial"/>
            <w:color w:val="auto"/>
            <w:sz w:val="16"/>
            <w:szCs w:val="16"/>
          </w:rPr>
          <w:t>https://teara.govt.nz/en/voluntary-welfare-organisations/page-4</w:t>
        </w:r>
      </w:hyperlink>
      <w:r w:rsidRPr="008439BB">
        <w:rPr>
          <w:rFonts w:cs="Arial"/>
          <w:sz w:val="16"/>
          <w:szCs w:val="16"/>
        </w:rPr>
        <w:t xml:space="preserve">. </w:t>
      </w:r>
    </w:p>
  </w:endnote>
  <w:endnote w:id="675">
    <w:p w14:paraId="573B3D7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Children’s Health Camps Act 1972.</w:t>
      </w:r>
    </w:p>
  </w:endnote>
  <w:endnote w:id="676">
    <w:p w14:paraId="16B273B3"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King George V Act 1938; Children’s Health Camps Act 1972.</w:t>
      </w:r>
    </w:p>
  </w:endnote>
  <w:endnote w:id="677">
    <w:p w14:paraId="570D4F9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Museum of New Zealand Te Papa Tongarewa website, Health Camps and Stamps (accessed 30 April 2024), https://collections.tepapa.govt.nz/topic/2672.</w:t>
      </w:r>
    </w:p>
  </w:endnote>
  <w:endnote w:id="678">
    <w:p w14:paraId="34B39BE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Fiona Inkpen (25 September 2020, page 4).</w:t>
      </w:r>
    </w:p>
  </w:endnote>
  <w:endnote w:id="679">
    <w:p w14:paraId="62536FD0" w14:textId="517E2864"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8 (16 June 2020, page 1).</w:t>
      </w:r>
    </w:p>
  </w:endnote>
  <w:endnote w:id="680">
    <w:p w14:paraId="37A84CCC"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8 (16 June 2020, page 1).</w:t>
      </w:r>
    </w:p>
  </w:endnote>
  <w:endnote w:id="681">
    <w:p w14:paraId="4E970A5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8 (16 June 2020, page 1).</w:t>
      </w:r>
    </w:p>
  </w:endnote>
  <w:endnote w:id="682">
    <w:p w14:paraId="1374C2D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8 (16 June 2020, page 1).</w:t>
      </w:r>
    </w:p>
  </w:endnote>
  <w:endnote w:id="683">
    <w:p w14:paraId="01626E2C" w14:textId="77777777" w:rsidR="00FE4E56" w:rsidRPr="008439BB" w:rsidRDefault="00FE4E56" w:rsidP="009E389D">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 Act 1989, section 107.</w:t>
      </w:r>
    </w:p>
  </w:endnote>
  <w:endnote w:id="684">
    <w:p w14:paraId="382941D6"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 Act 1989, section 78B inserted under the Education Amendment Act 1998.</w:t>
      </w:r>
    </w:p>
  </w:endnote>
  <w:endnote w:id="685">
    <w:p w14:paraId="60B8035C" w14:textId="1391FE71"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Helen Hurst for the Ministry of Education at the Inquiry’s State Redress Hearing (27 January 2020, para 3.4). </w:t>
      </w:r>
    </w:p>
  </w:endnote>
  <w:endnote w:id="686">
    <w:p w14:paraId="2FF72D71"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Stanley, E, The road to hell: State violence against children in postwar New Zealand (Auckland University Press, 2016, page 221).</w:t>
      </w:r>
    </w:p>
  </w:endnote>
  <w:endnote w:id="687">
    <w:p w14:paraId="38971022" w14:textId="77777777" w:rsidR="00FE4E56" w:rsidRPr="008439BB" w:rsidRDefault="00FE4E56" w:rsidP="0062717F">
      <w:pPr>
        <w:pStyle w:val="EndnoteText"/>
        <w:spacing w:line="20" w:lineRule="atLeast"/>
        <w:rPr>
          <w:rFonts w:cs="Arial"/>
          <w:sz w:val="16"/>
          <w:szCs w:val="16"/>
          <w:lang w:val="mi-NZ"/>
        </w:rPr>
      </w:pPr>
      <w:r w:rsidRPr="008439BB">
        <w:rPr>
          <w:rStyle w:val="StyleFootnoteReferenceFagoFunotenzeichenFagoFunotenzeichen"/>
          <w:color w:val="auto"/>
          <w:sz w:val="16"/>
          <w:szCs w:val="16"/>
        </w:rPr>
        <w:endnoteRef/>
      </w:r>
      <w:r w:rsidRPr="008439BB">
        <w:rPr>
          <w:rFonts w:cs="Arial"/>
          <w:sz w:val="16"/>
          <w:szCs w:val="16"/>
        </w:rPr>
        <w:t xml:space="preserve"> Stanley, E, The road to hell: State violence against children in postwar New Zealand (Auckland University Press, 2016, page 221).</w:t>
      </w:r>
    </w:p>
  </w:endnote>
  <w:endnote w:id="688">
    <w:p w14:paraId="1652B827" w14:textId="77777777" w:rsidR="00FE4E56" w:rsidRPr="008439BB" w:rsidRDefault="00FE4E56" w:rsidP="0062717F">
      <w:pPr>
        <w:pStyle w:val="EndnoteText"/>
        <w:spacing w:line="20" w:lineRule="atLeast"/>
        <w:rPr>
          <w:rFonts w:cs="Arial"/>
          <w:sz w:val="16"/>
          <w:szCs w:val="16"/>
          <w:lang w:val="mi-NZ"/>
        </w:rPr>
      </w:pPr>
      <w:r w:rsidRPr="008439BB">
        <w:rPr>
          <w:rStyle w:val="StyleFootnoteReferenceFagoFunotenzeichenFagoFunotenzeichen"/>
          <w:color w:val="auto"/>
          <w:sz w:val="16"/>
          <w:szCs w:val="16"/>
        </w:rPr>
        <w:endnoteRef/>
      </w:r>
      <w:r w:rsidRPr="008439BB">
        <w:rPr>
          <w:rFonts w:cs="Arial"/>
          <w:sz w:val="16"/>
          <w:szCs w:val="16"/>
        </w:rPr>
        <w:t xml:space="preserve"> Francis, C, “Waimokoia ‘abuse was systemic,’” Sunday Star Times (8 August 2010). </w:t>
      </w:r>
    </w:p>
  </w:endnote>
  <w:endnote w:id="689">
    <w:p w14:paraId="7E6F74CC" w14:textId="77777777" w:rsidR="00FE4E56" w:rsidRPr="008439BB" w:rsidRDefault="00FE4E56" w:rsidP="0062717F">
      <w:pPr>
        <w:pStyle w:val="EndnoteText"/>
        <w:spacing w:line="20" w:lineRule="atLeast"/>
        <w:rPr>
          <w:rFonts w:cs="Arial"/>
          <w:sz w:val="16"/>
          <w:szCs w:val="16"/>
          <w:lang w:val="mi-NZ"/>
        </w:rPr>
      </w:pPr>
      <w:r w:rsidRPr="008439BB">
        <w:rPr>
          <w:rStyle w:val="StyleFootnoteReferenceFagoFunotenzeichenFagoFunotenzeichen"/>
          <w:color w:val="auto"/>
          <w:sz w:val="16"/>
          <w:szCs w:val="16"/>
        </w:rPr>
        <w:endnoteRef/>
      </w:r>
      <w:r w:rsidRPr="008439BB">
        <w:rPr>
          <w:rFonts w:cs="Arial"/>
          <w:sz w:val="16"/>
          <w:szCs w:val="16"/>
        </w:rPr>
        <w:t xml:space="preserve"> Roberts, M, Residential treatment of emotionally disturbed and socially maladjusted children in New Zealand and adequacy of their subsequent adjustment: A follow-up study of pupils of the McKenzie Residential School 1971–1976 (October 1977, page 7).</w:t>
      </w:r>
    </w:p>
  </w:endnote>
  <w:endnote w:id="690">
    <w:p w14:paraId="14E0C500" w14:textId="77777777" w:rsidR="00FE4E56" w:rsidRPr="008439BB" w:rsidRDefault="00FE4E56" w:rsidP="0062717F">
      <w:pPr>
        <w:pStyle w:val="EndnoteText"/>
        <w:spacing w:line="20" w:lineRule="atLeast"/>
        <w:rPr>
          <w:rFonts w:cs="Arial"/>
          <w:sz w:val="16"/>
          <w:szCs w:val="16"/>
          <w:lang w:val="mi-NZ"/>
        </w:rPr>
      </w:pPr>
      <w:r w:rsidRPr="008439BB">
        <w:rPr>
          <w:rStyle w:val="StyleFootnoteReferenceFagoFunotenzeichenFagoFunotenzeichen"/>
          <w:color w:val="auto"/>
          <w:sz w:val="16"/>
          <w:szCs w:val="16"/>
        </w:rPr>
        <w:endnoteRef/>
      </w:r>
      <w:r w:rsidRPr="008439BB">
        <w:rPr>
          <w:rFonts w:cs="Arial"/>
          <w:sz w:val="16"/>
          <w:szCs w:val="16"/>
        </w:rPr>
        <w:t xml:space="preserve"> Roberts, M, Residential treatment of emotionally disturbed and socially maladjusted children in New Zealand and adequacy of their subsequent adjustment: A follow-up study of pupils of the McKenzie Residential School 1971–1976 (October 1977, page 8).</w:t>
      </w:r>
    </w:p>
  </w:endnote>
  <w:endnote w:id="691">
    <w:p w14:paraId="0DF25377"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Sullivan, M, Disability and disability organisations (Te Ara –</w:t>
      </w:r>
      <w:r w:rsidRPr="008439BB" w:rsidDel="007B645D">
        <w:rPr>
          <w:rFonts w:cs="Arial"/>
          <w:sz w:val="16"/>
          <w:szCs w:val="16"/>
        </w:rPr>
        <w:t xml:space="preserve"> </w:t>
      </w:r>
      <w:r w:rsidRPr="008439BB">
        <w:rPr>
          <w:rFonts w:cs="Arial"/>
          <w:sz w:val="16"/>
          <w:szCs w:val="16"/>
        </w:rPr>
        <w:t xml:space="preserve">the </w:t>
      </w:r>
      <w:r w:rsidRPr="008439BB" w:rsidDel="00207C05">
        <w:rPr>
          <w:rFonts w:cs="Arial"/>
          <w:sz w:val="16"/>
          <w:szCs w:val="16"/>
        </w:rPr>
        <w:t>Encyclopedia</w:t>
      </w:r>
      <w:r w:rsidRPr="008439BB">
        <w:rPr>
          <w:rFonts w:cs="Arial"/>
          <w:sz w:val="16"/>
          <w:szCs w:val="16"/>
        </w:rPr>
        <w:t xml:space="preserve"> of New Zealand, 2018), </w:t>
      </w:r>
      <w:hyperlink r:id="rId112" w:history="1">
        <w:r w:rsidRPr="008439BB">
          <w:rPr>
            <w:rStyle w:val="Hyperlink"/>
            <w:rFonts w:cs="Arial"/>
            <w:color w:val="auto"/>
            <w:sz w:val="16"/>
            <w:szCs w:val="16"/>
          </w:rPr>
          <w:t>https://teara.govt.nz/en/disability-and-disability-organisations</w:t>
        </w:r>
      </w:hyperlink>
      <w:r w:rsidRPr="008439BB">
        <w:rPr>
          <w:rFonts w:cs="Arial"/>
          <w:sz w:val="16"/>
          <w:szCs w:val="16"/>
        </w:rPr>
        <w:t>.</w:t>
      </w:r>
    </w:p>
  </w:endnote>
  <w:endnote w:id="692">
    <w:p w14:paraId="2478B421"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Blind and Low Vision Education Network NZ, Our history (2023), </w:t>
      </w:r>
      <w:hyperlink r:id="rId113" w:history="1">
        <w:r w:rsidRPr="008439BB">
          <w:rPr>
            <w:rStyle w:val="Hyperlink"/>
            <w:rFonts w:cs="Arial"/>
            <w:color w:val="auto"/>
            <w:sz w:val="16"/>
            <w:szCs w:val="16"/>
          </w:rPr>
          <w:t>https://www.blennz.school.nz/about-blennz/our-history/</w:t>
        </w:r>
      </w:hyperlink>
      <w:r w:rsidRPr="008439BB">
        <w:rPr>
          <w:rFonts w:cs="Arial"/>
          <w:sz w:val="16"/>
          <w:szCs w:val="16"/>
        </w:rPr>
        <w:t>.</w:t>
      </w:r>
    </w:p>
  </w:endnote>
  <w:endnote w:id="693">
    <w:p w14:paraId="45A31CCC" w14:textId="77777777"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Education, Child Welfare Division Field Officers’ Manual (1957,</w:t>
      </w:r>
      <w:r w:rsidRPr="008439BB" w:rsidDel="006B3A3A">
        <w:rPr>
          <w:rFonts w:cs="Arial"/>
          <w:sz w:val="16"/>
          <w:szCs w:val="16"/>
        </w:rPr>
        <w:t xml:space="preserve"> </w:t>
      </w:r>
      <w:r w:rsidRPr="008439BB">
        <w:rPr>
          <w:rFonts w:cs="Arial"/>
          <w:sz w:val="16"/>
          <w:szCs w:val="16"/>
        </w:rPr>
        <w:t xml:space="preserve">page 15). </w:t>
      </w:r>
    </w:p>
  </w:endnote>
  <w:endnote w:id="694">
    <w:p w14:paraId="1D948A8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 Act 1964, section 98.</w:t>
      </w:r>
    </w:p>
  </w:endnote>
  <w:endnote w:id="695">
    <w:p w14:paraId="66938E1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 Act 1964, section 100.</w:t>
      </w:r>
    </w:p>
  </w:endnote>
  <w:endnote w:id="696">
    <w:p w14:paraId="45BF373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422 (17 June 2022, page 78).</w:t>
      </w:r>
    </w:p>
  </w:endnote>
  <w:endnote w:id="697">
    <w:p w14:paraId="53B6F70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Aitken, RS, Caughley, JG, Lopdell, FC, McLeod, GL, Robertson, JM, Tothill, GM &amp; Hull, DN, Intellectually handicapped children report: Report of the consultative committee set up by the Minister of Education in August 1951 (Department of Education, 1953, pages 8–10); Witness statement of Caroline Arrell (21 March 2022, page 4).</w:t>
      </w:r>
    </w:p>
  </w:endnote>
  <w:endnote w:id="698">
    <w:p w14:paraId="2D308A0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Calibri" w:cs="Arial"/>
          <w:sz w:val="16"/>
          <w:szCs w:val="16"/>
        </w:rPr>
        <w:t xml:space="preserve">Ministry of Education, Response to </w:t>
      </w:r>
      <w:r w:rsidRPr="008439BB">
        <w:rPr>
          <w:rFonts w:cs="Arial"/>
          <w:sz w:val="16"/>
          <w:szCs w:val="16"/>
        </w:rPr>
        <w:t>Royal Commission of Inquiry into Abuse in Care</w:t>
      </w:r>
      <w:r w:rsidRPr="008439BB">
        <w:rPr>
          <w:rFonts w:eastAsia="Calibri" w:cs="Arial"/>
          <w:sz w:val="16"/>
          <w:szCs w:val="16"/>
        </w:rPr>
        <w:t xml:space="preserve"> Notice to Produce 422 (17 June 2022, page 95).</w:t>
      </w:r>
    </w:p>
  </w:endnote>
  <w:endnote w:id="699">
    <w:p w14:paraId="3A2C4CB8"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 Review Office, Child youth and family residential schools (2010, page 4).</w:t>
      </w:r>
    </w:p>
  </w:endnote>
  <w:endnote w:id="700">
    <w:p w14:paraId="5087F35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Education and Department of Social Welfare, A handbook on education in Department of Social Welfare institutions (1986, forward and page 63).</w:t>
      </w:r>
    </w:p>
  </w:endnote>
  <w:endnote w:id="701">
    <w:p w14:paraId="0A8EB81C" w14:textId="62DADF15"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Secretary for Education and Chief Executive Iona Holsted for the Ministry of Education at the Inquiry’s State Institutional Response Hearing (8 August 2022, pages 53–54).</w:t>
      </w:r>
    </w:p>
  </w:endnote>
  <w:endnote w:id="702">
    <w:p w14:paraId="2039AE70"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Royal Commission of Inquiry into Abuse in Care Notice to Produce 422 (17 June 2022, page 5).</w:t>
      </w:r>
    </w:p>
  </w:endnote>
  <w:endnote w:id="703">
    <w:p w14:paraId="5FE5D53A" w14:textId="01AD2504"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Brief of evidence of Secretary for Education and Chief Executive Iona Holsted for the Ministry of Education at the Inquiry’s State Institutional Response Hearing (8 August 2022, pages 21–22).</w:t>
      </w:r>
    </w:p>
  </w:endnote>
  <w:endnote w:id="704">
    <w:p w14:paraId="0F320A69" w14:textId="77777777" w:rsidR="00FE4E56" w:rsidRPr="008439BB" w:rsidRDefault="00FE4E56" w:rsidP="0062717F">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Education Act 1989, section 131.</w:t>
      </w:r>
    </w:p>
  </w:endnote>
  <w:endnote w:id="705">
    <w:p w14:paraId="0DC606AF" w14:textId="3AE96B6D"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Secretary for Education and Chief Executive Iona Holsted for the Ministry of Education at the Inquiry’s State Institutional Response Hearing (August 2022, page 6).</w:t>
      </w:r>
    </w:p>
  </w:endnote>
  <w:endnote w:id="706">
    <w:p w14:paraId="00FB2552" w14:textId="34BC14FB" w:rsidR="00FE4E56" w:rsidRPr="008439BB" w:rsidRDefault="00FE4E56" w:rsidP="0062717F">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Helen Hurst for the Ministry of Education at the Inquiry’s Marylands School (St John of God) Hearing (7 October 2021, para 3.2(c)).</w:t>
      </w:r>
    </w:p>
  </w:endnote>
  <w:endnote w:id="707">
    <w:p w14:paraId="3DD361AD" w14:textId="5D7C13D2"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Helen Hurst for the Ministry of Education at the Inquiry’s Marylands School (St John of God) Hearing (7 October 2021, page 5).</w:t>
      </w:r>
    </w:p>
  </w:endnote>
  <w:endnote w:id="708">
    <w:p w14:paraId="71570E1A" w14:textId="749D5E13"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Secretary for Education and Chief Executive Iona Holsted for the Ministry of Education at the Inquiry’s State Institutional Response Hearing (8 August 2022, </w:t>
      </w:r>
      <w:r w:rsidRPr="008439BB">
        <w:rPr>
          <w:rFonts w:eastAsia="Roboto" w:cs="Arial"/>
          <w:sz w:val="16"/>
          <w:szCs w:val="16"/>
        </w:rPr>
        <w:t>page 22).</w:t>
      </w:r>
    </w:p>
  </w:endnote>
  <w:endnote w:id="709">
    <w:p w14:paraId="33C4E21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2).</w:t>
      </w:r>
    </w:p>
  </w:endnote>
  <w:endnote w:id="710">
    <w:p w14:paraId="2322AD3B"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3).</w:t>
      </w:r>
    </w:p>
  </w:endnote>
  <w:endnote w:id="711">
    <w:p w14:paraId="045C633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3).</w:t>
      </w:r>
    </w:p>
  </w:endnote>
  <w:endnote w:id="712">
    <w:p w14:paraId="6757D47A"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4).</w:t>
      </w:r>
    </w:p>
  </w:endnote>
  <w:endnote w:id="713">
    <w:p w14:paraId="2F7F4ACD"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3).</w:t>
      </w:r>
    </w:p>
  </w:endnote>
  <w:endnote w:id="714">
    <w:p w14:paraId="41656554"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7).</w:t>
      </w:r>
    </w:p>
  </w:endnote>
  <w:endnote w:id="715">
    <w:p w14:paraId="69ED0C99" w14:textId="77777777" w:rsidR="00FE4E56" w:rsidRPr="008439BB" w:rsidRDefault="00FE4E56" w:rsidP="0062717F">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Educational Review Office, Students in boarding schools: Their safety and welfare (1997, page 7).</w:t>
      </w:r>
    </w:p>
  </w:endnote>
  <w:endnote w:id="716">
    <w:p w14:paraId="7A4CCBFE" w14:textId="2029B5C3"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Arial" w:cs="Arial"/>
          <w:sz w:val="16"/>
          <w:szCs w:val="16"/>
        </w:rPr>
        <w:t>Buckley, B, ‘As loyal citizens...’: the relationship between New Zealand Catholicism, the state and politics, 1945</w:t>
      </w:r>
      <w:r w:rsidRPr="008439BB">
        <w:rPr>
          <w:rStyle w:val="normaltextrun"/>
          <w:rFonts w:cs="Arial"/>
          <w:sz w:val="16"/>
          <w:szCs w:val="16"/>
          <w:bdr w:val="none" w:sz="0" w:space="0" w:color="auto" w:frame="1"/>
        </w:rPr>
        <w:t>–</w:t>
      </w:r>
      <w:r w:rsidRPr="008439BB">
        <w:rPr>
          <w:rFonts w:eastAsia="Arial" w:cs="Arial"/>
          <w:sz w:val="16"/>
          <w:szCs w:val="16"/>
        </w:rPr>
        <w:t>1965, Doctoral Thesis, Massey University (2014, page 202).</w:t>
      </w:r>
    </w:p>
  </w:endnote>
  <w:endnote w:id="717">
    <w:p w14:paraId="6F3AC54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Adhar R, &amp; Stenhouse, J (eds), God and government: The New Zealand Experience (Otago University Press, 2000).</w:t>
      </w:r>
    </w:p>
  </w:endnote>
  <w:endnote w:id="718">
    <w:p w14:paraId="3CAF5EA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Arial" w:cs="Arial"/>
          <w:sz w:val="16"/>
          <w:szCs w:val="16"/>
        </w:rPr>
        <w:t>Evans, J, Church state relations in New Zealand 1940</w:t>
      </w:r>
      <w:r w:rsidRPr="008439BB">
        <w:rPr>
          <w:rStyle w:val="normaltextrun"/>
          <w:rFonts w:cs="Arial"/>
          <w:sz w:val="16"/>
          <w:szCs w:val="16"/>
          <w:bdr w:val="none" w:sz="0" w:space="0" w:color="auto" w:frame="1"/>
        </w:rPr>
        <w:t>–</w:t>
      </w:r>
      <w:r w:rsidRPr="008439BB">
        <w:rPr>
          <w:rFonts w:eastAsia="Arial" w:cs="Arial"/>
          <w:sz w:val="16"/>
          <w:szCs w:val="16"/>
        </w:rPr>
        <w:t xml:space="preserve">1990, with particular reference to the Presbyterian and Methodist churches, Doctoral Thesis, University of Otago (1992, </w:t>
      </w:r>
      <w:r w:rsidRPr="008439BB">
        <w:rPr>
          <w:rFonts w:cs="Arial"/>
          <w:sz w:val="16"/>
          <w:szCs w:val="16"/>
        </w:rPr>
        <w:t>pages</w:t>
      </w:r>
      <w:r w:rsidRPr="008439BB">
        <w:rPr>
          <w:rFonts w:eastAsia="Arial" w:cs="Arial"/>
          <w:sz w:val="16"/>
          <w:szCs w:val="16"/>
        </w:rPr>
        <w:t xml:space="preserve"> 26 and 54</w:t>
      </w:r>
      <w:r w:rsidRPr="008439BB">
        <w:rPr>
          <w:rFonts w:cs="Arial"/>
          <w:sz w:val="16"/>
          <w:szCs w:val="16"/>
        </w:rPr>
        <w:t>–</w:t>
      </w:r>
      <w:r w:rsidRPr="008439BB">
        <w:rPr>
          <w:rFonts w:eastAsia="Arial" w:cs="Arial"/>
          <w:sz w:val="16"/>
          <w:szCs w:val="16"/>
        </w:rPr>
        <w:t>56).</w:t>
      </w:r>
    </w:p>
  </w:endnote>
  <w:endnote w:id="719">
    <w:p w14:paraId="2ECF247B"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Arial" w:hAnsi="Arial" w:cs="Arial"/>
          <w:color w:val="auto"/>
          <w:sz w:val="16"/>
          <w:szCs w:val="16"/>
        </w:rPr>
        <w:t>Tennant, M, O'Brien, M &amp; Sanders, J, The history of the non-profit sector in New Zealand (Office for the Community and Voluntary Sector, 2008).</w:t>
      </w:r>
    </w:p>
  </w:endnote>
  <w:endnote w:id="720">
    <w:p w14:paraId="5BB7472B"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Arial" w:hAnsi="Arial" w:cs="Arial"/>
          <w:color w:val="auto"/>
          <w:sz w:val="16"/>
          <w:szCs w:val="16"/>
        </w:rPr>
        <w:t xml:space="preserve">Evans, J, “Government support of the church in the modern era,” Journal of Law and Religion, 13(2), </w:t>
      </w:r>
      <w:r w:rsidRPr="008439BB">
        <w:rPr>
          <w:rFonts w:ascii="Arial" w:hAnsi="Arial" w:cs="Arial"/>
          <w:color w:val="auto"/>
          <w:sz w:val="16"/>
          <w:szCs w:val="16"/>
          <w:shd w:val="clear" w:color="auto" w:fill="FFFFFF"/>
        </w:rPr>
        <w:t xml:space="preserve">(1998, </w:t>
      </w:r>
      <w:r w:rsidRPr="008439BB">
        <w:rPr>
          <w:rFonts w:ascii="Arial" w:hAnsi="Arial" w:cs="Arial"/>
          <w:color w:val="auto"/>
          <w:sz w:val="16"/>
          <w:szCs w:val="16"/>
        </w:rPr>
        <w:t xml:space="preserve">pages </w:t>
      </w:r>
      <w:r w:rsidRPr="008439BB">
        <w:rPr>
          <w:rFonts w:ascii="Arial" w:eastAsia="Arial" w:hAnsi="Arial" w:cs="Arial"/>
          <w:color w:val="auto"/>
          <w:sz w:val="16"/>
          <w:szCs w:val="16"/>
        </w:rPr>
        <w:t>517</w:t>
      </w:r>
      <w:r w:rsidRPr="008439BB">
        <w:rPr>
          <w:rFonts w:ascii="Arial" w:hAnsi="Arial" w:cs="Arial"/>
          <w:color w:val="auto"/>
          <w:sz w:val="16"/>
          <w:szCs w:val="16"/>
        </w:rPr>
        <w:t>–</w:t>
      </w:r>
      <w:r w:rsidRPr="008439BB">
        <w:rPr>
          <w:rFonts w:ascii="Arial" w:eastAsia="Arial" w:hAnsi="Arial" w:cs="Arial"/>
          <w:color w:val="auto"/>
          <w:sz w:val="16"/>
          <w:szCs w:val="16"/>
        </w:rPr>
        <w:t xml:space="preserve">530, page 518). </w:t>
      </w:r>
    </w:p>
  </w:endnote>
  <w:endnote w:id="721">
    <w:p w14:paraId="21321736" w14:textId="77777777" w:rsidR="00FE4E56" w:rsidRPr="008439BB" w:rsidRDefault="00FE4E56" w:rsidP="004C3995">
      <w:pPr>
        <w:keepLines w:val="0"/>
        <w:spacing w:before="0" w:after="0" w:line="20" w:lineRule="atLeast"/>
        <w:rPr>
          <w:rFonts w:ascii="Arial" w:eastAsia="Times New Roman" w:hAnsi="Arial" w:cs="Arial"/>
          <w:sz w:val="16"/>
          <w:szCs w:val="16"/>
        </w:rPr>
      </w:pPr>
      <w:r w:rsidRPr="008439BB">
        <w:rPr>
          <w:rStyle w:val="StyleFootnoteReferenceFagoFunotenzeichenFagoFunotenzeichen"/>
          <w:color w:val="auto"/>
          <w:sz w:val="16"/>
          <w:szCs w:val="16"/>
        </w:rPr>
        <w:endnoteRef/>
      </w:r>
      <w:r w:rsidRPr="008439BB">
        <w:rPr>
          <w:rFonts w:ascii="Arial" w:hAnsi="Arial" w:cs="Arial"/>
          <w:sz w:val="16"/>
          <w:szCs w:val="16"/>
        </w:rPr>
        <w:t xml:space="preserve"> </w:t>
      </w:r>
      <w:r w:rsidRPr="008439BB">
        <w:rPr>
          <w:rFonts w:ascii="Arial" w:eastAsia="Arial" w:hAnsi="Arial" w:cs="Arial"/>
          <w:sz w:val="16"/>
          <w:szCs w:val="16"/>
        </w:rPr>
        <w:t>Evans, J, Church state relations in New Zealand 1940</w:t>
      </w:r>
      <w:r w:rsidRPr="008439BB">
        <w:rPr>
          <w:rStyle w:val="normaltextrun"/>
          <w:rFonts w:ascii="Arial" w:hAnsi="Arial" w:cs="Arial"/>
          <w:sz w:val="16"/>
          <w:szCs w:val="16"/>
          <w:bdr w:val="none" w:sz="0" w:space="0" w:color="auto" w:frame="1"/>
        </w:rPr>
        <w:t>–</w:t>
      </w:r>
      <w:r w:rsidRPr="008439BB">
        <w:rPr>
          <w:rFonts w:ascii="Arial" w:eastAsia="Arial" w:hAnsi="Arial" w:cs="Arial"/>
          <w:sz w:val="16"/>
          <w:szCs w:val="16"/>
        </w:rPr>
        <w:t>1990, with particular reference to the Presbyterian and Methodist churches, Doctoral</w:t>
      </w:r>
      <w:r w:rsidRPr="008439BB" w:rsidDel="006528C3">
        <w:rPr>
          <w:rFonts w:ascii="Arial" w:eastAsia="Arial" w:hAnsi="Arial" w:cs="Arial"/>
          <w:sz w:val="16"/>
          <w:szCs w:val="16"/>
        </w:rPr>
        <w:t xml:space="preserve"> </w:t>
      </w:r>
      <w:r w:rsidRPr="008439BB">
        <w:rPr>
          <w:rFonts w:ascii="Arial" w:eastAsia="Arial" w:hAnsi="Arial" w:cs="Arial"/>
          <w:sz w:val="16"/>
          <w:szCs w:val="16"/>
        </w:rPr>
        <w:t>Thesis, University of Otago (1992, page 82).</w:t>
      </w:r>
    </w:p>
  </w:endnote>
  <w:endnote w:id="722">
    <w:p w14:paraId="19B13D40"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Dalley, B, Family matters: Child welfare in twentieth-century New Zealand (Auckland University Press, 1998, page 134).</w:t>
      </w:r>
    </w:p>
  </w:endnote>
  <w:endnote w:id="723">
    <w:p w14:paraId="3F87706E"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Arial" w:hAnsi="Arial" w:cs="Arial"/>
          <w:color w:val="auto"/>
          <w:sz w:val="16"/>
          <w:szCs w:val="16"/>
        </w:rPr>
        <w:t>Tennant, M, O'Brien, M &amp; Sanders, J, The history of the non-profit sector in New Zealand (Office for the Community and Voluntary Sector, 2008, page 20).</w:t>
      </w:r>
    </w:p>
  </w:endnote>
  <w:endnote w:id="724">
    <w:p w14:paraId="49F0FDEF"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Evans, J, “Government Support of the Church in the Modern Era,” Journal of Law and Religion, 13(2), (1998, pages 517–530, page 518); </w:t>
      </w:r>
      <w:r w:rsidRPr="008439BB">
        <w:rPr>
          <w:rFonts w:ascii="Arial" w:eastAsia="Arial" w:hAnsi="Arial" w:cs="Arial"/>
          <w:color w:val="auto"/>
          <w:sz w:val="16"/>
          <w:szCs w:val="16"/>
        </w:rPr>
        <w:t>Evans, J, Church state relations in New Zealand 1940</w:t>
      </w:r>
      <w:r w:rsidRPr="008439BB">
        <w:rPr>
          <w:rStyle w:val="normaltextrun"/>
          <w:rFonts w:ascii="Arial" w:hAnsi="Arial" w:cs="Arial"/>
          <w:color w:val="auto"/>
          <w:sz w:val="16"/>
          <w:szCs w:val="16"/>
          <w:bdr w:val="none" w:sz="0" w:space="0" w:color="auto" w:frame="1"/>
        </w:rPr>
        <w:t>–</w:t>
      </w:r>
      <w:r w:rsidRPr="008439BB">
        <w:rPr>
          <w:rFonts w:ascii="Arial" w:eastAsia="Arial" w:hAnsi="Arial" w:cs="Arial"/>
          <w:color w:val="auto"/>
          <w:sz w:val="16"/>
          <w:szCs w:val="16"/>
        </w:rPr>
        <w:t>1990, with particular reference to the Presbyterian and Methodist churches, Doctoral</w:t>
      </w:r>
      <w:r w:rsidRPr="008439BB" w:rsidDel="006528C3">
        <w:rPr>
          <w:rFonts w:ascii="Arial" w:eastAsia="Arial" w:hAnsi="Arial" w:cs="Arial"/>
          <w:color w:val="auto"/>
          <w:sz w:val="16"/>
          <w:szCs w:val="16"/>
        </w:rPr>
        <w:t xml:space="preserve"> </w:t>
      </w:r>
      <w:r w:rsidRPr="008439BB">
        <w:rPr>
          <w:rFonts w:ascii="Arial" w:eastAsia="Arial" w:hAnsi="Arial" w:cs="Arial"/>
          <w:color w:val="auto"/>
          <w:sz w:val="16"/>
          <w:szCs w:val="16"/>
        </w:rPr>
        <w:t>Thesis, University of Otago (1992, page 43).</w:t>
      </w:r>
    </w:p>
  </w:endnote>
  <w:endnote w:id="725">
    <w:p w14:paraId="6F6C054F" w14:textId="63BCFF48" w:rsidR="00FE4E56" w:rsidRPr="008439BB" w:rsidRDefault="00FE4E56" w:rsidP="007F2D2B">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Cahill, T, Mitchell, A, Nixon, A, Sherry, B &amp; Wetterstrom, J, Church social services: A report of an Inquiry into childcare services (Department of Social Welfare, 1977</w:t>
      </w:r>
      <w:r w:rsidRPr="008439BB" w:rsidDel="002440EC">
        <w:rPr>
          <w:rFonts w:cs="Arial"/>
          <w:sz w:val="16"/>
          <w:szCs w:val="16"/>
        </w:rPr>
        <w:t>,</w:t>
      </w:r>
      <w:r w:rsidRPr="008439BB">
        <w:rPr>
          <w:rFonts w:cs="Arial"/>
          <w:sz w:val="16"/>
          <w:szCs w:val="16"/>
        </w:rPr>
        <w:t xml:space="preserve"> </w:t>
      </w:r>
      <w:r w:rsidRPr="008439BB">
        <w:rPr>
          <w:rFonts w:eastAsia="Arial" w:cs="Arial"/>
          <w:sz w:val="16"/>
          <w:szCs w:val="16"/>
        </w:rPr>
        <w:t>page</w:t>
      </w:r>
      <w:r w:rsidRPr="008439BB">
        <w:rPr>
          <w:rFonts w:cs="Arial"/>
          <w:sz w:val="16"/>
          <w:szCs w:val="16"/>
        </w:rPr>
        <w:t xml:space="preserve"> 12).</w:t>
      </w:r>
    </w:p>
  </w:endnote>
  <w:endnote w:id="726">
    <w:p w14:paraId="1E149B51"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Tennant, M, The fabric of welfare: Voluntary organisations, government and welfare in New Zealand, 1840–2005 (Bridget Williams Books, 2007, page 104).</w:t>
      </w:r>
    </w:p>
  </w:endnote>
  <w:endnote w:id="727">
    <w:p w14:paraId="17973065"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Style w:val="normaltextrun"/>
          <w:rFonts w:cs="Arial"/>
          <w:sz w:val="16"/>
          <w:szCs w:val="16"/>
          <w:shd w:val="clear" w:color="auto" w:fill="FFFFFF"/>
        </w:rPr>
        <w:t xml:space="preserve">Craig, T &amp; Mills, M, Care and control: The role of institutions in New Zealand (New Zealand Planning Council, 1987, </w:t>
      </w:r>
      <w:r w:rsidRPr="008439BB">
        <w:rPr>
          <w:rFonts w:cs="Arial"/>
          <w:sz w:val="16"/>
          <w:szCs w:val="16"/>
        </w:rPr>
        <w:t>page 37).</w:t>
      </w:r>
    </w:p>
  </w:endnote>
  <w:endnote w:id="728">
    <w:p w14:paraId="1E284E7D"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Arial" w:hAnsi="Arial" w:cs="Arial"/>
          <w:color w:val="auto"/>
          <w:sz w:val="16"/>
          <w:szCs w:val="16"/>
        </w:rPr>
        <w:t>Evans, J, Church state relations in New Zealand 1940</w:t>
      </w:r>
      <w:r w:rsidRPr="008439BB">
        <w:rPr>
          <w:rStyle w:val="normaltextrun"/>
          <w:rFonts w:ascii="Arial" w:hAnsi="Arial" w:cs="Arial"/>
          <w:color w:val="auto"/>
          <w:sz w:val="16"/>
          <w:szCs w:val="16"/>
          <w:bdr w:val="none" w:sz="0" w:space="0" w:color="auto" w:frame="1"/>
        </w:rPr>
        <w:t>–</w:t>
      </w:r>
      <w:r w:rsidRPr="008439BB">
        <w:rPr>
          <w:rFonts w:ascii="Arial" w:eastAsia="Arial" w:hAnsi="Arial" w:cs="Arial"/>
          <w:color w:val="auto"/>
          <w:sz w:val="16"/>
          <w:szCs w:val="16"/>
        </w:rPr>
        <w:t>1990, with particular reference to the Presbyterian and Methodist churches, Doctoral</w:t>
      </w:r>
      <w:r w:rsidRPr="008439BB" w:rsidDel="006528C3">
        <w:rPr>
          <w:rFonts w:ascii="Arial" w:eastAsia="Arial" w:hAnsi="Arial" w:cs="Arial"/>
          <w:color w:val="auto"/>
          <w:sz w:val="16"/>
          <w:szCs w:val="16"/>
        </w:rPr>
        <w:t xml:space="preserve"> </w:t>
      </w:r>
      <w:r w:rsidRPr="008439BB">
        <w:rPr>
          <w:rFonts w:ascii="Arial" w:eastAsia="Arial" w:hAnsi="Arial" w:cs="Arial"/>
          <w:color w:val="auto"/>
          <w:sz w:val="16"/>
          <w:szCs w:val="16"/>
        </w:rPr>
        <w:t>Thesis, University of Otago</w:t>
      </w:r>
      <w:r w:rsidRPr="008439BB" w:rsidDel="006528C3">
        <w:rPr>
          <w:rFonts w:ascii="Arial" w:eastAsia="Arial" w:hAnsi="Arial" w:cs="Arial"/>
          <w:color w:val="auto"/>
          <w:sz w:val="16"/>
          <w:szCs w:val="16"/>
        </w:rPr>
        <w:t xml:space="preserve"> </w:t>
      </w:r>
      <w:r w:rsidRPr="008439BB">
        <w:rPr>
          <w:rFonts w:ascii="Arial" w:eastAsia="Arial" w:hAnsi="Arial" w:cs="Arial"/>
          <w:color w:val="auto"/>
          <w:sz w:val="16"/>
          <w:szCs w:val="16"/>
        </w:rPr>
        <w:t>(1992, page</w:t>
      </w:r>
      <w:r w:rsidRPr="008439BB">
        <w:rPr>
          <w:rFonts w:ascii="Arial" w:eastAsia="Calibri" w:hAnsi="Arial" w:cs="Arial"/>
          <w:color w:val="auto"/>
          <w:sz w:val="16"/>
          <w:szCs w:val="16"/>
        </w:rPr>
        <w:t xml:space="preserve"> 322). </w:t>
      </w:r>
    </w:p>
  </w:endnote>
  <w:endnote w:id="729">
    <w:p w14:paraId="0B57C2F1"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Arial" w:hAnsi="Arial" w:cs="Arial"/>
          <w:color w:val="auto"/>
          <w:sz w:val="16"/>
          <w:szCs w:val="16"/>
        </w:rPr>
        <w:t>Evans, J, Church state relations in New Zealand 1940</w:t>
      </w:r>
      <w:r w:rsidRPr="008439BB">
        <w:rPr>
          <w:rStyle w:val="normaltextrun"/>
          <w:rFonts w:ascii="Arial" w:hAnsi="Arial" w:cs="Arial"/>
          <w:color w:val="auto"/>
          <w:sz w:val="16"/>
          <w:szCs w:val="16"/>
          <w:bdr w:val="none" w:sz="0" w:space="0" w:color="auto" w:frame="1"/>
        </w:rPr>
        <w:t>–</w:t>
      </w:r>
      <w:r w:rsidRPr="008439BB">
        <w:rPr>
          <w:rFonts w:ascii="Arial" w:eastAsia="Arial" w:hAnsi="Arial" w:cs="Arial"/>
          <w:color w:val="auto"/>
          <w:sz w:val="16"/>
          <w:szCs w:val="16"/>
        </w:rPr>
        <w:t>1990, with particular reference to the Presbyterian and Methodist churches, Doctoral</w:t>
      </w:r>
      <w:r w:rsidRPr="008439BB" w:rsidDel="006528C3">
        <w:rPr>
          <w:rFonts w:ascii="Arial" w:eastAsia="Arial" w:hAnsi="Arial" w:cs="Arial"/>
          <w:color w:val="auto"/>
          <w:sz w:val="16"/>
          <w:szCs w:val="16"/>
        </w:rPr>
        <w:t xml:space="preserve"> </w:t>
      </w:r>
      <w:r w:rsidRPr="008439BB">
        <w:rPr>
          <w:rFonts w:ascii="Arial" w:eastAsia="Arial" w:hAnsi="Arial" w:cs="Arial"/>
          <w:color w:val="auto"/>
          <w:sz w:val="16"/>
          <w:szCs w:val="16"/>
        </w:rPr>
        <w:t>Thesis,</w:t>
      </w:r>
      <w:r w:rsidRPr="008439BB">
        <w:rPr>
          <w:rFonts w:ascii="Arial" w:eastAsia="Times New Roman" w:hAnsi="Arial" w:cs="Arial"/>
          <w:color w:val="auto"/>
          <w:sz w:val="16"/>
          <w:szCs w:val="16"/>
          <w:lang w:eastAsia="en-NZ"/>
        </w:rPr>
        <w:t xml:space="preserve"> </w:t>
      </w:r>
      <w:r w:rsidRPr="008439BB">
        <w:rPr>
          <w:rFonts w:ascii="Arial" w:eastAsia="Arial" w:hAnsi="Arial" w:cs="Arial"/>
          <w:color w:val="auto"/>
          <w:sz w:val="16"/>
          <w:szCs w:val="16"/>
        </w:rPr>
        <w:t>University of Otago (1992).</w:t>
      </w:r>
    </w:p>
  </w:endnote>
  <w:endnote w:id="730">
    <w:p w14:paraId="40DE4D80"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eastAsia="Calibri" w:hAnsi="Arial" w:cs="Arial"/>
          <w:color w:val="auto"/>
          <w:sz w:val="16"/>
          <w:szCs w:val="16"/>
        </w:rPr>
        <w:t xml:space="preserve">Lineham, P, “The voice of inspiration? Religious contributions to social policy,” in Dalley, B &amp; Tennant, M (eds) Past judgement: Social policy in New Zealand history (Otago University Press, 2004, </w:t>
      </w:r>
      <w:r w:rsidRPr="008439BB">
        <w:rPr>
          <w:rFonts w:ascii="Arial" w:hAnsi="Arial" w:cs="Arial"/>
          <w:color w:val="auto"/>
          <w:sz w:val="16"/>
          <w:szCs w:val="16"/>
        </w:rPr>
        <w:t>pages</w:t>
      </w:r>
      <w:r w:rsidRPr="008439BB">
        <w:rPr>
          <w:rFonts w:ascii="Arial" w:eastAsia="Calibri" w:hAnsi="Arial" w:cs="Arial"/>
          <w:color w:val="auto"/>
          <w:sz w:val="16"/>
          <w:szCs w:val="16"/>
        </w:rPr>
        <w:t xml:space="preserve"> 57</w:t>
      </w:r>
      <w:r w:rsidRPr="008439BB">
        <w:rPr>
          <w:rFonts w:ascii="Arial" w:hAnsi="Arial" w:cs="Arial"/>
          <w:color w:val="auto"/>
          <w:sz w:val="16"/>
          <w:szCs w:val="16"/>
        </w:rPr>
        <w:t>–</w:t>
      </w:r>
      <w:r w:rsidRPr="008439BB">
        <w:rPr>
          <w:rFonts w:ascii="Arial" w:eastAsia="Calibri" w:hAnsi="Arial" w:cs="Arial"/>
          <w:color w:val="auto"/>
          <w:sz w:val="16"/>
          <w:szCs w:val="16"/>
        </w:rPr>
        <w:t>74).</w:t>
      </w:r>
    </w:p>
  </w:endnote>
  <w:endnote w:id="731">
    <w:p w14:paraId="2B4FF8F3"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Cahill, T, Mitchell, A, Nixon, A, Sherry, B &amp; Wetterstrom, J, Church Social Services: A report of an Inquiry into childcare services (Department of Social Welfare</w:t>
      </w:r>
      <w:r w:rsidRPr="008439BB" w:rsidDel="001B6CD8">
        <w:rPr>
          <w:rFonts w:cs="Arial"/>
          <w:sz w:val="16"/>
          <w:szCs w:val="16"/>
        </w:rPr>
        <w:t xml:space="preserve">, </w:t>
      </w:r>
      <w:r w:rsidRPr="008439BB">
        <w:rPr>
          <w:rFonts w:cs="Arial"/>
          <w:sz w:val="16"/>
          <w:szCs w:val="16"/>
        </w:rPr>
        <w:t>1977, page 3).</w:t>
      </w:r>
    </w:p>
  </w:endnote>
  <w:endnote w:id="732">
    <w:p w14:paraId="360E46C3"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Calculated from the Reserve Bank of New Zealand inflation adjustment calculator using general consumer price index as a comparator, Reserve Bank of New Zealand website, Inflation calculator (accessed February 2024), </w:t>
      </w:r>
      <w:hyperlink r:id="rId114" w:history="1">
        <w:r w:rsidRPr="008439BB">
          <w:rPr>
            <w:rStyle w:val="Hyperlink"/>
            <w:rFonts w:cs="Arial"/>
            <w:color w:val="auto"/>
            <w:sz w:val="16"/>
            <w:szCs w:val="16"/>
          </w:rPr>
          <w:t>https://www.rbnz.govt.nz/monetary-policy/about-monetary-policy/inflation-calculator</w:t>
        </w:r>
      </w:hyperlink>
      <w:r w:rsidRPr="008439BB">
        <w:rPr>
          <w:rFonts w:cs="Arial"/>
          <w:sz w:val="16"/>
          <w:szCs w:val="16"/>
        </w:rPr>
        <w:t>.</w:t>
      </w:r>
    </w:p>
  </w:endnote>
  <w:endnote w:id="733">
    <w:p w14:paraId="5CBD816D"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Cahill, T, Mitchell, A, Nixon, A, Sherry, B &amp; Wetterstrom, J, Church Social Services: A report of an Inquiry into childcare services (Department of Social Welfare, 1977, page 3).</w:t>
      </w:r>
    </w:p>
  </w:endnote>
  <w:endnote w:id="734">
    <w:p w14:paraId="6D1B2396"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Cahill, T, Mitchell, A, Nixon, A, Sherry, B &amp; Wetterstrom, J, Church Social Services: A report of an Inquiry into childcare services (Department of Social Welfare, 1977</w:t>
      </w:r>
      <w:r w:rsidRPr="008439BB" w:rsidDel="007D09F8">
        <w:rPr>
          <w:rFonts w:cs="Arial"/>
          <w:sz w:val="16"/>
          <w:szCs w:val="16"/>
        </w:rPr>
        <w:t>,</w:t>
      </w:r>
      <w:r w:rsidRPr="008439BB">
        <w:rPr>
          <w:rFonts w:cs="Arial"/>
          <w:sz w:val="16"/>
          <w:szCs w:val="16"/>
        </w:rPr>
        <w:t xml:space="preserve"> page 12).</w:t>
      </w:r>
    </w:p>
  </w:endnote>
  <w:endnote w:id="735">
    <w:p w14:paraId="45312E66"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Calculated from the Reserve Bank of New Zealand inflation adjustment calculator using general consumer price index as a comparator, Reserve Bank of New Zealand website, Inflation calculator (accessed February 2023), </w:t>
      </w:r>
      <w:hyperlink r:id="rId115" w:history="1">
        <w:r w:rsidRPr="008439BB">
          <w:rPr>
            <w:rStyle w:val="Hyperlink"/>
            <w:rFonts w:cs="Arial"/>
            <w:color w:val="auto"/>
            <w:sz w:val="16"/>
            <w:szCs w:val="16"/>
          </w:rPr>
          <w:t>https://www.rbnz.govt.nz/monetary-policy/about-monetary-policy/inflation-calculator</w:t>
        </w:r>
      </w:hyperlink>
      <w:r w:rsidRPr="008439BB">
        <w:rPr>
          <w:rStyle w:val="Hyperlink"/>
          <w:rFonts w:cs="Arial"/>
          <w:color w:val="auto"/>
          <w:sz w:val="16"/>
          <w:szCs w:val="16"/>
        </w:rPr>
        <w:t>.</w:t>
      </w:r>
    </w:p>
  </w:endnote>
  <w:endnote w:id="736">
    <w:p w14:paraId="0ACDD11B"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Arial" w:cs="Arial"/>
          <w:sz w:val="16"/>
          <w:szCs w:val="16"/>
        </w:rPr>
        <w:t>Tennant, M, O'Brien, M, &amp; Sanders, J, The History of the Non-profit Sector in New Zealand (Office for the Community and Voluntary Sector</w:t>
      </w:r>
      <w:r w:rsidRPr="008439BB">
        <w:rPr>
          <w:rFonts w:eastAsia="Calibri" w:cs="Arial"/>
          <w:sz w:val="16"/>
          <w:szCs w:val="16"/>
        </w:rPr>
        <w:t xml:space="preserve">, 2008, </w:t>
      </w:r>
      <w:r w:rsidRPr="008439BB">
        <w:rPr>
          <w:rFonts w:cs="Arial"/>
          <w:sz w:val="16"/>
          <w:szCs w:val="16"/>
        </w:rPr>
        <w:t>page</w:t>
      </w:r>
      <w:r w:rsidRPr="008439BB">
        <w:rPr>
          <w:rFonts w:eastAsia="Calibri" w:cs="Arial"/>
          <w:sz w:val="16"/>
          <w:szCs w:val="16"/>
        </w:rPr>
        <w:t xml:space="preserve"> 20). </w:t>
      </w:r>
    </w:p>
  </w:endnote>
  <w:endnote w:id="737">
    <w:p w14:paraId="14DBA851"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Both conversions calculated from the Reserve Bank of New Zealand inflation adjustment calculator using general</w:t>
      </w:r>
      <w:r w:rsidRPr="008439BB" w:rsidDel="006E36CB">
        <w:rPr>
          <w:rFonts w:cs="Arial"/>
          <w:sz w:val="16"/>
          <w:szCs w:val="16"/>
        </w:rPr>
        <w:t xml:space="preserve"> </w:t>
      </w:r>
      <w:r w:rsidRPr="008439BB">
        <w:rPr>
          <w:rFonts w:cs="Arial"/>
          <w:sz w:val="16"/>
          <w:szCs w:val="16"/>
        </w:rPr>
        <w:t xml:space="preserve">consumer price index as a comparator, Reserve Bank of New Zealand website, Inflation calculator (accessed February 2023), </w:t>
      </w:r>
      <w:hyperlink r:id="rId116" w:history="1">
        <w:r w:rsidRPr="008439BB">
          <w:rPr>
            <w:rStyle w:val="Hyperlink"/>
            <w:rFonts w:cs="Arial"/>
            <w:color w:val="auto"/>
            <w:sz w:val="16"/>
            <w:szCs w:val="16"/>
          </w:rPr>
          <w:t>https://www.rbnz.govt.nz/monetary-policy/about-monetary-policy/inflation-calculator</w:t>
        </w:r>
      </w:hyperlink>
      <w:r w:rsidRPr="008439BB">
        <w:rPr>
          <w:rStyle w:val="Hyperlink"/>
          <w:rFonts w:cs="Arial"/>
          <w:color w:val="auto"/>
          <w:sz w:val="16"/>
          <w:szCs w:val="16"/>
        </w:rPr>
        <w:t>.</w:t>
      </w:r>
      <w:r w:rsidRPr="008439BB">
        <w:rPr>
          <w:rFonts w:cs="Arial"/>
          <w:sz w:val="16"/>
          <w:szCs w:val="16"/>
        </w:rPr>
        <w:t xml:space="preserve"> </w:t>
      </w:r>
    </w:p>
  </w:endnote>
  <w:endnote w:id="738">
    <w:p w14:paraId="49D4E50C"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The Holy See has ratified a number of international conventions, including the United Nations Convention on the Rights of the Child and the Convention Against Torture and Other Cruel Inhuman or Degrading Treatment or Punishment.</w:t>
      </w:r>
    </w:p>
  </w:endnote>
  <w:endnote w:id="739">
    <w:p w14:paraId="0763CAFD"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Code of Canon Law (1983), canon 333 §1.</w:t>
      </w:r>
    </w:p>
  </w:endnote>
  <w:endnote w:id="740">
    <w:p w14:paraId="1A6F0648"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Code of Canon Law (1983), canons 431–436.</w:t>
      </w:r>
    </w:p>
  </w:endnote>
  <w:endnote w:id="741">
    <w:p w14:paraId="3050BEBD"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Cardinal John Dew for the Archdiocese of Wellington and the Metropolitan Diocese (23 September 2020, page 10).</w:t>
      </w:r>
    </w:p>
  </w:endnote>
  <w:endnote w:id="742">
    <w:p w14:paraId="24B2368C"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Cardinal John Dew for the Archdiocese of Wellington and the Metropolitan Diocese (23 September 2020, page 11).</w:t>
      </w:r>
    </w:p>
  </w:endnote>
  <w:endnote w:id="743">
    <w:p w14:paraId="63E36330"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Title G, Canon XIII of Holy Orders in the Anglican Church in Aotearoa, New Zealand &amp; Polynesia (1992), section 6.1. The Anglican Church does not take direction from overseas but presents itself as in full communion with the Church of England and all other churches of the Anglican Communion. </w:t>
      </w:r>
    </w:p>
  </w:endnote>
  <w:endnote w:id="744">
    <w:p w14:paraId="25610979"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Archbishop Philip Richardson for the Anglican Church (12 February 2021, pages 11–12).</w:t>
      </w:r>
    </w:p>
  </w:endnote>
  <w:endnote w:id="745">
    <w:p w14:paraId="16B5230D"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Archbishop Philip Richardson for the Anglican Church (12 February 2021, pages 9–10).</w:t>
      </w:r>
    </w:p>
  </w:endnote>
  <w:endnote w:id="746">
    <w:p w14:paraId="3E0E7720"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Fonts w:ascii="Arial" w:hAnsi="Arial" w:cs="Arial"/>
          <w:iCs/>
          <w:color w:val="auto"/>
          <w:sz w:val="16"/>
          <w:szCs w:val="16"/>
        </w:rPr>
        <w:t>Witness statement of Colonel Gerry Walker for The Salvation Army (</w:t>
      </w:r>
      <w:r w:rsidRPr="008439BB">
        <w:rPr>
          <w:rFonts w:ascii="Arial" w:hAnsi="Arial" w:cs="Arial"/>
          <w:color w:val="auto"/>
          <w:sz w:val="16"/>
          <w:szCs w:val="16"/>
        </w:rPr>
        <w:t xml:space="preserve">18 September 2020, page 22). </w:t>
      </w:r>
    </w:p>
  </w:endnote>
  <w:endnote w:id="747">
    <w:p w14:paraId="4BFCD274"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sidDel="00595649">
        <w:rPr>
          <w:rFonts w:cs="Arial"/>
          <w:sz w:val="16"/>
          <w:szCs w:val="16"/>
        </w:rPr>
        <w:t xml:space="preserve"> </w:t>
      </w:r>
      <w:r w:rsidRPr="008439BB">
        <w:rPr>
          <w:rFonts w:cs="Arial"/>
          <w:sz w:val="16"/>
          <w:szCs w:val="16"/>
        </w:rPr>
        <w:t>Witness statement of Colonel Gerry Walker for The Salvation Army (18 September 2020, page 25).</w:t>
      </w:r>
    </w:p>
  </w:endnote>
  <w:endnote w:id="748">
    <w:p w14:paraId="3D227F16"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Opening submissions of the Methodist Church of New Zealand, Wesley College Board of Trustees and Wesley College Trust Board (18 October 2022, para 3.4).</w:t>
      </w:r>
    </w:p>
  </w:endnote>
  <w:endnote w:id="749">
    <w:p w14:paraId="6F724BC0"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Laws and Regulations of the Methodist Church of New Zealand (2021, pages 5 and 84).</w:t>
      </w:r>
    </w:p>
  </w:endnote>
  <w:endnote w:id="750">
    <w:p w14:paraId="0ED10003"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Response to </w:t>
      </w:r>
      <w:r w:rsidRPr="008439BB">
        <w:rPr>
          <w:rStyle w:val="normaltextrun"/>
          <w:rFonts w:ascii="Arial" w:hAnsi="Arial" w:cs="Arial"/>
          <w:color w:val="auto"/>
          <w:sz w:val="16"/>
          <w:szCs w:val="16"/>
          <w:bdr w:val="none" w:sz="0" w:space="0" w:color="auto" w:frame="1"/>
        </w:rPr>
        <w:t>Royal Commission of Inquiry into Abuse in Care</w:t>
      </w:r>
      <w:r w:rsidRPr="008439BB">
        <w:rPr>
          <w:rFonts w:ascii="Arial" w:hAnsi="Arial" w:cs="Arial"/>
          <w:color w:val="auto"/>
          <w:sz w:val="16"/>
          <w:szCs w:val="16"/>
        </w:rPr>
        <w:t xml:space="preserve"> Notice to Produce 452 (questions 2</w:t>
      </w:r>
      <w:r w:rsidRPr="008439BB">
        <w:rPr>
          <w:rStyle w:val="normaltextrun"/>
          <w:rFonts w:ascii="Arial" w:hAnsi="Arial" w:cs="Arial"/>
          <w:color w:val="auto"/>
          <w:sz w:val="16"/>
          <w:szCs w:val="16"/>
          <w:bdr w:val="none" w:sz="0" w:space="0" w:color="auto" w:frame="1"/>
        </w:rPr>
        <w:t>–</w:t>
      </w:r>
      <w:r w:rsidRPr="008439BB">
        <w:rPr>
          <w:rFonts w:ascii="Arial" w:hAnsi="Arial" w:cs="Arial"/>
          <w:color w:val="auto"/>
          <w:sz w:val="16"/>
          <w:szCs w:val="16"/>
        </w:rPr>
        <w:t>7) (24 May 2022, page 6).</w:t>
      </w:r>
    </w:p>
  </w:endnote>
  <w:endnote w:id="751">
    <w:p w14:paraId="02FA1EED"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Response to </w:t>
      </w:r>
      <w:r w:rsidRPr="008439BB">
        <w:rPr>
          <w:rStyle w:val="normaltextrun"/>
          <w:rFonts w:ascii="Arial" w:hAnsi="Arial" w:cs="Arial"/>
          <w:color w:val="auto"/>
          <w:sz w:val="16"/>
          <w:szCs w:val="16"/>
          <w:bdr w:val="none" w:sz="0" w:space="0" w:color="auto" w:frame="1"/>
        </w:rPr>
        <w:t>Royal Commission of Inquiry into Abuse in Care</w:t>
      </w:r>
      <w:r w:rsidRPr="008439BB">
        <w:rPr>
          <w:rFonts w:ascii="Arial" w:hAnsi="Arial" w:cs="Arial"/>
          <w:color w:val="auto"/>
          <w:sz w:val="16"/>
          <w:szCs w:val="16"/>
        </w:rPr>
        <w:t xml:space="preserve"> Notice to Produce 452 (questions 2</w:t>
      </w:r>
      <w:r w:rsidRPr="008439BB">
        <w:rPr>
          <w:rStyle w:val="normaltextrun"/>
          <w:rFonts w:ascii="Arial" w:hAnsi="Arial" w:cs="Arial"/>
          <w:color w:val="auto"/>
          <w:sz w:val="16"/>
          <w:szCs w:val="16"/>
          <w:bdr w:val="none" w:sz="0" w:space="0" w:color="auto" w:frame="1"/>
        </w:rPr>
        <w:t>–</w:t>
      </w:r>
      <w:r w:rsidRPr="008439BB">
        <w:rPr>
          <w:rFonts w:ascii="Arial" w:hAnsi="Arial" w:cs="Arial"/>
          <w:color w:val="auto"/>
          <w:sz w:val="16"/>
          <w:szCs w:val="16"/>
        </w:rPr>
        <w:t>7) (24 May 2022, page 2).</w:t>
      </w:r>
    </w:p>
  </w:endnote>
  <w:endnote w:id="752">
    <w:p w14:paraId="5081278A"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Laws and Regulations of the Methodist Church of New Zealand (2021, page 5).</w:t>
      </w:r>
    </w:p>
  </w:endnote>
  <w:endnote w:id="753">
    <w:p w14:paraId="05D6B0E1"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Laws and Regulations of the Methodist Church of New Zealand (2021, page 10).</w:t>
      </w:r>
    </w:p>
  </w:endnote>
  <w:endnote w:id="754">
    <w:p w14:paraId="184C66C1"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Laws and Regulations of the Methodist Church of New Zealand (2021). </w:t>
      </w:r>
    </w:p>
  </w:endnote>
  <w:endnote w:id="755">
    <w:p w14:paraId="460ECABC"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Response to </w:t>
      </w:r>
      <w:r w:rsidRPr="008439BB">
        <w:rPr>
          <w:rStyle w:val="normaltextrun"/>
          <w:rFonts w:ascii="Arial" w:hAnsi="Arial" w:cs="Arial"/>
          <w:color w:val="auto"/>
          <w:sz w:val="16"/>
          <w:szCs w:val="16"/>
          <w:bdr w:val="none" w:sz="0" w:space="0" w:color="auto" w:frame="1"/>
        </w:rPr>
        <w:t>Royal Commission of Inquiry into Abuse in Care</w:t>
      </w:r>
      <w:r w:rsidRPr="008439BB">
        <w:rPr>
          <w:rFonts w:ascii="Arial" w:hAnsi="Arial" w:cs="Arial"/>
          <w:color w:val="auto"/>
          <w:sz w:val="16"/>
          <w:szCs w:val="16"/>
        </w:rPr>
        <w:t xml:space="preserve"> Notice to Produce 452 (questions 2</w:t>
      </w:r>
      <w:r w:rsidRPr="008439BB">
        <w:rPr>
          <w:rStyle w:val="normaltextrun"/>
          <w:rFonts w:ascii="Arial" w:hAnsi="Arial" w:cs="Arial"/>
          <w:color w:val="auto"/>
          <w:sz w:val="16"/>
          <w:szCs w:val="16"/>
          <w:bdr w:val="none" w:sz="0" w:space="0" w:color="auto" w:frame="1"/>
        </w:rPr>
        <w:t>–</w:t>
      </w:r>
      <w:r w:rsidRPr="008439BB">
        <w:rPr>
          <w:rFonts w:ascii="Arial" w:hAnsi="Arial" w:cs="Arial"/>
          <w:color w:val="auto"/>
          <w:sz w:val="16"/>
          <w:szCs w:val="16"/>
        </w:rPr>
        <w:t>7) (24 May 2022, page 4).</w:t>
      </w:r>
    </w:p>
  </w:endnote>
  <w:endnote w:id="756">
    <w:p w14:paraId="40847938"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Methodist Church of New Zealand, Response to </w:t>
      </w:r>
      <w:r w:rsidRPr="008439BB">
        <w:rPr>
          <w:rStyle w:val="normaltextrun"/>
          <w:rFonts w:ascii="Arial" w:hAnsi="Arial" w:cs="Arial"/>
          <w:color w:val="auto"/>
          <w:sz w:val="16"/>
          <w:szCs w:val="16"/>
          <w:bdr w:val="none" w:sz="0" w:space="0" w:color="auto" w:frame="1"/>
        </w:rPr>
        <w:t>Royal Commission of Inquiry into Abuse in Care</w:t>
      </w:r>
      <w:r w:rsidRPr="008439BB">
        <w:rPr>
          <w:rFonts w:ascii="Arial" w:hAnsi="Arial" w:cs="Arial"/>
          <w:color w:val="auto"/>
          <w:sz w:val="16"/>
          <w:szCs w:val="16"/>
        </w:rPr>
        <w:t xml:space="preserve"> Notice to Produce 452 (questions 2</w:t>
      </w:r>
      <w:r w:rsidRPr="008439BB">
        <w:rPr>
          <w:rStyle w:val="normaltextrun"/>
          <w:rFonts w:ascii="Arial" w:hAnsi="Arial" w:cs="Arial"/>
          <w:color w:val="auto"/>
          <w:sz w:val="16"/>
          <w:szCs w:val="16"/>
          <w:bdr w:val="none" w:sz="0" w:space="0" w:color="auto" w:frame="1"/>
        </w:rPr>
        <w:t>–</w:t>
      </w:r>
      <w:r w:rsidRPr="008439BB">
        <w:rPr>
          <w:rFonts w:ascii="Arial" w:hAnsi="Arial" w:cs="Arial"/>
          <w:color w:val="auto"/>
          <w:sz w:val="16"/>
          <w:szCs w:val="16"/>
        </w:rPr>
        <w:t>7) (24 May 2022, page 1).</w:t>
      </w:r>
    </w:p>
  </w:endnote>
  <w:endnote w:id="757">
    <w:p w14:paraId="352B3AE7" w14:textId="6353A1FE"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Presbyterian Church of Aotearoa New Zealand website, ‘General Assembly’.</w:t>
      </w:r>
    </w:p>
  </w:endnote>
  <w:endnote w:id="758">
    <w:p w14:paraId="567F766D"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pages 295–296).</w:t>
      </w:r>
    </w:p>
  </w:endnote>
  <w:endnote w:id="759">
    <w:p w14:paraId="72EF0A83"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 296).</w:t>
      </w:r>
    </w:p>
  </w:endnote>
  <w:endnote w:id="760">
    <w:p w14:paraId="57733867"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submissions of Matthew Hague, counsel for the Presbyterian Church of Aotearoa New Zealand at the Inquiry’s Faith-based Institutional Response Hearing (Royal Commission of Inquiry into Abuse in Care, 19 October 2022, page 296).</w:t>
      </w:r>
    </w:p>
  </w:endnote>
  <w:endnote w:id="761">
    <w:p w14:paraId="7A47A826"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evidence of Wayne Matheson for the Presbyterian Church of Aotearoa New Zealand at the Inquiry’s Faith-based Institutional Response Hearing (Royal Commission of Inquiry into Abuse in Care, 19 October 2022, page 298).</w:t>
      </w:r>
    </w:p>
  </w:endnote>
  <w:endnote w:id="762">
    <w:p w14:paraId="2A0AA6C1"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opening statement from Presbyterian Support Central and Presbyterian Support Otago at the Inquiry’s Faith-based Institutional Response Hearing (</w:t>
      </w:r>
      <w:r w:rsidRPr="008439BB" w:rsidDel="001679F9">
        <w:rPr>
          <w:rFonts w:cs="Arial"/>
          <w:sz w:val="16"/>
          <w:szCs w:val="16"/>
        </w:rPr>
        <w:t xml:space="preserve">Royal Commission of Inquiry into Abuse in Care, </w:t>
      </w:r>
      <w:r w:rsidRPr="008439BB">
        <w:rPr>
          <w:rFonts w:cs="Arial"/>
          <w:sz w:val="16"/>
          <w:szCs w:val="16"/>
        </w:rPr>
        <w:t xml:space="preserve">19 October 2022, page 240). </w:t>
      </w:r>
    </w:p>
  </w:endnote>
  <w:endnote w:id="763">
    <w:p w14:paraId="75ABF1C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Transcript of opening statement from Presbyterian Support Central and Presbyterian Support Otago at the Inquiry’s Faith-based Institutional Response Hearing (</w:t>
      </w:r>
      <w:r w:rsidRPr="008439BB" w:rsidDel="001679F9">
        <w:rPr>
          <w:rFonts w:cs="Arial"/>
          <w:sz w:val="16"/>
          <w:szCs w:val="16"/>
        </w:rPr>
        <w:t xml:space="preserve">Royal Commission of Inquiry into Abuse in Care, </w:t>
      </w:r>
      <w:r w:rsidRPr="008439BB">
        <w:rPr>
          <w:rFonts w:cs="Arial"/>
          <w:sz w:val="16"/>
          <w:szCs w:val="16"/>
        </w:rPr>
        <w:t>19 October 2022, page 240).</w:t>
      </w:r>
    </w:p>
  </w:endnote>
  <w:endnote w:id="764">
    <w:p w14:paraId="60678449"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Calibri" w:cs="Arial"/>
          <w:sz w:val="16"/>
          <w:szCs w:val="16"/>
        </w:rPr>
        <w:t xml:space="preserve">Gloriavale Christian Community, A life in common: The experience of the Gloriavale Christian Community, </w:t>
      </w:r>
      <w:r w:rsidRPr="008439BB">
        <w:rPr>
          <w:rFonts w:cs="Arial"/>
          <w:sz w:val="16"/>
          <w:szCs w:val="16"/>
        </w:rPr>
        <w:t>Response to</w:t>
      </w:r>
      <w:r w:rsidRPr="008439BB">
        <w:rPr>
          <w:rStyle w:val="normaltextrun"/>
          <w:rFonts w:cs="Arial"/>
          <w:sz w:val="16"/>
          <w:szCs w:val="16"/>
          <w:bdr w:val="none" w:sz="0" w:space="0" w:color="auto" w:frame="1"/>
        </w:rPr>
        <w:t xml:space="preserve"> </w:t>
      </w:r>
      <w:r w:rsidRPr="008439BB">
        <w:rPr>
          <w:rFonts w:cs="Arial"/>
          <w:sz w:val="16"/>
          <w:szCs w:val="16"/>
        </w:rPr>
        <w:t xml:space="preserve">Royal Commission of Inquiry into Abuse in Care Notice to Produce 1 </w:t>
      </w:r>
      <w:r w:rsidRPr="008439BB">
        <w:rPr>
          <w:rFonts w:eastAsia="Calibri" w:cs="Arial"/>
          <w:sz w:val="16"/>
          <w:szCs w:val="16"/>
        </w:rPr>
        <w:t xml:space="preserve">(2018, </w:t>
      </w:r>
      <w:r w:rsidRPr="008439BB">
        <w:rPr>
          <w:rFonts w:cs="Arial"/>
          <w:sz w:val="16"/>
          <w:szCs w:val="16"/>
        </w:rPr>
        <w:t>page</w:t>
      </w:r>
      <w:r w:rsidRPr="008439BB">
        <w:rPr>
          <w:rFonts w:eastAsia="Calibri" w:cs="Arial"/>
          <w:sz w:val="16"/>
          <w:szCs w:val="16"/>
        </w:rPr>
        <w:t xml:space="preserve"> 8).</w:t>
      </w:r>
    </w:p>
  </w:endnote>
  <w:endnote w:id="765">
    <w:p w14:paraId="7E4ABD75"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Calibri" w:cs="Arial"/>
          <w:sz w:val="16"/>
          <w:szCs w:val="16"/>
        </w:rPr>
        <w:t xml:space="preserve">Gloriavale Christian Community, A life in common: The experience of the Gloriavale Christian Community, </w:t>
      </w:r>
      <w:r w:rsidRPr="008439BB">
        <w:rPr>
          <w:rFonts w:cs="Arial"/>
          <w:sz w:val="16"/>
          <w:szCs w:val="16"/>
        </w:rPr>
        <w:t xml:space="preserve">Response to Response to </w:t>
      </w:r>
      <w:r w:rsidRPr="008439BB">
        <w:rPr>
          <w:rStyle w:val="normaltextrun"/>
          <w:rFonts w:cs="Arial"/>
          <w:sz w:val="16"/>
          <w:szCs w:val="16"/>
          <w:bdr w:val="none" w:sz="0" w:space="0" w:color="auto" w:frame="1"/>
        </w:rPr>
        <w:t xml:space="preserve">Royal Commission of Inquiry into Abuse in Care </w:t>
      </w:r>
      <w:r w:rsidRPr="008439BB">
        <w:rPr>
          <w:rFonts w:cs="Arial"/>
          <w:sz w:val="16"/>
          <w:szCs w:val="16"/>
        </w:rPr>
        <w:t>Notice to Produce 1</w:t>
      </w:r>
      <w:r w:rsidRPr="008439BB">
        <w:rPr>
          <w:rFonts w:eastAsia="Calibri" w:cs="Arial"/>
          <w:sz w:val="16"/>
          <w:szCs w:val="16"/>
        </w:rPr>
        <w:t xml:space="preserve"> (2018, pages 9–12).</w:t>
      </w:r>
    </w:p>
  </w:endnote>
  <w:endnote w:id="766">
    <w:p w14:paraId="145322A6"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Calibri" w:cs="Arial"/>
          <w:sz w:val="16"/>
          <w:szCs w:val="16"/>
        </w:rPr>
        <w:t xml:space="preserve">Gloriavale Christian Community, A life in common: The experience of the Gloriavale Christian Community, </w:t>
      </w:r>
      <w:r w:rsidRPr="008439BB">
        <w:rPr>
          <w:rFonts w:cs="Arial"/>
          <w:sz w:val="16"/>
          <w:szCs w:val="16"/>
        </w:rPr>
        <w:t xml:space="preserve">Response to Response to </w:t>
      </w:r>
      <w:r w:rsidRPr="008439BB">
        <w:rPr>
          <w:rStyle w:val="normaltextrun"/>
          <w:rFonts w:cs="Arial"/>
          <w:sz w:val="16"/>
          <w:szCs w:val="16"/>
          <w:bdr w:val="none" w:sz="0" w:space="0" w:color="auto" w:frame="1"/>
        </w:rPr>
        <w:t xml:space="preserve">Royal Commission of Inquiry into Abuse in Care </w:t>
      </w:r>
      <w:r w:rsidRPr="008439BB">
        <w:rPr>
          <w:rFonts w:cs="Arial"/>
          <w:sz w:val="16"/>
          <w:szCs w:val="16"/>
        </w:rPr>
        <w:t xml:space="preserve">Notice to Produce 1 </w:t>
      </w:r>
      <w:r w:rsidRPr="008439BB">
        <w:rPr>
          <w:rFonts w:eastAsia="Calibri" w:cs="Arial"/>
          <w:sz w:val="16"/>
          <w:szCs w:val="16"/>
        </w:rPr>
        <w:t>(2018, pages 9–12).</w:t>
      </w:r>
    </w:p>
  </w:endnote>
  <w:endnote w:id="767">
    <w:p w14:paraId="5464F892"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Gloriavale Christian Community, A life in common: The experience of the Gloriavale Christian Community, Response to Response to Royal Commission of Inquiry into Abuse in Care Notice to Produce 1 (2018, page 12).</w:t>
      </w:r>
    </w:p>
  </w:endnote>
  <w:endnote w:id="768">
    <w:p w14:paraId="40A0D0B5"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Gloriavale Christian Community, A life in common: The experience of the Gloriavale Christian Community, Response to </w:t>
      </w:r>
      <w:r w:rsidRPr="008439BB">
        <w:rPr>
          <w:rStyle w:val="normaltextrun"/>
          <w:rFonts w:ascii="Arial" w:hAnsi="Arial" w:cs="Arial"/>
          <w:color w:val="auto"/>
          <w:sz w:val="16"/>
          <w:szCs w:val="16"/>
          <w:bdr w:val="none" w:sz="0" w:space="0" w:color="auto" w:frame="1"/>
        </w:rPr>
        <w:t xml:space="preserve">Royal Commission of Inquiry into Abuse in Care </w:t>
      </w:r>
      <w:r w:rsidRPr="008439BB">
        <w:rPr>
          <w:rFonts w:ascii="Arial" w:hAnsi="Arial" w:cs="Arial"/>
          <w:color w:val="auto"/>
          <w:sz w:val="16"/>
          <w:szCs w:val="16"/>
        </w:rPr>
        <w:t>Notice to Produce 1 (May 2021, page 30).</w:t>
      </w:r>
    </w:p>
  </w:endnote>
  <w:endnote w:id="769">
    <w:p w14:paraId="74737728"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evidence of Howard Wendell Temple and Rachel Stedfast on behalf of Gloriavale Christian Community at the Inquiry’s Faith Institutional Response Hearing (</w:t>
      </w:r>
      <w:r w:rsidRPr="008439BB" w:rsidDel="001679F9">
        <w:rPr>
          <w:rFonts w:ascii="Arial" w:hAnsi="Arial" w:cs="Arial"/>
          <w:color w:val="auto"/>
          <w:sz w:val="16"/>
          <w:szCs w:val="16"/>
        </w:rPr>
        <w:t xml:space="preserve">Royal Commission of Inquiry into Abuse in Care, </w:t>
      </w:r>
      <w:r w:rsidRPr="008439BB">
        <w:rPr>
          <w:rFonts w:ascii="Arial" w:hAnsi="Arial" w:cs="Arial"/>
          <w:color w:val="auto"/>
          <w:sz w:val="16"/>
          <w:szCs w:val="16"/>
        </w:rPr>
        <w:t>13 October 2022, page 44).</w:t>
      </w:r>
    </w:p>
  </w:endnote>
  <w:endnote w:id="770">
    <w:p w14:paraId="0CAF3DB5"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Transcript of evidence of Howard Wendell Temple and Rachel Stedfast on behalf of Gloriavale Christian Community at the Inquiry’s Faith Institutional Response Hearing (</w:t>
      </w:r>
      <w:r w:rsidRPr="008439BB" w:rsidDel="001679F9">
        <w:rPr>
          <w:rFonts w:ascii="Arial" w:hAnsi="Arial" w:cs="Arial"/>
          <w:color w:val="auto"/>
          <w:sz w:val="16"/>
          <w:szCs w:val="16"/>
        </w:rPr>
        <w:t xml:space="preserve">Royal Commission of Inquiry into Abuse in Care, </w:t>
      </w:r>
      <w:r w:rsidRPr="008439BB">
        <w:rPr>
          <w:rFonts w:ascii="Arial" w:hAnsi="Arial" w:cs="Arial"/>
          <w:color w:val="auto"/>
          <w:sz w:val="16"/>
          <w:szCs w:val="16"/>
        </w:rPr>
        <w:t>13 October 2022, page 46).</w:t>
      </w:r>
    </w:p>
  </w:endnote>
  <w:endnote w:id="771">
    <w:p w14:paraId="39DF0C1D" w14:textId="77777777" w:rsidR="00FE4E56" w:rsidRPr="008439BB" w:rsidRDefault="00FE4E56" w:rsidP="004C3995">
      <w:pPr>
        <w:pStyle w:val="footnotes"/>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Gloriavale Christian Community, A life in common: The experience of the Gloriavale Christian Community, Response to </w:t>
      </w:r>
      <w:r w:rsidRPr="008439BB">
        <w:rPr>
          <w:rStyle w:val="normaltextrun"/>
          <w:rFonts w:ascii="Arial" w:hAnsi="Arial" w:cs="Arial"/>
          <w:color w:val="auto"/>
          <w:sz w:val="16"/>
          <w:szCs w:val="16"/>
          <w:bdr w:val="none" w:sz="0" w:space="0" w:color="auto" w:frame="1"/>
        </w:rPr>
        <w:t>Royal Commission of Inquiry into Abuse in Care</w:t>
      </w:r>
      <w:r w:rsidRPr="008439BB">
        <w:rPr>
          <w:rFonts w:ascii="Arial" w:hAnsi="Arial" w:cs="Arial"/>
          <w:color w:val="auto"/>
          <w:sz w:val="16"/>
          <w:szCs w:val="16"/>
        </w:rPr>
        <w:t xml:space="preserve"> Notice to Produce 1 (May 2021, page 19).</w:t>
      </w:r>
    </w:p>
  </w:endnote>
  <w:endnote w:id="772">
    <w:p w14:paraId="3CE099B0"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Natural Justice response letter (10 January 2024, page 9).</w:t>
      </w:r>
    </w:p>
  </w:endnote>
  <w:endnote w:id="773">
    <w:p w14:paraId="0F74D706"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 xml:space="preserve">Response to Royal Commission of Inquiry into Abuse in Care Notice to Produce 1 (23 April 2021, </w:t>
      </w:r>
      <w:r w:rsidRPr="008439BB">
        <w:rPr>
          <w:rFonts w:cs="Arial"/>
          <w:sz w:val="16"/>
          <w:szCs w:val="16"/>
        </w:rPr>
        <w:t>page</w:t>
      </w:r>
      <w:r w:rsidRPr="008439BB">
        <w:rPr>
          <w:rFonts w:eastAsia="Calibri" w:cs="Arial"/>
          <w:sz w:val="16"/>
          <w:szCs w:val="16"/>
        </w:rPr>
        <w:t xml:space="preserve"> 2).</w:t>
      </w:r>
    </w:p>
  </w:endnote>
  <w:endnote w:id="774">
    <w:p w14:paraId="1069ABBE"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Notes from meeting with representatives of the Plymouth Brethren Christian Church</w:t>
      </w:r>
      <w:r w:rsidRPr="008439BB" w:rsidDel="00DE7B45">
        <w:rPr>
          <w:rFonts w:cs="Arial"/>
          <w:sz w:val="16"/>
          <w:szCs w:val="16"/>
        </w:rPr>
        <w:t xml:space="preserve"> (</w:t>
      </w:r>
      <w:r w:rsidRPr="008439BB">
        <w:rPr>
          <w:rFonts w:cs="Arial"/>
          <w:sz w:val="16"/>
          <w:szCs w:val="16"/>
        </w:rPr>
        <w:t>29 November 2022, pages 4</w:t>
      </w:r>
      <w:r w:rsidRPr="008439BB">
        <w:rPr>
          <w:rFonts w:eastAsia="Calibri" w:cs="Arial"/>
          <w:sz w:val="16"/>
          <w:szCs w:val="16"/>
        </w:rPr>
        <w:t>–</w:t>
      </w:r>
      <w:r w:rsidRPr="008439BB">
        <w:rPr>
          <w:rFonts w:cs="Arial"/>
          <w:sz w:val="16"/>
          <w:szCs w:val="16"/>
        </w:rPr>
        <w:t xml:space="preserve">5). </w:t>
      </w:r>
    </w:p>
  </w:endnote>
  <w:endnote w:id="775">
    <w:p w14:paraId="40EE521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 xml:space="preserve">Response to Royal Commission of Inquiry into Abuse in Care Notice to Produce 1 (23 April 2021, </w:t>
      </w:r>
      <w:r w:rsidRPr="008439BB">
        <w:rPr>
          <w:rFonts w:cs="Arial"/>
          <w:sz w:val="16"/>
          <w:szCs w:val="16"/>
        </w:rPr>
        <w:t>page</w:t>
      </w:r>
      <w:r w:rsidRPr="008439BB">
        <w:rPr>
          <w:rFonts w:eastAsia="Calibri" w:cs="Arial"/>
          <w:sz w:val="16"/>
          <w:szCs w:val="16"/>
        </w:rPr>
        <w:t xml:space="preserve"> 2).</w:t>
      </w:r>
    </w:p>
  </w:endnote>
  <w:endnote w:id="776">
    <w:p w14:paraId="11D033CB"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 xml:space="preserve">Response to Royal Commission of Inquiry into Abuse in Care Notice to Produce 1 (23 April 2021, </w:t>
      </w:r>
      <w:r w:rsidRPr="008439BB">
        <w:rPr>
          <w:rFonts w:cs="Arial"/>
          <w:sz w:val="16"/>
          <w:szCs w:val="16"/>
        </w:rPr>
        <w:t>page</w:t>
      </w:r>
      <w:r w:rsidRPr="008439BB">
        <w:rPr>
          <w:rFonts w:eastAsia="Calibri" w:cs="Arial"/>
          <w:sz w:val="16"/>
          <w:szCs w:val="16"/>
        </w:rPr>
        <w:t xml:space="preserve"> 2).</w:t>
      </w:r>
    </w:p>
  </w:endnote>
  <w:endnote w:id="777">
    <w:p w14:paraId="7B5FBAC0"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Notes from meeting with representatives of the Plymouth Brethren Christian Church</w:t>
      </w:r>
      <w:r w:rsidRPr="008439BB" w:rsidDel="00DE7B45">
        <w:rPr>
          <w:rFonts w:cs="Arial"/>
          <w:sz w:val="16"/>
          <w:szCs w:val="16"/>
        </w:rPr>
        <w:t xml:space="preserve"> (</w:t>
      </w:r>
      <w:r w:rsidRPr="008439BB">
        <w:rPr>
          <w:rFonts w:cs="Arial"/>
          <w:sz w:val="16"/>
          <w:szCs w:val="16"/>
        </w:rPr>
        <w:t>29 November 2022, page 6).</w:t>
      </w:r>
    </w:p>
  </w:endnote>
  <w:endnote w:id="778">
    <w:p w14:paraId="228C46F2"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sidDel="00B06D4E">
        <w:rPr>
          <w:rFonts w:cs="Arial"/>
          <w:sz w:val="16"/>
          <w:szCs w:val="16"/>
        </w:rPr>
        <w:t xml:space="preserve"> </w:t>
      </w:r>
      <w:r w:rsidRPr="008439BB">
        <w:rPr>
          <w:rFonts w:cs="Arial"/>
          <w:sz w:val="16"/>
          <w:szCs w:val="16"/>
        </w:rPr>
        <w:t xml:space="preserve">Plymouth Brethren Christian Church, Response to </w:t>
      </w:r>
      <w:r w:rsidRPr="008439BB">
        <w:rPr>
          <w:rStyle w:val="normaltextrun"/>
          <w:rFonts w:cs="Arial"/>
          <w:sz w:val="16"/>
          <w:szCs w:val="16"/>
          <w:bdr w:val="none" w:sz="0" w:space="0" w:color="auto" w:frame="1"/>
        </w:rPr>
        <w:t xml:space="preserve">Royal Commission of Inquiry into Abuse in Care </w:t>
      </w:r>
      <w:r w:rsidRPr="008439BB">
        <w:rPr>
          <w:rFonts w:cs="Arial"/>
          <w:sz w:val="16"/>
          <w:szCs w:val="16"/>
        </w:rPr>
        <w:t>Notice to Produce 1 (23 April 2021), Appendix 1: Overview of the Plymouth Brethren Christian Church, paras 7–8.</w:t>
      </w:r>
    </w:p>
  </w:endnote>
  <w:endnote w:id="779">
    <w:p w14:paraId="7A8A7AAB"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 xml:space="preserve">Response to Royal Commission of Inquiry into Abuse in Care Notice to Produce 1 (23 April 2021, </w:t>
      </w:r>
      <w:r w:rsidRPr="008439BB">
        <w:rPr>
          <w:rFonts w:cs="Arial"/>
          <w:sz w:val="16"/>
          <w:szCs w:val="16"/>
        </w:rPr>
        <w:t xml:space="preserve">page </w:t>
      </w:r>
      <w:r w:rsidRPr="008439BB">
        <w:rPr>
          <w:rFonts w:eastAsia="Calibri" w:cs="Arial"/>
          <w:sz w:val="16"/>
          <w:szCs w:val="16"/>
        </w:rPr>
        <w:t>2).</w:t>
      </w:r>
    </w:p>
  </w:endnote>
  <w:endnote w:id="780">
    <w:p w14:paraId="2D90DA46"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 xml:space="preserve">Response to Royal Commission of Inquiry into Abuse in Care Notice to Produce 1 (23 April 2021, </w:t>
      </w:r>
      <w:r w:rsidRPr="008439BB">
        <w:rPr>
          <w:rFonts w:cs="Arial"/>
          <w:sz w:val="16"/>
          <w:szCs w:val="16"/>
        </w:rPr>
        <w:t xml:space="preserve">page </w:t>
      </w:r>
      <w:r w:rsidRPr="008439BB">
        <w:rPr>
          <w:rFonts w:eastAsia="Calibri" w:cs="Arial"/>
          <w:sz w:val="16"/>
          <w:szCs w:val="16"/>
        </w:rPr>
        <w:t>2).</w:t>
      </w:r>
    </w:p>
  </w:endnote>
  <w:endnote w:id="781">
    <w:p w14:paraId="2912757D"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Plymouth Brethren Christian Church, </w:t>
      </w:r>
      <w:r w:rsidRPr="008439BB">
        <w:rPr>
          <w:rStyle w:val="normaltextrun"/>
          <w:rFonts w:cs="Arial"/>
          <w:sz w:val="16"/>
          <w:szCs w:val="16"/>
          <w:bdr w:val="none" w:sz="0" w:space="0" w:color="auto" w:frame="1"/>
        </w:rPr>
        <w:t>Response to Royal Commission of Inquiry into Abuse in Care Notice to Produce 1</w:t>
      </w:r>
      <w:r w:rsidRPr="008439BB">
        <w:rPr>
          <w:rFonts w:cs="Arial"/>
          <w:sz w:val="16"/>
          <w:szCs w:val="16"/>
        </w:rPr>
        <w:t xml:space="preserve"> (23 April 2021, page 2).</w:t>
      </w:r>
    </w:p>
  </w:endnote>
  <w:endnote w:id="782">
    <w:p w14:paraId="238B9942" w14:textId="77777777" w:rsidR="00FE4E56" w:rsidRPr="008439BB" w:rsidRDefault="00FE4E56" w:rsidP="00D21348">
      <w:pPr>
        <w:rPr>
          <w:rFonts w:ascii="Arial" w:eastAsia="Calibri" w:hAnsi="Arial" w:cs="Arial"/>
          <w:sz w:val="16"/>
          <w:szCs w:val="16"/>
          <w:u w:val="single"/>
        </w:rPr>
      </w:pPr>
      <w:r w:rsidRPr="008439BB">
        <w:rPr>
          <w:rStyle w:val="EndnoteReference"/>
          <w:rFonts w:ascii="Arial" w:hAnsi="Arial"/>
          <w:sz w:val="16"/>
          <w:szCs w:val="16"/>
        </w:rPr>
        <w:endnoteRef/>
      </w:r>
      <w:r w:rsidRPr="008439BB">
        <w:rPr>
          <w:rFonts w:ascii="Arial" w:hAnsi="Arial" w:cs="Arial"/>
          <w:sz w:val="16"/>
          <w:szCs w:val="16"/>
        </w:rPr>
        <w:t xml:space="preserve"> </w:t>
      </w:r>
      <w:r w:rsidRPr="008439BB">
        <w:rPr>
          <w:rFonts w:ascii="Arial" w:eastAsia="Calibri" w:hAnsi="Arial" w:cs="Arial"/>
          <w:sz w:val="16"/>
          <w:szCs w:val="16"/>
        </w:rPr>
        <w:t xml:space="preserve"> JW.Org &gt; About Us &gt; Frequently Asked Questions &gt; How Many of Jehovah’s Witnesses Are There Worldwide (Jehovah’s Witnesses, 2023) </w:t>
      </w:r>
      <w:hyperlink r:id="rId117" w:history="1">
        <w:r w:rsidRPr="008439BB">
          <w:rPr>
            <w:rStyle w:val="Hyperlink"/>
            <w:rFonts w:ascii="Arial" w:eastAsia="Calibri" w:hAnsi="Arial" w:cs="Arial"/>
            <w:color w:val="auto"/>
            <w:sz w:val="16"/>
            <w:szCs w:val="16"/>
          </w:rPr>
          <w:t>https://www.jw.org/en/jehovahs-witnesses/faq/how-many-jw/.</w:t>
        </w:r>
      </w:hyperlink>
    </w:p>
  </w:endnote>
  <w:endnote w:id="783">
    <w:p w14:paraId="44320FE1"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“Seventy-Five years of ‘legally establishing’ the Good News in New Zealand,” Jehovah’s Witnesses (7 March 2022) </w:t>
      </w:r>
      <w:hyperlink r:id="rId118" w:history="1">
        <w:r w:rsidRPr="008439BB">
          <w:rPr>
            <w:rStyle w:val="Hyperlink"/>
            <w:rFonts w:cs="Arial"/>
            <w:color w:val="auto"/>
            <w:sz w:val="16"/>
            <w:szCs w:val="16"/>
          </w:rPr>
          <w:t>https://www.jw.org/en/news/region/new-zealand/Seventy-Five-Years-of-Legally-Establishing-the-Good-News-in-New-Zealand/</w:t>
        </w:r>
      </w:hyperlink>
      <w:r w:rsidRPr="008439BB">
        <w:rPr>
          <w:rStyle w:val="Hyperlink"/>
          <w:rFonts w:cs="Arial"/>
          <w:color w:val="auto"/>
          <w:sz w:val="16"/>
          <w:szCs w:val="16"/>
        </w:rPr>
        <w:t>.</w:t>
      </w:r>
      <w:r w:rsidRPr="008439BB">
        <w:rPr>
          <w:rFonts w:cs="Arial"/>
          <w:sz w:val="16"/>
          <w:szCs w:val="16"/>
        </w:rPr>
        <w:t xml:space="preserve"> </w:t>
      </w:r>
    </w:p>
  </w:endnote>
  <w:endnote w:id="784">
    <w:p w14:paraId="083227B2" w14:textId="2AC2F340" w:rsidR="00FE4E56" w:rsidRPr="008439BB" w:rsidRDefault="00FE4E56" w:rsidP="00A061A7">
      <w:pPr>
        <w:pStyle w:val="EndnoteText"/>
        <w:rPr>
          <w:rFonts w:cs="Arial"/>
          <w:sz w:val="16"/>
          <w:szCs w:val="16"/>
        </w:rPr>
      </w:pPr>
      <w:r w:rsidRPr="008439BB">
        <w:rPr>
          <w:rStyle w:val="EndnoteReference"/>
          <w:sz w:val="16"/>
          <w:szCs w:val="16"/>
        </w:rPr>
        <w:endnoteRef/>
      </w:r>
      <w:r w:rsidRPr="008439BB">
        <w:rPr>
          <w:rFonts w:cs="Arial"/>
          <w:sz w:val="16"/>
          <w:szCs w:val="16"/>
        </w:rPr>
        <w:t xml:space="preserve"> Charities Services Ngā Ratonga Kaupapa Atawhai (Charities Register), </w:t>
      </w:r>
      <w:hyperlink r:id="rId119" w:history="1">
        <w:r w:rsidRPr="008439BB">
          <w:rPr>
            <w:rStyle w:val="Hyperlink"/>
            <w:rFonts w:cs="Arial"/>
            <w:color w:val="auto"/>
            <w:sz w:val="16"/>
            <w:szCs w:val="16"/>
          </w:rPr>
          <w:t>https://register.charities.govt.nz/CharitiesRegister/Search accessed 24 April 2024</w:t>
        </w:r>
      </w:hyperlink>
      <w:r w:rsidRPr="008439BB">
        <w:rPr>
          <w:rFonts w:cs="Arial"/>
          <w:sz w:val="16"/>
          <w:szCs w:val="16"/>
        </w:rPr>
        <w:t xml:space="preserve">. </w:t>
      </w:r>
    </w:p>
  </w:endnote>
  <w:endnote w:id="785">
    <w:p w14:paraId="07298C91" w14:textId="10B7E719" w:rsidR="00FE4E56" w:rsidRPr="008439BB" w:rsidRDefault="00FE4E56" w:rsidP="00A061A7">
      <w:pPr>
        <w:pStyle w:val="EndnoteText"/>
        <w:rPr>
          <w:rFonts w:cs="Arial"/>
          <w:sz w:val="16"/>
          <w:szCs w:val="16"/>
        </w:rPr>
      </w:pPr>
      <w:r w:rsidRPr="008439BB">
        <w:rPr>
          <w:rStyle w:val="EndnoteReference"/>
          <w:sz w:val="16"/>
          <w:szCs w:val="16"/>
        </w:rPr>
        <w:endnoteRef/>
      </w:r>
      <w:r w:rsidRPr="008439BB">
        <w:rPr>
          <w:rFonts w:cs="Arial"/>
          <w:sz w:val="16"/>
          <w:szCs w:val="16"/>
        </w:rPr>
        <w:t xml:space="preserve"> Charities Services Ngā Ratonga Kaupapa Atawhai, Charity Summary of the New Zealand Association of Jehovah’s Witnesses </w:t>
      </w:r>
      <w:hyperlink r:id="rId120" w:history="1">
        <w:r w:rsidRPr="008439BB">
          <w:rPr>
            <w:rStyle w:val="Hyperlink"/>
            <w:rFonts w:cs="Arial"/>
            <w:color w:val="auto"/>
            <w:sz w:val="16"/>
            <w:szCs w:val="16"/>
          </w:rPr>
          <w:t>https://register.charities.govt.nz/Charity/CC29352</w:t>
        </w:r>
      </w:hyperlink>
      <w:r w:rsidRPr="008439BB">
        <w:rPr>
          <w:rFonts w:cs="Arial"/>
          <w:sz w:val="16"/>
          <w:szCs w:val="16"/>
        </w:rPr>
        <w:t>, noting there is a set of rules included in the charity documents.</w:t>
      </w:r>
    </w:p>
  </w:endnote>
  <w:endnote w:id="786">
    <w:p w14:paraId="24725364" w14:textId="7A295457" w:rsidR="00FE4E56" w:rsidRPr="008439BB" w:rsidRDefault="00FE4E56" w:rsidP="009B38BA">
      <w:pPr>
        <w:pStyle w:val="EndnoteText"/>
        <w:rPr>
          <w:rFonts w:cs="Arial"/>
          <w:sz w:val="16"/>
          <w:szCs w:val="16"/>
        </w:rPr>
      </w:pPr>
      <w:r w:rsidRPr="008439BB">
        <w:rPr>
          <w:rStyle w:val="EndnoteReference"/>
          <w:sz w:val="16"/>
          <w:szCs w:val="16"/>
        </w:rPr>
        <w:endnoteRef/>
      </w:r>
      <w:r w:rsidRPr="008439BB">
        <w:rPr>
          <w:rFonts w:cs="Arial"/>
          <w:sz w:val="16"/>
          <w:szCs w:val="16"/>
        </w:rPr>
        <w:t xml:space="preserve"> Australian Child Sexual Abuse Royal Commission into Institutional responses to Child Sexual Abuse, Report of Case study no 29, (Commonwealth of Australia, October 2016), p 15. </w:t>
      </w:r>
    </w:p>
  </w:endnote>
  <w:endnote w:id="787">
    <w:p w14:paraId="50F5E2B7" w14:textId="77777777" w:rsidR="00FE4E56" w:rsidRPr="008439BB" w:rsidRDefault="00FE4E56" w:rsidP="009B38BA">
      <w:pPr>
        <w:pStyle w:val="EndnoteText"/>
        <w:rPr>
          <w:rFonts w:cs="Arial"/>
          <w:sz w:val="16"/>
          <w:szCs w:val="16"/>
        </w:rPr>
      </w:pPr>
      <w:r w:rsidRPr="008439BB">
        <w:rPr>
          <w:rStyle w:val="EndnoteReference"/>
          <w:sz w:val="16"/>
          <w:szCs w:val="16"/>
        </w:rPr>
        <w:endnoteRef/>
      </w:r>
      <w:r w:rsidRPr="008439BB">
        <w:rPr>
          <w:rFonts w:cs="Arial"/>
          <w:sz w:val="16"/>
          <w:szCs w:val="16"/>
        </w:rPr>
        <w:t xml:space="preserve"> </w:t>
      </w:r>
      <w:r w:rsidRPr="008439BB">
        <w:rPr>
          <w:rFonts w:cs="Arial"/>
          <w:sz w:val="16"/>
          <w:szCs w:val="16"/>
          <w:shd w:val="clear" w:color="auto" w:fill="FFFFFF"/>
        </w:rPr>
        <w:t>JW.org, “Do Jehovah’s Witnesses Have Women Ministers?” (“Yes, worldwide Jehovah’s Witnesses have several million women ministers. They are a great host of preachers of the good news of God’s Kingdom. Psalm 68:11 says prophetically of those ministers: “Jehovah himself gives the saying; the women telling the good news are a large army”).</w:t>
      </w:r>
    </w:p>
  </w:endnote>
  <w:endnote w:id="788">
    <w:p w14:paraId="0D1AE444" w14:textId="1E957888" w:rsidR="00FE4E56" w:rsidRPr="008439BB" w:rsidRDefault="00FE4E56" w:rsidP="00340905">
      <w:pPr>
        <w:pStyle w:val="EndnoteText"/>
        <w:rPr>
          <w:rFonts w:cs="Arial"/>
          <w:sz w:val="16"/>
          <w:szCs w:val="16"/>
        </w:rPr>
      </w:pPr>
      <w:r w:rsidRPr="008439BB">
        <w:rPr>
          <w:rStyle w:val="EndnoteReference"/>
          <w:sz w:val="16"/>
          <w:szCs w:val="16"/>
        </w:rPr>
        <w:endnoteRef/>
      </w:r>
      <w:r w:rsidRPr="008439BB">
        <w:rPr>
          <w:rFonts w:cs="Arial"/>
          <w:sz w:val="16"/>
          <w:szCs w:val="16"/>
        </w:rPr>
        <w:t xml:space="preserve"> Witness statement of Paul Gillies, The United Kingdom Independent Inquiry into Child Sexual Abuse (2 December 2019, para 9) </w:t>
      </w:r>
    </w:p>
  </w:endnote>
  <w:endnote w:id="789">
    <w:p w14:paraId="5BB3B4E1" w14:textId="673DB4AC" w:rsidR="00FE4E56" w:rsidRPr="008439BB" w:rsidRDefault="00FE4E56" w:rsidP="00340905">
      <w:pPr>
        <w:pStyle w:val="EndnoteText"/>
        <w:rPr>
          <w:rFonts w:cs="Arial"/>
          <w:sz w:val="16"/>
          <w:szCs w:val="16"/>
        </w:rPr>
      </w:pPr>
      <w:r w:rsidRPr="008439BB">
        <w:rPr>
          <w:rStyle w:val="EndnoteReference"/>
          <w:sz w:val="16"/>
          <w:szCs w:val="16"/>
        </w:rPr>
        <w:endnoteRef/>
      </w:r>
      <w:r w:rsidRPr="008439BB">
        <w:rPr>
          <w:rFonts w:cs="Arial"/>
          <w:sz w:val="16"/>
          <w:szCs w:val="16"/>
        </w:rPr>
        <w:t xml:space="preserve"> Witness statement of Paul Gillies, The United Kingdom Independent Inquiry into Child Sexual Abuse (2 December 2019, para 9) </w:t>
      </w:r>
    </w:p>
  </w:endnote>
  <w:endnote w:id="790">
    <w:p w14:paraId="182F1413" w14:textId="45491E53" w:rsidR="00FE4E56" w:rsidRPr="008439BB" w:rsidRDefault="00FE4E56" w:rsidP="00340905">
      <w:pPr>
        <w:pStyle w:val="EndnoteText"/>
        <w:rPr>
          <w:rFonts w:cs="Arial"/>
          <w:sz w:val="16"/>
          <w:szCs w:val="16"/>
        </w:rPr>
      </w:pPr>
      <w:r w:rsidRPr="008439BB">
        <w:rPr>
          <w:rStyle w:val="EndnoteReference"/>
          <w:sz w:val="16"/>
          <w:szCs w:val="16"/>
        </w:rPr>
        <w:endnoteRef/>
      </w:r>
      <w:r w:rsidRPr="008439BB">
        <w:rPr>
          <w:rFonts w:cs="Arial"/>
          <w:sz w:val="16"/>
          <w:szCs w:val="16"/>
        </w:rPr>
        <w:t xml:space="preserve"> Supplementary witness statement of Shayne Mechen, Royal Commission of Inquiry into Abuse in Care (21 June 2023, para 4). These scriptures known as ‘inspired qualifications” can be found at: 1 Timothy 3:1-13; Titus 1:5-9; James 3:17&amp;18 and 1 Peter 5:2 &amp; 3.</w:t>
      </w:r>
    </w:p>
  </w:endnote>
  <w:endnote w:id="791">
    <w:p w14:paraId="6121EBCD" w14:textId="77777777" w:rsidR="00FE4E56" w:rsidRPr="008439BB" w:rsidRDefault="00FE4E56" w:rsidP="00340905">
      <w:pPr>
        <w:pStyle w:val="EndnoteText"/>
        <w:rPr>
          <w:rFonts w:cs="Arial"/>
          <w:sz w:val="16"/>
          <w:szCs w:val="16"/>
        </w:rPr>
      </w:pPr>
      <w:r w:rsidRPr="008439BB">
        <w:rPr>
          <w:rStyle w:val="EndnoteReference"/>
          <w:sz w:val="16"/>
          <w:szCs w:val="16"/>
        </w:rPr>
        <w:endnoteRef/>
      </w:r>
      <w:r w:rsidRPr="008439BB">
        <w:rPr>
          <w:rFonts w:cs="Arial"/>
          <w:sz w:val="16"/>
          <w:szCs w:val="16"/>
        </w:rPr>
        <w:t xml:space="preserve"> Memorandum to Counsel Assisting the Royal Commission of Inquiry into Historical Abuse in State Care and in the </w:t>
      </w:r>
    </w:p>
    <w:p w14:paraId="6D5FFB93" w14:textId="77777777" w:rsidR="00FE4E56" w:rsidRPr="008439BB" w:rsidRDefault="00FE4E56" w:rsidP="00340905">
      <w:pPr>
        <w:pStyle w:val="EndnoteText"/>
        <w:rPr>
          <w:rFonts w:cs="Arial"/>
          <w:sz w:val="16"/>
          <w:szCs w:val="16"/>
        </w:rPr>
      </w:pPr>
      <w:r w:rsidRPr="008439BB">
        <w:rPr>
          <w:rFonts w:cs="Arial"/>
          <w:sz w:val="16"/>
          <w:szCs w:val="16"/>
        </w:rPr>
        <w:t xml:space="preserve">Care of Faith-based Institutions (“Inquiry”) on behalf of Jehovah’s Witnesses of New Zealand (1 November </w:t>
      </w:r>
    </w:p>
    <w:p w14:paraId="16432A05" w14:textId="211D28F3" w:rsidR="00FE4E56" w:rsidRPr="008439BB" w:rsidRDefault="00FE4E56" w:rsidP="00340905">
      <w:pPr>
        <w:pStyle w:val="EndnoteText"/>
        <w:rPr>
          <w:rFonts w:cs="Arial"/>
          <w:sz w:val="16"/>
          <w:szCs w:val="16"/>
        </w:rPr>
      </w:pPr>
      <w:r w:rsidRPr="008439BB">
        <w:rPr>
          <w:rFonts w:cs="Arial"/>
          <w:sz w:val="16"/>
          <w:szCs w:val="16"/>
        </w:rPr>
        <w:t>2019, para 3.5).</w:t>
      </w:r>
    </w:p>
  </w:endnote>
  <w:endnote w:id="792">
    <w:p w14:paraId="29AFBFC9" w14:textId="76B8C119" w:rsidR="00FE4E56" w:rsidRPr="008439BB" w:rsidRDefault="00FE4E56" w:rsidP="00340905">
      <w:pPr>
        <w:pStyle w:val="EndnoteText"/>
        <w:rPr>
          <w:rFonts w:cs="Arial"/>
          <w:sz w:val="16"/>
          <w:szCs w:val="16"/>
        </w:rPr>
      </w:pPr>
      <w:r w:rsidRPr="008439BB">
        <w:rPr>
          <w:rStyle w:val="EndnoteReference"/>
          <w:sz w:val="16"/>
          <w:szCs w:val="16"/>
        </w:rPr>
        <w:endnoteRef/>
      </w:r>
      <w:r w:rsidRPr="008439BB">
        <w:rPr>
          <w:rFonts w:cs="Arial"/>
          <w:sz w:val="16"/>
          <w:szCs w:val="16"/>
        </w:rPr>
        <w:t xml:space="preserve"> Jehovah’s Witnesses interview transcript with the Royal Commission of Inquiry into Abuse in Care (8 March 2023, pages 20-21).</w:t>
      </w:r>
    </w:p>
  </w:endnote>
  <w:endnote w:id="793">
    <w:p w14:paraId="081A539B"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Evans, J, “Government support of the church in the modern era,” Journal of Law and Religion, 13(2), (1998, pages 517–530, page 519). </w:t>
      </w:r>
    </w:p>
  </w:endnote>
  <w:endnote w:id="794">
    <w:p w14:paraId="7506051F"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Sonja Cooper and Amanda Hill on behalf of Cooper Legal at the Inquiry’s Contextual Hearing (Royal Commission of Inquiry into Abuse in Care, 5 September 2019, para 38).</w:t>
      </w:r>
    </w:p>
  </w:endnote>
  <w:endnote w:id="795">
    <w:p w14:paraId="02FF7B3A"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Directory of residential facilities for disturbed children in New Zealand (1975, pages 22, 24, 26–27, 29, 31, 34); Oranga Tamariki, Response to Royal Commission of Inquiry into Abuse in Care Notice to Produce 14, Schedule 2 (22 January 2021, pages 2, 12, 21).</w:t>
      </w:r>
    </w:p>
  </w:endnote>
  <w:endnote w:id="796">
    <w:p w14:paraId="1E270CCE"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Directory of residential facilities for disturbed children in New Zealand (1975, pages 21, 23–24, 28, 30, 37–39); Presbyterian Support Southland, Submission settings out a narrative and analysis of the information requested in Schedule A (2024, page 2); Oranga Tamariki, Response to Royal Commission of Inquiry into Abuse in Care Notice to Produce 14, Schedule 2 (22 January 2021, pages 12–13).</w:t>
      </w:r>
    </w:p>
  </w:endnote>
  <w:endnote w:id="797">
    <w:p w14:paraId="5B22FF2C"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Directory of residential facilities for disturbed children in New Zealand (1975, pages 24, 27– 28, 32, 37); Oranga Tamariki, Response to Royal Commission of Inquiry into Abuse in Care Notice to Produce 14, Schedule 2 (22 January 2021, pages 7, 14); Hawke’s Bay children’s holding trust, Our history (accessed 22 March 2024), </w:t>
      </w:r>
      <w:hyperlink r:id="rId121" w:history="1">
        <w:r w:rsidRPr="008439BB">
          <w:rPr>
            <w:rFonts w:cs="Arial"/>
            <w:sz w:val="16"/>
            <w:szCs w:val="16"/>
          </w:rPr>
          <w:t>https://hbcht.org.nz/our-history/</w:t>
        </w:r>
      </w:hyperlink>
      <w:r w:rsidRPr="008439BB">
        <w:rPr>
          <w:rFonts w:cs="Arial"/>
          <w:sz w:val="16"/>
          <w:szCs w:val="16"/>
        </w:rPr>
        <w:t xml:space="preserve">; Cussen, I, Help where help was needed: Single mothers and the Salvation Army Bethany home in 1960s-70s Auckland (Auckland History Initiative, 5 August 2021) </w:t>
      </w:r>
      <w:hyperlink r:id="rId122" w:history="1">
        <w:r w:rsidRPr="008439BB">
          <w:rPr>
            <w:rFonts w:cs="Arial"/>
            <w:sz w:val="16"/>
            <w:szCs w:val="16"/>
          </w:rPr>
          <w:t>https://ahi.auckland.ac.nz/2021/08/05/help-where-help-was-needed-single-mothers-and-the-salvation-army-bethany-home-in-1960s-70s-auckland/</w:t>
        </w:r>
      </w:hyperlink>
      <w:r w:rsidRPr="008439BB">
        <w:rPr>
          <w:rFonts w:cs="Arial"/>
          <w:sz w:val="16"/>
          <w:szCs w:val="16"/>
        </w:rPr>
        <w:t>.</w:t>
      </w:r>
    </w:p>
  </w:endnote>
  <w:endnote w:id="798">
    <w:p w14:paraId="68A41EA3"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Directory of residential facilities for disturbed children in New Zealand (1975, pages 22–23, 31–32, 34–35, 38); Ponter, Elizabeth, Interface: A review of Catholic social services New Zealand (National Directorate, Catholic Social Services 1986, pages 7–8); Oranga Tamariki, Response to Royal Commission of Inquiry into Abuse in Care Notice to Produce 14, Schedule 2 (22 January 2021, pages 5–6, 12, 14–16, 20–23).</w:t>
      </w:r>
    </w:p>
  </w:endnote>
  <w:endnote w:id="799">
    <w:p w14:paraId="7B384361"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Department of Social Welfare, Directory of residential facilities for disturbed children in New Zealand (1975, pages 21, 25, 35)</w:t>
      </w:r>
    </w:p>
  </w:endnote>
  <w:endnote w:id="800">
    <w:p w14:paraId="387DDD3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Charlene Montgomery (</w:t>
      </w:r>
      <w:r w:rsidRPr="008439BB">
        <w:rPr>
          <w:rStyle w:val="normaltextrun"/>
          <w:rFonts w:cs="Arial"/>
          <w:sz w:val="16"/>
          <w:szCs w:val="16"/>
          <w:shd w:val="clear" w:color="auto" w:fill="FFFFFF"/>
        </w:rPr>
        <w:t>May 2022, page 2).</w:t>
      </w:r>
    </w:p>
  </w:endnote>
  <w:endnote w:id="801">
    <w:p w14:paraId="4F9C8648"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Letter from Cooper Legal to the National Office for Professional Standards on behalf of Alexandra Murray (23 May 2018, pages 6–7); Witness statements of Ms NJ (10 February 2022, page 6); Anne Hill (28 September 2020, page 5) and Linda Taylor and Janice Taylor (5 March 2021, paras 123, 128–129). Private session of Mr SI (5 August 2021, page 7). </w:t>
      </w:r>
    </w:p>
  </w:endnote>
  <w:endnote w:id="802">
    <w:p w14:paraId="42D8694C" w14:textId="01102367" w:rsidR="00FE4E56" w:rsidRPr="008439BB" w:rsidRDefault="00FE4E56" w:rsidP="004C3995">
      <w:pPr>
        <w:pStyle w:val="NoSpacing"/>
        <w:spacing w:line="20" w:lineRule="atLeast"/>
        <w:rPr>
          <w:rFonts w:ascii="Arial" w:hAnsi="Arial" w:cs="Arial"/>
          <w:color w:val="auto"/>
          <w:sz w:val="16"/>
          <w:szCs w:val="16"/>
          <w:highlight w:val="green"/>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Written account of K.C. (24 April 2021, page 8).</w:t>
      </w:r>
    </w:p>
  </w:endnote>
  <w:endnote w:id="803">
    <w:p w14:paraId="034C6D1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w:t>
      </w:r>
      <w:r w:rsidRPr="008439BB" w:rsidDel="007F2971">
        <w:rPr>
          <w:rFonts w:cs="Arial"/>
          <w:sz w:val="16"/>
          <w:szCs w:val="16"/>
        </w:rPr>
        <w:t>2019</w:t>
      </w:r>
      <w:r w:rsidRPr="008439BB">
        <w:rPr>
          <w:rFonts w:cs="Arial"/>
          <w:sz w:val="16"/>
          <w:szCs w:val="16"/>
        </w:rPr>
        <w:t>, page 3).</w:t>
      </w:r>
    </w:p>
  </w:endnote>
  <w:endnote w:id="804">
    <w:p w14:paraId="2601D516"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Dr Anne Else (9 October 2019, page 4).</w:t>
      </w:r>
    </w:p>
  </w:endnote>
  <w:endnote w:id="805">
    <w:p w14:paraId="2F587CA5"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Lesley Hooper on behalf of the bishops and congregational leaders of the Catholic Church in Aotearoa New Zealand (16 June 2022, page 6).</w:t>
      </w:r>
    </w:p>
  </w:endnote>
  <w:endnote w:id="806">
    <w:p w14:paraId="70B293A4"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Archdiocese of Wellington, </w:t>
      </w:r>
      <w:r w:rsidRPr="008439BB">
        <w:rPr>
          <w:rStyle w:val="normaltextrun"/>
          <w:rFonts w:cs="Arial"/>
          <w:sz w:val="16"/>
          <w:szCs w:val="16"/>
        </w:rPr>
        <w:t>Social Welfare Work in the Archdiocese (n.d., page 2).</w:t>
      </w:r>
    </w:p>
  </w:endnote>
  <w:endnote w:id="807">
    <w:p w14:paraId="0DD6E248"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Between March 1961 and March 1962 alone, Wellington Catholic Social Services recorded 130 adoptions. See Catholic Social Services Summary of Statistics, March 1961–March 1962 (page 1). </w:t>
      </w:r>
    </w:p>
  </w:endnote>
  <w:endnote w:id="808">
    <w:p w14:paraId="07B3A69F"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Sumner, B, External consultation prepared for the Royal Commission of Inquiry into Abuse in Care (15 August 2022, pages 17–18).</w:t>
      </w:r>
    </w:p>
  </w:endnote>
  <w:endnote w:id="809">
    <w:p w14:paraId="120BD9A9"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Adult Adoption Information Bill submission by Major Eunice Eichler (16 February 1981), in Sumner, B, External consultation prepared for the Royal Commission of Inquiry into Abuse in Care (15 August 2022, pages 19–20).</w:t>
      </w:r>
    </w:p>
  </w:endnote>
  <w:endnote w:id="810">
    <w:p w14:paraId="6BA9EF33"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sidDel="0056589E">
        <w:rPr>
          <w:rFonts w:cs="Arial"/>
          <w:sz w:val="16"/>
          <w:szCs w:val="16"/>
        </w:rPr>
        <w:t xml:space="preserve"> </w:t>
      </w:r>
      <w:r w:rsidRPr="008439BB">
        <w:rPr>
          <w:rFonts w:cs="Arial"/>
          <w:sz w:val="16"/>
          <w:szCs w:val="16"/>
        </w:rPr>
        <w:t>Presbyterian Support Central told the Inquiry about an unsuccessful adoption arrangement where a child was returned to Berhampore Children’s Home after being abused by the man who had adopted him;</w:t>
      </w:r>
      <w:r w:rsidRPr="008439BB" w:rsidDel="00300205">
        <w:rPr>
          <w:rFonts w:cs="Arial"/>
          <w:sz w:val="16"/>
          <w:szCs w:val="16"/>
        </w:rPr>
        <w:t xml:space="preserve"> </w:t>
      </w:r>
      <w:r w:rsidRPr="008439BB">
        <w:rPr>
          <w:rFonts w:cs="Arial"/>
          <w:sz w:val="16"/>
          <w:szCs w:val="16"/>
        </w:rPr>
        <w:t xml:space="preserve">Berhampore Childrens Home – Abuse </w:t>
      </w:r>
      <w:r w:rsidRPr="008439BB">
        <w:rPr>
          <w:rStyle w:val="Hyperlink"/>
          <w:rFonts w:cs="Arial"/>
          <w:color w:val="auto"/>
          <w:sz w:val="16"/>
          <w:szCs w:val="16"/>
          <w:u w:val="none"/>
        </w:rPr>
        <w:t>(2005</w:t>
      </w:r>
      <w:r w:rsidRPr="008439BB">
        <w:rPr>
          <w:rFonts w:cs="Arial"/>
          <w:sz w:val="16"/>
          <w:szCs w:val="16"/>
        </w:rPr>
        <w:t>, pages 7–11).</w:t>
      </w:r>
    </w:p>
  </w:endnote>
  <w:endnote w:id="811">
    <w:p w14:paraId="714A6A51" w14:textId="77777777" w:rsidR="00FE4E56" w:rsidRPr="008439BB" w:rsidRDefault="00FE4E56" w:rsidP="004C3995">
      <w:pPr>
        <w:pStyle w:val="EndnoteText"/>
        <w:spacing w:line="20" w:lineRule="atLeast"/>
        <w:rPr>
          <w:rStyle w:val="Hyperlink"/>
          <w:rFonts w:cs="Arial"/>
          <w:color w:val="auto"/>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Presbyterian Support Upper South Island, Holly House Guidelines re Adoption (December 1997, page 1).</w:t>
      </w:r>
    </w:p>
  </w:endnote>
  <w:endnote w:id="812">
    <w:p w14:paraId="4EDD89C1"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Presbyterian Church of New Zealand, Care of deprived children (n.d., page 2).</w:t>
      </w:r>
    </w:p>
  </w:endnote>
  <w:endnote w:id="813">
    <w:p w14:paraId="23FA9359" w14:textId="6A71ABA5"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Helen Hurst for the Ministry of Education at the Inquiry’s Marylands School (St John of God) Hearing (7 October 2021, paras 3.19</w:t>
      </w:r>
      <w:r w:rsidRPr="008439BB">
        <w:rPr>
          <w:rStyle w:val="normaltextrun"/>
          <w:rFonts w:cs="Arial"/>
          <w:sz w:val="16"/>
          <w:szCs w:val="16"/>
          <w:bdr w:val="none" w:sz="0" w:space="0" w:color="auto" w:frame="1"/>
        </w:rPr>
        <w:t>–</w:t>
      </w:r>
      <w:r w:rsidRPr="008439BB">
        <w:rPr>
          <w:rFonts w:cs="Arial"/>
          <w:sz w:val="16"/>
          <w:szCs w:val="16"/>
        </w:rPr>
        <w:t>3.20); Ministry of Education website, Types of schools and year levels, (last reviewed</w:t>
      </w:r>
      <w:r w:rsidRPr="008439BB" w:rsidDel="002D7946">
        <w:rPr>
          <w:rFonts w:cs="Arial"/>
          <w:sz w:val="16"/>
          <w:szCs w:val="16"/>
        </w:rPr>
        <w:t xml:space="preserve"> </w:t>
      </w:r>
      <w:r w:rsidRPr="008439BB">
        <w:rPr>
          <w:rFonts w:cs="Arial"/>
          <w:sz w:val="16"/>
          <w:szCs w:val="16"/>
        </w:rPr>
        <w:t xml:space="preserve">28 April 2022), </w:t>
      </w:r>
      <w:hyperlink r:id="rId123" w:history="1">
        <w:r w:rsidRPr="008439BB">
          <w:rPr>
            <w:rStyle w:val="Hyperlink"/>
            <w:rFonts w:cs="Arial"/>
            <w:color w:val="auto"/>
            <w:sz w:val="16"/>
            <w:szCs w:val="16"/>
          </w:rPr>
          <w:t>https://www.education.govt.nz/school/new-zealands-network-of-schools/about/types-of-schools-and-year-levels/.</w:t>
        </w:r>
      </w:hyperlink>
      <w:r w:rsidRPr="008439BB">
        <w:rPr>
          <w:rFonts w:cs="Arial"/>
          <w:sz w:val="16"/>
          <w:szCs w:val="16"/>
        </w:rPr>
        <w:t xml:space="preserve"> </w:t>
      </w:r>
    </w:p>
  </w:endnote>
  <w:endnote w:id="814">
    <w:p w14:paraId="5EF375D4"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Ministry of Education, Response to </w:t>
      </w:r>
      <w:r w:rsidRPr="008439BB">
        <w:rPr>
          <w:rStyle w:val="normaltextrun"/>
          <w:rFonts w:cs="Arial"/>
          <w:sz w:val="16"/>
          <w:szCs w:val="16"/>
          <w:bdr w:val="none" w:sz="0" w:space="0" w:color="auto" w:frame="1"/>
        </w:rPr>
        <w:t>Royal Commission of Inquiry into Abuse in Care</w:t>
      </w:r>
      <w:r w:rsidRPr="008439BB">
        <w:rPr>
          <w:rFonts w:cs="Arial"/>
          <w:sz w:val="16"/>
          <w:szCs w:val="16"/>
        </w:rPr>
        <w:t xml:space="preserve"> Notice to Produce 468 (7 July 2022), page 6.</w:t>
      </w:r>
    </w:p>
  </w:endnote>
  <w:endnote w:id="815">
    <w:p w14:paraId="3CFC1E35" w14:textId="25D2C4B1"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Helen Hurst for the Ministry of Education at the Inquiry’s Marylands School (St John of God) Hearing (7 October 2021, para 3.19).</w:t>
      </w:r>
    </w:p>
  </w:endnote>
  <w:endnote w:id="816">
    <w:p w14:paraId="2F1FA914" w14:textId="77777777" w:rsidR="00FE4E56" w:rsidRPr="008439BB" w:rsidRDefault="00FE4E56" w:rsidP="004C3995">
      <w:pPr>
        <w:pStyle w:val="footnotes"/>
        <w:rPr>
          <w:rFonts w:ascii="Arial" w:hAnsi="Arial" w:cs="Arial"/>
          <w:color w:val="auto"/>
          <w:sz w:val="16"/>
          <w:szCs w:val="16"/>
          <w:lang w:val="mi-NZ"/>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Education Review Office, Evaluation of the residential behaviour schools (2008, page 11). </w:t>
      </w:r>
    </w:p>
  </w:endnote>
  <w:endnote w:id="817">
    <w:p w14:paraId="6CA6253A"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eastAsia="Calibri" w:hAnsi="Arial" w:cs="Arial"/>
          <w:color w:val="auto"/>
          <w:sz w:val="16"/>
          <w:szCs w:val="16"/>
        </w:rPr>
        <w:t xml:space="preserve"> Cook, M, Private education:</w:t>
      </w:r>
      <w:r w:rsidRPr="008439BB" w:rsidDel="00140B1B">
        <w:rPr>
          <w:rFonts w:ascii="Arial" w:eastAsia="Calibri" w:hAnsi="Arial" w:cs="Arial"/>
          <w:color w:val="auto"/>
          <w:sz w:val="16"/>
          <w:szCs w:val="16"/>
        </w:rPr>
        <w:t xml:space="preserve"> </w:t>
      </w:r>
      <w:r w:rsidRPr="008439BB">
        <w:rPr>
          <w:rFonts w:ascii="Arial" w:eastAsia="Calibri" w:hAnsi="Arial" w:cs="Arial"/>
          <w:color w:val="auto"/>
          <w:sz w:val="16"/>
          <w:szCs w:val="16"/>
        </w:rPr>
        <w:t xml:space="preserve">Elite private schools (Te Ara – The </w:t>
      </w:r>
      <w:r w:rsidRPr="008439BB" w:rsidDel="00207C05">
        <w:rPr>
          <w:rFonts w:ascii="Arial" w:eastAsia="Calibri" w:hAnsi="Arial" w:cs="Arial"/>
          <w:color w:val="auto"/>
          <w:sz w:val="16"/>
          <w:szCs w:val="16"/>
        </w:rPr>
        <w:t>Encyclopedia</w:t>
      </w:r>
      <w:r w:rsidRPr="008439BB">
        <w:rPr>
          <w:rFonts w:ascii="Arial" w:eastAsia="Calibri" w:hAnsi="Arial" w:cs="Arial"/>
          <w:color w:val="auto"/>
          <w:sz w:val="16"/>
          <w:szCs w:val="16"/>
        </w:rPr>
        <w:t xml:space="preserve"> of New Zealand, 2012, page 3), </w:t>
      </w:r>
      <w:hyperlink r:id="rId124" w:history="1">
        <w:r w:rsidRPr="008439BB">
          <w:rPr>
            <w:rStyle w:val="Hyperlink"/>
            <w:rFonts w:ascii="Arial" w:eastAsia="Calibri" w:hAnsi="Arial" w:cs="Arial"/>
            <w:color w:val="auto"/>
            <w:sz w:val="16"/>
            <w:szCs w:val="16"/>
          </w:rPr>
          <w:t>https://teara.govt.nz/en/private-education/page-3</w:t>
        </w:r>
      </w:hyperlink>
      <w:r w:rsidRPr="008439BB">
        <w:rPr>
          <w:rFonts w:ascii="Arial" w:eastAsia="Calibri" w:hAnsi="Arial" w:cs="Arial"/>
          <w:color w:val="auto"/>
          <w:sz w:val="16"/>
          <w:szCs w:val="16"/>
        </w:rPr>
        <w:t xml:space="preserve">. </w:t>
      </w:r>
    </w:p>
  </w:endnote>
  <w:endnote w:id="818">
    <w:p w14:paraId="3CEF0E6B"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w:t>
      </w:r>
      <w:r w:rsidRPr="008439BB">
        <w:rPr>
          <w:rStyle w:val="normaltextrun"/>
          <w:rFonts w:ascii="Arial" w:hAnsi="Arial" w:cs="Arial"/>
          <w:color w:val="auto"/>
          <w:sz w:val="16"/>
          <w:szCs w:val="16"/>
        </w:rPr>
        <w:t>T</w:t>
      </w:r>
      <w:r w:rsidRPr="008439BB">
        <w:rPr>
          <w:rFonts w:ascii="Arial" w:eastAsia="Arial" w:hAnsi="Arial" w:cs="Arial"/>
          <w:color w:val="auto"/>
          <w:sz w:val="16"/>
          <w:szCs w:val="16"/>
        </w:rPr>
        <w:t>ennant, M, The fabric of welfare: Voluntary organisations, government and welfare in New Zealand, 1840–2005 (Bridget Williams Books, 2007</w:t>
      </w:r>
      <w:r w:rsidRPr="008439BB">
        <w:rPr>
          <w:rStyle w:val="normaltextrun"/>
          <w:rFonts w:ascii="Arial" w:hAnsi="Arial" w:cs="Arial"/>
          <w:color w:val="auto"/>
          <w:sz w:val="16"/>
          <w:szCs w:val="16"/>
        </w:rPr>
        <w:t xml:space="preserve">, </w:t>
      </w:r>
      <w:r w:rsidRPr="008439BB">
        <w:rPr>
          <w:rFonts w:ascii="Arial" w:hAnsi="Arial" w:cs="Arial"/>
          <w:color w:val="auto"/>
          <w:sz w:val="16"/>
          <w:szCs w:val="16"/>
        </w:rPr>
        <w:t>page</w:t>
      </w:r>
      <w:r w:rsidRPr="008439BB">
        <w:rPr>
          <w:rStyle w:val="normaltextrun"/>
          <w:rFonts w:ascii="Arial" w:hAnsi="Arial" w:cs="Arial"/>
          <w:color w:val="auto"/>
          <w:sz w:val="16"/>
          <w:szCs w:val="16"/>
        </w:rPr>
        <w:t xml:space="preserve"> 107).</w:t>
      </w:r>
    </w:p>
  </w:endnote>
  <w:endnote w:id="819">
    <w:p w14:paraId="3A08EB86"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Witness statement of Reverend Tara Tautari on behalf of the Methodist Church of New Zealand (1 July 2022, page 7).</w:t>
      </w:r>
    </w:p>
  </w:endnote>
  <w:endnote w:id="820">
    <w:p w14:paraId="0340468E"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Presbyterian Church, Response to </w:t>
      </w:r>
      <w:r w:rsidRPr="008439BB">
        <w:rPr>
          <w:rStyle w:val="normaltextrun"/>
          <w:rFonts w:cs="Arial"/>
          <w:sz w:val="16"/>
          <w:szCs w:val="16"/>
          <w:bdr w:val="none" w:sz="0" w:space="0" w:color="auto" w:frame="1"/>
        </w:rPr>
        <w:t xml:space="preserve">Royal Commission of Inquiry into Abuse in Care </w:t>
      </w:r>
      <w:r w:rsidRPr="008439BB">
        <w:rPr>
          <w:rFonts w:cs="Arial"/>
          <w:sz w:val="16"/>
          <w:szCs w:val="16"/>
        </w:rPr>
        <w:t>Notice to Produce 286 (30 November 2021, pages 2–3).</w:t>
      </w:r>
    </w:p>
  </w:endnote>
  <w:endnote w:id="821">
    <w:p w14:paraId="53DF6504"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The</w:t>
      </w:r>
      <w:r w:rsidRPr="008439BB" w:rsidDel="001141D1">
        <w:rPr>
          <w:rFonts w:cs="Arial"/>
          <w:sz w:val="16"/>
          <w:szCs w:val="16"/>
        </w:rPr>
        <w:t xml:space="preserve"> </w:t>
      </w:r>
      <w:r w:rsidRPr="008439BB">
        <w:rPr>
          <w:rFonts w:cs="Arial"/>
          <w:sz w:val="16"/>
          <w:szCs w:val="16"/>
        </w:rPr>
        <w:t>10 Māori denominational boarding schools in 1910 were as follows. For boys: Te Aute College (Hawke’s Bay), St Stephen’s Boys’ School (Auckland), Waerenga-a-hika College (near Gisborne), Hikurangi College (Wairarapa). For girls: Hukarere Protestant Girls’ School (Napier) St Joseph’s Roman Catholic Girls’ School (Napier), Queen Victoria School for Māori Girls (Auckland), Turakina Māori Girls’ School (Marton) and Te Waipounamu College (near Christchurch),</w:t>
      </w:r>
      <w:r w:rsidRPr="008439BB" w:rsidDel="00C70A25">
        <w:rPr>
          <w:rFonts w:cs="Arial"/>
          <w:sz w:val="16"/>
          <w:szCs w:val="16"/>
        </w:rPr>
        <w:t xml:space="preserve"> </w:t>
      </w:r>
      <w:r w:rsidRPr="008439BB">
        <w:rPr>
          <w:rFonts w:cs="Arial"/>
          <w:sz w:val="16"/>
          <w:szCs w:val="16"/>
        </w:rPr>
        <w:t>Department of Education, “Education: Native Schools,” AJHR, E-3 (1911, page 10).</w:t>
      </w:r>
    </w:p>
  </w:endnote>
  <w:endnote w:id="822">
    <w:p w14:paraId="3C332379" w14:textId="77777777" w:rsidR="00FE4E56" w:rsidRPr="008439BB" w:rsidRDefault="00FE4E56" w:rsidP="004C3995">
      <w:pPr>
        <w:pStyle w:val="EndnoteText"/>
        <w:spacing w:line="20" w:lineRule="atLeast"/>
        <w:rPr>
          <w:rFonts w:cs="Arial"/>
          <w:sz w:val="16"/>
          <w:szCs w:val="16"/>
          <w:lang w:val="mi-NZ"/>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cs="Arial"/>
          <w:sz w:val="16"/>
          <w:szCs w:val="16"/>
          <w:lang w:val="mi-NZ"/>
        </w:rPr>
        <w:t>Calman, R, Māori education – mātauranga:</w:t>
      </w:r>
      <w:r w:rsidRPr="008439BB" w:rsidDel="00654C78">
        <w:rPr>
          <w:rFonts w:cs="Arial"/>
          <w:sz w:val="16"/>
          <w:szCs w:val="16"/>
          <w:lang w:val="mi-NZ"/>
        </w:rPr>
        <w:t xml:space="preserve"> </w:t>
      </w:r>
      <w:r w:rsidRPr="008439BB">
        <w:rPr>
          <w:rFonts w:cs="Arial"/>
          <w:sz w:val="16"/>
          <w:szCs w:val="16"/>
          <w:lang w:val="mi-NZ"/>
        </w:rPr>
        <w:t>Māori church boarding schools</w:t>
      </w:r>
      <w:r w:rsidRPr="008439BB" w:rsidDel="00654C78">
        <w:rPr>
          <w:rFonts w:cs="Arial"/>
          <w:sz w:val="16"/>
          <w:szCs w:val="16"/>
          <w:lang w:val="mi-NZ"/>
        </w:rPr>
        <w:t xml:space="preserve"> </w:t>
      </w:r>
      <w:r w:rsidRPr="008439BB">
        <w:rPr>
          <w:rFonts w:cs="Arial"/>
          <w:sz w:val="16"/>
          <w:szCs w:val="16"/>
          <w:lang w:val="mi-NZ"/>
        </w:rPr>
        <w:t xml:space="preserve">(Te Ara – The </w:t>
      </w:r>
      <w:r w:rsidRPr="008439BB" w:rsidDel="00207C05">
        <w:rPr>
          <w:rFonts w:cs="Arial"/>
          <w:sz w:val="16"/>
          <w:szCs w:val="16"/>
          <w:lang w:val="mi-NZ"/>
        </w:rPr>
        <w:t>Encyclopedia</w:t>
      </w:r>
      <w:r w:rsidRPr="008439BB">
        <w:rPr>
          <w:rFonts w:cs="Arial"/>
          <w:sz w:val="16"/>
          <w:szCs w:val="16"/>
          <w:lang w:val="mi-NZ"/>
        </w:rPr>
        <w:t xml:space="preserve"> of New Zealand, 2012, page 4), </w:t>
      </w:r>
      <w:hyperlink r:id="rId125" w:history="1">
        <w:r w:rsidRPr="008439BB">
          <w:rPr>
            <w:rStyle w:val="Hyperlink"/>
            <w:rFonts w:cs="Arial"/>
            <w:color w:val="auto"/>
            <w:sz w:val="16"/>
            <w:szCs w:val="16"/>
            <w:lang w:val="mi-NZ"/>
          </w:rPr>
          <w:t>https://teara.govt.nz/en/maori-education-matauranga/page-4</w:t>
        </w:r>
      </w:hyperlink>
      <w:r w:rsidRPr="008439BB">
        <w:rPr>
          <w:rFonts w:cs="Arial"/>
          <w:sz w:val="16"/>
          <w:szCs w:val="16"/>
          <w:lang w:val="mi-NZ"/>
        </w:rPr>
        <w:t>.</w:t>
      </w:r>
    </w:p>
  </w:endnote>
  <w:endnote w:id="823">
    <w:p w14:paraId="10E49B59" w14:textId="77777777"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sidDel="008C4C25">
        <w:rPr>
          <w:rFonts w:cs="Arial"/>
          <w:sz w:val="16"/>
          <w:szCs w:val="16"/>
        </w:rPr>
        <w:t xml:space="preserve"> </w:t>
      </w:r>
      <w:r w:rsidRPr="008439BB">
        <w:rPr>
          <w:rFonts w:cs="Arial"/>
          <w:sz w:val="16"/>
          <w:szCs w:val="16"/>
        </w:rPr>
        <w:t>They were Te Aute College (Hawke’s Bay), St Stephen’s School (Auckland), Queen Victoria Māori Girls’ Boarding School (Auckland), St Joseph’s Māori Girls’ College (Napier), Hato Pāora College (Feilding), Hato Pētera College (Auckland), Hukarere Girls’ College (Napier) and Turakina Māori Girls’ College (Marton). Remaining open today are St Joseph’s, Hukarere, Te Aute and Hato Pāora.</w:t>
      </w:r>
    </w:p>
  </w:endnote>
  <w:endnote w:id="824">
    <w:p w14:paraId="2D285643"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w:t>
      </w:r>
      <w:r w:rsidRPr="008439BB">
        <w:rPr>
          <w:rFonts w:eastAsia="Calibri" w:cs="Arial"/>
          <w:sz w:val="16"/>
          <w:szCs w:val="16"/>
        </w:rPr>
        <w:t>Complaints Assessment Committee v Faithful Pilgrim [2022] NZTDT 2021/35,</w:t>
      </w:r>
      <w:r w:rsidRPr="008439BB" w:rsidDel="00180CDB">
        <w:rPr>
          <w:rFonts w:eastAsia="Calibri" w:cs="Arial"/>
          <w:sz w:val="16"/>
          <w:szCs w:val="16"/>
        </w:rPr>
        <w:t xml:space="preserve"> </w:t>
      </w:r>
      <w:r w:rsidRPr="008439BB">
        <w:rPr>
          <w:rFonts w:eastAsia="Calibri" w:cs="Arial"/>
          <w:sz w:val="16"/>
          <w:szCs w:val="16"/>
        </w:rPr>
        <w:t xml:space="preserve">para 3. </w:t>
      </w:r>
    </w:p>
  </w:endnote>
  <w:endnote w:id="825">
    <w:p w14:paraId="7F821344" w14:textId="21D08C6D"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Brief of evidence of Secretary for Education and Chief Executive Iona Holsted for the Ministry of Education at the Inquiry’s State Institutional Response Hearing (8 August 2022, </w:t>
      </w:r>
      <w:r w:rsidRPr="008439BB">
        <w:rPr>
          <w:rFonts w:eastAsia="Roboto" w:cs="Arial"/>
          <w:sz w:val="16"/>
          <w:szCs w:val="16"/>
        </w:rPr>
        <w:t>page 41).</w:t>
      </w:r>
    </w:p>
  </w:endnote>
  <w:endnote w:id="826">
    <w:p w14:paraId="3C2A0A1F" w14:textId="77777777" w:rsidR="00FE4E56" w:rsidRPr="008439BB" w:rsidRDefault="00FE4E56" w:rsidP="004C3995">
      <w:pPr>
        <w:pStyle w:val="EndnoteText"/>
        <w:spacing w:line="20" w:lineRule="atLeas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Notes from meeting with representatives of the Plymouth Brethren Christian Church</w:t>
      </w:r>
      <w:r w:rsidRPr="008439BB" w:rsidDel="008B1F4D">
        <w:rPr>
          <w:rFonts w:cs="Arial"/>
          <w:sz w:val="16"/>
          <w:szCs w:val="16"/>
        </w:rPr>
        <w:t xml:space="preserve"> (</w:t>
      </w:r>
      <w:r w:rsidRPr="008439BB">
        <w:rPr>
          <w:rFonts w:cs="Arial"/>
          <w:sz w:val="16"/>
          <w:szCs w:val="16"/>
        </w:rPr>
        <w:t xml:space="preserve">29 November 2022); Plymouth Brethren Christian Church, </w:t>
      </w:r>
      <w:r w:rsidRPr="008439BB">
        <w:rPr>
          <w:rStyle w:val="normaltextrun"/>
          <w:rFonts w:cs="Arial"/>
          <w:sz w:val="16"/>
          <w:szCs w:val="16"/>
          <w:bdr w:val="none" w:sz="0" w:space="0" w:color="auto" w:frame="1"/>
        </w:rPr>
        <w:t xml:space="preserve">Response to </w:t>
      </w:r>
      <w:r w:rsidRPr="008439BB">
        <w:rPr>
          <w:rFonts w:cs="Arial"/>
          <w:sz w:val="16"/>
          <w:szCs w:val="16"/>
        </w:rPr>
        <w:t>Royal Commission of Inquiry into Abuse in Care</w:t>
      </w:r>
      <w:r w:rsidRPr="008439BB">
        <w:rPr>
          <w:rStyle w:val="normaltextrun"/>
          <w:rFonts w:cs="Arial"/>
          <w:sz w:val="16"/>
          <w:szCs w:val="16"/>
          <w:bdr w:val="none" w:sz="0" w:space="0" w:color="auto" w:frame="1"/>
        </w:rPr>
        <w:t xml:space="preserve"> Notice to Produce No 1 (23 April 2021, </w:t>
      </w:r>
      <w:r w:rsidRPr="008439BB">
        <w:rPr>
          <w:rFonts w:eastAsia="Calibri" w:cs="Arial"/>
          <w:sz w:val="16"/>
          <w:szCs w:val="16"/>
        </w:rPr>
        <w:t>page 3).</w:t>
      </w:r>
    </w:p>
  </w:endnote>
  <w:endnote w:id="827">
    <w:p w14:paraId="33D308D3" w14:textId="77777777" w:rsidR="00FE4E56" w:rsidRPr="008439BB" w:rsidRDefault="00FE4E56" w:rsidP="004C3995">
      <w:pPr>
        <w:pStyle w:val="NoSpacing"/>
        <w:spacing w:line="20" w:lineRule="atLeast"/>
        <w:rPr>
          <w:rFonts w:ascii="Arial" w:hAnsi="Arial" w:cs="Arial"/>
          <w:color w:val="auto"/>
          <w:sz w:val="16"/>
          <w:szCs w:val="16"/>
        </w:rPr>
      </w:pPr>
      <w:r w:rsidRPr="008439BB">
        <w:rPr>
          <w:rStyle w:val="StyleFootnoteReferenceFagoFunotenzeichenFagoFunotenzeichen"/>
          <w:color w:val="auto"/>
          <w:sz w:val="16"/>
          <w:szCs w:val="16"/>
        </w:rPr>
        <w:endnoteRef/>
      </w:r>
      <w:r w:rsidRPr="008439BB">
        <w:rPr>
          <w:rFonts w:ascii="Arial" w:hAnsi="Arial" w:cs="Arial"/>
          <w:color w:val="auto"/>
          <w:sz w:val="16"/>
          <w:szCs w:val="16"/>
        </w:rPr>
        <w:t xml:space="preserve"> National Advisory Committee on Health and Disability, To have an ‘ordinary life’ - Kia whai oranga ‘noa’: Background papers to inform the National Advisory Committee on Health and Disability (2004, page 30).</w:t>
      </w:r>
    </w:p>
  </w:endnote>
  <w:endnote w:id="828">
    <w:p w14:paraId="42065E05" w14:textId="28D4DF95" w:rsidR="00FE4E56" w:rsidRPr="008439BB" w:rsidRDefault="00FE4E56" w:rsidP="004C3995">
      <w:pPr>
        <w:pStyle w:val="EndnoteText"/>
        <w:rPr>
          <w:rFonts w:cs="Arial"/>
          <w:sz w:val="16"/>
          <w:szCs w:val="16"/>
        </w:rPr>
      </w:pPr>
      <w:r w:rsidRPr="008439BB">
        <w:rPr>
          <w:rStyle w:val="StyleFootnoteReferenceFagoFunotenzeichenFagoFunotenzeichen"/>
          <w:color w:val="auto"/>
          <w:sz w:val="16"/>
          <w:szCs w:val="16"/>
        </w:rPr>
        <w:endnoteRef/>
      </w:r>
      <w:r w:rsidRPr="008439BB">
        <w:rPr>
          <w:rFonts w:cs="Arial"/>
          <w:sz w:val="16"/>
          <w:szCs w:val="16"/>
        </w:rPr>
        <w:t xml:space="preserve"> Letter from Presbyterian Support Upper South Island to Renée Habluetzel (15 January 2007</w:t>
      </w:r>
      <w:r w:rsidRPr="008439BB">
        <w:rPr>
          <w:rFonts w:cs="Arial"/>
          <w:sz w:val="16"/>
          <w:szCs w:val="16"/>
          <w:shd w:val="clear" w:color="auto" w:fill="FFFFFF"/>
        </w:rPr>
        <w:t>, page 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Georgia Pro">
    <w:charset w:val="00"/>
    <w:family w:val="roman"/>
    <w:pitch w:val="variable"/>
    <w:sig w:usb0="800002AF" w:usb1="00000003" w:usb2="00000000" w:usb3="00000000" w:csb0="0000009F" w:csb1="00000000"/>
  </w:font>
  <w:font w:name="Degular-Black">
    <w:altName w:val="Yu Gothic"/>
    <w:panose1 w:val="00000000000000000000"/>
    <w:charset w:val="80"/>
    <w:family w:val="swiss"/>
    <w:notTrueType/>
    <w:pitch w:val="default"/>
    <w:sig w:usb0="00000003" w:usb1="08070000" w:usb2="00000010" w:usb3="00000000" w:csb0="00020001"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Degular-Regular">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B61E" w14:textId="47894B36" w:rsidR="004D37B9" w:rsidRPr="00662210" w:rsidRDefault="004D37B9" w:rsidP="00D103DE">
    <w:pPr>
      <w:pStyle w:val="Footer"/>
      <w:tabs>
        <w:tab w:val="right" w:pos="9071"/>
      </w:tabs>
      <w:ind w:right="-1"/>
    </w:pPr>
    <w:r w:rsidRPr="00662210">
      <w:tab/>
      <w:t xml:space="preserve">Page </w:t>
    </w:r>
    <w:r w:rsidRPr="00662210">
      <w:rPr>
        <w:color w:val="2B579A"/>
        <w:shd w:val="clear" w:color="auto" w:fill="E6E6E6"/>
      </w:rPr>
      <w:fldChar w:fldCharType="begin"/>
    </w:r>
    <w:r w:rsidRPr="00662210">
      <w:instrText xml:space="preserve"> PAGE  \* Arabic  \* MERGEFORMAT </w:instrText>
    </w:r>
    <w:r w:rsidRPr="00662210">
      <w:rPr>
        <w:color w:val="2B579A"/>
        <w:shd w:val="clear" w:color="auto" w:fill="E6E6E6"/>
      </w:rPr>
      <w:fldChar w:fldCharType="separate"/>
    </w:r>
    <w:r w:rsidRPr="00662210">
      <w:t>1</w:t>
    </w:r>
    <w:r w:rsidRPr="00662210">
      <w:rPr>
        <w:color w:val="2B579A"/>
        <w:shd w:val="clear" w:color="auto" w:fill="E6E6E6"/>
      </w:rPr>
      <w:fldChar w:fldCharType="end"/>
    </w:r>
    <w:r w:rsidRPr="00662210">
      <w:t xml:space="preserve"> of </w:t>
    </w:r>
    <w:fldSimple w:instr="NUMPAGES   \* MERGEFORMAT">
      <w:r w:rsidRPr="00662210">
        <w:t>1</w:t>
      </w:r>
    </w:fldSimple>
  </w:p>
  <w:p w14:paraId="5308955C" w14:textId="77777777" w:rsidR="004D37B9" w:rsidRDefault="004D37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CAB9B" w14:textId="77777777" w:rsidR="00F047DF" w:rsidRPr="00E37F0A" w:rsidRDefault="00F047DF" w:rsidP="00E37F0A">
      <w:pPr>
        <w:pStyle w:val="Footer"/>
      </w:pPr>
    </w:p>
  </w:footnote>
  <w:footnote w:type="continuationSeparator" w:id="0">
    <w:p w14:paraId="4CAF99AF" w14:textId="77777777" w:rsidR="00F047DF" w:rsidRPr="00662210" w:rsidRDefault="00F047DF">
      <w:r w:rsidRPr="00662210">
        <w:continuationSeparator/>
      </w:r>
    </w:p>
  </w:footnote>
  <w:footnote w:type="continuationNotice" w:id="1">
    <w:p w14:paraId="478FC9B0" w14:textId="77777777" w:rsidR="00F047DF" w:rsidRPr="00662210" w:rsidRDefault="00F047DF" w:rsidP="001E2DCC">
      <w:pPr>
        <w:pStyle w:val="Footer"/>
        <w:spacing w:before="0" w:after="0"/>
        <w:contextualSpacing w:val="0"/>
        <w:rPr>
          <w:rFonts w:asciiTheme="minorHAnsi" w:hAnsiTheme="minorHAnsi" w:cstheme="minorHAnsi"/>
          <w:i w:val="0"/>
          <w:sz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AD14" w14:textId="4E90F5CA" w:rsidR="004D37B9" w:rsidRPr="00662210" w:rsidRDefault="00A00D64">
    <w:pPr>
      <w:pStyle w:val="Header"/>
    </w:pPr>
    <w:r>
      <w:rPr>
        <w:noProof/>
        <w:color w:val="2B579A"/>
        <w:shd w:val="clear" w:color="auto" w:fill="E6E6E6"/>
      </w:rPr>
      <w:pict w14:anchorId="78325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740969" o:spid="_x0000_s1028" type="#_x0000_t136" style="position:absolute;margin-left:0;margin-top:0;width:552.1pt;height:127.4pt;rotation:315;z-index:-251658240;mso-wrap-edited:f;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p w14:paraId="32BA540F" w14:textId="77777777" w:rsidR="004D37B9" w:rsidRPr="00662210" w:rsidRDefault="004D37B9"/>
  <w:p w14:paraId="058F6B86" w14:textId="77777777" w:rsidR="004D37B9" w:rsidRPr="00662210" w:rsidRDefault="004D37B9" w:rsidP="008642E7"/>
  <w:p w14:paraId="1FB46360" w14:textId="77777777" w:rsidR="004D37B9" w:rsidRPr="00662210" w:rsidRDefault="004D37B9" w:rsidP="008642E7"/>
  <w:p w14:paraId="251E57CC" w14:textId="77777777" w:rsidR="004D37B9" w:rsidRPr="00662210" w:rsidRDefault="004D37B9"/>
  <w:p w14:paraId="378F1437" w14:textId="77777777" w:rsidR="004D37B9" w:rsidRDefault="004D37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82AF" w14:textId="43968577" w:rsidR="004D37B9" w:rsidRPr="00662210" w:rsidRDefault="00A00D64">
    <w:pPr>
      <w:pStyle w:val="Header"/>
    </w:pPr>
    <w:r>
      <w:rPr>
        <w:noProof/>
        <w:color w:val="2B579A"/>
        <w:shd w:val="clear" w:color="auto" w:fill="E6E6E6"/>
      </w:rPr>
      <w:pict w14:anchorId="2CF55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0740968" o:spid="_x0000_s1030" type="#_x0000_t136" style="position:absolute;margin-left:0;margin-top:0;width:552.1pt;height:127.4pt;rotation:315;z-index:-251658239;mso-wrap-edited:f;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XDfXA9P70xRAYg" int2:id="8ObImBw6">
      <int2:state int2:value="Rejected" int2:type="LegacyProofing"/>
    </int2:textHash>
    <int2:textHash int2:hashCode="M+lQXRKULoJZo8" int2:id="U1wHUn8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511"/>
        </w:tabs>
        <w:ind w:left="7511"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1C2F01"/>
    <w:multiLevelType w:val="hybridMultilevel"/>
    <w:tmpl w:val="0B0C2A8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1BD6FA2"/>
    <w:multiLevelType w:val="hybridMultilevel"/>
    <w:tmpl w:val="F7C011E8"/>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2B16A1D"/>
    <w:multiLevelType w:val="hybridMultilevel"/>
    <w:tmpl w:val="7A92BF54"/>
    <w:lvl w:ilvl="0" w:tplc="7A3A7C9C">
      <w:start w:val="61"/>
      <w:numFmt w:val="decimal"/>
      <w:pStyle w:val="Number"/>
      <w:lvlText w:val="%1."/>
      <w:lvlJc w:val="left"/>
      <w:pPr>
        <w:ind w:left="720" w:hanging="360"/>
      </w:pPr>
      <w:rPr>
        <w:rFonts w:ascii="Calibri" w:hAnsi="Calibri" w:cs="Calibri" w:hint="default"/>
        <w:b w:val="0"/>
        <w:bCs w:val="0"/>
        <w:i w:val="0"/>
        <w:iCs w:val="0"/>
        <w:color w:val="auto"/>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3F56F28"/>
    <w:multiLevelType w:val="hybridMultilevel"/>
    <w:tmpl w:val="E89E822E"/>
    <w:lvl w:ilvl="0" w:tplc="FFFFFFFF">
      <w:start w:val="1"/>
      <w:numFmt w:val="decimal"/>
      <w:lvlText w:val="%1."/>
      <w:lvlJc w:val="left"/>
      <w:pPr>
        <w:ind w:left="720" w:hanging="360"/>
      </w:pPr>
      <w:rPr>
        <w:b w:val="0"/>
        <w:i w:val="0"/>
        <w:color w:val="auto"/>
        <w:sz w:val="22"/>
        <w:szCs w:val="22"/>
        <w:vertAlign w:val="baseli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15:restartNumberingAfterBreak="0">
    <w:nsid w:val="060F95A0"/>
    <w:multiLevelType w:val="hybridMultilevel"/>
    <w:tmpl w:val="FFFFFFFF"/>
    <w:lvl w:ilvl="0" w:tplc="37CE6136">
      <w:start w:val="1"/>
      <w:numFmt w:val="bullet"/>
      <w:lvlText w:val="·"/>
      <w:lvlJc w:val="left"/>
      <w:pPr>
        <w:ind w:left="720" w:hanging="360"/>
      </w:pPr>
      <w:rPr>
        <w:rFonts w:ascii="Symbol" w:hAnsi="Symbol" w:hint="default"/>
      </w:rPr>
    </w:lvl>
    <w:lvl w:ilvl="1" w:tplc="C76AD43C">
      <w:start w:val="1"/>
      <w:numFmt w:val="bullet"/>
      <w:lvlText w:val="o"/>
      <w:lvlJc w:val="left"/>
      <w:pPr>
        <w:ind w:left="1440" w:hanging="360"/>
      </w:pPr>
      <w:rPr>
        <w:rFonts w:ascii="Courier New" w:hAnsi="Courier New" w:hint="default"/>
      </w:rPr>
    </w:lvl>
    <w:lvl w:ilvl="2" w:tplc="93B29E18">
      <w:start w:val="1"/>
      <w:numFmt w:val="bullet"/>
      <w:lvlText w:val=""/>
      <w:lvlJc w:val="left"/>
      <w:pPr>
        <w:ind w:left="2160" w:hanging="360"/>
      </w:pPr>
      <w:rPr>
        <w:rFonts w:ascii="Wingdings" w:hAnsi="Wingdings" w:hint="default"/>
      </w:rPr>
    </w:lvl>
    <w:lvl w:ilvl="3" w:tplc="9FE6C204">
      <w:start w:val="1"/>
      <w:numFmt w:val="bullet"/>
      <w:lvlText w:val=""/>
      <w:lvlJc w:val="left"/>
      <w:pPr>
        <w:ind w:left="2880" w:hanging="360"/>
      </w:pPr>
      <w:rPr>
        <w:rFonts w:ascii="Symbol" w:hAnsi="Symbol" w:hint="default"/>
      </w:rPr>
    </w:lvl>
    <w:lvl w:ilvl="4" w:tplc="A2FC26F2">
      <w:start w:val="1"/>
      <w:numFmt w:val="bullet"/>
      <w:lvlText w:val="o"/>
      <w:lvlJc w:val="left"/>
      <w:pPr>
        <w:ind w:left="3600" w:hanging="360"/>
      </w:pPr>
      <w:rPr>
        <w:rFonts w:ascii="Courier New" w:hAnsi="Courier New" w:hint="default"/>
      </w:rPr>
    </w:lvl>
    <w:lvl w:ilvl="5" w:tplc="8CB8053E">
      <w:start w:val="1"/>
      <w:numFmt w:val="bullet"/>
      <w:lvlText w:val=""/>
      <w:lvlJc w:val="left"/>
      <w:pPr>
        <w:ind w:left="4320" w:hanging="360"/>
      </w:pPr>
      <w:rPr>
        <w:rFonts w:ascii="Wingdings" w:hAnsi="Wingdings" w:hint="default"/>
      </w:rPr>
    </w:lvl>
    <w:lvl w:ilvl="6" w:tplc="71C04410">
      <w:start w:val="1"/>
      <w:numFmt w:val="bullet"/>
      <w:lvlText w:val=""/>
      <w:lvlJc w:val="left"/>
      <w:pPr>
        <w:ind w:left="5040" w:hanging="360"/>
      </w:pPr>
      <w:rPr>
        <w:rFonts w:ascii="Symbol" w:hAnsi="Symbol" w:hint="default"/>
      </w:rPr>
    </w:lvl>
    <w:lvl w:ilvl="7" w:tplc="A54E0E28">
      <w:start w:val="1"/>
      <w:numFmt w:val="bullet"/>
      <w:lvlText w:val="o"/>
      <w:lvlJc w:val="left"/>
      <w:pPr>
        <w:ind w:left="5760" w:hanging="360"/>
      </w:pPr>
      <w:rPr>
        <w:rFonts w:ascii="Courier New" w:hAnsi="Courier New" w:hint="default"/>
      </w:rPr>
    </w:lvl>
    <w:lvl w:ilvl="8" w:tplc="8468EB60">
      <w:start w:val="1"/>
      <w:numFmt w:val="bullet"/>
      <w:lvlText w:val=""/>
      <w:lvlJc w:val="left"/>
      <w:pPr>
        <w:ind w:left="6480" w:hanging="360"/>
      </w:pPr>
      <w:rPr>
        <w:rFonts w:ascii="Wingdings" w:hAnsi="Wingdings" w:hint="default"/>
      </w:rPr>
    </w:lvl>
  </w:abstractNum>
  <w:abstractNum w:abstractNumId="13" w15:restartNumberingAfterBreak="0">
    <w:nsid w:val="08C9467E"/>
    <w:multiLevelType w:val="hybridMultilevel"/>
    <w:tmpl w:val="D772E052"/>
    <w:lvl w:ilvl="0" w:tplc="25184E4C">
      <w:start w:val="1"/>
      <w:numFmt w:val="decimal"/>
      <w:lvlText w:val="%1."/>
      <w:lvlJc w:val="left"/>
      <w:pPr>
        <w:ind w:left="720" w:hanging="360"/>
      </w:pPr>
      <w:rPr>
        <w:rFonts w:ascii="Arial" w:hAnsi="Arial" w:hint="default"/>
        <w:b w:val="0"/>
        <w:i w:val="0"/>
        <w:iCs w:val="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9175E97"/>
    <w:multiLevelType w:val="hybridMultilevel"/>
    <w:tmpl w:val="188AE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91845F0"/>
    <w:multiLevelType w:val="hybridMultilevel"/>
    <w:tmpl w:val="FFFFFFFF"/>
    <w:lvl w:ilvl="0" w:tplc="1310AFB4">
      <w:start w:val="1"/>
      <w:numFmt w:val="bullet"/>
      <w:lvlText w:val=""/>
      <w:lvlJc w:val="left"/>
      <w:pPr>
        <w:ind w:left="720" w:hanging="360"/>
      </w:pPr>
      <w:rPr>
        <w:rFonts w:ascii="Symbol" w:hAnsi="Symbol" w:hint="default"/>
      </w:rPr>
    </w:lvl>
    <w:lvl w:ilvl="1" w:tplc="406CE0B2">
      <w:start w:val="1"/>
      <w:numFmt w:val="bullet"/>
      <w:lvlText w:val="·"/>
      <w:lvlJc w:val="left"/>
      <w:pPr>
        <w:ind w:left="1440" w:hanging="360"/>
      </w:pPr>
      <w:rPr>
        <w:rFonts w:ascii="Symbol" w:hAnsi="Symbol" w:hint="default"/>
      </w:rPr>
    </w:lvl>
    <w:lvl w:ilvl="2" w:tplc="9F82D738">
      <w:start w:val="1"/>
      <w:numFmt w:val="bullet"/>
      <w:lvlText w:val=""/>
      <w:lvlJc w:val="left"/>
      <w:pPr>
        <w:ind w:left="2160" w:hanging="360"/>
      </w:pPr>
      <w:rPr>
        <w:rFonts w:ascii="Wingdings" w:hAnsi="Wingdings" w:hint="default"/>
      </w:rPr>
    </w:lvl>
    <w:lvl w:ilvl="3" w:tplc="09B006B2">
      <w:start w:val="1"/>
      <w:numFmt w:val="bullet"/>
      <w:lvlText w:val=""/>
      <w:lvlJc w:val="left"/>
      <w:pPr>
        <w:ind w:left="2880" w:hanging="360"/>
      </w:pPr>
      <w:rPr>
        <w:rFonts w:ascii="Symbol" w:hAnsi="Symbol" w:hint="default"/>
      </w:rPr>
    </w:lvl>
    <w:lvl w:ilvl="4" w:tplc="2B8641EE">
      <w:start w:val="1"/>
      <w:numFmt w:val="bullet"/>
      <w:lvlText w:val="o"/>
      <w:lvlJc w:val="left"/>
      <w:pPr>
        <w:ind w:left="3600" w:hanging="360"/>
      </w:pPr>
      <w:rPr>
        <w:rFonts w:ascii="Courier New" w:hAnsi="Courier New" w:hint="default"/>
      </w:rPr>
    </w:lvl>
    <w:lvl w:ilvl="5" w:tplc="B4DE157E">
      <w:start w:val="1"/>
      <w:numFmt w:val="bullet"/>
      <w:lvlText w:val=""/>
      <w:lvlJc w:val="left"/>
      <w:pPr>
        <w:ind w:left="4320" w:hanging="360"/>
      </w:pPr>
      <w:rPr>
        <w:rFonts w:ascii="Wingdings" w:hAnsi="Wingdings" w:hint="default"/>
      </w:rPr>
    </w:lvl>
    <w:lvl w:ilvl="6" w:tplc="DA4896EA">
      <w:start w:val="1"/>
      <w:numFmt w:val="bullet"/>
      <w:lvlText w:val=""/>
      <w:lvlJc w:val="left"/>
      <w:pPr>
        <w:ind w:left="5040" w:hanging="360"/>
      </w:pPr>
      <w:rPr>
        <w:rFonts w:ascii="Symbol" w:hAnsi="Symbol" w:hint="default"/>
      </w:rPr>
    </w:lvl>
    <w:lvl w:ilvl="7" w:tplc="1AD816BE">
      <w:start w:val="1"/>
      <w:numFmt w:val="bullet"/>
      <w:lvlText w:val="o"/>
      <w:lvlJc w:val="left"/>
      <w:pPr>
        <w:ind w:left="5760" w:hanging="360"/>
      </w:pPr>
      <w:rPr>
        <w:rFonts w:ascii="Courier New" w:hAnsi="Courier New" w:hint="default"/>
      </w:rPr>
    </w:lvl>
    <w:lvl w:ilvl="8" w:tplc="F43084AA">
      <w:start w:val="1"/>
      <w:numFmt w:val="bullet"/>
      <w:lvlText w:val=""/>
      <w:lvlJc w:val="left"/>
      <w:pPr>
        <w:ind w:left="6480" w:hanging="360"/>
      </w:pPr>
      <w:rPr>
        <w:rFonts w:ascii="Wingdings" w:hAnsi="Wingdings" w:hint="default"/>
      </w:rPr>
    </w:lvl>
  </w:abstractNum>
  <w:abstractNum w:abstractNumId="16" w15:restartNumberingAfterBreak="0">
    <w:nsid w:val="09980556"/>
    <w:multiLevelType w:val="hybridMultilevel"/>
    <w:tmpl w:val="FFFFFFFF"/>
    <w:lvl w:ilvl="0" w:tplc="32567D98">
      <w:start w:val="1"/>
      <w:numFmt w:val="bullet"/>
      <w:lvlText w:val="·"/>
      <w:lvlJc w:val="left"/>
      <w:pPr>
        <w:ind w:left="720" w:hanging="360"/>
      </w:pPr>
      <w:rPr>
        <w:rFonts w:ascii="Symbol" w:hAnsi="Symbol" w:hint="default"/>
      </w:rPr>
    </w:lvl>
    <w:lvl w:ilvl="1" w:tplc="A34AFE5A">
      <w:start w:val="1"/>
      <w:numFmt w:val="bullet"/>
      <w:lvlText w:val="o"/>
      <w:lvlJc w:val="left"/>
      <w:pPr>
        <w:ind w:left="1440" w:hanging="360"/>
      </w:pPr>
      <w:rPr>
        <w:rFonts w:ascii="Courier New" w:hAnsi="Courier New" w:hint="default"/>
      </w:rPr>
    </w:lvl>
    <w:lvl w:ilvl="2" w:tplc="7AA692C2">
      <w:start w:val="1"/>
      <w:numFmt w:val="bullet"/>
      <w:lvlText w:val=""/>
      <w:lvlJc w:val="left"/>
      <w:pPr>
        <w:ind w:left="2160" w:hanging="360"/>
      </w:pPr>
      <w:rPr>
        <w:rFonts w:ascii="Wingdings" w:hAnsi="Wingdings" w:hint="default"/>
      </w:rPr>
    </w:lvl>
    <w:lvl w:ilvl="3" w:tplc="AA34FE22">
      <w:start w:val="1"/>
      <w:numFmt w:val="bullet"/>
      <w:lvlText w:val=""/>
      <w:lvlJc w:val="left"/>
      <w:pPr>
        <w:ind w:left="2880" w:hanging="360"/>
      </w:pPr>
      <w:rPr>
        <w:rFonts w:ascii="Symbol" w:hAnsi="Symbol" w:hint="default"/>
      </w:rPr>
    </w:lvl>
    <w:lvl w:ilvl="4" w:tplc="25BE7170">
      <w:start w:val="1"/>
      <w:numFmt w:val="bullet"/>
      <w:lvlText w:val="o"/>
      <w:lvlJc w:val="left"/>
      <w:pPr>
        <w:ind w:left="3600" w:hanging="360"/>
      </w:pPr>
      <w:rPr>
        <w:rFonts w:ascii="Courier New" w:hAnsi="Courier New" w:hint="default"/>
      </w:rPr>
    </w:lvl>
    <w:lvl w:ilvl="5" w:tplc="37DAFFC2">
      <w:start w:val="1"/>
      <w:numFmt w:val="bullet"/>
      <w:lvlText w:val=""/>
      <w:lvlJc w:val="left"/>
      <w:pPr>
        <w:ind w:left="4320" w:hanging="360"/>
      </w:pPr>
      <w:rPr>
        <w:rFonts w:ascii="Wingdings" w:hAnsi="Wingdings" w:hint="default"/>
      </w:rPr>
    </w:lvl>
    <w:lvl w:ilvl="6" w:tplc="77B26432">
      <w:start w:val="1"/>
      <w:numFmt w:val="bullet"/>
      <w:lvlText w:val=""/>
      <w:lvlJc w:val="left"/>
      <w:pPr>
        <w:ind w:left="5040" w:hanging="360"/>
      </w:pPr>
      <w:rPr>
        <w:rFonts w:ascii="Symbol" w:hAnsi="Symbol" w:hint="default"/>
      </w:rPr>
    </w:lvl>
    <w:lvl w:ilvl="7" w:tplc="3C3C53FA">
      <w:start w:val="1"/>
      <w:numFmt w:val="bullet"/>
      <w:lvlText w:val="o"/>
      <w:lvlJc w:val="left"/>
      <w:pPr>
        <w:ind w:left="5760" w:hanging="360"/>
      </w:pPr>
      <w:rPr>
        <w:rFonts w:ascii="Courier New" w:hAnsi="Courier New" w:hint="default"/>
      </w:rPr>
    </w:lvl>
    <w:lvl w:ilvl="8" w:tplc="FC3C498C">
      <w:start w:val="1"/>
      <w:numFmt w:val="bullet"/>
      <w:lvlText w:val=""/>
      <w:lvlJc w:val="left"/>
      <w:pPr>
        <w:ind w:left="6480" w:hanging="360"/>
      </w:pPr>
      <w:rPr>
        <w:rFonts w:ascii="Wingdings" w:hAnsi="Wingdings" w:hint="default"/>
      </w:rPr>
    </w:lvl>
  </w:abstractNum>
  <w:abstractNum w:abstractNumId="17" w15:restartNumberingAfterBreak="0">
    <w:nsid w:val="0A1F55EA"/>
    <w:multiLevelType w:val="hybridMultilevel"/>
    <w:tmpl w:val="FFFFFFFF"/>
    <w:lvl w:ilvl="0" w:tplc="32460BDA">
      <w:start w:val="352"/>
      <w:numFmt w:val="decimal"/>
      <w:lvlText w:val="%1."/>
      <w:lvlJc w:val="left"/>
      <w:pPr>
        <w:ind w:left="720" w:hanging="360"/>
      </w:pPr>
    </w:lvl>
    <w:lvl w:ilvl="1" w:tplc="F106FA9E">
      <w:start w:val="1"/>
      <w:numFmt w:val="lowerLetter"/>
      <w:lvlText w:val="%2."/>
      <w:lvlJc w:val="left"/>
      <w:pPr>
        <w:ind w:left="1440" w:hanging="360"/>
      </w:pPr>
    </w:lvl>
    <w:lvl w:ilvl="2" w:tplc="1964965A">
      <w:start w:val="1"/>
      <w:numFmt w:val="lowerRoman"/>
      <w:lvlText w:val="%3."/>
      <w:lvlJc w:val="right"/>
      <w:pPr>
        <w:ind w:left="2160" w:hanging="180"/>
      </w:pPr>
    </w:lvl>
    <w:lvl w:ilvl="3" w:tplc="6B38DCB4">
      <w:start w:val="1"/>
      <w:numFmt w:val="decimal"/>
      <w:lvlText w:val="%4."/>
      <w:lvlJc w:val="left"/>
      <w:pPr>
        <w:ind w:left="2880" w:hanging="360"/>
      </w:pPr>
    </w:lvl>
    <w:lvl w:ilvl="4" w:tplc="6920679E">
      <w:start w:val="1"/>
      <w:numFmt w:val="lowerLetter"/>
      <w:lvlText w:val="%5."/>
      <w:lvlJc w:val="left"/>
      <w:pPr>
        <w:ind w:left="3600" w:hanging="360"/>
      </w:pPr>
    </w:lvl>
    <w:lvl w:ilvl="5" w:tplc="B332F34E">
      <w:start w:val="1"/>
      <w:numFmt w:val="lowerRoman"/>
      <w:lvlText w:val="%6."/>
      <w:lvlJc w:val="right"/>
      <w:pPr>
        <w:ind w:left="4320" w:hanging="180"/>
      </w:pPr>
    </w:lvl>
    <w:lvl w:ilvl="6" w:tplc="83A02F86">
      <w:start w:val="1"/>
      <w:numFmt w:val="decimal"/>
      <w:lvlText w:val="%7."/>
      <w:lvlJc w:val="left"/>
      <w:pPr>
        <w:ind w:left="5040" w:hanging="360"/>
      </w:pPr>
    </w:lvl>
    <w:lvl w:ilvl="7" w:tplc="A7863C16">
      <w:start w:val="1"/>
      <w:numFmt w:val="lowerLetter"/>
      <w:lvlText w:val="%8."/>
      <w:lvlJc w:val="left"/>
      <w:pPr>
        <w:ind w:left="5760" w:hanging="360"/>
      </w:pPr>
    </w:lvl>
    <w:lvl w:ilvl="8" w:tplc="99C497E6">
      <w:start w:val="1"/>
      <w:numFmt w:val="lowerRoman"/>
      <w:lvlText w:val="%9."/>
      <w:lvlJc w:val="right"/>
      <w:pPr>
        <w:ind w:left="6480" w:hanging="180"/>
      </w:pPr>
    </w:lvl>
  </w:abstractNum>
  <w:abstractNum w:abstractNumId="18"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9" w15:restartNumberingAfterBreak="0">
    <w:nsid w:val="0BC64A20"/>
    <w:multiLevelType w:val="hybridMultilevel"/>
    <w:tmpl w:val="06460DC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0F27FA8F"/>
    <w:multiLevelType w:val="hybridMultilevel"/>
    <w:tmpl w:val="FFFFFFFF"/>
    <w:lvl w:ilvl="0" w:tplc="9F3AE372">
      <w:start w:val="358"/>
      <w:numFmt w:val="decimal"/>
      <w:lvlText w:val="%1."/>
      <w:lvlJc w:val="left"/>
      <w:pPr>
        <w:ind w:left="720" w:hanging="360"/>
      </w:pPr>
    </w:lvl>
    <w:lvl w:ilvl="1" w:tplc="2A4C0292">
      <w:start w:val="1"/>
      <w:numFmt w:val="lowerLetter"/>
      <w:lvlText w:val="%2."/>
      <w:lvlJc w:val="left"/>
      <w:pPr>
        <w:ind w:left="1440" w:hanging="360"/>
      </w:pPr>
    </w:lvl>
    <w:lvl w:ilvl="2" w:tplc="0A1ACF3E">
      <w:start w:val="1"/>
      <w:numFmt w:val="lowerRoman"/>
      <w:lvlText w:val="%3."/>
      <w:lvlJc w:val="right"/>
      <w:pPr>
        <w:ind w:left="2160" w:hanging="180"/>
      </w:pPr>
    </w:lvl>
    <w:lvl w:ilvl="3" w:tplc="2EFA765E">
      <w:start w:val="1"/>
      <w:numFmt w:val="decimal"/>
      <w:lvlText w:val="%4."/>
      <w:lvlJc w:val="left"/>
      <w:pPr>
        <w:ind w:left="2880" w:hanging="360"/>
      </w:pPr>
    </w:lvl>
    <w:lvl w:ilvl="4" w:tplc="729C38FC">
      <w:start w:val="1"/>
      <w:numFmt w:val="lowerLetter"/>
      <w:lvlText w:val="%5."/>
      <w:lvlJc w:val="left"/>
      <w:pPr>
        <w:ind w:left="3600" w:hanging="360"/>
      </w:pPr>
    </w:lvl>
    <w:lvl w:ilvl="5" w:tplc="7C343C7E">
      <w:start w:val="1"/>
      <w:numFmt w:val="lowerRoman"/>
      <w:lvlText w:val="%6."/>
      <w:lvlJc w:val="right"/>
      <w:pPr>
        <w:ind w:left="4320" w:hanging="180"/>
      </w:pPr>
    </w:lvl>
    <w:lvl w:ilvl="6" w:tplc="3DD8F9F8">
      <w:start w:val="1"/>
      <w:numFmt w:val="decimal"/>
      <w:lvlText w:val="%7."/>
      <w:lvlJc w:val="left"/>
      <w:pPr>
        <w:ind w:left="5040" w:hanging="360"/>
      </w:pPr>
    </w:lvl>
    <w:lvl w:ilvl="7" w:tplc="4D6823EC">
      <w:start w:val="1"/>
      <w:numFmt w:val="lowerLetter"/>
      <w:lvlText w:val="%8."/>
      <w:lvlJc w:val="left"/>
      <w:pPr>
        <w:ind w:left="5760" w:hanging="360"/>
      </w:pPr>
    </w:lvl>
    <w:lvl w:ilvl="8" w:tplc="5AFCF9A0">
      <w:start w:val="1"/>
      <w:numFmt w:val="lowerRoman"/>
      <w:lvlText w:val="%9."/>
      <w:lvlJc w:val="right"/>
      <w:pPr>
        <w:ind w:left="6480" w:hanging="180"/>
      </w:pPr>
    </w:lvl>
  </w:abstractNum>
  <w:abstractNum w:abstractNumId="21" w15:restartNumberingAfterBreak="0">
    <w:nsid w:val="10382475"/>
    <w:multiLevelType w:val="hybridMultilevel"/>
    <w:tmpl w:val="FFFFFFFF"/>
    <w:lvl w:ilvl="0" w:tplc="AF0A9392">
      <w:start w:val="350"/>
      <w:numFmt w:val="decimal"/>
      <w:lvlText w:val="%1."/>
      <w:lvlJc w:val="left"/>
      <w:pPr>
        <w:ind w:left="720" w:hanging="360"/>
      </w:pPr>
    </w:lvl>
    <w:lvl w:ilvl="1" w:tplc="F510F37A">
      <w:start w:val="1"/>
      <w:numFmt w:val="lowerLetter"/>
      <w:lvlText w:val="%2."/>
      <w:lvlJc w:val="left"/>
      <w:pPr>
        <w:ind w:left="1440" w:hanging="360"/>
      </w:pPr>
    </w:lvl>
    <w:lvl w:ilvl="2" w:tplc="470E60AC">
      <w:start w:val="1"/>
      <w:numFmt w:val="lowerRoman"/>
      <w:lvlText w:val="%3."/>
      <w:lvlJc w:val="right"/>
      <w:pPr>
        <w:ind w:left="2160" w:hanging="180"/>
      </w:pPr>
    </w:lvl>
    <w:lvl w:ilvl="3" w:tplc="432C5510">
      <w:start w:val="1"/>
      <w:numFmt w:val="decimal"/>
      <w:lvlText w:val="%4."/>
      <w:lvlJc w:val="left"/>
      <w:pPr>
        <w:ind w:left="2880" w:hanging="360"/>
      </w:pPr>
    </w:lvl>
    <w:lvl w:ilvl="4" w:tplc="98D8FE38">
      <w:start w:val="1"/>
      <w:numFmt w:val="lowerLetter"/>
      <w:lvlText w:val="%5."/>
      <w:lvlJc w:val="left"/>
      <w:pPr>
        <w:ind w:left="3600" w:hanging="360"/>
      </w:pPr>
    </w:lvl>
    <w:lvl w:ilvl="5" w:tplc="61EABDA6">
      <w:start w:val="1"/>
      <w:numFmt w:val="lowerRoman"/>
      <w:lvlText w:val="%6."/>
      <w:lvlJc w:val="right"/>
      <w:pPr>
        <w:ind w:left="4320" w:hanging="180"/>
      </w:pPr>
    </w:lvl>
    <w:lvl w:ilvl="6" w:tplc="326821A2">
      <w:start w:val="1"/>
      <w:numFmt w:val="decimal"/>
      <w:lvlText w:val="%7."/>
      <w:lvlJc w:val="left"/>
      <w:pPr>
        <w:ind w:left="5040" w:hanging="360"/>
      </w:pPr>
    </w:lvl>
    <w:lvl w:ilvl="7" w:tplc="CE88D7DC">
      <w:start w:val="1"/>
      <w:numFmt w:val="lowerLetter"/>
      <w:lvlText w:val="%8."/>
      <w:lvlJc w:val="left"/>
      <w:pPr>
        <w:ind w:left="5760" w:hanging="360"/>
      </w:pPr>
    </w:lvl>
    <w:lvl w:ilvl="8" w:tplc="B9CC51BA">
      <w:start w:val="1"/>
      <w:numFmt w:val="lowerRoman"/>
      <w:lvlText w:val="%9."/>
      <w:lvlJc w:val="right"/>
      <w:pPr>
        <w:ind w:left="6480" w:hanging="180"/>
      </w:pPr>
    </w:lvl>
  </w:abstractNum>
  <w:abstractNum w:abstractNumId="22" w15:restartNumberingAfterBreak="0">
    <w:nsid w:val="105F31AF"/>
    <w:multiLevelType w:val="hybridMultilevel"/>
    <w:tmpl w:val="CF86D368"/>
    <w:lvl w:ilvl="0" w:tplc="FFFFFFFF">
      <w:start w:val="1"/>
      <w:numFmt w:val="decimal"/>
      <w:pStyle w:val="ReportParagraph"/>
      <w:lvlText w:val="%1."/>
      <w:lvlJc w:val="left"/>
      <w:pPr>
        <w:ind w:left="851" w:hanging="851"/>
      </w:pPr>
      <w:rPr>
        <w:b w:val="0"/>
        <w:i w:val="0"/>
        <w:color w:val="auto"/>
        <w:sz w:val="22"/>
        <w:szCs w:val="24"/>
        <w:vertAlign w:val="baseline"/>
      </w:rPr>
    </w:lvl>
    <w:lvl w:ilvl="1" w:tplc="2A100AB4">
      <w:start w:val="1"/>
      <w:numFmt w:val="bullet"/>
      <w:lvlText w:val=""/>
      <w:lvlJc w:val="left"/>
      <w:pPr>
        <w:tabs>
          <w:tab w:val="num" w:pos="9072"/>
        </w:tabs>
        <w:ind w:left="1701" w:hanging="850"/>
      </w:pPr>
      <w:rPr>
        <w:rFonts w:ascii="Symbol" w:hAnsi="Symbol" w:hint="default"/>
        <w:b w:val="0"/>
        <w:color w:val="auto"/>
      </w:rPr>
    </w:lvl>
    <w:lvl w:ilvl="2" w:tplc="11B6DC00">
      <w:start w:val="1"/>
      <w:numFmt w:val="bullet"/>
      <w:lvlText w:val=""/>
      <w:lvlJc w:val="left"/>
      <w:pPr>
        <w:ind w:left="2552" w:hanging="851"/>
      </w:pPr>
      <w:rPr>
        <w:rFonts w:ascii="Symbol" w:hAnsi="Symbol" w:hint="default"/>
        <w:b w:val="0"/>
      </w:rPr>
    </w:lvl>
    <w:lvl w:ilvl="3" w:tplc="9828D528">
      <w:start w:val="1"/>
      <w:numFmt w:val="bullet"/>
      <w:lvlText w:val=""/>
      <w:lvlJc w:val="left"/>
      <w:pPr>
        <w:ind w:left="1701" w:hanging="850"/>
      </w:pPr>
      <w:rPr>
        <w:rFonts w:ascii="Symbol" w:hAnsi="Symbol" w:hint="default"/>
        <w:color w:val="auto"/>
      </w:rPr>
    </w:lvl>
    <w:lvl w:ilvl="4" w:tplc="F5428434">
      <w:start w:val="1"/>
      <w:numFmt w:val="lowerLetter"/>
      <w:lvlText w:val="%5."/>
      <w:lvlJc w:val="left"/>
      <w:pPr>
        <w:ind w:left="7569" w:hanging="360"/>
      </w:pPr>
    </w:lvl>
    <w:lvl w:ilvl="5" w:tplc="29F4B974">
      <w:start w:val="1"/>
      <w:numFmt w:val="lowerRoman"/>
      <w:lvlText w:val="%6."/>
      <w:lvlJc w:val="right"/>
      <w:pPr>
        <w:ind w:left="8289" w:hanging="180"/>
      </w:pPr>
    </w:lvl>
    <w:lvl w:ilvl="6" w:tplc="1C6CBE32">
      <w:start w:val="1"/>
      <w:numFmt w:val="decimal"/>
      <w:lvlText w:val="%7."/>
      <w:lvlJc w:val="left"/>
      <w:pPr>
        <w:ind w:left="9009" w:hanging="360"/>
      </w:pPr>
    </w:lvl>
    <w:lvl w:ilvl="7" w:tplc="382A122C">
      <w:start w:val="1"/>
      <w:numFmt w:val="lowerLetter"/>
      <w:lvlText w:val="%8."/>
      <w:lvlJc w:val="left"/>
      <w:pPr>
        <w:ind w:left="9729" w:hanging="360"/>
      </w:pPr>
    </w:lvl>
    <w:lvl w:ilvl="8" w:tplc="8B804E7C">
      <w:start w:val="1"/>
      <w:numFmt w:val="lowerRoman"/>
      <w:lvlText w:val="%9."/>
      <w:lvlJc w:val="right"/>
      <w:pPr>
        <w:ind w:left="10449" w:hanging="180"/>
      </w:pPr>
    </w:lvl>
  </w:abstractNum>
  <w:abstractNum w:abstractNumId="23" w15:restartNumberingAfterBreak="0">
    <w:nsid w:val="10900699"/>
    <w:multiLevelType w:val="hybridMultilevel"/>
    <w:tmpl w:val="7E807B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23788AD"/>
    <w:multiLevelType w:val="hybridMultilevel"/>
    <w:tmpl w:val="FFFFFFFF"/>
    <w:lvl w:ilvl="0" w:tplc="718ECA28">
      <w:start w:val="348"/>
      <w:numFmt w:val="decimal"/>
      <w:lvlText w:val="%1."/>
      <w:lvlJc w:val="left"/>
      <w:pPr>
        <w:ind w:left="720" w:hanging="360"/>
      </w:pPr>
    </w:lvl>
    <w:lvl w:ilvl="1" w:tplc="1B5043EA">
      <w:start w:val="1"/>
      <w:numFmt w:val="lowerLetter"/>
      <w:lvlText w:val="%2."/>
      <w:lvlJc w:val="left"/>
      <w:pPr>
        <w:ind w:left="1440" w:hanging="360"/>
      </w:pPr>
    </w:lvl>
    <w:lvl w:ilvl="2" w:tplc="BF1E5C90">
      <w:start w:val="1"/>
      <w:numFmt w:val="lowerRoman"/>
      <w:lvlText w:val="%3."/>
      <w:lvlJc w:val="right"/>
      <w:pPr>
        <w:ind w:left="2160" w:hanging="180"/>
      </w:pPr>
    </w:lvl>
    <w:lvl w:ilvl="3" w:tplc="5270E748">
      <w:start w:val="1"/>
      <w:numFmt w:val="decimal"/>
      <w:lvlText w:val="%4."/>
      <w:lvlJc w:val="left"/>
      <w:pPr>
        <w:ind w:left="2880" w:hanging="360"/>
      </w:pPr>
    </w:lvl>
    <w:lvl w:ilvl="4" w:tplc="43FEC81A">
      <w:start w:val="1"/>
      <w:numFmt w:val="lowerLetter"/>
      <w:lvlText w:val="%5."/>
      <w:lvlJc w:val="left"/>
      <w:pPr>
        <w:ind w:left="3600" w:hanging="360"/>
      </w:pPr>
    </w:lvl>
    <w:lvl w:ilvl="5" w:tplc="0A50FF8C">
      <w:start w:val="1"/>
      <w:numFmt w:val="lowerRoman"/>
      <w:lvlText w:val="%6."/>
      <w:lvlJc w:val="right"/>
      <w:pPr>
        <w:ind w:left="4320" w:hanging="180"/>
      </w:pPr>
    </w:lvl>
    <w:lvl w:ilvl="6" w:tplc="3176EA58">
      <w:start w:val="1"/>
      <w:numFmt w:val="decimal"/>
      <w:lvlText w:val="%7."/>
      <w:lvlJc w:val="left"/>
      <w:pPr>
        <w:ind w:left="5040" w:hanging="360"/>
      </w:pPr>
    </w:lvl>
    <w:lvl w:ilvl="7" w:tplc="B55E875C">
      <w:start w:val="1"/>
      <w:numFmt w:val="lowerLetter"/>
      <w:lvlText w:val="%8."/>
      <w:lvlJc w:val="left"/>
      <w:pPr>
        <w:ind w:left="5760" w:hanging="360"/>
      </w:pPr>
    </w:lvl>
    <w:lvl w:ilvl="8" w:tplc="56C400A4">
      <w:start w:val="1"/>
      <w:numFmt w:val="lowerRoman"/>
      <w:lvlText w:val="%9."/>
      <w:lvlJc w:val="right"/>
      <w:pPr>
        <w:ind w:left="6480" w:hanging="180"/>
      </w:pPr>
    </w:lvl>
  </w:abstractNum>
  <w:abstractNum w:abstractNumId="25" w15:restartNumberingAfterBreak="0">
    <w:nsid w:val="13DEB1C6"/>
    <w:multiLevelType w:val="hybridMultilevel"/>
    <w:tmpl w:val="FFFFFFFF"/>
    <w:lvl w:ilvl="0" w:tplc="F528A8EE">
      <w:start w:val="353"/>
      <w:numFmt w:val="decimal"/>
      <w:lvlText w:val="%1."/>
      <w:lvlJc w:val="left"/>
      <w:pPr>
        <w:ind w:left="720" w:hanging="360"/>
      </w:pPr>
    </w:lvl>
    <w:lvl w:ilvl="1" w:tplc="2B967EE2">
      <w:start w:val="1"/>
      <w:numFmt w:val="lowerLetter"/>
      <w:lvlText w:val="%2."/>
      <w:lvlJc w:val="left"/>
      <w:pPr>
        <w:ind w:left="1440" w:hanging="360"/>
      </w:pPr>
    </w:lvl>
    <w:lvl w:ilvl="2" w:tplc="4C245BA0">
      <w:start w:val="1"/>
      <w:numFmt w:val="lowerRoman"/>
      <w:lvlText w:val="%3."/>
      <w:lvlJc w:val="right"/>
      <w:pPr>
        <w:ind w:left="2160" w:hanging="180"/>
      </w:pPr>
    </w:lvl>
    <w:lvl w:ilvl="3" w:tplc="8286CE1A">
      <w:start w:val="1"/>
      <w:numFmt w:val="decimal"/>
      <w:lvlText w:val="%4."/>
      <w:lvlJc w:val="left"/>
      <w:pPr>
        <w:ind w:left="2880" w:hanging="360"/>
      </w:pPr>
    </w:lvl>
    <w:lvl w:ilvl="4" w:tplc="3D7AE5D6">
      <w:start w:val="1"/>
      <w:numFmt w:val="lowerLetter"/>
      <w:lvlText w:val="%5."/>
      <w:lvlJc w:val="left"/>
      <w:pPr>
        <w:ind w:left="3600" w:hanging="360"/>
      </w:pPr>
    </w:lvl>
    <w:lvl w:ilvl="5" w:tplc="FFE0EEB2">
      <w:start w:val="1"/>
      <w:numFmt w:val="lowerRoman"/>
      <w:lvlText w:val="%6."/>
      <w:lvlJc w:val="right"/>
      <w:pPr>
        <w:ind w:left="4320" w:hanging="180"/>
      </w:pPr>
    </w:lvl>
    <w:lvl w:ilvl="6" w:tplc="E1C02EC0">
      <w:start w:val="1"/>
      <w:numFmt w:val="decimal"/>
      <w:lvlText w:val="%7."/>
      <w:lvlJc w:val="left"/>
      <w:pPr>
        <w:ind w:left="5040" w:hanging="360"/>
      </w:pPr>
    </w:lvl>
    <w:lvl w:ilvl="7" w:tplc="E092DC28">
      <w:start w:val="1"/>
      <w:numFmt w:val="lowerLetter"/>
      <w:lvlText w:val="%8."/>
      <w:lvlJc w:val="left"/>
      <w:pPr>
        <w:ind w:left="5760" w:hanging="360"/>
      </w:pPr>
    </w:lvl>
    <w:lvl w:ilvl="8" w:tplc="77F6BA2A">
      <w:start w:val="1"/>
      <w:numFmt w:val="lowerRoman"/>
      <w:lvlText w:val="%9."/>
      <w:lvlJc w:val="right"/>
      <w:pPr>
        <w:ind w:left="6480" w:hanging="180"/>
      </w:pPr>
    </w:lvl>
  </w:abstractNum>
  <w:abstractNum w:abstractNumId="26" w15:restartNumberingAfterBreak="0">
    <w:nsid w:val="13F595B2"/>
    <w:multiLevelType w:val="hybridMultilevel"/>
    <w:tmpl w:val="FFFFFFFF"/>
    <w:lvl w:ilvl="0" w:tplc="15746EDA">
      <w:start w:val="351"/>
      <w:numFmt w:val="decimal"/>
      <w:lvlText w:val="%1."/>
      <w:lvlJc w:val="left"/>
      <w:pPr>
        <w:ind w:left="720" w:hanging="360"/>
      </w:pPr>
    </w:lvl>
    <w:lvl w:ilvl="1" w:tplc="FCDC18FE">
      <w:start w:val="1"/>
      <w:numFmt w:val="lowerLetter"/>
      <w:lvlText w:val="%2."/>
      <w:lvlJc w:val="left"/>
      <w:pPr>
        <w:ind w:left="1440" w:hanging="360"/>
      </w:pPr>
    </w:lvl>
    <w:lvl w:ilvl="2" w:tplc="3922573E">
      <w:start w:val="1"/>
      <w:numFmt w:val="lowerRoman"/>
      <w:lvlText w:val="%3."/>
      <w:lvlJc w:val="right"/>
      <w:pPr>
        <w:ind w:left="2160" w:hanging="180"/>
      </w:pPr>
    </w:lvl>
    <w:lvl w:ilvl="3" w:tplc="69A8BC80">
      <w:start w:val="1"/>
      <w:numFmt w:val="decimal"/>
      <w:lvlText w:val="%4."/>
      <w:lvlJc w:val="left"/>
      <w:pPr>
        <w:ind w:left="2880" w:hanging="360"/>
      </w:pPr>
    </w:lvl>
    <w:lvl w:ilvl="4" w:tplc="1F58DAEE">
      <w:start w:val="1"/>
      <w:numFmt w:val="lowerLetter"/>
      <w:lvlText w:val="%5."/>
      <w:lvlJc w:val="left"/>
      <w:pPr>
        <w:ind w:left="3600" w:hanging="360"/>
      </w:pPr>
    </w:lvl>
    <w:lvl w:ilvl="5" w:tplc="86366210">
      <w:start w:val="1"/>
      <w:numFmt w:val="lowerRoman"/>
      <w:lvlText w:val="%6."/>
      <w:lvlJc w:val="right"/>
      <w:pPr>
        <w:ind w:left="4320" w:hanging="180"/>
      </w:pPr>
    </w:lvl>
    <w:lvl w:ilvl="6" w:tplc="8E4C9632">
      <w:start w:val="1"/>
      <w:numFmt w:val="decimal"/>
      <w:lvlText w:val="%7."/>
      <w:lvlJc w:val="left"/>
      <w:pPr>
        <w:ind w:left="5040" w:hanging="360"/>
      </w:pPr>
    </w:lvl>
    <w:lvl w:ilvl="7" w:tplc="7EC60AA0">
      <w:start w:val="1"/>
      <w:numFmt w:val="lowerLetter"/>
      <w:lvlText w:val="%8."/>
      <w:lvlJc w:val="left"/>
      <w:pPr>
        <w:ind w:left="5760" w:hanging="360"/>
      </w:pPr>
    </w:lvl>
    <w:lvl w:ilvl="8" w:tplc="ECE6EC36">
      <w:start w:val="1"/>
      <w:numFmt w:val="lowerRoman"/>
      <w:lvlText w:val="%9."/>
      <w:lvlJc w:val="right"/>
      <w:pPr>
        <w:ind w:left="6480" w:hanging="180"/>
      </w:pPr>
    </w:lvl>
  </w:abstractNum>
  <w:abstractNum w:abstractNumId="27" w15:restartNumberingAfterBreak="0">
    <w:nsid w:val="158680E6"/>
    <w:multiLevelType w:val="hybridMultilevel"/>
    <w:tmpl w:val="FFFFFFFF"/>
    <w:lvl w:ilvl="0" w:tplc="0430E1C2">
      <w:start w:val="357"/>
      <w:numFmt w:val="decimal"/>
      <w:lvlText w:val="%1."/>
      <w:lvlJc w:val="left"/>
      <w:pPr>
        <w:ind w:left="720" w:hanging="360"/>
      </w:pPr>
    </w:lvl>
    <w:lvl w:ilvl="1" w:tplc="70644784">
      <w:start w:val="1"/>
      <w:numFmt w:val="lowerLetter"/>
      <w:lvlText w:val="%2."/>
      <w:lvlJc w:val="left"/>
      <w:pPr>
        <w:ind w:left="1440" w:hanging="360"/>
      </w:pPr>
    </w:lvl>
    <w:lvl w:ilvl="2" w:tplc="28A4A2EE">
      <w:start w:val="1"/>
      <w:numFmt w:val="lowerRoman"/>
      <w:lvlText w:val="%3."/>
      <w:lvlJc w:val="right"/>
      <w:pPr>
        <w:ind w:left="2160" w:hanging="180"/>
      </w:pPr>
    </w:lvl>
    <w:lvl w:ilvl="3" w:tplc="0F848BF0">
      <w:start w:val="1"/>
      <w:numFmt w:val="decimal"/>
      <w:lvlText w:val="%4."/>
      <w:lvlJc w:val="left"/>
      <w:pPr>
        <w:ind w:left="2880" w:hanging="360"/>
      </w:pPr>
    </w:lvl>
    <w:lvl w:ilvl="4" w:tplc="0548E170">
      <w:start w:val="1"/>
      <w:numFmt w:val="lowerLetter"/>
      <w:lvlText w:val="%5."/>
      <w:lvlJc w:val="left"/>
      <w:pPr>
        <w:ind w:left="3600" w:hanging="360"/>
      </w:pPr>
    </w:lvl>
    <w:lvl w:ilvl="5" w:tplc="46BCF2FC">
      <w:start w:val="1"/>
      <w:numFmt w:val="lowerRoman"/>
      <w:lvlText w:val="%6."/>
      <w:lvlJc w:val="right"/>
      <w:pPr>
        <w:ind w:left="4320" w:hanging="180"/>
      </w:pPr>
    </w:lvl>
    <w:lvl w:ilvl="6" w:tplc="417EC9A0">
      <w:start w:val="1"/>
      <w:numFmt w:val="decimal"/>
      <w:lvlText w:val="%7."/>
      <w:lvlJc w:val="left"/>
      <w:pPr>
        <w:ind w:left="5040" w:hanging="360"/>
      </w:pPr>
    </w:lvl>
    <w:lvl w:ilvl="7" w:tplc="779AEE9C">
      <w:start w:val="1"/>
      <w:numFmt w:val="lowerLetter"/>
      <w:lvlText w:val="%8."/>
      <w:lvlJc w:val="left"/>
      <w:pPr>
        <w:ind w:left="5760" w:hanging="360"/>
      </w:pPr>
    </w:lvl>
    <w:lvl w:ilvl="8" w:tplc="7108BF8E">
      <w:start w:val="1"/>
      <w:numFmt w:val="lowerRoman"/>
      <w:lvlText w:val="%9."/>
      <w:lvlJc w:val="right"/>
      <w:pPr>
        <w:ind w:left="6480" w:hanging="180"/>
      </w:pPr>
    </w:lvl>
  </w:abstractNum>
  <w:abstractNum w:abstractNumId="28" w15:restartNumberingAfterBreak="0">
    <w:nsid w:val="170C6F85"/>
    <w:multiLevelType w:val="multilevel"/>
    <w:tmpl w:val="294CC0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18815F53"/>
    <w:multiLevelType w:val="hybridMultilevel"/>
    <w:tmpl w:val="FFFFFFFF"/>
    <w:lvl w:ilvl="0" w:tplc="FBB60B4C">
      <w:start w:val="348"/>
      <w:numFmt w:val="decimal"/>
      <w:lvlText w:val="%1."/>
      <w:lvlJc w:val="left"/>
      <w:pPr>
        <w:ind w:left="720" w:hanging="360"/>
      </w:pPr>
    </w:lvl>
    <w:lvl w:ilvl="1" w:tplc="A5CE7B2A">
      <w:start w:val="1"/>
      <w:numFmt w:val="lowerLetter"/>
      <w:lvlText w:val="%2."/>
      <w:lvlJc w:val="left"/>
      <w:pPr>
        <w:ind w:left="1440" w:hanging="360"/>
      </w:pPr>
    </w:lvl>
    <w:lvl w:ilvl="2" w:tplc="8D009CAC">
      <w:start w:val="1"/>
      <w:numFmt w:val="lowerRoman"/>
      <w:lvlText w:val="%3."/>
      <w:lvlJc w:val="right"/>
      <w:pPr>
        <w:ind w:left="2160" w:hanging="180"/>
      </w:pPr>
    </w:lvl>
    <w:lvl w:ilvl="3" w:tplc="1A86F206">
      <w:start w:val="1"/>
      <w:numFmt w:val="decimal"/>
      <w:lvlText w:val="%4."/>
      <w:lvlJc w:val="left"/>
      <w:pPr>
        <w:ind w:left="2880" w:hanging="360"/>
      </w:pPr>
    </w:lvl>
    <w:lvl w:ilvl="4" w:tplc="52F4ABF8">
      <w:start w:val="1"/>
      <w:numFmt w:val="lowerLetter"/>
      <w:lvlText w:val="%5."/>
      <w:lvlJc w:val="left"/>
      <w:pPr>
        <w:ind w:left="3600" w:hanging="360"/>
      </w:pPr>
    </w:lvl>
    <w:lvl w:ilvl="5" w:tplc="E56CE0B4">
      <w:start w:val="1"/>
      <w:numFmt w:val="lowerRoman"/>
      <w:lvlText w:val="%6."/>
      <w:lvlJc w:val="right"/>
      <w:pPr>
        <w:ind w:left="4320" w:hanging="180"/>
      </w:pPr>
    </w:lvl>
    <w:lvl w:ilvl="6" w:tplc="0F50CB9E">
      <w:start w:val="1"/>
      <w:numFmt w:val="decimal"/>
      <w:lvlText w:val="%7."/>
      <w:lvlJc w:val="left"/>
      <w:pPr>
        <w:ind w:left="5040" w:hanging="360"/>
      </w:pPr>
    </w:lvl>
    <w:lvl w:ilvl="7" w:tplc="299CADC8">
      <w:start w:val="1"/>
      <w:numFmt w:val="lowerLetter"/>
      <w:lvlText w:val="%8."/>
      <w:lvlJc w:val="left"/>
      <w:pPr>
        <w:ind w:left="5760" w:hanging="360"/>
      </w:pPr>
    </w:lvl>
    <w:lvl w:ilvl="8" w:tplc="67A46376">
      <w:start w:val="1"/>
      <w:numFmt w:val="lowerRoman"/>
      <w:lvlText w:val="%9."/>
      <w:lvlJc w:val="right"/>
      <w:pPr>
        <w:ind w:left="6480" w:hanging="180"/>
      </w:pPr>
    </w:lvl>
  </w:abstractNum>
  <w:abstractNum w:abstractNumId="30" w15:restartNumberingAfterBreak="0">
    <w:nsid w:val="18FC371C"/>
    <w:multiLevelType w:val="hybridMultilevel"/>
    <w:tmpl w:val="C47E9748"/>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32" w15:restartNumberingAfterBreak="0">
    <w:nsid w:val="19B0300C"/>
    <w:multiLevelType w:val="hybridMultilevel"/>
    <w:tmpl w:val="DFAC5574"/>
    <w:lvl w:ilvl="0" w:tplc="426ED21A">
      <w:start w:val="1993"/>
      <w:numFmt w:val="bullet"/>
      <w:lvlText w:val="-"/>
      <w:lvlJc w:val="left"/>
      <w:pPr>
        <w:ind w:left="1494" w:hanging="360"/>
      </w:pPr>
      <w:rPr>
        <w:rFonts w:ascii="Calibri" w:eastAsiaTheme="minorHAnsi" w:hAnsi="Calibri" w:cs="Calibri" w:hint="default"/>
        <w:b w:val="0"/>
      </w:rPr>
    </w:lvl>
    <w:lvl w:ilvl="1" w:tplc="14090003">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33" w15:restartNumberingAfterBreak="0">
    <w:nsid w:val="1A39C42A"/>
    <w:multiLevelType w:val="hybridMultilevel"/>
    <w:tmpl w:val="FFFFFFFF"/>
    <w:lvl w:ilvl="0" w:tplc="20E2FFDC">
      <w:start w:val="1"/>
      <w:numFmt w:val="bullet"/>
      <w:lvlText w:val="·"/>
      <w:lvlJc w:val="left"/>
      <w:pPr>
        <w:ind w:left="720" w:hanging="360"/>
      </w:pPr>
      <w:rPr>
        <w:rFonts w:ascii="Symbol" w:hAnsi="Symbol" w:hint="default"/>
      </w:rPr>
    </w:lvl>
    <w:lvl w:ilvl="1" w:tplc="58A2B04C">
      <w:start w:val="1"/>
      <w:numFmt w:val="bullet"/>
      <w:lvlText w:val="o"/>
      <w:lvlJc w:val="left"/>
      <w:pPr>
        <w:ind w:left="1440" w:hanging="360"/>
      </w:pPr>
      <w:rPr>
        <w:rFonts w:ascii="Courier New" w:hAnsi="Courier New" w:hint="default"/>
      </w:rPr>
    </w:lvl>
    <w:lvl w:ilvl="2" w:tplc="C916D5DA">
      <w:start w:val="1"/>
      <w:numFmt w:val="bullet"/>
      <w:lvlText w:val=""/>
      <w:lvlJc w:val="left"/>
      <w:pPr>
        <w:ind w:left="2160" w:hanging="360"/>
      </w:pPr>
      <w:rPr>
        <w:rFonts w:ascii="Wingdings" w:hAnsi="Wingdings" w:hint="default"/>
      </w:rPr>
    </w:lvl>
    <w:lvl w:ilvl="3" w:tplc="C41AAA60">
      <w:start w:val="1"/>
      <w:numFmt w:val="bullet"/>
      <w:lvlText w:val=""/>
      <w:lvlJc w:val="left"/>
      <w:pPr>
        <w:ind w:left="2880" w:hanging="360"/>
      </w:pPr>
      <w:rPr>
        <w:rFonts w:ascii="Symbol" w:hAnsi="Symbol" w:hint="default"/>
      </w:rPr>
    </w:lvl>
    <w:lvl w:ilvl="4" w:tplc="AA2CFC3A">
      <w:start w:val="1"/>
      <w:numFmt w:val="bullet"/>
      <w:lvlText w:val="o"/>
      <w:lvlJc w:val="left"/>
      <w:pPr>
        <w:ind w:left="3600" w:hanging="360"/>
      </w:pPr>
      <w:rPr>
        <w:rFonts w:ascii="Courier New" w:hAnsi="Courier New" w:hint="default"/>
      </w:rPr>
    </w:lvl>
    <w:lvl w:ilvl="5" w:tplc="DDD862BE">
      <w:start w:val="1"/>
      <w:numFmt w:val="bullet"/>
      <w:lvlText w:val=""/>
      <w:lvlJc w:val="left"/>
      <w:pPr>
        <w:ind w:left="4320" w:hanging="360"/>
      </w:pPr>
      <w:rPr>
        <w:rFonts w:ascii="Wingdings" w:hAnsi="Wingdings" w:hint="default"/>
      </w:rPr>
    </w:lvl>
    <w:lvl w:ilvl="6" w:tplc="A92A63E6">
      <w:start w:val="1"/>
      <w:numFmt w:val="bullet"/>
      <w:lvlText w:val=""/>
      <w:lvlJc w:val="left"/>
      <w:pPr>
        <w:ind w:left="5040" w:hanging="360"/>
      </w:pPr>
      <w:rPr>
        <w:rFonts w:ascii="Symbol" w:hAnsi="Symbol" w:hint="default"/>
      </w:rPr>
    </w:lvl>
    <w:lvl w:ilvl="7" w:tplc="FB36DE4A">
      <w:start w:val="1"/>
      <w:numFmt w:val="bullet"/>
      <w:lvlText w:val="o"/>
      <w:lvlJc w:val="left"/>
      <w:pPr>
        <w:ind w:left="5760" w:hanging="360"/>
      </w:pPr>
      <w:rPr>
        <w:rFonts w:ascii="Courier New" w:hAnsi="Courier New" w:hint="default"/>
      </w:rPr>
    </w:lvl>
    <w:lvl w:ilvl="8" w:tplc="821E2D54">
      <w:start w:val="1"/>
      <w:numFmt w:val="bullet"/>
      <w:lvlText w:val=""/>
      <w:lvlJc w:val="left"/>
      <w:pPr>
        <w:ind w:left="6480" w:hanging="360"/>
      </w:pPr>
      <w:rPr>
        <w:rFonts w:ascii="Wingdings" w:hAnsi="Wingdings" w:hint="default"/>
      </w:rPr>
    </w:lvl>
  </w:abstractNum>
  <w:abstractNum w:abstractNumId="34" w15:restartNumberingAfterBreak="0">
    <w:nsid w:val="1A8D90C2"/>
    <w:multiLevelType w:val="hybridMultilevel"/>
    <w:tmpl w:val="FFFFFFFF"/>
    <w:lvl w:ilvl="0" w:tplc="A998CB50">
      <w:start w:val="1"/>
      <w:numFmt w:val="bullet"/>
      <w:lvlText w:val="·"/>
      <w:lvlJc w:val="left"/>
      <w:pPr>
        <w:ind w:left="720" w:hanging="360"/>
      </w:pPr>
      <w:rPr>
        <w:rFonts w:ascii="Symbol" w:hAnsi="Symbol" w:hint="default"/>
      </w:rPr>
    </w:lvl>
    <w:lvl w:ilvl="1" w:tplc="34203A56">
      <w:start w:val="1"/>
      <w:numFmt w:val="bullet"/>
      <w:lvlText w:val="o"/>
      <w:lvlJc w:val="left"/>
      <w:pPr>
        <w:ind w:left="1440" w:hanging="360"/>
      </w:pPr>
      <w:rPr>
        <w:rFonts w:ascii="Courier New" w:hAnsi="Courier New" w:hint="default"/>
      </w:rPr>
    </w:lvl>
    <w:lvl w:ilvl="2" w:tplc="6EEE1E88">
      <w:start w:val="1"/>
      <w:numFmt w:val="bullet"/>
      <w:lvlText w:val=""/>
      <w:lvlJc w:val="left"/>
      <w:pPr>
        <w:ind w:left="2160" w:hanging="360"/>
      </w:pPr>
      <w:rPr>
        <w:rFonts w:ascii="Wingdings" w:hAnsi="Wingdings" w:hint="default"/>
      </w:rPr>
    </w:lvl>
    <w:lvl w:ilvl="3" w:tplc="C330A260">
      <w:start w:val="1"/>
      <w:numFmt w:val="bullet"/>
      <w:lvlText w:val=""/>
      <w:lvlJc w:val="left"/>
      <w:pPr>
        <w:ind w:left="2880" w:hanging="360"/>
      </w:pPr>
      <w:rPr>
        <w:rFonts w:ascii="Symbol" w:hAnsi="Symbol" w:hint="default"/>
      </w:rPr>
    </w:lvl>
    <w:lvl w:ilvl="4" w:tplc="E35600D0">
      <w:start w:val="1"/>
      <w:numFmt w:val="bullet"/>
      <w:lvlText w:val="o"/>
      <w:lvlJc w:val="left"/>
      <w:pPr>
        <w:ind w:left="3600" w:hanging="360"/>
      </w:pPr>
      <w:rPr>
        <w:rFonts w:ascii="Courier New" w:hAnsi="Courier New" w:hint="default"/>
      </w:rPr>
    </w:lvl>
    <w:lvl w:ilvl="5" w:tplc="A06CF094">
      <w:start w:val="1"/>
      <w:numFmt w:val="bullet"/>
      <w:lvlText w:val=""/>
      <w:lvlJc w:val="left"/>
      <w:pPr>
        <w:ind w:left="4320" w:hanging="360"/>
      </w:pPr>
      <w:rPr>
        <w:rFonts w:ascii="Wingdings" w:hAnsi="Wingdings" w:hint="default"/>
      </w:rPr>
    </w:lvl>
    <w:lvl w:ilvl="6" w:tplc="1C6A9024">
      <w:start w:val="1"/>
      <w:numFmt w:val="bullet"/>
      <w:lvlText w:val=""/>
      <w:lvlJc w:val="left"/>
      <w:pPr>
        <w:ind w:left="5040" w:hanging="360"/>
      </w:pPr>
      <w:rPr>
        <w:rFonts w:ascii="Symbol" w:hAnsi="Symbol" w:hint="default"/>
      </w:rPr>
    </w:lvl>
    <w:lvl w:ilvl="7" w:tplc="489CD8BA">
      <w:start w:val="1"/>
      <w:numFmt w:val="bullet"/>
      <w:lvlText w:val="o"/>
      <w:lvlJc w:val="left"/>
      <w:pPr>
        <w:ind w:left="5760" w:hanging="360"/>
      </w:pPr>
      <w:rPr>
        <w:rFonts w:ascii="Courier New" w:hAnsi="Courier New" w:hint="default"/>
      </w:rPr>
    </w:lvl>
    <w:lvl w:ilvl="8" w:tplc="EBB88720">
      <w:start w:val="1"/>
      <w:numFmt w:val="bullet"/>
      <w:lvlText w:val=""/>
      <w:lvlJc w:val="left"/>
      <w:pPr>
        <w:ind w:left="6480" w:hanging="360"/>
      </w:pPr>
      <w:rPr>
        <w:rFonts w:ascii="Wingdings" w:hAnsi="Wingdings" w:hint="default"/>
      </w:rPr>
    </w:lvl>
  </w:abstractNum>
  <w:abstractNum w:abstractNumId="35" w15:restartNumberingAfterBreak="0">
    <w:nsid w:val="1BE00D10"/>
    <w:multiLevelType w:val="hybridMultilevel"/>
    <w:tmpl w:val="A006B8B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1C491C2B"/>
    <w:multiLevelType w:val="hybridMultilevel"/>
    <w:tmpl w:val="FFFFFFFF"/>
    <w:lvl w:ilvl="0" w:tplc="AE2C7AB4">
      <w:start w:val="349"/>
      <w:numFmt w:val="decimal"/>
      <w:lvlText w:val="%1."/>
      <w:lvlJc w:val="left"/>
      <w:pPr>
        <w:ind w:left="720" w:hanging="360"/>
      </w:pPr>
    </w:lvl>
    <w:lvl w:ilvl="1" w:tplc="A95CABCC">
      <w:start w:val="1"/>
      <w:numFmt w:val="lowerLetter"/>
      <w:lvlText w:val="%2."/>
      <w:lvlJc w:val="left"/>
      <w:pPr>
        <w:ind w:left="1440" w:hanging="360"/>
      </w:pPr>
    </w:lvl>
    <w:lvl w:ilvl="2" w:tplc="2AC06AFA">
      <w:start w:val="1"/>
      <w:numFmt w:val="lowerRoman"/>
      <w:lvlText w:val="%3."/>
      <w:lvlJc w:val="right"/>
      <w:pPr>
        <w:ind w:left="2160" w:hanging="180"/>
      </w:pPr>
    </w:lvl>
    <w:lvl w:ilvl="3" w:tplc="67F0BD34">
      <w:start w:val="1"/>
      <w:numFmt w:val="decimal"/>
      <w:lvlText w:val="%4."/>
      <w:lvlJc w:val="left"/>
      <w:pPr>
        <w:ind w:left="2880" w:hanging="360"/>
      </w:pPr>
    </w:lvl>
    <w:lvl w:ilvl="4" w:tplc="243ED0D4">
      <w:start w:val="1"/>
      <w:numFmt w:val="lowerLetter"/>
      <w:lvlText w:val="%5."/>
      <w:lvlJc w:val="left"/>
      <w:pPr>
        <w:ind w:left="3600" w:hanging="360"/>
      </w:pPr>
    </w:lvl>
    <w:lvl w:ilvl="5" w:tplc="120A90E0">
      <w:start w:val="1"/>
      <w:numFmt w:val="lowerRoman"/>
      <w:lvlText w:val="%6."/>
      <w:lvlJc w:val="right"/>
      <w:pPr>
        <w:ind w:left="4320" w:hanging="180"/>
      </w:pPr>
    </w:lvl>
    <w:lvl w:ilvl="6" w:tplc="888249DE">
      <w:start w:val="1"/>
      <w:numFmt w:val="decimal"/>
      <w:lvlText w:val="%7."/>
      <w:lvlJc w:val="left"/>
      <w:pPr>
        <w:ind w:left="5040" w:hanging="360"/>
      </w:pPr>
    </w:lvl>
    <w:lvl w:ilvl="7" w:tplc="5B7AAF36">
      <w:start w:val="1"/>
      <w:numFmt w:val="lowerLetter"/>
      <w:lvlText w:val="%8."/>
      <w:lvlJc w:val="left"/>
      <w:pPr>
        <w:ind w:left="5760" w:hanging="360"/>
      </w:pPr>
    </w:lvl>
    <w:lvl w:ilvl="8" w:tplc="328CAEC0">
      <w:start w:val="1"/>
      <w:numFmt w:val="lowerRoman"/>
      <w:lvlText w:val="%9."/>
      <w:lvlJc w:val="right"/>
      <w:pPr>
        <w:ind w:left="6480" w:hanging="180"/>
      </w:pPr>
    </w:lvl>
  </w:abstractNum>
  <w:abstractNum w:abstractNumId="37" w15:restartNumberingAfterBreak="0">
    <w:nsid w:val="1F3838F2"/>
    <w:multiLevelType w:val="hybridMultilevel"/>
    <w:tmpl w:val="FFFFFFFF"/>
    <w:lvl w:ilvl="0" w:tplc="C616F7C4">
      <w:start w:val="1"/>
      <w:numFmt w:val="bullet"/>
      <w:lvlText w:val="·"/>
      <w:lvlJc w:val="left"/>
      <w:pPr>
        <w:ind w:left="720" w:hanging="360"/>
      </w:pPr>
      <w:rPr>
        <w:rFonts w:ascii="Symbol" w:hAnsi="Symbol" w:hint="default"/>
      </w:rPr>
    </w:lvl>
    <w:lvl w:ilvl="1" w:tplc="A4B67634">
      <w:start w:val="1"/>
      <w:numFmt w:val="bullet"/>
      <w:lvlText w:val="o"/>
      <w:lvlJc w:val="left"/>
      <w:pPr>
        <w:ind w:left="1440" w:hanging="360"/>
      </w:pPr>
      <w:rPr>
        <w:rFonts w:ascii="Courier New" w:hAnsi="Courier New" w:hint="default"/>
      </w:rPr>
    </w:lvl>
    <w:lvl w:ilvl="2" w:tplc="08701008">
      <w:start w:val="1"/>
      <w:numFmt w:val="bullet"/>
      <w:lvlText w:val=""/>
      <w:lvlJc w:val="left"/>
      <w:pPr>
        <w:ind w:left="2160" w:hanging="360"/>
      </w:pPr>
      <w:rPr>
        <w:rFonts w:ascii="Wingdings" w:hAnsi="Wingdings" w:hint="default"/>
      </w:rPr>
    </w:lvl>
    <w:lvl w:ilvl="3" w:tplc="7E6C8CEA">
      <w:start w:val="1"/>
      <w:numFmt w:val="bullet"/>
      <w:lvlText w:val=""/>
      <w:lvlJc w:val="left"/>
      <w:pPr>
        <w:ind w:left="2880" w:hanging="360"/>
      </w:pPr>
      <w:rPr>
        <w:rFonts w:ascii="Symbol" w:hAnsi="Symbol" w:hint="default"/>
      </w:rPr>
    </w:lvl>
    <w:lvl w:ilvl="4" w:tplc="88B4EF64">
      <w:start w:val="1"/>
      <w:numFmt w:val="bullet"/>
      <w:lvlText w:val="o"/>
      <w:lvlJc w:val="left"/>
      <w:pPr>
        <w:ind w:left="3600" w:hanging="360"/>
      </w:pPr>
      <w:rPr>
        <w:rFonts w:ascii="Courier New" w:hAnsi="Courier New" w:hint="default"/>
      </w:rPr>
    </w:lvl>
    <w:lvl w:ilvl="5" w:tplc="98849FFA">
      <w:start w:val="1"/>
      <w:numFmt w:val="bullet"/>
      <w:lvlText w:val=""/>
      <w:lvlJc w:val="left"/>
      <w:pPr>
        <w:ind w:left="4320" w:hanging="360"/>
      </w:pPr>
      <w:rPr>
        <w:rFonts w:ascii="Wingdings" w:hAnsi="Wingdings" w:hint="default"/>
      </w:rPr>
    </w:lvl>
    <w:lvl w:ilvl="6" w:tplc="AC9EBBC8">
      <w:start w:val="1"/>
      <w:numFmt w:val="bullet"/>
      <w:lvlText w:val=""/>
      <w:lvlJc w:val="left"/>
      <w:pPr>
        <w:ind w:left="5040" w:hanging="360"/>
      </w:pPr>
      <w:rPr>
        <w:rFonts w:ascii="Symbol" w:hAnsi="Symbol" w:hint="default"/>
      </w:rPr>
    </w:lvl>
    <w:lvl w:ilvl="7" w:tplc="63205FF6">
      <w:start w:val="1"/>
      <w:numFmt w:val="bullet"/>
      <w:lvlText w:val="o"/>
      <w:lvlJc w:val="left"/>
      <w:pPr>
        <w:ind w:left="5760" w:hanging="360"/>
      </w:pPr>
      <w:rPr>
        <w:rFonts w:ascii="Courier New" w:hAnsi="Courier New" w:hint="default"/>
      </w:rPr>
    </w:lvl>
    <w:lvl w:ilvl="8" w:tplc="C0E6AF56">
      <w:start w:val="1"/>
      <w:numFmt w:val="bullet"/>
      <w:lvlText w:val=""/>
      <w:lvlJc w:val="left"/>
      <w:pPr>
        <w:ind w:left="6480" w:hanging="360"/>
      </w:pPr>
      <w:rPr>
        <w:rFonts w:ascii="Wingdings" w:hAnsi="Wingdings" w:hint="default"/>
      </w:rPr>
    </w:lvl>
  </w:abstractNum>
  <w:abstractNum w:abstractNumId="38" w15:restartNumberingAfterBreak="0">
    <w:nsid w:val="1F5545B7"/>
    <w:multiLevelType w:val="hybridMultilevel"/>
    <w:tmpl w:val="FFFFFFFF"/>
    <w:lvl w:ilvl="0" w:tplc="CC3258A6">
      <w:start w:val="1"/>
      <w:numFmt w:val="decimal"/>
      <w:lvlText w:val="%1."/>
      <w:lvlJc w:val="left"/>
      <w:pPr>
        <w:ind w:left="720" w:hanging="360"/>
      </w:pPr>
    </w:lvl>
    <w:lvl w:ilvl="1" w:tplc="5290F4A2">
      <w:start w:val="1"/>
      <w:numFmt w:val="lowerLetter"/>
      <w:lvlText w:val="%2."/>
      <w:lvlJc w:val="left"/>
      <w:pPr>
        <w:ind w:left="1440" w:hanging="360"/>
      </w:pPr>
    </w:lvl>
    <w:lvl w:ilvl="2" w:tplc="B008D86A">
      <w:start w:val="1"/>
      <w:numFmt w:val="lowerRoman"/>
      <w:lvlText w:val="%3."/>
      <w:lvlJc w:val="right"/>
      <w:pPr>
        <w:ind w:left="2160" w:hanging="180"/>
      </w:pPr>
    </w:lvl>
    <w:lvl w:ilvl="3" w:tplc="0CCC4D72">
      <w:start w:val="1"/>
      <w:numFmt w:val="decimal"/>
      <w:lvlText w:val="%4."/>
      <w:lvlJc w:val="left"/>
      <w:pPr>
        <w:ind w:left="2880" w:hanging="360"/>
      </w:pPr>
    </w:lvl>
    <w:lvl w:ilvl="4" w:tplc="9BDE0A8A">
      <w:start w:val="1"/>
      <w:numFmt w:val="lowerLetter"/>
      <w:lvlText w:val="%5."/>
      <w:lvlJc w:val="left"/>
      <w:pPr>
        <w:ind w:left="3600" w:hanging="360"/>
      </w:pPr>
    </w:lvl>
    <w:lvl w:ilvl="5" w:tplc="A6F8F6DC">
      <w:start w:val="1"/>
      <w:numFmt w:val="lowerRoman"/>
      <w:lvlText w:val="%6."/>
      <w:lvlJc w:val="right"/>
      <w:pPr>
        <w:ind w:left="4320" w:hanging="180"/>
      </w:pPr>
    </w:lvl>
    <w:lvl w:ilvl="6" w:tplc="F9F0FB1A">
      <w:start w:val="1"/>
      <w:numFmt w:val="decimal"/>
      <w:lvlText w:val="%7."/>
      <w:lvlJc w:val="left"/>
      <w:pPr>
        <w:ind w:left="5040" w:hanging="360"/>
      </w:pPr>
    </w:lvl>
    <w:lvl w:ilvl="7" w:tplc="CDE8E9C6">
      <w:start w:val="1"/>
      <w:numFmt w:val="lowerLetter"/>
      <w:lvlText w:val="%8."/>
      <w:lvlJc w:val="left"/>
      <w:pPr>
        <w:ind w:left="5760" w:hanging="360"/>
      </w:pPr>
    </w:lvl>
    <w:lvl w:ilvl="8" w:tplc="FF0E4CB2">
      <w:start w:val="1"/>
      <w:numFmt w:val="lowerRoman"/>
      <w:lvlText w:val="%9."/>
      <w:lvlJc w:val="right"/>
      <w:pPr>
        <w:ind w:left="6480" w:hanging="180"/>
      </w:pPr>
    </w:lvl>
  </w:abstractNum>
  <w:abstractNum w:abstractNumId="39" w15:restartNumberingAfterBreak="0">
    <w:nsid w:val="1F9DEB46"/>
    <w:multiLevelType w:val="hybridMultilevel"/>
    <w:tmpl w:val="FFFFFFFF"/>
    <w:lvl w:ilvl="0" w:tplc="98E4F0E6">
      <w:start w:val="1"/>
      <w:numFmt w:val="decimal"/>
      <w:lvlText w:val="%1."/>
      <w:lvlJc w:val="left"/>
      <w:pPr>
        <w:ind w:left="720" w:hanging="360"/>
      </w:pPr>
    </w:lvl>
    <w:lvl w:ilvl="1" w:tplc="277C25B2">
      <w:start w:val="1"/>
      <w:numFmt w:val="lowerLetter"/>
      <w:lvlText w:val="%2."/>
      <w:lvlJc w:val="left"/>
      <w:pPr>
        <w:ind w:left="1440" w:hanging="360"/>
      </w:pPr>
    </w:lvl>
    <w:lvl w:ilvl="2" w:tplc="7184342E">
      <w:start w:val="1"/>
      <w:numFmt w:val="lowerRoman"/>
      <w:lvlText w:val="%3."/>
      <w:lvlJc w:val="right"/>
      <w:pPr>
        <w:ind w:left="2160" w:hanging="180"/>
      </w:pPr>
    </w:lvl>
    <w:lvl w:ilvl="3" w:tplc="363E432E">
      <w:start w:val="1"/>
      <w:numFmt w:val="decimal"/>
      <w:lvlText w:val="%4."/>
      <w:lvlJc w:val="left"/>
      <w:pPr>
        <w:ind w:left="2880" w:hanging="360"/>
      </w:pPr>
    </w:lvl>
    <w:lvl w:ilvl="4" w:tplc="D012C9FA">
      <w:start w:val="1"/>
      <w:numFmt w:val="lowerLetter"/>
      <w:lvlText w:val="%5."/>
      <w:lvlJc w:val="left"/>
      <w:pPr>
        <w:ind w:left="3600" w:hanging="360"/>
      </w:pPr>
    </w:lvl>
    <w:lvl w:ilvl="5" w:tplc="3A10D16E">
      <w:start w:val="1"/>
      <w:numFmt w:val="lowerRoman"/>
      <w:lvlText w:val="%6."/>
      <w:lvlJc w:val="right"/>
      <w:pPr>
        <w:ind w:left="4320" w:hanging="180"/>
      </w:pPr>
    </w:lvl>
    <w:lvl w:ilvl="6" w:tplc="11B6DBC6">
      <w:start w:val="1"/>
      <w:numFmt w:val="decimal"/>
      <w:lvlText w:val="%7."/>
      <w:lvlJc w:val="left"/>
      <w:pPr>
        <w:ind w:left="5040" w:hanging="360"/>
      </w:pPr>
    </w:lvl>
    <w:lvl w:ilvl="7" w:tplc="C6E4C332">
      <w:start w:val="1"/>
      <w:numFmt w:val="lowerLetter"/>
      <w:lvlText w:val="%8."/>
      <w:lvlJc w:val="left"/>
      <w:pPr>
        <w:ind w:left="5760" w:hanging="360"/>
      </w:pPr>
    </w:lvl>
    <w:lvl w:ilvl="8" w:tplc="0C70A342">
      <w:start w:val="1"/>
      <w:numFmt w:val="lowerRoman"/>
      <w:lvlText w:val="%9."/>
      <w:lvlJc w:val="right"/>
      <w:pPr>
        <w:ind w:left="6480" w:hanging="180"/>
      </w:pPr>
    </w:lvl>
  </w:abstractNum>
  <w:abstractNum w:abstractNumId="40" w15:restartNumberingAfterBreak="0">
    <w:nsid w:val="1FA071B6"/>
    <w:multiLevelType w:val="hybridMultilevel"/>
    <w:tmpl w:val="F3745922"/>
    <w:lvl w:ilvl="0" w:tplc="DDDA8944">
      <w:start w:val="1"/>
      <w:numFmt w:val="bullet"/>
      <w:pStyle w:val="Bulletpoints"/>
      <w:lvlText w:val=""/>
      <w:lvlJc w:val="left"/>
      <w:pPr>
        <w:ind w:left="1636" w:hanging="360"/>
      </w:pPr>
      <w:rPr>
        <w:rFonts w:ascii="Symbol" w:hAnsi="Symbol" w:hint="default"/>
      </w:rPr>
    </w:lvl>
    <w:lvl w:ilvl="1" w:tplc="14090003">
      <w:start w:val="1"/>
      <w:numFmt w:val="bullet"/>
      <w:lvlText w:val="o"/>
      <w:lvlJc w:val="left"/>
      <w:pPr>
        <w:ind w:left="2356" w:hanging="360"/>
      </w:pPr>
      <w:rPr>
        <w:rFonts w:ascii="Courier New" w:hAnsi="Courier New" w:cs="Courier New" w:hint="default"/>
      </w:rPr>
    </w:lvl>
    <w:lvl w:ilvl="2" w:tplc="14090005" w:tentative="1">
      <w:start w:val="1"/>
      <w:numFmt w:val="bullet"/>
      <w:lvlText w:val=""/>
      <w:lvlJc w:val="left"/>
      <w:pPr>
        <w:ind w:left="3076" w:hanging="360"/>
      </w:pPr>
      <w:rPr>
        <w:rFonts w:ascii="Wingdings" w:hAnsi="Wingdings" w:hint="default"/>
      </w:rPr>
    </w:lvl>
    <w:lvl w:ilvl="3" w:tplc="14090001" w:tentative="1">
      <w:start w:val="1"/>
      <w:numFmt w:val="bullet"/>
      <w:lvlText w:val=""/>
      <w:lvlJc w:val="left"/>
      <w:pPr>
        <w:ind w:left="3796" w:hanging="360"/>
      </w:pPr>
      <w:rPr>
        <w:rFonts w:ascii="Symbol" w:hAnsi="Symbol" w:hint="default"/>
      </w:rPr>
    </w:lvl>
    <w:lvl w:ilvl="4" w:tplc="14090003" w:tentative="1">
      <w:start w:val="1"/>
      <w:numFmt w:val="bullet"/>
      <w:lvlText w:val="o"/>
      <w:lvlJc w:val="left"/>
      <w:pPr>
        <w:ind w:left="4516" w:hanging="360"/>
      </w:pPr>
      <w:rPr>
        <w:rFonts w:ascii="Courier New" w:hAnsi="Courier New" w:cs="Courier New" w:hint="default"/>
      </w:rPr>
    </w:lvl>
    <w:lvl w:ilvl="5" w:tplc="14090005" w:tentative="1">
      <w:start w:val="1"/>
      <w:numFmt w:val="bullet"/>
      <w:lvlText w:val=""/>
      <w:lvlJc w:val="left"/>
      <w:pPr>
        <w:ind w:left="5236" w:hanging="360"/>
      </w:pPr>
      <w:rPr>
        <w:rFonts w:ascii="Wingdings" w:hAnsi="Wingdings" w:hint="default"/>
      </w:rPr>
    </w:lvl>
    <w:lvl w:ilvl="6" w:tplc="14090001" w:tentative="1">
      <w:start w:val="1"/>
      <w:numFmt w:val="bullet"/>
      <w:lvlText w:val=""/>
      <w:lvlJc w:val="left"/>
      <w:pPr>
        <w:ind w:left="5956" w:hanging="360"/>
      </w:pPr>
      <w:rPr>
        <w:rFonts w:ascii="Symbol" w:hAnsi="Symbol" w:hint="default"/>
      </w:rPr>
    </w:lvl>
    <w:lvl w:ilvl="7" w:tplc="14090003" w:tentative="1">
      <w:start w:val="1"/>
      <w:numFmt w:val="bullet"/>
      <w:lvlText w:val="o"/>
      <w:lvlJc w:val="left"/>
      <w:pPr>
        <w:ind w:left="6676" w:hanging="360"/>
      </w:pPr>
      <w:rPr>
        <w:rFonts w:ascii="Courier New" w:hAnsi="Courier New" w:cs="Courier New" w:hint="default"/>
      </w:rPr>
    </w:lvl>
    <w:lvl w:ilvl="8" w:tplc="14090005" w:tentative="1">
      <w:start w:val="1"/>
      <w:numFmt w:val="bullet"/>
      <w:lvlText w:val=""/>
      <w:lvlJc w:val="left"/>
      <w:pPr>
        <w:ind w:left="7396" w:hanging="360"/>
      </w:pPr>
      <w:rPr>
        <w:rFonts w:ascii="Wingdings" w:hAnsi="Wingdings" w:hint="default"/>
      </w:rPr>
    </w:lvl>
  </w:abstractNum>
  <w:abstractNum w:abstractNumId="41" w15:restartNumberingAfterBreak="0">
    <w:nsid w:val="1FF664C8"/>
    <w:multiLevelType w:val="hybridMultilevel"/>
    <w:tmpl w:val="E9A2A7F4"/>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0CFF116"/>
    <w:multiLevelType w:val="hybridMultilevel"/>
    <w:tmpl w:val="FFFFFFFF"/>
    <w:lvl w:ilvl="0" w:tplc="307EDFBE">
      <w:start w:val="353"/>
      <w:numFmt w:val="decimal"/>
      <w:lvlText w:val="%1."/>
      <w:lvlJc w:val="left"/>
      <w:pPr>
        <w:ind w:left="720" w:hanging="360"/>
      </w:pPr>
    </w:lvl>
    <w:lvl w:ilvl="1" w:tplc="1B2A7ED0">
      <w:start w:val="1"/>
      <w:numFmt w:val="lowerLetter"/>
      <w:lvlText w:val="%2."/>
      <w:lvlJc w:val="left"/>
      <w:pPr>
        <w:ind w:left="1440" w:hanging="360"/>
      </w:pPr>
    </w:lvl>
    <w:lvl w:ilvl="2" w:tplc="8C3E9C74">
      <w:start w:val="1"/>
      <w:numFmt w:val="lowerRoman"/>
      <w:lvlText w:val="%3."/>
      <w:lvlJc w:val="right"/>
      <w:pPr>
        <w:ind w:left="2160" w:hanging="180"/>
      </w:pPr>
    </w:lvl>
    <w:lvl w:ilvl="3" w:tplc="BE14ADB2">
      <w:start w:val="1"/>
      <w:numFmt w:val="decimal"/>
      <w:lvlText w:val="%4."/>
      <w:lvlJc w:val="left"/>
      <w:pPr>
        <w:ind w:left="2880" w:hanging="360"/>
      </w:pPr>
    </w:lvl>
    <w:lvl w:ilvl="4" w:tplc="F6C0E580">
      <w:start w:val="1"/>
      <w:numFmt w:val="lowerLetter"/>
      <w:lvlText w:val="%5."/>
      <w:lvlJc w:val="left"/>
      <w:pPr>
        <w:ind w:left="3600" w:hanging="360"/>
      </w:pPr>
    </w:lvl>
    <w:lvl w:ilvl="5" w:tplc="0EF2A0AC">
      <w:start w:val="1"/>
      <w:numFmt w:val="lowerRoman"/>
      <w:lvlText w:val="%6."/>
      <w:lvlJc w:val="right"/>
      <w:pPr>
        <w:ind w:left="4320" w:hanging="180"/>
      </w:pPr>
    </w:lvl>
    <w:lvl w:ilvl="6" w:tplc="6F5E0CD8">
      <w:start w:val="1"/>
      <w:numFmt w:val="decimal"/>
      <w:lvlText w:val="%7."/>
      <w:lvlJc w:val="left"/>
      <w:pPr>
        <w:ind w:left="5040" w:hanging="360"/>
      </w:pPr>
    </w:lvl>
    <w:lvl w:ilvl="7" w:tplc="209A11F2">
      <w:start w:val="1"/>
      <w:numFmt w:val="lowerLetter"/>
      <w:lvlText w:val="%8."/>
      <w:lvlJc w:val="left"/>
      <w:pPr>
        <w:ind w:left="5760" w:hanging="360"/>
      </w:pPr>
    </w:lvl>
    <w:lvl w:ilvl="8" w:tplc="B42231C6">
      <w:start w:val="1"/>
      <w:numFmt w:val="lowerRoman"/>
      <w:lvlText w:val="%9."/>
      <w:lvlJc w:val="right"/>
      <w:pPr>
        <w:ind w:left="6480" w:hanging="180"/>
      </w:pPr>
    </w:lvl>
  </w:abstractNum>
  <w:abstractNum w:abstractNumId="43" w15:restartNumberingAfterBreak="0">
    <w:nsid w:val="21724144"/>
    <w:multiLevelType w:val="hybridMultilevel"/>
    <w:tmpl w:val="FFFFFFFF"/>
    <w:lvl w:ilvl="0" w:tplc="84285846">
      <w:start w:val="350"/>
      <w:numFmt w:val="decimal"/>
      <w:lvlText w:val="%1."/>
      <w:lvlJc w:val="left"/>
      <w:pPr>
        <w:ind w:left="720" w:hanging="360"/>
      </w:pPr>
    </w:lvl>
    <w:lvl w:ilvl="1" w:tplc="0D0E1594">
      <w:start w:val="1"/>
      <w:numFmt w:val="lowerLetter"/>
      <w:lvlText w:val="%2."/>
      <w:lvlJc w:val="left"/>
      <w:pPr>
        <w:ind w:left="1440" w:hanging="360"/>
      </w:pPr>
    </w:lvl>
    <w:lvl w:ilvl="2" w:tplc="3B7EB8F8">
      <w:start w:val="1"/>
      <w:numFmt w:val="lowerRoman"/>
      <w:lvlText w:val="%3."/>
      <w:lvlJc w:val="right"/>
      <w:pPr>
        <w:ind w:left="2160" w:hanging="180"/>
      </w:pPr>
    </w:lvl>
    <w:lvl w:ilvl="3" w:tplc="8ACAEDDE">
      <w:start w:val="1"/>
      <w:numFmt w:val="decimal"/>
      <w:lvlText w:val="%4."/>
      <w:lvlJc w:val="left"/>
      <w:pPr>
        <w:ind w:left="2880" w:hanging="360"/>
      </w:pPr>
    </w:lvl>
    <w:lvl w:ilvl="4" w:tplc="E6C22B54">
      <w:start w:val="1"/>
      <w:numFmt w:val="lowerLetter"/>
      <w:lvlText w:val="%5."/>
      <w:lvlJc w:val="left"/>
      <w:pPr>
        <w:ind w:left="3600" w:hanging="360"/>
      </w:pPr>
    </w:lvl>
    <w:lvl w:ilvl="5" w:tplc="7F4888CA">
      <w:start w:val="1"/>
      <w:numFmt w:val="lowerRoman"/>
      <w:lvlText w:val="%6."/>
      <w:lvlJc w:val="right"/>
      <w:pPr>
        <w:ind w:left="4320" w:hanging="180"/>
      </w:pPr>
    </w:lvl>
    <w:lvl w:ilvl="6" w:tplc="43462162">
      <w:start w:val="1"/>
      <w:numFmt w:val="decimal"/>
      <w:lvlText w:val="%7."/>
      <w:lvlJc w:val="left"/>
      <w:pPr>
        <w:ind w:left="5040" w:hanging="360"/>
      </w:pPr>
    </w:lvl>
    <w:lvl w:ilvl="7" w:tplc="161EDCCC">
      <w:start w:val="1"/>
      <w:numFmt w:val="lowerLetter"/>
      <w:lvlText w:val="%8."/>
      <w:lvlJc w:val="left"/>
      <w:pPr>
        <w:ind w:left="5760" w:hanging="360"/>
      </w:pPr>
    </w:lvl>
    <w:lvl w:ilvl="8" w:tplc="32962CAE">
      <w:start w:val="1"/>
      <w:numFmt w:val="lowerRoman"/>
      <w:lvlText w:val="%9."/>
      <w:lvlJc w:val="right"/>
      <w:pPr>
        <w:ind w:left="6480" w:hanging="180"/>
      </w:pPr>
    </w:lvl>
  </w:abstractNum>
  <w:abstractNum w:abstractNumId="44" w15:restartNumberingAfterBreak="0">
    <w:nsid w:val="24341240"/>
    <w:multiLevelType w:val="hybridMultilevel"/>
    <w:tmpl w:val="E1426464"/>
    <w:lvl w:ilvl="0" w:tplc="A25C1AA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46F536D"/>
    <w:multiLevelType w:val="multilevel"/>
    <w:tmpl w:val="49C6B162"/>
    <w:lvl w:ilvl="0">
      <w:start w:val="1"/>
      <w:numFmt w:val="decimal"/>
      <w:lvlText w:val="%1."/>
      <w:lvlJc w:val="left"/>
      <w:pPr>
        <w:ind w:left="85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541C07B"/>
    <w:multiLevelType w:val="hybridMultilevel"/>
    <w:tmpl w:val="FFFFFFFF"/>
    <w:lvl w:ilvl="0" w:tplc="3F76FFEA">
      <w:start w:val="348"/>
      <w:numFmt w:val="decimal"/>
      <w:lvlText w:val="%1."/>
      <w:lvlJc w:val="left"/>
      <w:pPr>
        <w:ind w:left="720" w:hanging="360"/>
      </w:pPr>
    </w:lvl>
    <w:lvl w:ilvl="1" w:tplc="54E6737C">
      <w:start w:val="1"/>
      <w:numFmt w:val="lowerLetter"/>
      <w:lvlText w:val="%2."/>
      <w:lvlJc w:val="left"/>
      <w:pPr>
        <w:ind w:left="1440" w:hanging="360"/>
      </w:pPr>
    </w:lvl>
    <w:lvl w:ilvl="2" w:tplc="C24A2A34">
      <w:start w:val="1"/>
      <w:numFmt w:val="lowerRoman"/>
      <w:lvlText w:val="%3."/>
      <w:lvlJc w:val="right"/>
      <w:pPr>
        <w:ind w:left="2160" w:hanging="180"/>
      </w:pPr>
    </w:lvl>
    <w:lvl w:ilvl="3" w:tplc="636C8224">
      <w:start w:val="1"/>
      <w:numFmt w:val="decimal"/>
      <w:lvlText w:val="%4."/>
      <w:lvlJc w:val="left"/>
      <w:pPr>
        <w:ind w:left="2880" w:hanging="360"/>
      </w:pPr>
    </w:lvl>
    <w:lvl w:ilvl="4" w:tplc="FDE6EB76">
      <w:start w:val="1"/>
      <w:numFmt w:val="lowerLetter"/>
      <w:lvlText w:val="%5."/>
      <w:lvlJc w:val="left"/>
      <w:pPr>
        <w:ind w:left="3600" w:hanging="360"/>
      </w:pPr>
    </w:lvl>
    <w:lvl w:ilvl="5" w:tplc="8C46BA4A">
      <w:start w:val="1"/>
      <w:numFmt w:val="lowerRoman"/>
      <w:lvlText w:val="%6."/>
      <w:lvlJc w:val="right"/>
      <w:pPr>
        <w:ind w:left="4320" w:hanging="180"/>
      </w:pPr>
    </w:lvl>
    <w:lvl w:ilvl="6" w:tplc="43D4AFDA">
      <w:start w:val="1"/>
      <w:numFmt w:val="decimal"/>
      <w:lvlText w:val="%7."/>
      <w:lvlJc w:val="left"/>
      <w:pPr>
        <w:ind w:left="5040" w:hanging="360"/>
      </w:pPr>
    </w:lvl>
    <w:lvl w:ilvl="7" w:tplc="D2C8C520">
      <w:start w:val="1"/>
      <w:numFmt w:val="lowerLetter"/>
      <w:lvlText w:val="%8."/>
      <w:lvlJc w:val="left"/>
      <w:pPr>
        <w:ind w:left="5760" w:hanging="360"/>
      </w:pPr>
    </w:lvl>
    <w:lvl w:ilvl="8" w:tplc="F8F201F4">
      <w:start w:val="1"/>
      <w:numFmt w:val="lowerRoman"/>
      <w:lvlText w:val="%9."/>
      <w:lvlJc w:val="right"/>
      <w:pPr>
        <w:ind w:left="6480" w:hanging="180"/>
      </w:pPr>
    </w:lvl>
  </w:abstractNum>
  <w:abstractNum w:abstractNumId="47" w15:restartNumberingAfterBreak="0">
    <w:nsid w:val="27D703A7"/>
    <w:multiLevelType w:val="hybridMultilevel"/>
    <w:tmpl w:val="FFFFFFFF"/>
    <w:lvl w:ilvl="0" w:tplc="E1DE9F2C">
      <w:start w:val="349"/>
      <w:numFmt w:val="decimal"/>
      <w:lvlText w:val="%1."/>
      <w:lvlJc w:val="left"/>
      <w:pPr>
        <w:ind w:left="720" w:hanging="360"/>
      </w:pPr>
    </w:lvl>
    <w:lvl w:ilvl="1" w:tplc="CFCEA600">
      <w:start w:val="1"/>
      <w:numFmt w:val="lowerLetter"/>
      <w:lvlText w:val="%2."/>
      <w:lvlJc w:val="left"/>
      <w:pPr>
        <w:ind w:left="1440" w:hanging="360"/>
      </w:pPr>
    </w:lvl>
    <w:lvl w:ilvl="2" w:tplc="F3D48E20">
      <w:start w:val="1"/>
      <w:numFmt w:val="lowerRoman"/>
      <w:lvlText w:val="%3."/>
      <w:lvlJc w:val="right"/>
      <w:pPr>
        <w:ind w:left="2160" w:hanging="180"/>
      </w:pPr>
    </w:lvl>
    <w:lvl w:ilvl="3" w:tplc="0680BBE0">
      <w:start w:val="1"/>
      <w:numFmt w:val="decimal"/>
      <w:lvlText w:val="%4."/>
      <w:lvlJc w:val="left"/>
      <w:pPr>
        <w:ind w:left="2880" w:hanging="360"/>
      </w:pPr>
    </w:lvl>
    <w:lvl w:ilvl="4" w:tplc="19F42D94">
      <w:start w:val="1"/>
      <w:numFmt w:val="lowerLetter"/>
      <w:lvlText w:val="%5."/>
      <w:lvlJc w:val="left"/>
      <w:pPr>
        <w:ind w:left="3600" w:hanging="360"/>
      </w:pPr>
    </w:lvl>
    <w:lvl w:ilvl="5" w:tplc="0A9C63F6">
      <w:start w:val="1"/>
      <w:numFmt w:val="lowerRoman"/>
      <w:lvlText w:val="%6."/>
      <w:lvlJc w:val="right"/>
      <w:pPr>
        <w:ind w:left="4320" w:hanging="180"/>
      </w:pPr>
    </w:lvl>
    <w:lvl w:ilvl="6" w:tplc="74DCAB94">
      <w:start w:val="1"/>
      <w:numFmt w:val="decimal"/>
      <w:lvlText w:val="%7."/>
      <w:lvlJc w:val="left"/>
      <w:pPr>
        <w:ind w:left="5040" w:hanging="360"/>
      </w:pPr>
    </w:lvl>
    <w:lvl w:ilvl="7" w:tplc="C5887770">
      <w:start w:val="1"/>
      <w:numFmt w:val="lowerLetter"/>
      <w:lvlText w:val="%8."/>
      <w:lvlJc w:val="left"/>
      <w:pPr>
        <w:ind w:left="5760" w:hanging="360"/>
      </w:pPr>
    </w:lvl>
    <w:lvl w:ilvl="8" w:tplc="638A1066">
      <w:start w:val="1"/>
      <w:numFmt w:val="lowerRoman"/>
      <w:lvlText w:val="%9."/>
      <w:lvlJc w:val="right"/>
      <w:pPr>
        <w:ind w:left="6480" w:hanging="180"/>
      </w:pPr>
    </w:lvl>
  </w:abstractNum>
  <w:abstractNum w:abstractNumId="48" w15:restartNumberingAfterBreak="0">
    <w:nsid w:val="27F2C7D0"/>
    <w:multiLevelType w:val="hybridMultilevel"/>
    <w:tmpl w:val="FFFFFFFF"/>
    <w:lvl w:ilvl="0" w:tplc="F47821F8">
      <w:start w:val="352"/>
      <w:numFmt w:val="decimal"/>
      <w:lvlText w:val="%1."/>
      <w:lvlJc w:val="left"/>
      <w:pPr>
        <w:ind w:left="720" w:hanging="360"/>
      </w:pPr>
    </w:lvl>
    <w:lvl w:ilvl="1" w:tplc="B3BA5812">
      <w:start w:val="1"/>
      <w:numFmt w:val="lowerLetter"/>
      <w:lvlText w:val="%2."/>
      <w:lvlJc w:val="left"/>
      <w:pPr>
        <w:ind w:left="1440" w:hanging="360"/>
      </w:pPr>
    </w:lvl>
    <w:lvl w:ilvl="2" w:tplc="12B2AF76">
      <w:start w:val="1"/>
      <w:numFmt w:val="lowerRoman"/>
      <w:lvlText w:val="%3."/>
      <w:lvlJc w:val="right"/>
      <w:pPr>
        <w:ind w:left="2160" w:hanging="180"/>
      </w:pPr>
    </w:lvl>
    <w:lvl w:ilvl="3" w:tplc="BDD05EA2">
      <w:start w:val="1"/>
      <w:numFmt w:val="decimal"/>
      <w:lvlText w:val="%4."/>
      <w:lvlJc w:val="left"/>
      <w:pPr>
        <w:ind w:left="2880" w:hanging="360"/>
      </w:pPr>
    </w:lvl>
    <w:lvl w:ilvl="4" w:tplc="08A89430">
      <w:start w:val="1"/>
      <w:numFmt w:val="lowerLetter"/>
      <w:lvlText w:val="%5."/>
      <w:lvlJc w:val="left"/>
      <w:pPr>
        <w:ind w:left="3600" w:hanging="360"/>
      </w:pPr>
    </w:lvl>
    <w:lvl w:ilvl="5" w:tplc="62304C6E">
      <w:start w:val="1"/>
      <w:numFmt w:val="lowerRoman"/>
      <w:lvlText w:val="%6."/>
      <w:lvlJc w:val="right"/>
      <w:pPr>
        <w:ind w:left="4320" w:hanging="180"/>
      </w:pPr>
    </w:lvl>
    <w:lvl w:ilvl="6" w:tplc="A1BE9C74">
      <w:start w:val="1"/>
      <w:numFmt w:val="decimal"/>
      <w:lvlText w:val="%7."/>
      <w:lvlJc w:val="left"/>
      <w:pPr>
        <w:ind w:left="5040" w:hanging="360"/>
      </w:pPr>
    </w:lvl>
    <w:lvl w:ilvl="7" w:tplc="A04E5776">
      <w:start w:val="1"/>
      <w:numFmt w:val="lowerLetter"/>
      <w:lvlText w:val="%8."/>
      <w:lvlJc w:val="left"/>
      <w:pPr>
        <w:ind w:left="5760" w:hanging="360"/>
      </w:pPr>
    </w:lvl>
    <w:lvl w:ilvl="8" w:tplc="B2B416CC">
      <w:start w:val="1"/>
      <w:numFmt w:val="lowerRoman"/>
      <w:lvlText w:val="%9."/>
      <w:lvlJc w:val="right"/>
      <w:pPr>
        <w:ind w:left="6480" w:hanging="180"/>
      </w:pPr>
    </w:lvl>
  </w:abstractNum>
  <w:abstractNum w:abstractNumId="49" w15:restartNumberingAfterBreak="0">
    <w:nsid w:val="29BA7621"/>
    <w:multiLevelType w:val="hybridMultilevel"/>
    <w:tmpl w:val="3B1E5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9C03EEF"/>
    <w:multiLevelType w:val="hybridMultilevel"/>
    <w:tmpl w:val="FFFFFFFF"/>
    <w:lvl w:ilvl="0" w:tplc="8F1219BC">
      <w:start w:val="350"/>
      <w:numFmt w:val="decimal"/>
      <w:lvlText w:val="%1."/>
      <w:lvlJc w:val="left"/>
      <w:pPr>
        <w:ind w:left="720" w:hanging="360"/>
      </w:pPr>
    </w:lvl>
    <w:lvl w:ilvl="1" w:tplc="83C48284">
      <w:start w:val="1"/>
      <w:numFmt w:val="lowerLetter"/>
      <w:lvlText w:val="%2."/>
      <w:lvlJc w:val="left"/>
      <w:pPr>
        <w:ind w:left="1440" w:hanging="360"/>
      </w:pPr>
    </w:lvl>
    <w:lvl w:ilvl="2" w:tplc="8870C28E">
      <w:start w:val="1"/>
      <w:numFmt w:val="lowerRoman"/>
      <w:lvlText w:val="%3."/>
      <w:lvlJc w:val="right"/>
      <w:pPr>
        <w:ind w:left="2160" w:hanging="180"/>
      </w:pPr>
    </w:lvl>
    <w:lvl w:ilvl="3" w:tplc="5080A0A2">
      <w:start w:val="1"/>
      <w:numFmt w:val="decimal"/>
      <w:lvlText w:val="%4."/>
      <w:lvlJc w:val="left"/>
      <w:pPr>
        <w:ind w:left="2880" w:hanging="360"/>
      </w:pPr>
    </w:lvl>
    <w:lvl w:ilvl="4" w:tplc="CD7A48DE">
      <w:start w:val="1"/>
      <w:numFmt w:val="lowerLetter"/>
      <w:lvlText w:val="%5."/>
      <w:lvlJc w:val="left"/>
      <w:pPr>
        <w:ind w:left="3600" w:hanging="360"/>
      </w:pPr>
    </w:lvl>
    <w:lvl w:ilvl="5" w:tplc="C902E7CA">
      <w:start w:val="1"/>
      <w:numFmt w:val="lowerRoman"/>
      <w:lvlText w:val="%6."/>
      <w:lvlJc w:val="right"/>
      <w:pPr>
        <w:ind w:left="4320" w:hanging="180"/>
      </w:pPr>
    </w:lvl>
    <w:lvl w:ilvl="6" w:tplc="F6B4114C">
      <w:start w:val="1"/>
      <w:numFmt w:val="decimal"/>
      <w:lvlText w:val="%7."/>
      <w:lvlJc w:val="left"/>
      <w:pPr>
        <w:ind w:left="5040" w:hanging="360"/>
      </w:pPr>
    </w:lvl>
    <w:lvl w:ilvl="7" w:tplc="D228F880">
      <w:start w:val="1"/>
      <w:numFmt w:val="lowerLetter"/>
      <w:lvlText w:val="%8."/>
      <w:lvlJc w:val="left"/>
      <w:pPr>
        <w:ind w:left="5760" w:hanging="360"/>
      </w:pPr>
    </w:lvl>
    <w:lvl w:ilvl="8" w:tplc="DF6CC574">
      <w:start w:val="1"/>
      <w:numFmt w:val="lowerRoman"/>
      <w:lvlText w:val="%9."/>
      <w:lvlJc w:val="right"/>
      <w:pPr>
        <w:ind w:left="6480" w:hanging="180"/>
      </w:pPr>
    </w:lvl>
  </w:abstractNum>
  <w:abstractNum w:abstractNumId="51" w15:restartNumberingAfterBreak="0">
    <w:nsid w:val="2B211252"/>
    <w:multiLevelType w:val="hybridMultilevel"/>
    <w:tmpl w:val="FFFFFFFF"/>
    <w:lvl w:ilvl="0" w:tplc="ACEEC846">
      <w:start w:val="1"/>
      <w:numFmt w:val="bullet"/>
      <w:lvlText w:val=""/>
      <w:lvlJc w:val="left"/>
      <w:pPr>
        <w:ind w:left="720" w:hanging="360"/>
      </w:pPr>
      <w:rPr>
        <w:rFonts w:ascii="Symbol" w:hAnsi="Symbol" w:hint="default"/>
      </w:rPr>
    </w:lvl>
    <w:lvl w:ilvl="1" w:tplc="D494D86E">
      <w:start w:val="1"/>
      <w:numFmt w:val="bullet"/>
      <w:lvlText w:val="·"/>
      <w:lvlJc w:val="left"/>
      <w:pPr>
        <w:ind w:left="1440" w:hanging="360"/>
      </w:pPr>
      <w:rPr>
        <w:rFonts w:ascii="Symbol" w:hAnsi="Symbol" w:hint="default"/>
      </w:rPr>
    </w:lvl>
    <w:lvl w:ilvl="2" w:tplc="9DD6C35E">
      <w:start w:val="1"/>
      <w:numFmt w:val="bullet"/>
      <w:lvlText w:val=""/>
      <w:lvlJc w:val="left"/>
      <w:pPr>
        <w:ind w:left="2160" w:hanging="360"/>
      </w:pPr>
      <w:rPr>
        <w:rFonts w:ascii="Wingdings" w:hAnsi="Wingdings" w:hint="default"/>
      </w:rPr>
    </w:lvl>
    <w:lvl w:ilvl="3" w:tplc="84148E92">
      <w:start w:val="1"/>
      <w:numFmt w:val="bullet"/>
      <w:lvlText w:val=""/>
      <w:lvlJc w:val="left"/>
      <w:pPr>
        <w:ind w:left="2880" w:hanging="360"/>
      </w:pPr>
      <w:rPr>
        <w:rFonts w:ascii="Symbol" w:hAnsi="Symbol" w:hint="default"/>
      </w:rPr>
    </w:lvl>
    <w:lvl w:ilvl="4" w:tplc="0B2296B8">
      <w:start w:val="1"/>
      <w:numFmt w:val="bullet"/>
      <w:lvlText w:val="o"/>
      <w:lvlJc w:val="left"/>
      <w:pPr>
        <w:ind w:left="3600" w:hanging="360"/>
      </w:pPr>
      <w:rPr>
        <w:rFonts w:ascii="Courier New" w:hAnsi="Courier New" w:hint="default"/>
      </w:rPr>
    </w:lvl>
    <w:lvl w:ilvl="5" w:tplc="9E6632C0">
      <w:start w:val="1"/>
      <w:numFmt w:val="bullet"/>
      <w:lvlText w:val=""/>
      <w:lvlJc w:val="left"/>
      <w:pPr>
        <w:ind w:left="4320" w:hanging="360"/>
      </w:pPr>
      <w:rPr>
        <w:rFonts w:ascii="Wingdings" w:hAnsi="Wingdings" w:hint="default"/>
      </w:rPr>
    </w:lvl>
    <w:lvl w:ilvl="6" w:tplc="486E1390">
      <w:start w:val="1"/>
      <w:numFmt w:val="bullet"/>
      <w:lvlText w:val=""/>
      <w:lvlJc w:val="left"/>
      <w:pPr>
        <w:ind w:left="5040" w:hanging="360"/>
      </w:pPr>
      <w:rPr>
        <w:rFonts w:ascii="Symbol" w:hAnsi="Symbol" w:hint="default"/>
      </w:rPr>
    </w:lvl>
    <w:lvl w:ilvl="7" w:tplc="BFEA0704">
      <w:start w:val="1"/>
      <w:numFmt w:val="bullet"/>
      <w:lvlText w:val="o"/>
      <w:lvlJc w:val="left"/>
      <w:pPr>
        <w:ind w:left="5760" w:hanging="360"/>
      </w:pPr>
      <w:rPr>
        <w:rFonts w:ascii="Courier New" w:hAnsi="Courier New" w:hint="default"/>
      </w:rPr>
    </w:lvl>
    <w:lvl w:ilvl="8" w:tplc="A378D6E0">
      <w:start w:val="1"/>
      <w:numFmt w:val="bullet"/>
      <w:lvlText w:val=""/>
      <w:lvlJc w:val="left"/>
      <w:pPr>
        <w:ind w:left="6480" w:hanging="360"/>
      </w:pPr>
      <w:rPr>
        <w:rFonts w:ascii="Wingdings" w:hAnsi="Wingdings" w:hint="default"/>
      </w:rPr>
    </w:lvl>
  </w:abstractNum>
  <w:abstractNum w:abstractNumId="52" w15:restartNumberingAfterBreak="0">
    <w:nsid w:val="2B398EAB"/>
    <w:multiLevelType w:val="hybridMultilevel"/>
    <w:tmpl w:val="FFFFFFFF"/>
    <w:lvl w:ilvl="0" w:tplc="D16CB470">
      <w:start w:val="350"/>
      <w:numFmt w:val="decimal"/>
      <w:lvlText w:val="%1."/>
      <w:lvlJc w:val="left"/>
      <w:pPr>
        <w:ind w:left="720" w:hanging="360"/>
      </w:pPr>
    </w:lvl>
    <w:lvl w:ilvl="1" w:tplc="C8947556">
      <w:start w:val="1"/>
      <w:numFmt w:val="lowerLetter"/>
      <w:lvlText w:val="%2."/>
      <w:lvlJc w:val="left"/>
      <w:pPr>
        <w:ind w:left="1440" w:hanging="360"/>
      </w:pPr>
    </w:lvl>
    <w:lvl w:ilvl="2" w:tplc="D3AACAD0">
      <w:start w:val="1"/>
      <w:numFmt w:val="lowerRoman"/>
      <w:lvlText w:val="%3."/>
      <w:lvlJc w:val="right"/>
      <w:pPr>
        <w:ind w:left="2160" w:hanging="180"/>
      </w:pPr>
    </w:lvl>
    <w:lvl w:ilvl="3" w:tplc="4076481A">
      <w:start w:val="1"/>
      <w:numFmt w:val="decimal"/>
      <w:lvlText w:val="%4."/>
      <w:lvlJc w:val="left"/>
      <w:pPr>
        <w:ind w:left="2880" w:hanging="360"/>
      </w:pPr>
    </w:lvl>
    <w:lvl w:ilvl="4" w:tplc="7EDE9552">
      <w:start w:val="1"/>
      <w:numFmt w:val="lowerLetter"/>
      <w:lvlText w:val="%5."/>
      <w:lvlJc w:val="left"/>
      <w:pPr>
        <w:ind w:left="3600" w:hanging="360"/>
      </w:pPr>
    </w:lvl>
    <w:lvl w:ilvl="5" w:tplc="EBE8C4DA">
      <w:start w:val="1"/>
      <w:numFmt w:val="lowerRoman"/>
      <w:lvlText w:val="%6."/>
      <w:lvlJc w:val="right"/>
      <w:pPr>
        <w:ind w:left="4320" w:hanging="180"/>
      </w:pPr>
    </w:lvl>
    <w:lvl w:ilvl="6" w:tplc="96CEE238">
      <w:start w:val="1"/>
      <w:numFmt w:val="decimal"/>
      <w:lvlText w:val="%7."/>
      <w:lvlJc w:val="left"/>
      <w:pPr>
        <w:ind w:left="5040" w:hanging="360"/>
      </w:pPr>
    </w:lvl>
    <w:lvl w:ilvl="7" w:tplc="018C95DA">
      <w:start w:val="1"/>
      <w:numFmt w:val="lowerLetter"/>
      <w:lvlText w:val="%8."/>
      <w:lvlJc w:val="left"/>
      <w:pPr>
        <w:ind w:left="5760" w:hanging="360"/>
      </w:pPr>
    </w:lvl>
    <w:lvl w:ilvl="8" w:tplc="68ECBF7A">
      <w:start w:val="1"/>
      <w:numFmt w:val="lowerRoman"/>
      <w:lvlText w:val="%9."/>
      <w:lvlJc w:val="right"/>
      <w:pPr>
        <w:ind w:left="6480" w:hanging="180"/>
      </w:pPr>
    </w:lvl>
  </w:abstractNum>
  <w:abstractNum w:abstractNumId="53" w15:restartNumberingAfterBreak="0">
    <w:nsid w:val="2C6792EE"/>
    <w:multiLevelType w:val="hybridMultilevel"/>
    <w:tmpl w:val="FFFFFFFF"/>
    <w:lvl w:ilvl="0" w:tplc="810A04FA">
      <w:start w:val="349"/>
      <w:numFmt w:val="decimal"/>
      <w:lvlText w:val="%1."/>
      <w:lvlJc w:val="left"/>
      <w:pPr>
        <w:ind w:left="720" w:hanging="360"/>
      </w:pPr>
    </w:lvl>
    <w:lvl w:ilvl="1" w:tplc="40544A20">
      <w:start w:val="1"/>
      <w:numFmt w:val="lowerLetter"/>
      <w:lvlText w:val="%2."/>
      <w:lvlJc w:val="left"/>
      <w:pPr>
        <w:ind w:left="1440" w:hanging="360"/>
      </w:pPr>
    </w:lvl>
    <w:lvl w:ilvl="2" w:tplc="2EC00874">
      <w:start w:val="1"/>
      <w:numFmt w:val="lowerRoman"/>
      <w:lvlText w:val="%3."/>
      <w:lvlJc w:val="right"/>
      <w:pPr>
        <w:ind w:left="2160" w:hanging="180"/>
      </w:pPr>
    </w:lvl>
    <w:lvl w:ilvl="3" w:tplc="AAF27518">
      <w:start w:val="1"/>
      <w:numFmt w:val="decimal"/>
      <w:lvlText w:val="%4."/>
      <w:lvlJc w:val="left"/>
      <w:pPr>
        <w:ind w:left="2880" w:hanging="360"/>
      </w:pPr>
    </w:lvl>
    <w:lvl w:ilvl="4" w:tplc="BC3E43B0">
      <w:start w:val="1"/>
      <w:numFmt w:val="lowerLetter"/>
      <w:lvlText w:val="%5."/>
      <w:lvlJc w:val="left"/>
      <w:pPr>
        <w:ind w:left="3600" w:hanging="360"/>
      </w:pPr>
    </w:lvl>
    <w:lvl w:ilvl="5" w:tplc="2278B174">
      <w:start w:val="1"/>
      <w:numFmt w:val="lowerRoman"/>
      <w:lvlText w:val="%6."/>
      <w:lvlJc w:val="right"/>
      <w:pPr>
        <w:ind w:left="4320" w:hanging="180"/>
      </w:pPr>
    </w:lvl>
    <w:lvl w:ilvl="6" w:tplc="5CA49116">
      <w:start w:val="1"/>
      <w:numFmt w:val="decimal"/>
      <w:lvlText w:val="%7."/>
      <w:lvlJc w:val="left"/>
      <w:pPr>
        <w:ind w:left="5040" w:hanging="360"/>
      </w:pPr>
    </w:lvl>
    <w:lvl w:ilvl="7" w:tplc="6C184BAC">
      <w:start w:val="1"/>
      <w:numFmt w:val="lowerLetter"/>
      <w:lvlText w:val="%8."/>
      <w:lvlJc w:val="left"/>
      <w:pPr>
        <w:ind w:left="5760" w:hanging="360"/>
      </w:pPr>
    </w:lvl>
    <w:lvl w:ilvl="8" w:tplc="850A5166">
      <w:start w:val="1"/>
      <w:numFmt w:val="lowerRoman"/>
      <w:lvlText w:val="%9."/>
      <w:lvlJc w:val="right"/>
      <w:pPr>
        <w:ind w:left="6480" w:hanging="180"/>
      </w:pPr>
    </w:lvl>
  </w:abstractNum>
  <w:abstractNum w:abstractNumId="54" w15:restartNumberingAfterBreak="0">
    <w:nsid w:val="2CDF56D9"/>
    <w:multiLevelType w:val="hybridMultilevel"/>
    <w:tmpl w:val="FFFFFFFF"/>
    <w:lvl w:ilvl="0" w:tplc="FE661470">
      <w:start w:val="1"/>
      <w:numFmt w:val="decimal"/>
      <w:lvlText w:val="%1."/>
      <w:lvlJc w:val="left"/>
      <w:pPr>
        <w:ind w:left="720" w:hanging="360"/>
      </w:pPr>
    </w:lvl>
    <w:lvl w:ilvl="1" w:tplc="73D65438">
      <w:start w:val="1"/>
      <w:numFmt w:val="lowerLetter"/>
      <w:lvlText w:val="%2."/>
      <w:lvlJc w:val="left"/>
      <w:pPr>
        <w:ind w:left="1440" w:hanging="360"/>
      </w:pPr>
    </w:lvl>
    <w:lvl w:ilvl="2" w:tplc="7E9CBB9A">
      <w:start w:val="1"/>
      <w:numFmt w:val="lowerRoman"/>
      <w:lvlText w:val="%3."/>
      <w:lvlJc w:val="right"/>
      <w:pPr>
        <w:ind w:left="2160" w:hanging="180"/>
      </w:pPr>
    </w:lvl>
    <w:lvl w:ilvl="3" w:tplc="822C650A">
      <w:start w:val="1"/>
      <w:numFmt w:val="decimal"/>
      <w:lvlText w:val="%4."/>
      <w:lvlJc w:val="left"/>
      <w:pPr>
        <w:ind w:left="2880" w:hanging="360"/>
      </w:pPr>
    </w:lvl>
    <w:lvl w:ilvl="4" w:tplc="9CDE56EA">
      <w:start w:val="1"/>
      <w:numFmt w:val="lowerLetter"/>
      <w:lvlText w:val="%5."/>
      <w:lvlJc w:val="left"/>
      <w:pPr>
        <w:ind w:left="3600" w:hanging="360"/>
      </w:pPr>
    </w:lvl>
    <w:lvl w:ilvl="5" w:tplc="A08EF2C8">
      <w:start w:val="1"/>
      <w:numFmt w:val="lowerRoman"/>
      <w:lvlText w:val="%6."/>
      <w:lvlJc w:val="right"/>
      <w:pPr>
        <w:ind w:left="4320" w:hanging="180"/>
      </w:pPr>
    </w:lvl>
    <w:lvl w:ilvl="6" w:tplc="7ABA8D7C">
      <w:start w:val="1"/>
      <w:numFmt w:val="decimal"/>
      <w:lvlText w:val="%7."/>
      <w:lvlJc w:val="left"/>
      <w:pPr>
        <w:ind w:left="5040" w:hanging="360"/>
      </w:pPr>
    </w:lvl>
    <w:lvl w:ilvl="7" w:tplc="799CF768">
      <w:start w:val="1"/>
      <w:numFmt w:val="lowerLetter"/>
      <w:lvlText w:val="%8."/>
      <w:lvlJc w:val="left"/>
      <w:pPr>
        <w:ind w:left="5760" w:hanging="360"/>
      </w:pPr>
    </w:lvl>
    <w:lvl w:ilvl="8" w:tplc="0B5E78E6">
      <w:start w:val="1"/>
      <w:numFmt w:val="lowerRoman"/>
      <w:lvlText w:val="%9."/>
      <w:lvlJc w:val="right"/>
      <w:pPr>
        <w:ind w:left="6480" w:hanging="180"/>
      </w:pPr>
    </w:lvl>
  </w:abstractNum>
  <w:abstractNum w:abstractNumId="55" w15:restartNumberingAfterBreak="0">
    <w:nsid w:val="2D4027FC"/>
    <w:multiLevelType w:val="hybridMultilevel"/>
    <w:tmpl w:val="336C281E"/>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2DCD320A"/>
    <w:multiLevelType w:val="hybridMultilevel"/>
    <w:tmpl w:val="FFFFFFFF"/>
    <w:lvl w:ilvl="0" w:tplc="0EB23714">
      <w:start w:val="348"/>
      <w:numFmt w:val="decimal"/>
      <w:lvlText w:val="%1."/>
      <w:lvlJc w:val="left"/>
      <w:pPr>
        <w:ind w:left="720" w:hanging="360"/>
      </w:pPr>
    </w:lvl>
    <w:lvl w:ilvl="1" w:tplc="47A28562">
      <w:start w:val="1"/>
      <w:numFmt w:val="lowerLetter"/>
      <w:lvlText w:val="%2."/>
      <w:lvlJc w:val="left"/>
      <w:pPr>
        <w:ind w:left="1440" w:hanging="360"/>
      </w:pPr>
    </w:lvl>
    <w:lvl w:ilvl="2" w:tplc="8A766522">
      <w:start w:val="1"/>
      <w:numFmt w:val="lowerRoman"/>
      <w:lvlText w:val="%3."/>
      <w:lvlJc w:val="right"/>
      <w:pPr>
        <w:ind w:left="2160" w:hanging="180"/>
      </w:pPr>
    </w:lvl>
    <w:lvl w:ilvl="3" w:tplc="36FA8006">
      <w:start w:val="1"/>
      <w:numFmt w:val="decimal"/>
      <w:lvlText w:val="%4."/>
      <w:lvlJc w:val="left"/>
      <w:pPr>
        <w:ind w:left="2880" w:hanging="360"/>
      </w:pPr>
    </w:lvl>
    <w:lvl w:ilvl="4" w:tplc="F4145018">
      <w:start w:val="1"/>
      <w:numFmt w:val="lowerLetter"/>
      <w:lvlText w:val="%5."/>
      <w:lvlJc w:val="left"/>
      <w:pPr>
        <w:ind w:left="3600" w:hanging="360"/>
      </w:pPr>
    </w:lvl>
    <w:lvl w:ilvl="5" w:tplc="F84298E0">
      <w:start w:val="1"/>
      <w:numFmt w:val="lowerRoman"/>
      <w:lvlText w:val="%6."/>
      <w:lvlJc w:val="right"/>
      <w:pPr>
        <w:ind w:left="4320" w:hanging="180"/>
      </w:pPr>
    </w:lvl>
    <w:lvl w:ilvl="6" w:tplc="5C443304">
      <w:start w:val="1"/>
      <w:numFmt w:val="decimal"/>
      <w:lvlText w:val="%7."/>
      <w:lvlJc w:val="left"/>
      <w:pPr>
        <w:ind w:left="5040" w:hanging="360"/>
      </w:pPr>
    </w:lvl>
    <w:lvl w:ilvl="7" w:tplc="6DBC2834">
      <w:start w:val="1"/>
      <w:numFmt w:val="lowerLetter"/>
      <w:lvlText w:val="%8."/>
      <w:lvlJc w:val="left"/>
      <w:pPr>
        <w:ind w:left="5760" w:hanging="360"/>
      </w:pPr>
    </w:lvl>
    <w:lvl w:ilvl="8" w:tplc="C86A31FE">
      <w:start w:val="1"/>
      <w:numFmt w:val="lowerRoman"/>
      <w:lvlText w:val="%9."/>
      <w:lvlJc w:val="right"/>
      <w:pPr>
        <w:ind w:left="6480" w:hanging="180"/>
      </w:pPr>
    </w:lvl>
  </w:abstractNum>
  <w:abstractNum w:abstractNumId="57" w15:restartNumberingAfterBreak="0">
    <w:nsid w:val="305D87A2"/>
    <w:multiLevelType w:val="hybridMultilevel"/>
    <w:tmpl w:val="FFFFFFFF"/>
    <w:lvl w:ilvl="0" w:tplc="438E0384">
      <w:start w:val="355"/>
      <w:numFmt w:val="decimal"/>
      <w:lvlText w:val="%1."/>
      <w:lvlJc w:val="left"/>
      <w:pPr>
        <w:ind w:left="720" w:hanging="360"/>
      </w:pPr>
    </w:lvl>
    <w:lvl w:ilvl="1" w:tplc="2458C8EC">
      <w:start w:val="1"/>
      <w:numFmt w:val="lowerLetter"/>
      <w:lvlText w:val="%2."/>
      <w:lvlJc w:val="left"/>
      <w:pPr>
        <w:ind w:left="1440" w:hanging="360"/>
      </w:pPr>
    </w:lvl>
    <w:lvl w:ilvl="2" w:tplc="B3FA32D6">
      <w:start w:val="1"/>
      <w:numFmt w:val="lowerRoman"/>
      <w:lvlText w:val="%3."/>
      <w:lvlJc w:val="right"/>
      <w:pPr>
        <w:ind w:left="2160" w:hanging="180"/>
      </w:pPr>
    </w:lvl>
    <w:lvl w:ilvl="3" w:tplc="8714A742">
      <w:start w:val="1"/>
      <w:numFmt w:val="decimal"/>
      <w:lvlText w:val="%4."/>
      <w:lvlJc w:val="left"/>
      <w:pPr>
        <w:ind w:left="2880" w:hanging="360"/>
      </w:pPr>
    </w:lvl>
    <w:lvl w:ilvl="4" w:tplc="F850D93A">
      <w:start w:val="1"/>
      <w:numFmt w:val="lowerLetter"/>
      <w:lvlText w:val="%5."/>
      <w:lvlJc w:val="left"/>
      <w:pPr>
        <w:ind w:left="3600" w:hanging="360"/>
      </w:pPr>
    </w:lvl>
    <w:lvl w:ilvl="5" w:tplc="3FB8DE32">
      <w:start w:val="1"/>
      <w:numFmt w:val="lowerRoman"/>
      <w:lvlText w:val="%6."/>
      <w:lvlJc w:val="right"/>
      <w:pPr>
        <w:ind w:left="4320" w:hanging="180"/>
      </w:pPr>
    </w:lvl>
    <w:lvl w:ilvl="6" w:tplc="B44A22F8">
      <w:start w:val="1"/>
      <w:numFmt w:val="decimal"/>
      <w:lvlText w:val="%7."/>
      <w:lvlJc w:val="left"/>
      <w:pPr>
        <w:ind w:left="5040" w:hanging="360"/>
      </w:pPr>
    </w:lvl>
    <w:lvl w:ilvl="7" w:tplc="E2DE022A">
      <w:start w:val="1"/>
      <w:numFmt w:val="lowerLetter"/>
      <w:lvlText w:val="%8."/>
      <w:lvlJc w:val="left"/>
      <w:pPr>
        <w:ind w:left="5760" w:hanging="360"/>
      </w:pPr>
    </w:lvl>
    <w:lvl w:ilvl="8" w:tplc="4E265AC0">
      <w:start w:val="1"/>
      <w:numFmt w:val="lowerRoman"/>
      <w:lvlText w:val="%9."/>
      <w:lvlJc w:val="right"/>
      <w:pPr>
        <w:ind w:left="6480" w:hanging="180"/>
      </w:pPr>
    </w:lvl>
  </w:abstractNum>
  <w:abstractNum w:abstractNumId="58" w15:restartNumberingAfterBreak="0">
    <w:nsid w:val="31ACE503"/>
    <w:multiLevelType w:val="hybridMultilevel"/>
    <w:tmpl w:val="FFFFFFFF"/>
    <w:lvl w:ilvl="0" w:tplc="8006FB76">
      <w:start w:val="349"/>
      <w:numFmt w:val="decimal"/>
      <w:lvlText w:val="%1."/>
      <w:lvlJc w:val="left"/>
      <w:pPr>
        <w:ind w:left="720" w:hanging="360"/>
      </w:pPr>
    </w:lvl>
    <w:lvl w:ilvl="1" w:tplc="A10230DC">
      <w:start w:val="1"/>
      <w:numFmt w:val="lowerLetter"/>
      <w:lvlText w:val="%2."/>
      <w:lvlJc w:val="left"/>
      <w:pPr>
        <w:ind w:left="1440" w:hanging="360"/>
      </w:pPr>
    </w:lvl>
    <w:lvl w:ilvl="2" w:tplc="D6F05D46">
      <w:start w:val="1"/>
      <w:numFmt w:val="lowerRoman"/>
      <w:lvlText w:val="%3."/>
      <w:lvlJc w:val="right"/>
      <w:pPr>
        <w:ind w:left="2160" w:hanging="180"/>
      </w:pPr>
    </w:lvl>
    <w:lvl w:ilvl="3" w:tplc="E01649CE">
      <w:start w:val="1"/>
      <w:numFmt w:val="decimal"/>
      <w:lvlText w:val="%4."/>
      <w:lvlJc w:val="left"/>
      <w:pPr>
        <w:ind w:left="2880" w:hanging="360"/>
      </w:pPr>
    </w:lvl>
    <w:lvl w:ilvl="4" w:tplc="CD7223BE">
      <w:start w:val="1"/>
      <w:numFmt w:val="lowerLetter"/>
      <w:lvlText w:val="%5."/>
      <w:lvlJc w:val="left"/>
      <w:pPr>
        <w:ind w:left="3600" w:hanging="360"/>
      </w:pPr>
    </w:lvl>
    <w:lvl w:ilvl="5" w:tplc="8B3852B6">
      <w:start w:val="1"/>
      <w:numFmt w:val="lowerRoman"/>
      <w:lvlText w:val="%6."/>
      <w:lvlJc w:val="right"/>
      <w:pPr>
        <w:ind w:left="4320" w:hanging="180"/>
      </w:pPr>
    </w:lvl>
    <w:lvl w:ilvl="6" w:tplc="70527C3A">
      <w:start w:val="1"/>
      <w:numFmt w:val="decimal"/>
      <w:lvlText w:val="%7."/>
      <w:lvlJc w:val="left"/>
      <w:pPr>
        <w:ind w:left="5040" w:hanging="360"/>
      </w:pPr>
    </w:lvl>
    <w:lvl w:ilvl="7" w:tplc="1A0EF408">
      <w:start w:val="1"/>
      <w:numFmt w:val="lowerLetter"/>
      <w:lvlText w:val="%8."/>
      <w:lvlJc w:val="left"/>
      <w:pPr>
        <w:ind w:left="5760" w:hanging="360"/>
      </w:pPr>
    </w:lvl>
    <w:lvl w:ilvl="8" w:tplc="A1DCED22">
      <w:start w:val="1"/>
      <w:numFmt w:val="lowerRoman"/>
      <w:lvlText w:val="%9."/>
      <w:lvlJc w:val="right"/>
      <w:pPr>
        <w:ind w:left="6480" w:hanging="180"/>
      </w:pPr>
    </w:lvl>
  </w:abstractNum>
  <w:abstractNum w:abstractNumId="59" w15:restartNumberingAfterBreak="0">
    <w:nsid w:val="3243E8C7"/>
    <w:multiLevelType w:val="hybridMultilevel"/>
    <w:tmpl w:val="FFFFFFFF"/>
    <w:lvl w:ilvl="0" w:tplc="CF4E667E">
      <w:start w:val="351"/>
      <w:numFmt w:val="decimal"/>
      <w:lvlText w:val="%1."/>
      <w:lvlJc w:val="left"/>
      <w:pPr>
        <w:ind w:left="720" w:hanging="360"/>
      </w:pPr>
    </w:lvl>
    <w:lvl w:ilvl="1" w:tplc="47063406">
      <w:start w:val="1"/>
      <w:numFmt w:val="lowerLetter"/>
      <w:lvlText w:val="%2."/>
      <w:lvlJc w:val="left"/>
      <w:pPr>
        <w:ind w:left="1440" w:hanging="360"/>
      </w:pPr>
    </w:lvl>
    <w:lvl w:ilvl="2" w:tplc="1292AAAE">
      <w:start w:val="1"/>
      <w:numFmt w:val="lowerRoman"/>
      <w:lvlText w:val="%3."/>
      <w:lvlJc w:val="right"/>
      <w:pPr>
        <w:ind w:left="2160" w:hanging="180"/>
      </w:pPr>
    </w:lvl>
    <w:lvl w:ilvl="3" w:tplc="725A67F2">
      <w:start w:val="1"/>
      <w:numFmt w:val="decimal"/>
      <w:lvlText w:val="%4."/>
      <w:lvlJc w:val="left"/>
      <w:pPr>
        <w:ind w:left="2880" w:hanging="360"/>
      </w:pPr>
    </w:lvl>
    <w:lvl w:ilvl="4" w:tplc="33465790">
      <w:start w:val="1"/>
      <w:numFmt w:val="lowerLetter"/>
      <w:lvlText w:val="%5."/>
      <w:lvlJc w:val="left"/>
      <w:pPr>
        <w:ind w:left="3600" w:hanging="360"/>
      </w:pPr>
    </w:lvl>
    <w:lvl w:ilvl="5" w:tplc="98661A4C">
      <w:start w:val="1"/>
      <w:numFmt w:val="lowerRoman"/>
      <w:lvlText w:val="%6."/>
      <w:lvlJc w:val="right"/>
      <w:pPr>
        <w:ind w:left="4320" w:hanging="180"/>
      </w:pPr>
    </w:lvl>
    <w:lvl w:ilvl="6" w:tplc="21BEDB0A">
      <w:start w:val="1"/>
      <w:numFmt w:val="decimal"/>
      <w:lvlText w:val="%7."/>
      <w:lvlJc w:val="left"/>
      <w:pPr>
        <w:ind w:left="5040" w:hanging="360"/>
      </w:pPr>
    </w:lvl>
    <w:lvl w:ilvl="7" w:tplc="CB087D88">
      <w:start w:val="1"/>
      <w:numFmt w:val="lowerLetter"/>
      <w:lvlText w:val="%8."/>
      <w:lvlJc w:val="left"/>
      <w:pPr>
        <w:ind w:left="5760" w:hanging="360"/>
      </w:pPr>
    </w:lvl>
    <w:lvl w:ilvl="8" w:tplc="53568F44">
      <w:start w:val="1"/>
      <w:numFmt w:val="lowerRoman"/>
      <w:lvlText w:val="%9."/>
      <w:lvlJc w:val="right"/>
      <w:pPr>
        <w:ind w:left="6480" w:hanging="180"/>
      </w:pPr>
    </w:lvl>
  </w:abstractNum>
  <w:abstractNum w:abstractNumId="60" w15:restartNumberingAfterBreak="0">
    <w:nsid w:val="329374FA"/>
    <w:multiLevelType w:val="hybridMultilevel"/>
    <w:tmpl w:val="FFFFFFFF"/>
    <w:lvl w:ilvl="0" w:tplc="8FC4D740">
      <w:start w:val="350"/>
      <w:numFmt w:val="decimal"/>
      <w:lvlText w:val="%1."/>
      <w:lvlJc w:val="left"/>
      <w:pPr>
        <w:ind w:left="720" w:hanging="360"/>
      </w:pPr>
    </w:lvl>
    <w:lvl w:ilvl="1" w:tplc="5B2637F0">
      <w:start w:val="1"/>
      <w:numFmt w:val="lowerLetter"/>
      <w:lvlText w:val="%2."/>
      <w:lvlJc w:val="left"/>
      <w:pPr>
        <w:ind w:left="1440" w:hanging="360"/>
      </w:pPr>
    </w:lvl>
    <w:lvl w:ilvl="2" w:tplc="7506F974">
      <w:start w:val="1"/>
      <w:numFmt w:val="lowerRoman"/>
      <w:lvlText w:val="%3."/>
      <w:lvlJc w:val="right"/>
      <w:pPr>
        <w:ind w:left="2160" w:hanging="180"/>
      </w:pPr>
    </w:lvl>
    <w:lvl w:ilvl="3" w:tplc="A1F00846">
      <w:start w:val="1"/>
      <w:numFmt w:val="decimal"/>
      <w:lvlText w:val="%4."/>
      <w:lvlJc w:val="left"/>
      <w:pPr>
        <w:ind w:left="2880" w:hanging="360"/>
      </w:pPr>
    </w:lvl>
    <w:lvl w:ilvl="4" w:tplc="C2409574">
      <w:start w:val="1"/>
      <w:numFmt w:val="lowerLetter"/>
      <w:lvlText w:val="%5."/>
      <w:lvlJc w:val="left"/>
      <w:pPr>
        <w:ind w:left="3600" w:hanging="360"/>
      </w:pPr>
    </w:lvl>
    <w:lvl w:ilvl="5" w:tplc="2854A822">
      <w:start w:val="1"/>
      <w:numFmt w:val="lowerRoman"/>
      <w:lvlText w:val="%6."/>
      <w:lvlJc w:val="right"/>
      <w:pPr>
        <w:ind w:left="4320" w:hanging="180"/>
      </w:pPr>
    </w:lvl>
    <w:lvl w:ilvl="6" w:tplc="B11AC35A">
      <w:start w:val="1"/>
      <w:numFmt w:val="decimal"/>
      <w:lvlText w:val="%7."/>
      <w:lvlJc w:val="left"/>
      <w:pPr>
        <w:ind w:left="5040" w:hanging="360"/>
      </w:pPr>
    </w:lvl>
    <w:lvl w:ilvl="7" w:tplc="D452CC36">
      <w:start w:val="1"/>
      <w:numFmt w:val="lowerLetter"/>
      <w:lvlText w:val="%8."/>
      <w:lvlJc w:val="left"/>
      <w:pPr>
        <w:ind w:left="5760" w:hanging="360"/>
      </w:pPr>
    </w:lvl>
    <w:lvl w:ilvl="8" w:tplc="E3D03E82">
      <w:start w:val="1"/>
      <w:numFmt w:val="lowerRoman"/>
      <w:lvlText w:val="%9."/>
      <w:lvlJc w:val="right"/>
      <w:pPr>
        <w:ind w:left="6480" w:hanging="180"/>
      </w:pPr>
    </w:lvl>
  </w:abstractNum>
  <w:abstractNum w:abstractNumId="61" w15:restartNumberingAfterBreak="0">
    <w:nsid w:val="349120D1"/>
    <w:multiLevelType w:val="hybridMultilevel"/>
    <w:tmpl w:val="FFFFFFFF"/>
    <w:lvl w:ilvl="0" w:tplc="0B56666E">
      <w:start w:val="348"/>
      <w:numFmt w:val="decimal"/>
      <w:lvlText w:val="%1."/>
      <w:lvlJc w:val="left"/>
      <w:pPr>
        <w:ind w:left="720" w:hanging="360"/>
      </w:pPr>
    </w:lvl>
    <w:lvl w:ilvl="1" w:tplc="06D80B40">
      <w:start w:val="1"/>
      <w:numFmt w:val="lowerLetter"/>
      <w:lvlText w:val="%2."/>
      <w:lvlJc w:val="left"/>
      <w:pPr>
        <w:ind w:left="1440" w:hanging="360"/>
      </w:pPr>
    </w:lvl>
    <w:lvl w:ilvl="2" w:tplc="E612CB02">
      <w:start w:val="1"/>
      <w:numFmt w:val="lowerRoman"/>
      <w:lvlText w:val="%3."/>
      <w:lvlJc w:val="right"/>
      <w:pPr>
        <w:ind w:left="2160" w:hanging="180"/>
      </w:pPr>
    </w:lvl>
    <w:lvl w:ilvl="3" w:tplc="AA6A2654">
      <w:start w:val="1"/>
      <w:numFmt w:val="decimal"/>
      <w:lvlText w:val="%4."/>
      <w:lvlJc w:val="left"/>
      <w:pPr>
        <w:ind w:left="2880" w:hanging="360"/>
      </w:pPr>
    </w:lvl>
    <w:lvl w:ilvl="4" w:tplc="AE94CEF6">
      <w:start w:val="1"/>
      <w:numFmt w:val="lowerLetter"/>
      <w:lvlText w:val="%5."/>
      <w:lvlJc w:val="left"/>
      <w:pPr>
        <w:ind w:left="3600" w:hanging="360"/>
      </w:pPr>
    </w:lvl>
    <w:lvl w:ilvl="5" w:tplc="5C92BF50">
      <w:start w:val="1"/>
      <w:numFmt w:val="lowerRoman"/>
      <w:lvlText w:val="%6."/>
      <w:lvlJc w:val="right"/>
      <w:pPr>
        <w:ind w:left="4320" w:hanging="180"/>
      </w:pPr>
    </w:lvl>
    <w:lvl w:ilvl="6" w:tplc="DCC070B6">
      <w:start w:val="1"/>
      <w:numFmt w:val="decimal"/>
      <w:lvlText w:val="%7."/>
      <w:lvlJc w:val="left"/>
      <w:pPr>
        <w:ind w:left="5040" w:hanging="360"/>
      </w:pPr>
    </w:lvl>
    <w:lvl w:ilvl="7" w:tplc="5F581748">
      <w:start w:val="1"/>
      <w:numFmt w:val="lowerLetter"/>
      <w:lvlText w:val="%8."/>
      <w:lvlJc w:val="left"/>
      <w:pPr>
        <w:ind w:left="5760" w:hanging="360"/>
      </w:pPr>
    </w:lvl>
    <w:lvl w:ilvl="8" w:tplc="8DE28D62">
      <w:start w:val="1"/>
      <w:numFmt w:val="lowerRoman"/>
      <w:lvlText w:val="%9."/>
      <w:lvlJc w:val="right"/>
      <w:pPr>
        <w:ind w:left="6480" w:hanging="180"/>
      </w:pPr>
    </w:lvl>
  </w:abstractNum>
  <w:abstractNum w:abstractNumId="62" w15:restartNumberingAfterBreak="0">
    <w:nsid w:val="35164D0C"/>
    <w:multiLevelType w:val="hybridMultilevel"/>
    <w:tmpl w:val="ABCC62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352F8C3E"/>
    <w:multiLevelType w:val="hybridMultilevel"/>
    <w:tmpl w:val="FFFFFFFF"/>
    <w:lvl w:ilvl="0" w:tplc="2E2A6696">
      <w:start w:val="349"/>
      <w:numFmt w:val="decimal"/>
      <w:lvlText w:val="%1."/>
      <w:lvlJc w:val="left"/>
      <w:pPr>
        <w:ind w:left="720" w:hanging="360"/>
      </w:pPr>
    </w:lvl>
    <w:lvl w:ilvl="1" w:tplc="E75A2BA8">
      <w:start w:val="1"/>
      <w:numFmt w:val="lowerLetter"/>
      <w:lvlText w:val="%2."/>
      <w:lvlJc w:val="left"/>
      <w:pPr>
        <w:ind w:left="1440" w:hanging="360"/>
      </w:pPr>
    </w:lvl>
    <w:lvl w:ilvl="2" w:tplc="2F8439DC">
      <w:start w:val="1"/>
      <w:numFmt w:val="lowerRoman"/>
      <w:lvlText w:val="%3."/>
      <w:lvlJc w:val="right"/>
      <w:pPr>
        <w:ind w:left="2160" w:hanging="180"/>
      </w:pPr>
    </w:lvl>
    <w:lvl w:ilvl="3" w:tplc="13FABB46">
      <w:start w:val="1"/>
      <w:numFmt w:val="decimal"/>
      <w:lvlText w:val="%4."/>
      <w:lvlJc w:val="left"/>
      <w:pPr>
        <w:ind w:left="2880" w:hanging="360"/>
      </w:pPr>
    </w:lvl>
    <w:lvl w:ilvl="4" w:tplc="206AE426">
      <w:start w:val="1"/>
      <w:numFmt w:val="lowerLetter"/>
      <w:lvlText w:val="%5."/>
      <w:lvlJc w:val="left"/>
      <w:pPr>
        <w:ind w:left="3600" w:hanging="360"/>
      </w:pPr>
    </w:lvl>
    <w:lvl w:ilvl="5" w:tplc="28E8ADA4">
      <w:start w:val="1"/>
      <w:numFmt w:val="lowerRoman"/>
      <w:lvlText w:val="%6."/>
      <w:lvlJc w:val="right"/>
      <w:pPr>
        <w:ind w:left="4320" w:hanging="180"/>
      </w:pPr>
    </w:lvl>
    <w:lvl w:ilvl="6" w:tplc="F37C5BB8">
      <w:start w:val="1"/>
      <w:numFmt w:val="decimal"/>
      <w:lvlText w:val="%7."/>
      <w:lvlJc w:val="left"/>
      <w:pPr>
        <w:ind w:left="5040" w:hanging="360"/>
      </w:pPr>
    </w:lvl>
    <w:lvl w:ilvl="7" w:tplc="06FEA2EE">
      <w:start w:val="1"/>
      <w:numFmt w:val="lowerLetter"/>
      <w:lvlText w:val="%8."/>
      <w:lvlJc w:val="left"/>
      <w:pPr>
        <w:ind w:left="5760" w:hanging="360"/>
      </w:pPr>
    </w:lvl>
    <w:lvl w:ilvl="8" w:tplc="FD6E236C">
      <w:start w:val="1"/>
      <w:numFmt w:val="lowerRoman"/>
      <w:lvlText w:val="%9."/>
      <w:lvlJc w:val="right"/>
      <w:pPr>
        <w:ind w:left="6480" w:hanging="180"/>
      </w:pPr>
    </w:lvl>
  </w:abstractNum>
  <w:abstractNum w:abstractNumId="64" w15:restartNumberingAfterBreak="0">
    <w:nsid w:val="35B73EDB"/>
    <w:multiLevelType w:val="hybridMultilevel"/>
    <w:tmpl w:val="FFFFFFFF"/>
    <w:lvl w:ilvl="0" w:tplc="779AE918">
      <w:start w:val="349"/>
      <w:numFmt w:val="decimal"/>
      <w:lvlText w:val="%1."/>
      <w:lvlJc w:val="left"/>
      <w:pPr>
        <w:ind w:left="720" w:hanging="360"/>
      </w:pPr>
    </w:lvl>
    <w:lvl w:ilvl="1" w:tplc="FBC6A744">
      <w:start w:val="1"/>
      <w:numFmt w:val="lowerLetter"/>
      <w:lvlText w:val="%2."/>
      <w:lvlJc w:val="left"/>
      <w:pPr>
        <w:ind w:left="1440" w:hanging="360"/>
      </w:pPr>
    </w:lvl>
    <w:lvl w:ilvl="2" w:tplc="8BA6E0C0">
      <w:start w:val="1"/>
      <w:numFmt w:val="lowerRoman"/>
      <w:lvlText w:val="%3."/>
      <w:lvlJc w:val="right"/>
      <w:pPr>
        <w:ind w:left="2160" w:hanging="180"/>
      </w:pPr>
    </w:lvl>
    <w:lvl w:ilvl="3" w:tplc="E58CB986">
      <w:start w:val="1"/>
      <w:numFmt w:val="decimal"/>
      <w:lvlText w:val="%4."/>
      <w:lvlJc w:val="left"/>
      <w:pPr>
        <w:ind w:left="2880" w:hanging="360"/>
      </w:pPr>
    </w:lvl>
    <w:lvl w:ilvl="4" w:tplc="DDD25A84">
      <w:start w:val="1"/>
      <w:numFmt w:val="lowerLetter"/>
      <w:lvlText w:val="%5."/>
      <w:lvlJc w:val="left"/>
      <w:pPr>
        <w:ind w:left="3600" w:hanging="360"/>
      </w:pPr>
    </w:lvl>
    <w:lvl w:ilvl="5" w:tplc="EF844E3A">
      <w:start w:val="1"/>
      <w:numFmt w:val="lowerRoman"/>
      <w:lvlText w:val="%6."/>
      <w:lvlJc w:val="right"/>
      <w:pPr>
        <w:ind w:left="4320" w:hanging="180"/>
      </w:pPr>
    </w:lvl>
    <w:lvl w:ilvl="6" w:tplc="6660C6C6">
      <w:start w:val="1"/>
      <w:numFmt w:val="decimal"/>
      <w:lvlText w:val="%7."/>
      <w:lvlJc w:val="left"/>
      <w:pPr>
        <w:ind w:left="5040" w:hanging="360"/>
      </w:pPr>
    </w:lvl>
    <w:lvl w:ilvl="7" w:tplc="42F87524">
      <w:start w:val="1"/>
      <w:numFmt w:val="lowerLetter"/>
      <w:lvlText w:val="%8."/>
      <w:lvlJc w:val="left"/>
      <w:pPr>
        <w:ind w:left="5760" w:hanging="360"/>
      </w:pPr>
    </w:lvl>
    <w:lvl w:ilvl="8" w:tplc="889E9F2A">
      <w:start w:val="1"/>
      <w:numFmt w:val="lowerRoman"/>
      <w:lvlText w:val="%9."/>
      <w:lvlJc w:val="right"/>
      <w:pPr>
        <w:ind w:left="6480" w:hanging="180"/>
      </w:pPr>
    </w:lvl>
  </w:abstractNum>
  <w:abstractNum w:abstractNumId="65" w15:restartNumberingAfterBreak="0">
    <w:nsid w:val="35CA77D4"/>
    <w:multiLevelType w:val="hybridMultilevel"/>
    <w:tmpl w:val="FFFFFFFF"/>
    <w:lvl w:ilvl="0" w:tplc="A888D806">
      <w:start w:val="1"/>
      <w:numFmt w:val="bullet"/>
      <w:lvlText w:val="·"/>
      <w:lvlJc w:val="left"/>
      <w:pPr>
        <w:ind w:left="720" w:hanging="360"/>
      </w:pPr>
      <w:rPr>
        <w:rFonts w:ascii="Symbol" w:hAnsi="Symbol" w:hint="default"/>
      </w:rPr>
    </w:lvl>
    <w:lvl w:ilvl="1" w:tplc="0B9CAEF6">
      <w:start w:val="1"/>
      <w:numFmt w:val="bullet"/>
      <w:lvlText w:val="o"/>
      <w:lvlJc w:val="left"/>
      <w:pPr>
        <w:ind w:left="1440" w:hanging="360"/>
      </w:pPr>
      <w:rPr>
        <w:rFonts w:ascii="Courier New" w:hAnsi="Courier New" w:hint="default"/>
      </w:rPr>
    </w:lvl>
    <w:lvl w:ilvl="2" w:tplc="9B744034">
      <w:start w:val="1"/>
      <w:numFmt w:val="bullet"/>
      <w:lvlText w:val=""/>
      <w:lvlJc w:val="left"/>
      <w:pPr>
        <w:ind w:left="2160" w:hanging="360"/>
      </w:pPr>
      <w:rPr>
        <w:rFonts w:ascii="Wingdings" w:hAnsi="Wingdings" w:hint="default"/>
      </w:rPr>
    </w:lvl>
    <w:lvl w:ilvl="3" w:tplc="72386BC2">
      <w:start w:val="1"/>
      <w:numFmt w:val="bullet"/>
      <w:lvlText w:val=""/>
      <w:lvlJc w:val="left"/>
      <w:pPr>
        <w:ind w:left="2880" w:hanging="360"/>
      </w:pPr>
      <w:rPr>
        <w:rFonts w:ascii="Symbol" w:hAnsi="Symbol" w:hint="default"/>
      </w:rPr>
    </w:lvl>
    <w:lvl w:ilvl="4" w:tplc="812007E0">
      <w:start w:val="1"/>
      <w:numFmt w:val="bullet"/>
      <w:lvlText w:val="o"/>
      <w:lvlJc w:val="left"/>
      <w:pPr>
        <w:ind w:left="3600" w:hanging="360"/>
      </w:pPr>
      <w:rPr>
        <w:rFonts w:ascii="Courier New" w:hAnsi="Courier New" w:hint="default"/>
      </w:rPr>
    </w:lvl>
    <w:lvl w:ilvl="5" w:tplc="754A2ED4">
      <w:start w:val="1"/>
      <w:numFmt w:val="bullet"/>
      <w:lvlText w:val=""/>
      <w:lvlJc w:val="left"/>
      <w:pPr>
        <w:ind w:left="4320" w:hanging="360"/>
      </w:pPr>
      <w:rPr>
        <w:rFonts w:ascii="Wingdings" w:hAnsi="Wingdings" w:hint="default"/>
      </w:rPr>
    </w:lvl>
    <w:lvl w:ilvl="6" w:tplc="C6240BBE">
      <w:start w:val="1"/>
      <w:numFmt w:val="bullet"/>
      <w:lvlText w:val=""/>
      <w:lvlJc w:val="left"/>
      <w:pPr>
        <w:ind w:left="5040" w:hanging="360"/>
      </w:pPr>
      <w:rPr>
        <w:rFonts w:ascii="Symbol" w:hAnsi="Symbol" w:hint="default"/>
      </w:rPr>
    </w:lvl>
    <w:lvl w:ilvl="7" w:tplc="DFC89E14">
      <w:start w:val="1"/>
      <w:numFmt w:val="bullet"/>
      <w:lvlText w:val="o"/>
      <w:lvlJc w:val="left"/>
      <w:pPr>
        <w:ind w:left="5760" w:hanging="360"/>
      </w:pPr>
      <w:rPr>
        <w:rFonts w:ascii="Courier New" w:hAnsi="Courier New" w:hint="default"/>
      </w:rPr>
    </w:lvl>
    <w:lvl w:ilvl="8" w:tplc="F1A84FCA">
      <w:start w:val="1"/>
      <w:numFmt w:val="bullet"/>
      <w:lvlText w:val=""/>
      <w:lvlJc w:val="left"/>
      <w:pPr>
        <w:ind w:left="6480" w:hanging="360"/>
      </w:pPr>
      <w:rPr>
        <w:rFonts w:ascii="Wingdings" w:hAnsi="Wingdings" w:hint="default"/>
      </w:rPr>
    </w:lvl>
  </w:abstractNum>
  <w:abstractNum w:abstractNumId="66" w15:restartNumberingAfterBreak="0">
    <w:nsid w:val="36645838"/>
    <w:multiLevelType w:val="hybridMultilevel"/>
    <w:tmpl w:val="FFFFFFFF"/>
    <w:lvl w:ilvl="0" w:tplc="18969CCA">
      <w:start w:val="348"/>
      <w:numFmt w:val="decimal"/>
      <w:lvlText w:val="%1."/>
      <w:lvlJc w:val="left"/>
      <w:pPr>
        <w:ind w:left="720" w:hanging="360"/>
      </w:pPr>
    </w:lvl>
    <w:lvl w:ilvl="1" w:tplc="7DE8BD0E">
      <w:start w:val="1"/>
      <w:numFmt w:val="lowerLetter"/>
      <w:lvlText w:val="%2."/>
      <w:lvlJc w:val="left"/>
      <w:pPr>
        <w:ind w:left="1440" w:hanging="360"/>
      </w:pPr>
    </w:lvl>
    <w:lvl w:ilvl="2" w:tplc="75A4B942">
      <w:start w:val="1"/>
      <w:numFmt w:val="lowerRoman"/>
      <w:lvlText w:val="%3."/>
      <w:lvlJc w:val="right"/>
      <w:pPr>
        <w:ind w:left="2160" w:hanging="180"/>
      </w:pPr>
    </w:lvl>
    <w:lvl w:ilvl="3" w:tplc="8FB6AC4A">
      <w:start w:val="1"/>
      <w:numFmt w:val="decimal"/>
      <w:lvlText w:val="%4."/>
      <w:lvlJc w:val="left"/>
      <w:pPr>
        <w:ind w:left="2880" w:hanging="360"/>
      </w:pPr>
    </w:lvl>
    <w:lvl w:ilvl="4" w:tplc="422C0D9C">
      <w:start w:val="1"/>
      <w:numFmt w:val="lowerLetter"/>
      <w:lvlText w:val="%5."/>
      <w:lvlJc w:val="left"/>
      <w:pPr>
        <w:ind w:left="3600" w:hanging="360"/>
      </w:pPr>
    </w:lvl>
    <w:lvl w:ilvl="5" w:tplc="825EBD48">
      <w:start w:val="1"/>
      <w:numFmt w:val="lowerRoman"/>
      <w:lvlText w:val="%6."/>
      <w:lvlJc w:val="right"/>
      <w:pPr>
        <w:ind w:left="4320" w:hanging="180"/>
      </w:pPr>
    </w:lvl>
    <w:lvl w:ilvl="6" w:tplc="E8DC077A">
      <w:start w:val="1"/>
      <w:numFmt w:val="decimal"/>
      <w:lvlText w:val="%7."/>
      <w:lvlJc w:val="left"/>
      <w:pPr>
        <w:ind w:left="5040" w:hanging="360"/>
      </w:pPr>
    </w:lvl>
    <w:lvl w:ilvl="7" w:tplc="43F224AC">
      <w:start w:val="1"/>
      <w:numFmt w:val="lowerLetter"/>
      <w:lvlText w:val="%8."/>
      <w:lvlJc w:val="left"/>
      <w:pPr>
        <w:ind w:left="5760" w:hanging="360"/>
      </w:pPr>
    </w:lvl>
    <w:lvl w:ilvl="8" w:tplc="4DF62B1A">
      <w:start w:val="1"/>
      <w:numFmt w:val="lowerRoman"/>
      <w:lvlText w:val="%9."/>
      <w:lvlJc w:val="right"/>
      <w:pPr>
        <w:ind w:left="6480" w:hanging="180"/>
      </w:pPr>
    </w:lvl>
  </w:abstractNum>
  <w:abstractNum w:abstractNumId="67"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8"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7B0E324"/>
    <w:multiLevelType w:val="hybridMultilevel"/>
    <w:tmpl w:val="FFFFFFFF"/>
    <w:lvl w:ilvl="0" w:tplc="E098A998">
      <w:start w:val="1"/>
      <w:numFmt w:val="bullet"/>
      <w:lvlText w:val=""/>
      <w:lvlJc w:val="left"/>
      <w:pPr>
        <w:ind w:left="720" w:hanging="360"/>
      </w:pPr>
      <w:rPr>
        <w:rFonts w:ascii="Symbol" w:hAnsi="Symbol" w:hint="default"/>
      </w:rPr>
    </w:lvl>
    <w:lvl w:ilvl="1" w:tplc="A98288F2">
      <w:start w:val="1"/>
      <w:numFmt w:val="bullet"/>
      <w:lvlText w:val="·"/>
      <w:lvlJc w:val="left"/>
      <w:pPr>
        <w:ind w:left="1440" w:hanging="360"/>
      </w:pPr>
      <w:rPr>
        <w:rFonts w:ascii="Symbol" w:hAnsi="Symbol" w:hint="default"/>
      </w:rPr>
    </w:lvl>
    <w:lvl w:ilvl="2" w:tplc="43126440">
      <w:start w:val="1"/>
      <w:numFmt w:val="bullet"/>
      <w:lvlText w:val=""/>
      <w:lvlJc w:val="left"/>
      <w:pPr>
        <w:ind w:left="2160" w:hanging="360"/>
      </w:pPr>
      <w:rPr>
        <w:rFonts w:ascii="Wingdings" w:hAnsi="Wingdings" w:hint="default"/>
      </w:rPr>
    </w:lvl>
    <w:lvl w:ilvl="3" w:tplc="6E064BBE">
      <w:start w:val="1"/>
      <w:numFmt w:val="bullet"/>
      <w:lvlText w:val=""/>
      <w:lvlJc w:val="left"/>
      <w:pPr>
        <w:ind w:left="2880" w:hanging="360"/>
      </w:pPr>
      <w:rPr>
        <w:rFonts w:ascii="Symbol" w:hAnsi="Symbol" w:hint="default"/>
      </w:rPr>
    </w:lvl>
    <w:lvl w:ilvl="4" w:tplc="0CFA49FE">
      <w:start w:val="1"/>
      <w:numFmt w:val="bullet"/>
      <w:lvlText w:val="o"/>
      <w:lvlJc w:val="left"/>
      <w:pPr>
        <w:ind w:left="3600" w:hanging="360"/>
      </w:pPr>
      <w:rPr>
        <w:rFonts w:ascii="Courier New" w:hAnsi="Courier New" w:hint="default"/>
      </w:rPr>
    </w:lvl>
    <w:lvl w:ilvl="5" w:tplc="13C2595A">
      <w:start w:val="1"/>
      <w:numFmt w:val="bullet"/>
      <w:lvlText w:val=""/>
      <w:lvlJc w:val="left"/>
      <w:pPr>
        <w:ind w:left="4320" w:hanging="360"/>
      </w:pPr>
      <w:rPr>
        <w:rFonts w:ascii="Wingdings" w:hAnsi="Wingdings" w:hint="default"/>
      </w:rPr>
    </w:lvl>
    <w:lvl w:ilvl="6" w:tplc="4734EBCA">
      <w:start w:val="1"/>
      <w:numFmt w:val="bullet"/>
      <w:lvlText w:val=""/>
      <w:lvlJc w:val="left"/>
      <w:pPr>
        <w:ind w:left="5040" w:hanging="360"/>
      </w:pPr>
      <w:rPr>
        <w:rFonts w:ascii="Symbol" w:hAnsi="Symbol" w:hint="default"/>
      </w:rPr>
    </w:lvl>
    <w:lvl w:ilvl="7" w:tplc="24DC8FCA">
      <w:start w:val="1"/>
      <w:numFmt w:val="bullet"/>
      <w:lvlText w:val="o"/>
      <w:lvlJc w:val="left"/>
      <w:pPr>
        <w:ind w:left="5760" w:hanging="360"/>
      </w:pPr>
      <w:rPr>
        <w:rFonts w:ascii="Courier New" w:hAnsi="Courier New" w:hint="default"/>
      </w:rPr>
    </w:lvl>
    <w:lvl w:ilvl="8" w:tplc="D8FCCA9C">
      <w:start w:val="1"/>
      <w:numFmt w:val="bullet"/>
      <w:lvlText w:val=""/>
      <w:lvlJc w:val="left"/>
      <w:pPr>
        <w:ind w:left="6480" w:hanging="360"/>
      </w:pPr>
      <w:rPr>
        <w:rFonts w:ascii="Wingdings" w:hAnsi="Wingdings" w:hint="default"/>
      </w:rPr>
    </w:lvl>
  </w:abstractNum>
  <w:abstractNum w:abstractNumId="70" w15:restartNumberingAfterBreak="0">
    <w:nsid w:val="3852838D"/>
    <w:multiLevelType w:val="hybridMultilevel"/>
    <w:tmpl w:val="FFFFFFFF"/>
    <w:lvl w:ilvl="0" w:tplc="152EE272">
      <w:start w:val="1"/>
      <w:numFmt w:val="bullet"/>
      <w:lvlText w:val=""/>
      <w:lvlJc w:val="left"/>
      <w:pPr>
        <w:ind w:left="720" w:hanging="360"/>
      </w:pPr>
      <w:rPr>
        <w:rFonts w:ascii="Symbol" w:hAnsi="Symbol" w:hint="default"/>
      </w:rPr>
    </w:lvl>
    <w:lvl w:ilvl="1" w:tplc="C89C888E">
      <w:start w:val="1"/>
      <w:numFmt w:val="bullet"/>
      <w:lvlText w:val="·"/>
      <w:lvlJc w:val="left"/>
      <w:pPr>
        <w:ind w:left="1440" w:hanging="360"/>
      </w:pPr>
      <w:rPr>
        <w:rFonts w:ascii="Symbol" w:hAnsi="Symbol" w:hint="default"/>
      </w:rPr>
    </w:lvl>
    <w:lvl w:ilvl="2" w:tplc="401E1D92">
      <w:start w:val="1"/>
      <w:numFmt w:val="bullet"/>
      <w:lvlText w:val=""/>
      <w:lvlJc w:val="left"/>
      <w:pPr>
        <w:ind w:left="2160" w:hanging="360"/>
      </w:pPr>
      <w:rPr>
        <w:rFonts w:ascii="Wingdings" w:hAnsi="Wingdings" w:hint="default"/>
      </w:rPr>
    </w:lvl>
    <w:lvl w:ilvl="3" w:tplc="ADE6E372">
      <w:start w:val="1"/>
      <w:numFmt w:val="bullet"/>
      <w:lvlText w:val=""/>
      <w:lvlJc w:val="left"/>
      <w:pPr>
        <w:ind w:left="2880" w:hanging="360"/>
      </w:pPr>
      <w:rPr>
        <w:rFonts w:ascii="Symbol" w:hAnsi="Symbol" w:hint="default"/>
      </w:rPr>
    </w:lvl>
    <w:lvl w:ilvl="4" w:tplc="42D68180">
      <w:start w:val="1"/>
      <w:numFmt w:val="bullet"/>
      <w:lvlText w:val="o"/>
      <w:lvlJc w:val="left"/>
      <w:pPr>
        <w:ind w:left="3600" w:hanging="360"/>
      </w:pPr>
      <w:rPr>
        <w:rFonts w:ascii="Courier New" w:hAnsi="Courier New" w:hint="default"/>
      </w:rPr>
    </w:lvl>
    <w:lvl w:ilvl="5" w:tplc="94AAB3DE">
      <w:start w:val="1"/>
      <w:numFmt w:val="bullet"/>
      <w:lvlText w:val=""/>
      <w:lvlJc w:val="left"/>
      <w:pPr>
        <w:ind w:left="4320" w:hanging="360"/>
      </w:pPr>
      <w:rPr>
        <w:rFonts w:ascii="Wingdings" w:hAnsi="Wingdings" w:hint="default"/>
      </w:rPr>
    </w:lvl>
    <w:lvl w:ilvl="6" w:tplc="F606D3D8">
      <w:start w:val="1"/>
      <w:numFmt w:val="bullet"/>
      <w:lvlText w:val=""/>
      <w:lvlJc w:val="left"/>
      <w:pPr>
        <w:ind w:left="5040" w:hanging="360"/>
      </w:pPr>
      <w:rPr>
        <w:rFonts w:ascii="Symbol" w:hAnsi="Symbol" w:hint="default"/>
      </w:rPr>
    </w:lvl>
    <w:lvl w:ilvl="7" w:tplc="AD7869DE">
      <w:start w:val="1"/>
      <w:numFmt w:val="bullet"/>
      <w:lvlText w:val="o"/>
      <w:lvlJc w:val="left"/>
      <w:pPr>
        <w:ind w:left="5760" w:hanging="360"/>
      </w:pPr>
      <w:rPr>
        <w:rFonts w:ascii="Courier New" w:hAnsi="Courier New" w:hint="default"/>
      </w:rPr>
    </w:lvl>
    <w:lvl w:ilvl="8" w:tplc="D4625B26">
      <w:start w:val="1"/>
      <w:numFmt w:val="bullet"/>
      <w:lvlText w:val=""/>
      <w:lvlJc w:val="left"/>
      <w:pPr>
        <w:ind w:left="6480" w:hanging="360"/>
      </w:pPr>
      <w:rPr>
        <w:rFonts w:ascii="Wingdings" w:hAnsi="Wingdings" w:hint="default"/>
      </w:rPr>
    </w:lvl>
  </w:abstractNum>
  <w:abstractNum w:abstractNumId="71" w15:restartNumberingAfterBreak="0">
    <w:nsid w:val="39424766"/>
    <w:multiLevelType w:val="hybridMultilevel"/>
    <w:tmpl w:val="9320A8EA"/>
    <w:lvl w:ilvl="0" w:tplc="14090001">
      <w:start w:val="1"/>
      <w:numFmt w:val="bullet"/>
      <w:lvlText w:val=""/>
      <w:lvlJc w:val="left"/>
      <w:pPr>
        <w:ind w:left="1211" w:hanging="360"/>
      </w:pPr>
      <w:rPr>
        <w:rFonts w:ascii="Symbol" w:hAnsi="Symbol" w:hint="default"/>
      </w:rPr>
    </w:lvl>
    <w:lvl w:ilvl="1" w:tplc="14090003" w:tentative="1">
      <w:start w:val="1"/>
      <w:numFmt w:val="bullet"/>
      <w:lvlText w:val="o"/>
      <w:lvlJc w:val="left"/>
      <w:pPr>
        <w:ind w:left="1931" w:hanging="360"/>
      </w:pPr>
      <w:rPr>
        <w:rFonts w:ascii="Courier New" w:hAnsi="Courier New" w:cs="Courier New" w:hint="default"/>
      </w:rPr>
    </w:lvl>
    <w:lvl w:ilvl="2" w:tplc="14090005" w:tentative="1">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2" w15:restartNumberingAfterBreak="0">
    <w:nsid w:val="3A963998"/>
    <w:multiLevelType w:val="hybridMultilevel"/>
    <w:tmpl w:val="5536885C"/>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3AA04414"/>
    <w:multiLevelType w:val="hybridMultilevel"/>
    <w:tmpl w:val="DFFC7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B772216"/>
    <w:multiLevelType w:val="hybridMultilevel"/>
    <w:tmpl w:val="FFFFFFFF"/>
    <w:lvl w:ilvl="0" w:tplc="EA92804A">
      <w:start w:val="348"/>
      <w:numFmt w:val="decimal"/>
      <w:lvlText w:val="%1."/>
      <w:lvlJc w:val="left"/>
      <w:pPr>
        <w:ind w:left="720" w:hanging="360"/>
      </w:pPr>
    </w:lvl>
    <w:lvl w:ilvl="1" w:tplc="3D50AA6A">
      <w:start w:val="1"/>
      <w:numFmt w:val="bullet"/>
      <w:lvlText w:val="·"/>
      <w:lvlJc w:val="left"/>
      <w:pPr>
        <w:ind w:left="1440" w:hanging="360"/>
      </w:pPr>
      <w:rPr>
        <w:rFonts w:ascii="Symbol" w:hAnsi="Symbol" w:hint="default"/>
      </w:rPr>
    </w:lvl>
    <w:lvl w:ilvl="2" w:tplc="39E2DE56">
      <w:start w:val="1"/>
      <w:numFmt w:val="lowerRoman"/>
      <w:lvlText w:val="%3."/>
      <w:lvlJc w:val="right"/>
      <w:pPr>
        <w:ind w:left="2160" w:hanging="180"/>
      </w:pPr>
    </w:lvl>
    <w:lvl w:ilvl="3" w:tplc="159C82F2">
      <w:start w:val="1"/>
      <w:numFmt w:val="decimal"/>
      <w:lvlText w:val="%4."/>
      <w:lvlJc w:val="left"/>
      <w:pPr>
        <w:ind w:left="2880" w:hanging="360"/>
      </w:pPr>
    </w:lvl>
    <w:lvl w:ilvl="4" w:tplc="EC261C96">
      <w:start w:val="1"/>
      <w:numFmt w:val="lowerLetter"/>
      <w:lvlText w:val="%5."/>
      <w:lvlJc w:val="left"/>
      <w:pPr>
        <w:ind w:left="3600" w:hanging="360"/>
      </w:pPr>
    </w:lvl>
    <w:lvl w:ilvl="5" w:tplc="290E7C90">
      <w:start w:val="1"/>
      <w:numFmt w:val="lowerRoman"/>
      <w:lvlText w:val="%6."/>
      <w:lvlJc w:val="right"/>
      <w:pPr>
        <w:ind w:left="4320" w:hanging="180"/>
      </w:pPr>
    </w:lvl>
    <w:lvl w:ilvl="6" w:tplc="09B4980A">
      <w:start w:val="1"/>
      <w:numFmt w:val="decimal"/>
      <w:lvlText w:val="%7."/>
      <w:lvlJc w:val="left"/>
      <w:pPr>
        <w:ind w:left="5040" w:hanging="360"/>
      </w:pPr>
    </w:lvl>
    <w:lvl w:ilvl="7" w:tplc="596E69C0">
      <w:start w:val="1"/>
      <w:numFmt w:val="lowerLetter"/>
      <w:lvlText w:val="%8."/>
      <w:lvlJc w:val="left"/>
      <w:pPr>
        <w:ind w:left="5760" w:hanging="360"/>
      </w:pPr>
    </w:lvl>
    <w:lvl w:ilvl="8" w:tplc="71321A12">
      <w:start w:val="1"/>
      <w:numFmt w:val="lowerRoman"/>
      <w:lvlText w:val="%9."/>
      <w:lvlJc w:val="right"/>
      <w:pPr>
        <w:ind w:left="6480" w:hanging="180"/>
      </w:pPr>
    </w:lvl>
  </w:abstractNum>
  <w:abstractNum w:abstractNumId="7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6" w15:restartNumberingAfterBreak="0">
    <w:nsid w:val="3CFC3C91"/>
    <w:multiLevelType w:val="hybridMultilevel"/>
    <w:tmpl w:val="FFFFFFFF"/>
    <w:lvl w:ilvl="0" w:tplc="056A17E2">
      <w:start w:val="1"/>
      <w:numFmt w:val="decimal"/>
      <w:lvlText w:val="%1."/>
      <w:lvlJc w:val="left"/>
      <w:pPr>
        <w:ind w:left="720" w:hanging="360"/>
      </w:pPr>
    </w:lvl>
    <w:lvl w:ilvl="1" w:tplc="7DE673A2">
      <w:start w:val="1"/>
      <w:numFmt w:val="lowerLetter"/>
      <w:lvlText w:val="%2."/>
      <w:lvlJc w:val="left"/>
      <w:pPr>
        <w:ind w:left="1440" w:hanging="360"/>
      </w:pPr>
    </w:lvl>
    <w:lvl w:ilvl="2" w:tplc="74F6A722">
      <w:start w:val="1"/>
      <w:numFmt w:val="lowerRoman"/>
      <w:lvlText w:val="%3."/>
      <w:lvlJc w:val="right"/>
      <w:pPr>
        <w:ind w:left="2160" w:hanging="180"/>
      </w:pPr>
    </w:lvl>
    <w:lvl w:ilvl="3" w:tplc="40F8EB36">
      <w:start w:val="1"/>
      <w:numFmt w:val="decimal"/>
      <w:lvlText w:val="%4."/>
      <w:lvlJc w:val="left"/>
      <w:pPr>
        <w:ind w:left="2880" w:hanging="360"/>
      </w:pPr>
    </w:lvl>
    <w:lvl w:ilvl="4" w:tplc="3F90E162">
      <w:start w:val="1"/>
      <w:numFmt w:val="lowerLetter"/>
      <w:lvlText w:val="%5."/>
      <w:lvlJc w:val="left"/>
      <w:pPr>
        <w:ind w:left="3600" w:hanging="360"/>
      </w:pPr>
    </w:lvl>
    <w:lvl w:ilvl="5" w:tplc="F9DABC70">
      <w:start w:val="1"/>
      <w:numFmt w:val="lowerRoman"/>
      <w:lvlText w:val="%6."/>
      <w:lvlJc w:val="right"/>
      <w:pPr>
        <w:ind w:left="4320" w:hanging="180"/>
      </w:pPr>
    </w:lvl>
    <w:lvl w:ilvl="6" w:tplc="BB040594">
      <w:start w:val="1"/>
      <w:numFmt w:val="decimal"/>
      <w:lvlText w:val="%7."/>
      <w:lvlJc w:val="left"/>
      <w:pPr>
        <w:ind w:left="5040" w:hanging="360"/>
      </w:pPr>
    </w:lvl>
    <w:lvl w:ilvl="7" w:tplc="3BF486AC">
      <w:start w:val="1"/>
      <w:numFmt w:val="lowerLetter"/>
      <w:lvlText w:val="%8."/>
      <w:lvlJc w:val="left"/>
      <w:pPr>
        <w:ind w:left="5760" w:hanging="360"/>
      </w:pPr>
    </w:lvl>
    <w:lvl w:ilvl="8" w:tplc="FC3E8B9C">
      <w:start w:val="1"/>
      <w:numFmt w:val="lowerRoman"/>
      <w:lvlText w:val="%9."/>
      <w:lvlJc w:val="right"/>
      <w:pPr>
        <w:ind w:left="6480" w:hanging="180"/>
      </w:pPr>
    </w:lvl>
  </w:abstractNum>
  <w:abstractNum w:abstractNumId="77" w15:restartNumberingAfterBreak="0">
    <w:nsid w:val="3D232CAF"/>
    <w:multiLevelType w:val="hybridMultilevel"/>
    <w:tmpl w:val="FFFFFFFF"/>
    <w:lvl w:ilvl="0" w:tplc="967A3AFE">
      <w:start w:val="350"/>
      <w:numFmt w:val="decimal"/>
      <w:lvlText w:val="%1."/>
      <w:lvlJc w:val="left"/>
      <w:pPr>
        <w:ind w:left="720" w:hanging="360"/>
      </w:pPr>
    </w:lvl>
    <w:lvl w:ilvl="1" w:tplc="9256919E">
      <w:start w:val="1"/>
      <w:numFmt w:val="lowerLetter"/>
      <w:lvlText w:val="%2."/>
      <w:lvlJc w:val="left"/>
      <w:pPr>
        <w:ind w:left="1440" w:hanging="360"/>
      </w:pPr>
    </w:lvl>
    <w:lvl w:ilvl="2" w:tplc="C7F476BC">
      <w:start w:val="1"/>
      <w:numFmt w:val="lowerRoman"/>
      <w:lvlText w:val="%3."/>
      <w:lvlJc w:val="right"/>
      <w:pPr>
        <w:ind w:left="2160" w:hanging="180"/>
      </w:pPr>
    </w:lvl>
    <w:lvl w:ilvl="3" w:tplc="781C29F0">
      <w:start w:val="1"/>
      <w:numFmt w:val="decimal"/>
      <w:lvlText w:val="%4."/>
      <w:lvlJc w:val="left"/>
      <w:pPr>
        <w:ind w:left="2880" w:hanging="360"/>
      </w:pPr>
    </w:lvl>
    <w:lvl w:ilvl="4" w:tplc="53B8525C">
      <w:start w:val="1"/>
      <w:numFmt w:val="lowerLetter"/>
      <w:lvlText w:val="%5."/>
      <w:lvlJc w:val="left"/>
      <w:pPr>
        <w:ind w:left="3600" w:hanging="360"/>
      </w:pPr>
    </w:lvl>
    <w:lvl w:ilvl="5" w:tplc="24AC4FD4">
      <w:start w:val="1"/>
      <w:numFmt w:val="lowerRoman"/>
      <w:lvlText w:val="%6."/>
      <w:lvlJc w:val="right"/>
      <w:pPr>
        <w:ind w:left="4320" w:hanging="180"/>
      </w:pPr>
    </w:lvl>
    <w:lvl w:ilvl="6" w:tplc="E7DC9FCA">
      <w:start w:val="1"/>
      <w:numFmt w:val="decimal"/>
      <w:lvlText w:val="%7."/>
      <w:lvlJc w:val="left"/>
      <w:pPr>
        <w:ind w:left="5040" w:hanging="360"/>
      </w:pPr>
    </w:lvl>
    <w:lvl w:ilvl="7" w:tplc="9E5CBEB2">
      <w:start w:val="1"/>
      <w:numFmt w:val="lowerLetter"/>
      <w:lvlText w:val="%8."/>
      <w:lvlJc w:val="left"/>
      <w:pPr>
        <w:ind w:left="5760" w:hanging="360"/>
      </w:pPr>
    </w:lvl>
    <w:lvl w:ilvl="8" w:tplc="443C1B46">
      <w:start w:val="1"/>
      <w:numFmt w:val="lowerRoman"/>
      <w:lvlText w:val="%9."/>
      <w:lvlJc w:val="right"/>
      <w:pPr>
        <w:ind w:left="6480" w:hanging="180"/>
      </w:pPr>
    </w:lvl>
  </w:abstractNum>
  <w:abstractNum w:abstractNumId="78" w15:restartNumberingAfterBreak="0">
    <w:nsid w:val="3D2A5DFA"/>
    <w:multiLevelType w:val="hybridMultilevel"/>
    <w:tmpl w:val="FFFFFFFF"/>
    <w:lvl w:ilvl="0" w:tplc="13AAB69C">
      <w:start w:val="353"/>
      <w:numFmt w:val="decimal"/>
      <w:lvlText w:val="%1."/>
      <w:lvlJc w:val="left"/>
      <w:pPr>
        <w:ind w:left="720" w:hanging="360"/>
      </w:pPr>
    </w:lvl>
    <w:lvl w:ilvl="1" w:tplc="ED94CABA">
      <w:start w:val="1"/>
      <w:numFmt w:val="lowerLetter"/>
      <w:lvlText w:val="%2."/>
      <w:lvlJc w:val="left"/>
      <w:pPr>
        <w:ind w:left="1440" w:hanging="360"/>
      </w:pPr>
    </w:lvl>
    <w:lvl w:ilvl="2" w:tplc="E304D0EC">
      <w:start w:val="1"/>
      <w:numFmt w:val="lowerRoman"/>
      <w:lvlText w:val="%3."/>
      <w:lvlJc w:val="right"/>
      <w:pPr>
        <w:ind w:left="2160" w:hanging="180"/>
      </w:pPr>
    </w:lvl>
    <w:lvl w:ilvl="3" w:tplc="897251B2">
      <w:start w:val="1"/>
      <w:numFmt w:val="decimal"/>
      <w:lvlText w:val="%4."/>
      <w:lvlJc w:val="left"/>
      <w:pPr>
        <w:ind w:left="2880" w:hanging="360"/>
      </w:pPr>
    </w:lvl>
    <w:lvl w:ilvl="4" w:tplc="6ABAF012">
      <w:start w:val="1"/>
      <w:numFmt w:val="lowerLetter"/>
      <w:lvlText w:val="%5."/>
      <w:lvlJc w:val="left"/>
      <w:pPr>
        <w:ind w:left="3600" w:hanging="360"/>
      </w:pPr>
    </w:lvl>
    <w:lvl w:ilvl="5" w:tplc="88FA7A78">
      <w:start w:val="1"/>
      <w:numFmt w:val="lowerRoman"/>
      <w:lvlText w:val="%6."/>
      <w:lvlJc w:val="right"/>
      <w:pPr>
        <w:ind w:left="4320" w:hanging="180"/>
      </w:pPr>
    </w:lvl>
    <w:lvl w:ilvl="6" w:tplc="E2FA38A2">
      <w:start w:val="1"/>
      <w:numFmt w:val="decimal"/>
      <w:lvlText w:val="%7."/>
      <w:lvlJc w:val="left"/>
      <w:pPr>
        <w:ind w:left="5040" w:hanging="360"/>
      </w:pPr>
    </w:lvl>
    <w:lvl w:ilvl="7" w:tplc="1D244122">
      <w:start w:val="1"/>
      <w:numFmt w:val="lowerLetter"/>
      <w:lvlText w:val="%8."/>
      <w:lvlJc w:val="left"/>
      <w:pPr>
        <w:ind w:left="5760" w:hanging="360"/>
      </w:pPr>
    </w:lvl>
    <w:lvl w:ilvl="8" w:tplc="12F22F0A">
      <w:start w:val="1"/>
      <w:numFmt w:val="lowerRoman"/>
      <w:lvlText w:val="%9."/>
      <w:lvlJc w:val="right"/>
      <w:pPr>
        <w:ind w:left="6480" w:hanging="180"/>
      </w:pPr>
    </w:lvl>
  </w:abstractNum>
  <w:abstractNum w:abstractNumId="79" w15:restartNumberingAfterBreak="0">
    <w:nsid w:val="3DE65F4D"/>
    <w:multiLevelType w:val="hybridMultilevel"/>
    <w:tmpl w:val="8A10F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E428D49"/>
    <w:multiLevelType w:val="hybridMultilevel"/>
    <w:tmpl w:val="FFFFFFFF"/>
    <w:lvl w:ilvl="0" w:tplc="FA1A56F0">
      <w:start w:val="357"/>
      <w:numFmt w:val="decimal"/>
      <w:lvlText w:val="%1."/>
      <w:lvlJc w:val="left"/>
      <w:pPr>
        <w:ind w:left="720" w:hanging="360"/>
      </w:pPr>
    </w:lvl>
    <w:lvl w:ilvl="1" w:tplc="9D72CC08">
      <w:start w:val="1"/>
      <w:numFmt w:val="lowerLetter"/>
      <w:lvlText w:val="%2."/>
      <w:lvlJc w:val="left"/>
      <w:pPr>
        <w:ind w:left="1440" w:hanging="360"/>
      </w:pPr>
    </w:lvl>
    <w:lvl w:ilvl="2" w:tplc="E788CED8">
      <w:start w:val="1"/>
      <w:numFmt w:val="lowerRoman"/>
      <w:lvlText w:val="%3."/>
      <w:lvlJc w:val="right"/>
      <w:pPr>
        <w:ind w:left="2160" w:hanging="180"/>
      </w:pPr>
    </w:lvl>
    <w:lvl w:ilvl="3" w:tplc="D390CBA6">
      <w:start w:val="1"/>
      <w:numFmt w:val="decimal"/>
      <w:lvlText w:val="%4."/>
      <w:lvlJc w:val="left"/>
      <w:pPr>
        <w:ind w:left="2880" w:hanging="360"/>
      </w:pPr>
    </w:lvl>
    <w:lvl w:ilvl="4" w:tplc="434072AC">
      <w:start w:val="1"/>
      <w:numFmt w:val="lowerLetter"/>
      <w:lvlText w:val="%5."/>
      <w:lvlJc w:val="left"/>
      <w:pPr>
        <w:ind w:left="3600" w:hanging="360"/>
      </w:pPr>
    </w:lvl>
    <w:lvl w:ilvl="5" w:tplc="9522D610">
      <w:start w:val="1"/>
      <w:numFmt w:val="lowerRoman"/>
      <w:lvlText w:val="%6."/>
      <w:lvlJc w:val="right"/>
      <w:pPr>
        <w:ind w:left="4320" w:hanging="180"/>
      </w:pPr>
    </w:lvl>
    <w:lvl w:ilvl="6" w:tplc="E5DE3AFA">
      <w:start w:val="1"/>
      <w:numFmt w:val="decimal"/>
      <w:lvlText w:val="%7."/>
      <w:lvlJc w:val="left"/>
      <w:pPr>
        <w:ind w:left="5040" w:hanging="360"/>
      </w:pPr>
    </w:lvl>
    <w:lvl w:ilvl="7" w:tplc="F1A25A84">
      <w:start w:val="1"/>
      <w:numFmt w:val="lowerLetter"/>
      <w:lvlText w:val="%8."/>
      <w:lvlJc w:val="left"/>
      <w:pPr>
        <w:ind w:left="5760" w:hanging="360"/>
      </w:pPr>
    </w:lvl>
    <w:lvl w:ilvl="8" w:tplc="0596AFA0">
      <w:start w:val="1"/>
      <w:numFmt w:val="lowerRoman"/>
      <w:lvlText w:val="%9."/>
      <w:lvlJc w:val="right"/>
      <w:pPr>
        <w:ind w:left="6480" w:hanging="180"/>
      </w:pPr>
    </w:lvl>
  </w:abstractNum>
  <w:abstractNum w:abstractNumId="81" w15:restartNumberingAfterBreak="0">
    <w:nsid w:val="3E545FA9"/>
    <w:multiLevelType w:val="hybridMultilevel"/>
    <w:tmpl w:val="26FE3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EDA6CAC"/>
    <w:multiLevelType w:val="hybridMultilevel"/>
    <w:tmpl w:val="9A986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01D5AFD"/>
    <w:multiLevelType w:val="multilevel"/>
    <w:tmpl w:val="8D4AF814"/>
    <w:lvl w:ilvl="0">
      <w:start w:val="1"/>
      <w:numFmt w:val="decimal"/>
      <w:lvlText w:val="%1."/>
      <w:lvlJc w:val="left"/>
      <w:pPr>
        <w:ind w:left="92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0E4124B"/>
    <w:multiLevelType w:val="hybridMultilevel"/>
    <w:tmpl w:val="FFFFFFFF"/>
    <w:lvl w:ilvl="0" w:tplc="069E13EC">
      <w:start w:val="351"/>
      <w:numFmt w:val="decimal"/>
      <w:lvlText w:val="%1."/>
      <w:lvlJc w:val="left"/>
      <w:pPr>
        <w:ind w:left="720" w:hanging="360"/>
      </w:pPr>
    </w:lvl>
    <w:lvl w:ilvl="1" w:tplc="BFD4AB00">
      <w:start w:val="1"/>
      <w:numFmt w:val="lowerLetter"/>
      <w:lvlText w:val="%2."/>
      <w:lvlJc w:val="left"/>
      <w:pPr>
        <w:ind w:left="1440" w:hanging="360"/>
      </w:pPr>
    </w:lvl>
    <w:lvl w:ilvl="2" w:tplc="BB66AC14">
      <w:start w:val="1"/>
      <w:numFmt w:val="lowerRoman"/>
      <w:lvlText w:val="%3."/>
      <w:lvlJc w:val="right"/>
      <w:pPr>
        <w:ind w:left="2160" w:hanging="180"/>
      </w:pPr>
    </w:lvl>
    <w:lvl w:ilvl="3" w:tplc="00F03D52">
      <w:start w:val="1"/>
      <w:numFmt w:val="decimal"/>
      <w:lvlText w:val="%4."/>
      <w:lvlJc w:val="left"/>
      <w:pPr>
        <w:ind w:left="2880" w:hanging="360"/>
      </w:pPr>
    </w:lvl>
    <w:lvl w:ilvl="4" w:tplc="E1A61DB8">
      <w:start w:val="1"/>
      <w:numFmt w:val="lowerLetter"/>
      <w:lvlText w:val="%5."/>
      <w:lvlJc w:val="left"/>
      <w:pPr>
        <w:ind w:left="3600" w:hanging="360"/>
      </w:pPr>
    </w:lvl>
    <w:lvl w:ilvl="5" w:tplc="5BECFBB6">
      <w:start w:val="1"/>
      <w:numFmt w:val="lowerRoman"/>
      <w:lvlText w:val="%6."/>
      <w:lvlJc w:val="right"/>
      <w:pPr>
        <w:ind w:left="4320" w:hanging="180"/>
      </w:pPr>
    </w:lvl>
    <w:lvl w:ilvl="6" w:tplc="0C743794">
      <w:start w:val="1"/>
      <w:numFmt w:val="decimal"/>
      <w:lvlText w:val="%7."/>
      <w:lvlJc w:val="left"/>
      <w:pPr>
        <w:ind w:left="5040" w:hanging="360"/>
      </w:pPr>
    </w:lvl>
    <w:lvl w:ilvl="7" w:tplc="A0E4BC4C">
      <w:start w:val="1"/>
      <w:numFmt w:val="lowerLetter"/>
      <w:lvlText w:val="%8."/>
      <w:lvlJc w:val="left"/>
      <w:pPr>
        <w:ind w:left="5760" w:hanging="360"/>
      </w:pPr>
    </w:lvl>
    <w:lvl w:ilvl="8" w:tplc="5A002DCA">
      <w:start w:val="1"/>
      <w:numFmt w:val="lowerRoman"/>
      <w:lvlText w:val="%9."/>
      <w:lvlJc w:val="right"/>
      <w:pPr>
        <w:ind w:left="6480" w:hanging="180"/>
      </w:pPr>
    </w:lvl>
  </w:abstractNum>
  <w:abstractNum w:abstractNumId="85" w15:restartNumberingAfterBreak="0">
    <w:nsid w:val="42E649A4"/>
    <w:multiLevelType w:val="hybridMultilevel"/>
    <w:tmpl w:val="FFFFFFFF"/>
    <w:lvl w:ilvl="0" w:tplc="85323718">
      <w:start w:val="1"/>
      <w:numFmt w:val="bullet"/>
      <w:lvlText w:val="·"/>
      <w:lvlJc w:val="left"/>
      <w:pPr>
        <w:ind w:left="720" w:hanging="360"/>
      </w:pPr>
      <w:rPr>
        <w:rFonts w:ascii="Symbol" w:hAnsi="Symbol" w:hint="default"/>
      </w:rPr>
    </w:lvl>
    <w:lvl w:ilvl="1" w:tplc="1486AE2C">
      <w:start w:val="1"/>
      <w:numFmt w:val="bullet"/>
      <w:lvlText w:val="o"/>
      <w:lvlJc w:val="left"/>
      <w:pPr>
        <w:ind w:left="1440" w:hanging="360"/>
      </w:pPr>
      <w:rPr>
        <w:rFonts w:ascii="Courier New" w:hAnsi="Courier New" w:hint="default"/>
      </w:rPr>
    </w:lvl>
    <w:lvl w:ilvl="2" w:tplc="4C28FC28">
      <w:start w:val="1"/>
      <w:numFmt w:val="bullet"/>
      <w:lvlText w:val=""/>
      <w:lvlJc w:val="left"/>
      <w:pPr>
        <w:ind w:left="2160" w:hanging="360"/>
      </w:pPr>
      <w:rPr>
        <w:rFonts w:ascii="Wingdings" w:hAnsi="Wingdings" w:hint="default"/>
      </w:rPr>
    </w:lvl>
    <w:lvl w:ilvl="3" w:tplc="1340E318">
      <w:start w:val="1"/>
      <w:numFmt w:val="bullet"/>
      <w:lvlText w:val=""/>
      <w:lvlJc w:val="left"/>
      <w:pPr>
        <w:ind w:left="2880" w:hanging="360"/>
      </w:pPr>
      <w:rPr>
        <w:rFonts w:ascii="Symbol" w:hAnsi="Symbol" w:hint="default"/>
      </w:rPr>
    </w:lvl>
    <w:lvl w:ilvl="4" w:tplc="C540B3FA">
      <w:start w:val="1"/>
      <w:numFmt w:val="bullet"/>
      <w:lvlText w:val="o"/>
      <w:lvlJc w:val="left"/>
      <w:pPr>
        <w:ind w:left="3600" w:hanging="360"/>
      </w:pPr>
      <w:rPr>
        <w:rFonts w:ascii="Courier New" w:hAnsi="Courier New" w:hint="default"/>
      </w:rPr>
    </w:lvl>
    <w:lvl w:ilvl="5" w:tplc="2EDE5262">
      <w:start w:val="1"/>
      <w:numFmt w:val="bullet"/>
      <w:lvlText w:val=""/>
      <w:lvlJc w:val="left"/>
      <w:pPr>
        <w:ind w:left="4320" w:hanging="360"/>
      </w:pPr>
      <w:rPr>
        <w:rFonts w:ascii="Wingdings" w:hAnsi="Wingdings" w:hint="default"/>
      </w:rPr>
    </w:lvl>
    <w:lvl w:ilvl="6" w:tplc="FBDE2F34">
      <w:start w:val="1"/>
      <w:numFmt w:val="bullet"/>
      <w:lvlText w:val=""/>
      <w:lvlJc w:val="left"/>
      <w:pPr>
        <w:ind w:left="5040" w:hanging="360"/>
      </w:pPr>
      <w:rPr>
        <w:rFonts w:ascii="Symbol" w:hAnsi="Symbol" w:hint="default"/>
      </w:rPr>
    </w:lvl>
    <w:lvl w:ilvl="7" w:tplc="4E186658">
      <w:start w:val="1"/>
      <w:numFmt w:val="bullet"/>
      <w:lvlText w:val="o"/>
      <w:lvlJc w:val="left"/>
      <w:pPr>
        <w:ind w:left="5760" w:hanging="360"/>
      </w:pPr>
      <w:rPr>
        <w:rFonts w:ascii="Courier New" w:hAnsi="Courier New" w:hint="default"/>
      </w:rPr>
    </w:lvl>
    <w:lvl w:ilvl="8" w:tplc="93A6D226">
      <w:start w:val="1"/>
      <w:numFmt w:val="bullet"/>
      <w:lvlText w:val=""/>
      <w:lvlJc w:val="left"/>
      <w:pPr>
        <w:ind w:left="6480" w:hanging="360"/>
      </w:pPr>
      <w:rPr>
        <w:rFonts w:ascii="Wingdings" w:hAnsi="Wingdings" w:hint="default"/>
      </w:rPr>
    </w:lvl>
  </w:abstractNum>
  <w:abstractNum w:abstractNumId="86" w15:restartNumberingAfterBreak="0">
    <w:nsid w:val="434606D7"/>
    <w:multiLevelType w:val="hybridMultilevel"/>
    <w:tmpl w:val="46BAA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4677312"/>
    <w:multiLevelType w:val="hybridMultilevel"/>
    <w:tmpl w:val="76307F4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4593DC8B"/>
    <w:multiLevelType w:val="hybridMultilevel"/>
    <w:tmpl w:val="FFFFFFFF"/>
    <w:lvl w:ilvl="0" w:tplc="53EAAFC8">
      <w:start w:val="1"/>
      <w:numFmt w:val="bullet"/>
      <w:lvlText w:val=""/>
      <w:lvlJc w:val="left"/>
      <w:pPr>
        <w:ind w:left="720" w:hanging="360"/>
      </w:pPr>
      <w:rPr>
        <w:rFonts w:ascii="Symbol" w:hAnsi="Symbol" w:hint="default"/>
      </w:rPr>
    </w:lvl>
    <w:lvl w:ilvl="1" w:tplc="2F983A8A">
      <w:start w:val="1"/>
      <w:numFmt w:val="bullet"/>
      <w:lvlText w:val="·"/>
      <w:lvlJc w:val="left"/>
      <w:pPr>
        <w:ind w:left="1440" w:hanging="360"/>
      </w:pPr>
      <w:rPr>
        <w:rFonts w:ascii="Symbol" w:hAnsi="Symbol" w:hint="default"/>
      </w:rPr>
    </w:lvl>
    <w:lvl w:ilvl="2" w:tplc="4E105088">
      <w:start w:val="1"/>
      <w:numFmt w:val="bullet"/>
      <w:lvlText w:val=""/>
      <w:lvlJc w:val="left"/>
      <w:pPr>
        <w:ind w:left="2160" w:hanging="360"/>
      </w:pPr>
      <w:rPr>
        <w:rFonts w:ascii="Wingdings" w:hAnsi="Wingdings" w:hint="default"/>
      </w:rPr>
    </w:lvl>
    <w:lvl w:ilvl="3" w:tplc="E854748A">
      <w:start w:val="1"/>
      <w:numFmt w:val="bullet"/>
      <w:lvlText w:val=""/>
      <w:lvlJc w:val="left"/>
      <w:pPr>
        <w:ind w:left="2880" w:hanging="360"/>
      </w:pPr>
      <w:rPr>
        <w:rFonts w:ascii="Symbol" w:hAnsi="Symbol" w:hint="default"/>
      </w:rPr>
    </w:lvl>
    <w:lvl w:ilvl="4" w:tplc="37F08010">
      <w:start w:val="1"/>
      <w:numFmt w:val="bullet"/>
      <w:lvlText w:val="o"/>
      <w:lvlJc w:val="left"/>
      <w:pPr>
        <w:ind w:left="3600" w:hanging="360"/>
      </w:pPr>
      <w:rPr>
        <w:rFonts w:ascii="Courier New" w:hAnsi="Courier New" w:hint="default"/>
      </w:rPr>
    </w:lvl>
    <w:lvl w:ilvl="5" w:tplc="78CE009E">
      <w:start w:val="1"/>
      <w:numFmt w:val="bullet"/>
      <w:lvlText w:val=""/>
      <w:lvlJc w:val="left"/>
      <w:pPr>
        <w:ind w:left="4320" w:hanging="360"/>
      </w:pPr>
      <w:rPr>
        <w:rFonts w:ascii="Wingdings" w:hAnsi="Wingdings" w:hint="default"/>
      </w:rPr>
    </w:lvl>
    <w:lvl w:ilvl="6" w:tplc="283E466C">
      <w:start w:val="1"/>
      <w:numFmt w:val="bullet"/>
      <w:lvlText w:val=""/>
      <w:lvlJc w:val="left"/>
      <w:pPr>
        <w:ind w:left="5040" w:hanging="360"/>
      </w:pPr>
      <w:rPr>
        <w:rFonts w:ascii="Symbol" w:hAnsi="Symbol" w:hint="default"/>
      </w:rPr>
    </w:lvl>
    <w:lvl w:ilvl="7" w:tplc="2E9EC8E0">
      <w:start w:val="1"/>
      <w:numFmt w:val="bullet"/>
      <w:lvlText w:val="o"/>
      <w:lvlJc w:val="left"/>
      <w:pPr>
        <w:ind w:left="5760" w:hanging="360"/>
      </w:pPr>
      <w:rPr>
        <w:rFonts w:ascii="Courier New" w:hAnsi="Courier New" w:hint="default"/>
      </w:rPr>
    </w:lvl>
    <w:lvl w:ilvl="8" w:tplc="BFF4A5C6">
      <w:start w:val="1"/>
      <w:numFmt w:val="bullet"/>
      <w:lvlText w:val=""/>
      <w:lvlJc w:val="left"/>
      <w:pPr>
        <w:ind w:left="6480" w:hanging="360"/>
      </w:pPr>
      <w:rPr>
        <w:rFonts w:ascii="Wingdings" w:hAnsi="Wingdings" w:hint="default"/>
      </w:rPr>
    </w:lvl>
  </w:abstractNum>
  <w:abstractNum w:abstractNumId="89" w15:restartNumberingAfterBreak="0">
    <w:nsid w:val="4849EA3C"/>
    <w:multiLevelType w:val="hybridMultilevel"/>
    <w:tmpl w:val="FFFFFFFF"/>
    <w:lvl w:ilvl="0" w:tplc="3B046BC0">
      <w:start w:val="348"/>
      <w:numFmt w:val="decimal"/>
      <w:lvlText w:val="%1."/>
      <w:lvlJc w:val="left"/>
      <w:pPr>
        <w:ind w:left="720" w:hanging="360"/>
      </w:pPr>
    </w:lvl>
    <w:lvl w:ilvl="1" w:tplc="39BE91CA">
      <w:start w:val="1"/>
      <w:numFmt w:val="lowerLetter"/>
      <w:lvlText w:val="%2."/>
      <w:lvlJc w:val="left"/>
      <w:pPr>
        <w:ind w:left="1440" w:hanging="360"/>
      </w:pPr>
    </w:lvl>
    <w:lvl w:ilvl="2" w:tplc="8A0675FA">
      <w:start w:val="1"/>
      <w:numFmt w:val="lowerRoman"/>
      <w:lvlText w:val="%3."/>
      <w:lvlJc w:val="right"/>
      <w:pPr>
        <w:ind w:left="2160" w:hanging="180"/>
      </w:pPr>
    </w:lvl>
    <w:lvl w:ilvl="3" w:tplc="625864CA">
      <w:start w:val="1"/>
      <w:numFmt w:val="decimal"/>
      <w:lvlText w:val="%4."/>
      <w:lvlJc w:val="left"/>
      <w:pPr>
        <w:ind w:left="2880" w:hanging="360"/>
      </w:pPr>
    </w:lvl>
    <w:lvl w:ilvl="4" w:tplc="1F8A4FEA">
      <w:start w:val="1"/>
      <w:numFmt w:val="lowerLetter"/>
      <w:lvlText w:val="%5."/>
      <w:lvlJc w:val="left"/>
      <w:pPr>
        <w:ind w:left="3600" w:hanging="360"/>
      </w:pPr>
    </w:lvl>
    <w:lvl w:ilvl="5" w:tplc="5DBC80DC">
      <w:start w:val="1"/>
      <w:numFmt w:val="lowerRoman"/>
      <w:lvlText w:val="%6."/>
      <w:lvlJc w:val="right"/>
      <w:pPr>
        <w:ind w:left="4320" w:hanging="180"/>
      </w:pPr>
    </w:lvl>
    <w:lvl w:ilvl="6" w:tplc="1B3295FE">
      <w:start w:val="1"/>
      <w:numFmt w:val="decimal"/>
      <w:lvlText w:val="%7."/>
      <w:lvlJc w:val="left"/>
      <w:pPr>
        <w:ind w:left="5040" w:hanging="360"/>
      </w:pPr>
    </w:lvl>
    <w:lvl w:ilvl="7" w:tplc="DB0E41E6">
      <w:start w:val="1"/>
      <w:numFmt w:val="lowerLetter"/>
      <w:lvlText w:val="%8."/>
      <w:lvlJc w:val="left"/>
      <w:pPr>
        <w:ind w:left="5760" w:hanging="360"/>
      </w:pPr>
    </w:lvl>
    <w:lvl w:ilvl="8" w:tplc="7EFCFD9C">
      <w:start w:val="1"/>
      <w:numFmt w:val="lowerRoman"/>
      <w:lvlText w:val="%9."/>
      <w:lvlJc w:val="right"/>
      <w:pPr>
        <w:ind w:left="6480" w:hanging="180"/>
      </w:pPr>
    </w:lvl>
  </w:abstractNum>
  <w:abstractNum w:abstractNumId="90"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49D4D504"/>
    <w:multiLevelType w:val="hybridMultilevel"/>
    <w:tmpl w:val="FFFFFFFF"/>
    <w:lvl w:ilvl="0" w:tplc="1B86501E">
      <w:start w:val="348"/>
      <w:numFmt w:val="decimal"/>
      <w:lvlText w:val="%1."/>
      <w:lvlJc w:val="left"/>
      <w:pPr>
        <w:ind w:left="720" w:hanging="360"/>
      </w:pPr>
    </w:lvl>
    <w:lvl w:ilvl="1" w:tplc="01F8059A">
      <w:start w:val="1"/>
      <w:numFmt w:val="lowerLetter"/>
      <w:lvlText w:val="%2."/>
      <w:lvlJc w:val="left"/>
      <w:pPr>
        <w:ind w:left="1440" w:hanging="360"/>
      </w:pPr>
    </w:lvl>
    <w:lvl w:ilvl="2" w:tplc="634607A0">
      <w:start w:val="1"/>
      <w:numFmt w:val="lowerRoman"/>
      <w:lvlText w:val="%3."/>
      <w:lvlJc w:val="right"/>
      <w:pPr>
        <w:ind w:left="2160" w:hanging="180"/>
      </w:pPr>
    </w:lvl>
    <w:lvl w:ilvl="3" w:tplc="C3CE46A2">
      <w:start w:val="1"/>
      <w:numFmt w:val="decimal"/>
      <w:lvlText w:val="%4."/>
      <w:lvlJc w:val="left"/>
      <w:pPr>
        <w:ind w:left="2880" w:hanging="360"/>
      </w:pPr>
    </w:lvl>
    <w:lvl w:ilvl="4" w:tplc="37121DD0">
      <w:start w:val="1"/>
      <w:numFmt w:val="lowerLetter"/>
      <w:lvlText w:val="%5."/>
      <w:lvlJc w:val="left"/>
      <w:pPr>
        <w:ind w:left="3600" w:hanging="360"/>
      </w:pPr>
    </w:lvl>
    <w:lvl w:ilvl="5" w:tplc="0234FA0E">
      <w:start w:val="1"/>
      <w:numFmt w:val="lowerRoman"/>
      <w:lvlText w:val="%6."/>
      <w:lvlJc w:val="right"/>
      <w:pPr>
        <w:ind w:left="4320" w:hanging="180"/>
      </w:pPr>
    </w:lvl>
    <w:lvl w:ilvl="6" w:tplc="B294760A">
      <w:start w:val="1"/>
      <w:numFmt w:val="decimal"/>
      <w:lvlText w:val="%7."/>
      <w:lvlJc w:val="left"/>
      <w:pPr>
        <w:ind w:left="5040" w:hanging="360"/>
      </w:pPr>
    </w:lvl>
    <w:lvl w:ilvl="7" w:tplc="006A3EB2">
      <w:start w:val="1"/>
      <w:numFmt w:val="lowerLetter"/>
      <w:lvlText w:val="%8."/>
      <w:lvlJc w:val="left"/>
      <w:pPr>
        <w:ind w:left="5760" w:hanging="360"/>
      </w:pPr>
    </w:lvl>
    <w:lvl w:ilvl="8" w:tplc="A6EA073A">
      <w:start w:val="1"/>
      <w:numFmt w:val="lowerRoman"/>
      <w:lvlText w:val="%9."/>
      <w:lvlJc w:val="right"/>
      <w:pPr>
        <w:ind w:left="6480" w:hanging="180"/>
      </w:pPr>
    </w:lvl>
  </w:abstractNum>
  <w:abstractNum w:abstractNumId="92" w15:restartNumberingAfterBreak="0">
    <w:nsid w:val="4A487A02"/>
    <w:multiLevelType w:val="hybridMultilevel"/>
    <w:tmpl w:val="CC4069BA"/>
    <w:lvl w:ilvl="0" w:tplc="9A98478A">
      <w:start w:val="1"/>
      <w:numFmt w:val="decimal"/>
      <w:lvlText w:val="%1"/>
      <w:lvlJc w:val="left"/>
      <w:pPr>
        <w:ind w:left="722" w:hanging="519"/>
      </w:pPr>
      <w:rPr>
        <w:rFonts w:ascii="Times New Roman" w:eastAsia="Times New Roman" w:hAnsi="Times New Roman" w:cs="Times New Roman" w:hint="default"/>
        <w:b w:val="0"/>
        <w:bCs w:val="0"/>
        <w:i w:val="0"/>
        <w:iCs w:val="0"/>
        <w:w w:val="100"/>
        <w:sz w:val="20"/>
        <w:szCs w:val="20"/>
      </w:rPr>
    </w:lvl>
    <w:lvl w:ilvl="1" w:tplc="E772A29E">
      <w:numFmt w:val="bullet"/>
      <w:lvlText w:val="•"/>
      <w:lvlJc w:val="left"/>
      <w:pPr>
        <w:ind w:left="1686" w:hanging="519"/>
      </w:pPr>
    </w:lvl>
    <w:lvl w:ilvl="2" w:tplc="1EE80C7A">
      <w:numFmt w:val="bullet"/>
      <w:lvlText w:val="•"/>
      <w:lvlJc w:val="left"/>
      <w:pPr>
        <w:ind w:left="2653" w:hanging="519"/>
      </w:pPr>
    </w:lvl>
    <w:lvl w:ilvl="3" w:tplc="E6CA8B48">
      <w:numFmt w:val="bullet"/>
      <w:lvlText w:val="•"/>
      <w:lvlJc w:val="left"/>
      <w:pPr>
        <w:ind w:left="3620" w:hanging="519"/>
      </w:pPr>
    </w:lvl>
    <w:lvl w:ilvl="4" w:tplc="EDE864F0">
      <w:numFmt w:val="bullet"/>
      <w:lvlText w:val="•"/>
      <w:lvlJc w:val="left"/>
      <w:pPr>
        <w:ind w:left="4587" w:hanging="519"/>
      </w:pPr>
    </w:lvl>
    <w:lvl w:ilvl="5" w:tplc="CE80A11E">
      <w:numFmt w:val="bullet"/>
      <w:lvlText w:val="•"/>
      <w:lvlJc w:val="left"/>
      <w:pPr>
        <w:ind w:left="5553" w:hanging="519"/>
      </w:pPr>
    </w:lvl>
    <w:lvl w:ilvl="6" w:tplc="9556ACDA">
      <w:numFmt w:val="bullet"/>
      <w:lvlText w:val="•"/>
      <w:lvlJc w:val="left"/>
      <w:pPr>
        <w:ind w:left="6520" w:hanging="519"/>
      </w:pPr>
    </w:lvl>
    <w:lvl w:ilvl="7" w:tplc="9754E29C">
      <w:numFmt w:val="bullet"/>
      <w:lvlText w:val="•"/>
      <w:lvlJc w:val="left"/>
      <w:pPr>
        <w:ind w:left="7487" w:hanging="519"/>
      </w:pPr>
    </w:lvl>
    <w:lvl w:ilvl="8" w:tplc="049666B4">
      <w:numFmt w:val="bullet"/>
      <w:lvlText w:val="•"/>
      <w:lvlJc w:val="left"/>
      <w:pPr>
        <w:ind w:left="8454" w:hanging="519"/>
      </w:pPr>
    </w:lvl>
  </w:abstractNum>
  <w:abstractNum w:abstractNumId="93" w15:restartNumberingAfterBreak="0">
    <w:nsid w:val="4B037C58"/>
    <w:multiLevelType w:val="hybridMultilevel"/>
    <w:tmpl w:val="434AEB28"/>
    <w:lvl w:ilvl="0" w:tplc="C9FC55C8">
      <w:start w:val="1"/>
      <w:numFmt w:val="lowerLetter"/>
      <w:lvlText w:val="(%1)"/>
      <w:lvlJc w:val="left"/>
      <w:pPr>
        <w:ind w:left="10566" w:hanging="360"/>
      </w:pPr>
      <w:rPr>
        <w:rFonts w:hint="default"/>
      </w:rPr>
    </w:lvl>
    <w:lvl w:ilvl="1" w:tplc="14090019" w:tentative="1">
      <w:start w:val="1"/>
      <w:numFmt w:val="lowerLetter"/>
      <w:lvlText w:val="%2."/>
      <w:lvlJc w:val="left"/>
      <w:pPr>
        <w:ind w:left="11286" w:hanging="360"/>
      </w:pPr>
    </w:lvl>
    <w:lvl w:ilvl="2" w:tplc="1409001B" w:tentative="1">
      <w:start w:val="1"/>
      <w:numFmt w:val="lowerRoman"/>
      <w:lvlText w:val="%3."/>
      <w:lvlJc w:val="right"/>
      <w:pPr>
        <w:ind w:left="12006" w:hanging="180"/>
      </w:pPr>
    </w:lvl>
    <w:lvl w:ilvl="3" w:tplc="1409000F" w:tentative="1">
      <w:start w:val="1"/>
      <w:numFmt w:val="decimal"/>
      <w:lvlText w:val="%4."/>
      <w:lvlJc w:val="left"/>
      <w:pPr>
        <w:ind w:left="12726" w:hanging="360"/>
      </w:pPr>
    </w:lvl>
    <w:lvl w:ilvl="4" w:tplc="14090019" w:tentative="1">
      <w:start w:val="1"/>
      <w:numFmt w:val="lowerLetter"/>
      <w:lvlText w:val="%5."/>
      <w:lvlJc w:val="left"/>
      <w:pPr>
        <w:ind w:left="13446" w:hanging="360"/>
      </w:pPr>
    </w:lvl>
    <w:lvl w:ilvl="5" w:tplc="1409001B" w:tentative="1">
      <w:start w:val="1"/>
      <w:numFmt w:val="lowerRoman"/>
      <w:lvlText w:val="%6."/>
      <w:lvlJc w:val="right"/>
      <w:pPr>
        <w:ind w:left="14166" w:hanging="180"/>
      </w:pPr>
    </w:lvl>
    <w:lvl w:ilvl="6" w:tplc="1409000F" w:tentative="1">
      <w:start w:val="1"/>
      <w:numFmt w:val="decimal"/>
      <w:lvlText w:val="%7."/>
      <w:lvlJc w:val="left"/>
      <w:pPr>
        <w:ind w:left="14886" w:hanging="360"/>
      </w:pPr>
    </w:lvl>
    <w:lvl w:ilvl="7" w:tplc="14090019" w:tentative="1">
      <w:start w:val="1"/>
      <w:numFmt w:val="lowerLetter"/>
      <w:lvlText w:val="%8."/>
      <w:lvlJc w:val="left"/>
      <w:pPr>
        <w:ind w:left="15606" w:hanging="360"/>
      </w:pPr>
    </w:lvl>
    <w:lvl w:ilvl="8" w:tplc="1409001B" w:tentative="1">
      <w:start w:val="1"/>
      <w:numFmt w:val="lowerRoman"/>
      <w:lvlText w:val="%9."/>
      <w:lvlJc w:val="right"/>
      <w:pPr>
        <w:ind w:left="16326" w:hanging="180"/>
      </w:pPr>
    </w:lvl>
  </w:abstractNum>
  <w:abstractNum w:abstractNumId="94" w15:restartNumberingAfterBreak="0">
    <w:nsid w:val="4B365003"/>
    <w:multiLevelType w:val="hybridMultilevel"/>
    <w:tmpl w:val="FFFFFFFF"/>
    <w:lvl w:ilvl="0" w:tplc="BC5A539A">
      <w:start w:val="1"/>
      <w:numFmt w:val="bullet"/>
      <w:lvlText w:val="·"/>
      <w:lvlJc w:val="left"/>
      <w:pPr>
        <w:ind w:left="720" w:hanging="360"/>
      </w:pPr>
      <w:rPr>
        <w:rFonts w:ascii="Symbol" w:hAnsi="Symbol" w:hint="default"/>
      </w:rPr>
    </w:lvl>
    <w:lvl w:ilvl="1" w:tplc="A066EB5C">
      <w:start w:val="1"/>
      <w:numFmt w:val="bullet"/>
      <w:lvlText w:val="o"/>
      <w:lvlJc w:val="left"/>
      <w:pPr>
        <w:ind w:left="1440" w:hanging="360"/>
      </w:pPr>
      <w:rPr>
        <w:rFonts w:ascii="Courier New" w:hAnsi="Courier New" w:hint="default"/>
      </w:rPr>
    </w:lvl>
    <w:lvl w:ilvl="2" w:tplc="EF94C60C">
      <w:start w:val="1"/>
      <w:numFmt w:val="bullet"/>
      <w:lvlText w:val=""/>
      <w:lvlJc w:val="left"/>
      <w:pPr>
        <w:ind w:left="2160" w:hanging="360"/>
      </w:pPr>
      <w:rPr>
        <w:rFonts w:ascii="Wingdings" w:hAnsi="Wingdings" w:hint="default"/>
      </w:rPr>
    </w:lvl>
    <w:lvl w:ilvl="3" w:tplc="30B0210E">
      <w:start w:val="1"/>
      <w:numFmt w:val="bullet"/>
      <w:lvlText w:val=""/>
      <w:lvlJc w:val="left"/>
      <w:pPr>
        <w:ind w:left="2880" w:hanging="360"/>
      </w:pPr>
      <w:rPr>
        <w:rFonts w:ascii="Symbol" w:hAnsi="Symbol" w:hint="default"/>
      </w:rPr>
    </w:lvl>
    <w:lvl w:ilvl="4" w:tplc="7A08F1D6">
      <w:start w:val="1"/>
      <w:numFmt w:val="bullet"/>
      <w:lvlText w:val="o"/>
      <w:lvlJc w:val="left"/>
      <w:pPr>
        <w:ind w:left="3600" w:hanging="360"/>
      </w:pPr>
      <w:rPr>
        <w:rFonts w:ascii="Courier New" w:hAnsi="Courier New" w:hint="default"/>
      </w:rPr>
    </w:lvl>
    <w:lvl w:ilvl="5" w:tplc="20B62F18">
      <w:start w:val="1"/>
      <w:numFmt w:val="bullet"/>
      <w:lvlText w:val=""/>
      <w:lvlJc w:val="left"/>
      <w:pPr>
        <w:ind w:left="4320" w:hanging="360"/>
      </w:pPr>
      <w:rPr>
        <w:rFonts w:ascii="Wingdings" w:hAnsi="Wingdings" w:hint="default"/>
      </w:rPr>
    </w:lvl>
    <w:lvl w:ilvl="6" w:tplc="0BDC5FD8">
      <w:start w:val="1"/>
      <w:numFmt w:val="bullet"/>
      <w:lvlText w:val=""/>
      <w:lvlJc w:val="left"/>
      <w:pPr>
        <w:ind w:left="5040" w:hanging="360"/>
      </w:pPr>
      <w:rPr>
        <w:rFonts w:ascii="Symbol" w:hAnsi="Symbol" w:hint="default"/>
      </w:rPr>
    </w:lvl>
    <w:lvl w:ilvl="7" w:tplc="3EFCC2E6">
      <w:start w:val="1"/>
      <w:numFmt w:val="bullet"/>
      <w:lvlText w:val="o"/>
      <w:lvlJc w:val="left"/>
      <w:pPr>
        <w:ind w:left="5760" w:hanging="360"/>
      </w:pPr>
      <w:rPr>
        <w:rFonts w:ascii="Courier New" w:hAnsi="Courier New" w:hint="default"/>
      </w:rPr>
    </w:lvl>
    <w:lvl w:ilvl="8" w:tplc="67386A58">
      <w:start w:val="1"/>
      <w:numFmt w:val="bullet"/>
      <w:lvlText w:val=""/>
      <w:lvlJc w:val="left"/>
      <w:pPr>
        <w:ind w:left="6480" w:hanging="360"/>
      </w:pPr>
      <w:rPr>
        <w:rFonts w:ascii="Wingdings" w:hAnsi="Wingdings" w:hint="default"/>
      </w:rPr>
    </w:lvl>
  </w:abstractNum>
  <w:abstractNum w:abstractNumId="95" w15:restartNumberingAfterBreak="0">
    <w:nsid w:val="4B5B3D7F"/>
    <w:multiLevelType w:val="hybridMultilevel"/>
    <w:tmpl w:val="FFFFFFFF"/>
    <w:lvl w:ilvl="0" w:tplc="5530626C">
      <w:start w:val="350"/>
      <w:numFmt w:val="decimal"/>
      <w:lvlText w:val="%1."/>
      <w:lvlJc w:val="left"/>
      <w:pPr>
        <w:ind w:left="720" w:hanging="360"/>
      </w:pPr>
    </w:lvl>
    <w:lvl w:ilvl="1" w:tplc="52AA97D6">
      <w:start w:val="1"/>
      <w:numFmt w:val="lowerLetter"/>
      <w:lvlText w:val="%2."/>
      <w:lvlJc w:val="left"/>
      <w:pPr>
        <w:ind w:left="1440" w:hanging="360"/>
      </w:pPr>
    </w:lvl>
    <w:lvl w:ilvl="2" w:tplc="93CC7FFA">
      <w:start w:val="1"/>
      <w:numFmt w:val="lowerRoman"/>
      <w:lvlText w:val="%3."/>
      <w:lvlJc w:val="right"/>
      <w:pPr>
        <w:ind w:left="2160" w:hanging="180"/>
      </w:pPr>
    </w:lvl>
    <w:lvl w:ilvl="3" w:tplc="24BEFBE6">
      <w:start w:val="1"/>
      <w:numFmt w:val="decimal"/>
      <w:lvlText w:val="%4."/>
      <w:lvlJc w:val="left"/>
      <w:pPr>
        <w:ind w:left="2880" w:hanging="360"/>
      </w:pPr>
    </w:lvl>
    <w:lvl w:ilvl="4" w:tplc="5F6AE76E">
      <w:start w:val="1"/>
      <w:numFmt w:val="lowerLetter"/>
      <w:lvlText w:val="%5."/>
      <w:lvlJc w:val="left"/>
      <w:pPr>
        <w:ind w:left="3600" w:hanging="360"/>
      </w:pPr>
    </w:lvl>
    <w:lvl w:ilvl="5" w:tplc="F71C9A60">
      <w:start w:val="1"/>
      <w:numFmt w:val="lowerRoman"/>
      <w:lvlText w:val="%6."/>
      <w:lvlJc w:val="right"/>
      <w:pPr>
        <w:ind w:left="4320" w:hanging="180"/>
      </w:pPr>
    </w:lvl>
    <w:lvl w:ilvl="6" w:tplc="FD02F206">
      <w:start w:val="1"/>
      <w:numFmt w:val="decimal"/>
      <w:lvlText w:val="%7."/>
      <w:lvlJc w:val="left"/>
      <w:pPr>
        <w:ind w:left="5040" w:hanging="360"/>
      </w:pPr>
    </w:lvl>
    <w:lvl w:ilvl="7" w:tplc="506A80C4">
      <w:start w:val="1"/>
      <w:numFmt w:val="lowerLetter"/>
      <w:lvlText w:val="%8."/>
      <w:lvlJc w:val="left"/>
      <w:pPr>
        <w:ind w:left="5760" w:hanging="360"/>
      </w:pPr>
    </w:lvl>
    <w:lvl w:ilvl="8" w:tplc="6E54E75C">
      <w:start w:val="1"/>
      <w:numFmt w:val="lowerRoman"/>
      <w:lvlText w:val="%9."/>
      <w:lvlJc w:val="right"/>
      <w:pPr>
        <w:ind w:left="6480" w:hanging="180"/>
      </w:pPr>
    </w:lvl>
  </w:abstractNum>
  <w:abstractNum w:abstractNumId="96" w15:restartNumberingAfterBreak="0">
    <w:nsid w:val="4B6A59CF"/>
    <w:multiLevelType w:val="hybridMultilevel"/>
    <w:tmpl w:val="3B14C4C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7" w15:restartNumberingAfterBreak="0">
    <w:nsid w:val="4DF1D036"/>
    <w:multiLevelType w:val="hybridMultilevel"/>
    <w:tmpl w:val="FFFFFFFF"/>
    <w:lvl w:ilvl="0" w:tplc="63D09D26">
      <w:start w:val="1"/>
      <w:numFmt w:val="decimal"/>
      <w:lvlText w:val="%1."/>
      <w:lvlJc w:val="left"/>
      <w:pPr>
        <w:ind w:left="720" w:hanging="360"/>
      </w:pPr>
    </w:lvl>
    <w:lvl w:ilvl="1" w:tplc="2DC8C4A0">
      <w:start w:val="1"/>
      <w:numFmt w:val="lowerLetter"/>
      <w:lvlText w:val="%2."/>
      <w:lvlJc w:val="left"/>
      <w:pPr>
        <w:ind w:left="1440" w:hanging="360"/>
      </w:pPr>
    </w:lvl>
    <w:lvl w:ilvl="2" w:tplc="B3DC7F32">
      <w:start w:val="1"/>
      <w:numFmt w:val="lowerRoman"/>
      <w:lvlText w:val="%3."/>
      <w:lvlJc w:val="right"/>
      <w:pPr>
        <w:ind w:left="2160" w:hanging="180"/>
      </w:pPr>
    </w:lvl>
    <w:lvl w:ilvl="3" w:tplc="40AC776E">
      <w:start w:val="1"/>
      <w:numFmt w:val="decimal"/>
      <w:lvlText w:val="%4."/>
      <w:lvlJc w:val="left"/>
      <w:pPr>
        <w:ind w:left="2880" w:hanging="360"/>
      </w:pPr>
    </w:lvl>
    <w:lvl w:ilvl="4" w:tplc="59406420">
      <w:start w:val="1"/>
      <w:numFmt w:val="lowerLetter"/>
      <w:lvlText w:val="%5."/>
      <w:lvlJc w:val="left"/>
      <w:pPr>
        <w:ind w:left="3600" w:hanging="360"/>
      </w:pPr>
    </w:lvl>
    <w:lvl w:ilvl="5" w:tplc="7FEC0DD6">
      <w:start w:val="1"/>
      <w:numFmt w:val="lowerRoman"/>
      <w:lvlText w:val="%6."/>
      <w:lvlJc w:val="right"/>
      <w:pPr>
        <w:ind w:left="4320" w:hanging="180"/>
      </w:pPr>
    </w:lvl>
    <w:lvl w:ilvl="6" w:tplc="183E7446">
      <w:start w:val="1"/>
      <w:numFmt w:val="decimal"/>
      <w:lvlText w:val="%7."/>
      <w:lvlJc w:val="left"/>
      <w:pPr>
        <w:ind w:left="5040" w:hanging="360"/>
      </w:pPr>
    </w:lvl>
    <w:lvl w:ilvl="7" w:tplc="44164EC4">
      <w:start w:val="1"/>
      <w:numFmt w:val="lowerLetter"/>
      <w:lvlText w:val="%8."/>
      <w:lvlJc w:val="left"/>
      <w:pPr>
        <w:ind w:left="5760" w:hanging="360"/>
      </w:pPr>
    </w:lvl>
    <w:lvl w:ilvl="8" w:tplc="198ECC8A">
      <w:start w:val="1"/>
      <w:numFmt w:val="lowerRoman"/>
      <w:lvlText w:val="%9."/>
      <w:lvlJc w:val="right"/>
      <w:pPr>
        <w:ind w:left="6480" w:hanging="180"/>
      </w:pPr>
    </w:lvl>
  </w:abstractNum>
  <w:abstractNum w:abstractNumId="98" w15:restartNumberingAfterBreak="0">
    <w:nsid w:val="4E254F22"/>
    <w:multiLevelType w:val="hybridMultilevel"/>
    <w:tmpl w:val="FFFFFFFF"/>
    <w:lvl w:ilvl="0" w:tplc="4B7A1146">
      <w:start w:val="349"/>
      <w:numFmt w:val="decimal"/>
      <w:lvlText w:val="%1."/>
      <w:lvlJc w:val="left"/>
      <w:pPr>
        <w:ind w:left="720" w:hanging="360"/>
      </w:pPr>
    </w:lvl>
    <w:lvl w:ilvl="1" w:tplc="F4DE9F10">
      <w:start w:val="1"/>
      <w:numFmt w:val="lowerLetter"/>
      <w:lvlText w:val="%2."/>
      <w:lvlJc w:val="left"/>
      <w:pPr>
        <w:ind w:left="1440" w:hanging="360"/>
      </w:pPr>
    </w:lvl>
    <w:lvl w:ilvl="2" w:tplc="956CD42A">
      <w:start w:val="1"/>
      <w:numFmt w:val="lowerRoman"/>
      <w:lvlText w:val="%3."/>
      <w:lvlJc w:val="right"/>
      <w:pPr>
        <w:ind w:left="2160" w:hanging="180"/>
      </w:pPr>
    </w:lvl>
    <w:lvl w:ilvl="3" w:tplc="D92E61E0">
      <w:start w:val="1"/>
      <w:numFmt w:val="decimal"/>
      <w:lvlText w:val="%4."/>
      <w:lvlJc w:val="left"/>
      <w:pPr>
        <w:ind w:left="2880" w:hanging="360"/>
      </w:pPr>
    </w:lvl>
    <w:lvl w:ilvl="4" w:tplc="58566368">
      <w:start w:val="1"/>
      <w:numFmt w:val="lowerLetter"/>
      <w:lvlText w:val="%5."/>
      <w:lvlJc w:val="left"/>
      <w:pPr>
        <w:ind w:left="3600" w:hanging="360"/>
      </w:pPr>
    </w:lvl>
    <w:lvl w:ilvl="5" w:tplc="0A76C240">
      <w:start w:val="1"/>
      <w:numFmt w:val="lowerRoman"/>
      <w:lvlText w:val="%6."/>
      <w:lvlJc w:val="right"/>
      <w:pPr>
        <w:ind w:left="4320" w:hanging="180"/>
      </w:pPr>
    </w:lvl>
    <w:lvl w:ilvl="6" w:tplc="B75CF676">
      <w:start w:val="1"/>
      <w:numFmt w:val="decimal"/>
      <w:lvlText w:val="%7."/>
      <w:lvlJc w:val="left"/>
      <w:pPr>
        <w:ind w:left="5040" w:hanging="360"/>
      </w:pPr>
    </w:lvl>
    <w:lvl w:ilvl="7" w:tplc="C7ACBF7A">
      <w:start w:val="1"/>
      <w:numFmt w:val="lowerLetter"/>
      <w:lvlText w:val="%8."/>
      <w:lvlJc w:val="left"/>
      <w:pPr>
        <w:ind w:left="5760" w:hanging="360"/>
      </w:pPr>
    </w:lvl>
    <w:lvl w:ilvl="8" w:tplc="4D900140">
      <w:start w:val="1"/>
      <w:numFmt w:val="lowerRoman"/>
      <w:lvlText w:val="%9."/>
      <w:lvlJc w:val="right"/>
      <w:pPr>
        <w:ind w:left="6480" w:hanging="180"/>
      </w:pPr>
    </w:lvl>
  </w:abstractNum>
  <w:abstractNum w:abstractNumId="99" w15:restartNumberingAfterBreak="0">
    <w:nsid w:val="4E386EE5"/>
    <w:multiLevelType w:val="hybridMultilevel"/>
    <w:tmpl w:val="46E65F4A"/>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4EFC9CDD"/>
    <w:multiLevelType w:val="hybridMultilevel"/>
    <w:tmpl w:val="FFFFFFFF"/>
    <w:lvl w:ilvl="0" w:tplc="E8500B8A">
      <w:start w:val="349"/>
      <w:numFmt w:val="decimal"/>
      <w:lvlText w:val="%1."/>
      <w:lvlJc w:val="left"/>
      <w:pPr>
        <w:ind w:left="720" w:hanging="360"/>
      </w:pPr>
    </w:lvl>
    <w:lvl w:ilvl="1" w:tplc="20FE12E6">
      <w:start w:val="1"/>
      <w:numFmt w:val="lowerLetter"/>
      <w:lvlText w:val="%2."/>
      <w:lvlJc w:val="left"/>
      <w:pPr>
        <w:ind w:left="1440" w:hanging="360"/>
      </w:pPr>
    </w:lvl>
    <w:lvl w:ilvl="2" w:tplc="7A44E262">
      <w:start w:val="1"/>
      <w:numFmt w:val="lowerRoman"/>
      <w:lvlText w:val="%3."/>
      <w:lvlJc w:val="right"/>
      <w:pPr>
        <w:ind w:left="2160" w:hanging="180"/>
      </w:pPr>
    </w:lvl>
    <w:lvl w:ilvl="3" w:tplc="8CF65434">
      <w:start w:val="1"/>
      <w:numFmt w:val="decimal"/>
      <w:lvlText w:val="%4."/>
      <w:lvlJc w:val="left"/>
      <w:pPr>
        <w:ind w:left="2880" w:hanging="360"/>
      </w:pPr>
    </w:lvl>
    <w:lvl w:ilvl="4" w:tplc="A1D03D16">
      <w:start w:val="1"/>
      <w:numFmt w:val="lowerLetter"/>
      <w:lvlText w:val="%5."/>
      <w:lvlJc w:val="left"/>
      <w:pPr>
        <w:ind w:left="3600" w:hanging="360"/>
      </w:pPr>
    </w:lvl>
    <w:lvl w:ilvl="5" w:tplc="04A0B50E">
      <w:start w:val="1"/>
      <w:numFmt w:val="lowerRoman"/>
      <w:lvlText w:val="%6."/>
      <w:lvlJc w:val="right"/>
      <w:pPr>
        <w:ind w:left="4320" w:hanging="180"/>
      </w:pPr>
    </w:lvl>
    <w:lvl w:ilvl="6" w:tplc="594AE8E6">
      <w:start w:val="1"/>
      <w:numFmt w:val="decimal"/>
      <w:lvlText w:val="%7."/>
      <w:lvlJc w:val="left"/>
      <w:pPr>
        <w:ind w:left="5040" w:hanging="360"/>
      </w:pPr>
    </w:lvl>
    <w:lvl w:ilvl="7" w:tplc="5CC8C598">
      <w:start w:val="1"/>
      <w:numFmt w:val="lowerLetter"/>
      <w:lvlText w:val="%8."/>
      <w:lvlJc w:val="left"/>
      <w:pPr>
        <w:ind w:left="5760" w:hanging="360"/>
      </w:pPr>
    </w:lvl>
    <w:lvl w:ilvl="8" w:tplc="1570D4CA">
      <w:start w:val="1"/>
      <w:numFmt w:val="lowerRoman"/>
      <w:lvlText w:val="%9."/>
      <w:lvlJc w:val="right"/>
      <w:pPr>
        <w:ind w:left="6480" w:hanging="180"/>
      </w:pPr>
    </w:lvl>
  </w:abstractNum>
  <w:abstractNum w:abstractNumId="101" w15:restartNumberingAfterBreak="0">
    <w:nsid w:val="501031D2"/>
    <w:multiLevelType w:val="hybridMultilevel"/>
    <w:tmpl w:val="FF8AE54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15:restartNumberingAfterBreak="0">
    <w:nsid w:val="50A8169A"/>
    <w:multiLevelType w:val="multilevel"/>
    <w:tmpl w:val="BFB89464"/>
    <w:lvl w:ilvl="0">
      <w:start w:val="1"/>
      <w:numFmt w:val="bullet"/>
      <w:lvlText w:val=""/>
      <w:lvlJc w:val="left"/>
      <w:pPr>
        <w:ind w:left="1702" w:hanging="851"/>
      </w:pPr>
      <w:rPr>
        <w:rFonts w:ascii="Symbol" w:hAnsi="Symbol" w:hint="default"/>
        <w:b w:val="0"/>
        <w:bCs w:val="0"/>
        <w:strike w:val="0"/>
        <w:color w:val="auto"/>
        <w:sz w:val="22"/>
        <w:szCs w:val="22"/>
        <w:vertAlign w:val="baseline"/>
      </w:rPr>
    </w:lvl>
    <w:lvl w:ilvl="1">
      <w:start w:val="1"/>
      <w:numFmt w:val="bullet"/>
      <w:lvlText w:val=""/>
      <w:lvlJc w:val="left"/>
      <w:pPr>
        <w:ind w:left="2552" w:hanging="850"/>
      </w:pPr>
      <w:rPr>
        <w:rFonts w:ascii="Symbol" w:hAnsi="Symbol" w:hint="default"/>
      </w:rPr>
    </w:lvl>
    <w:lvl w:ilvl="2">
      <w:start w:val="1"/>
      <w:numFmt w:val="lowerRoman"/>
      <w:lvlText w:val="%3."/>
      <w:lvlJc w:val="left"/>
      <w:pPr>
        <w:ind w:left="3403" w:hanging="851"/>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03" w15:restartNumberingAfterBreak="0">
    <w:nsid w:val="50CDBA5E"/>
    <w:multiLevelType w:val="hybridMultilevel"/>
    <w:tmpl w:val="FFFFFFFF"/>
    <w:lvl w:ilvl="0" w:tplc="40EABBB4">
      <w:start w:val="1"/>
      <w:numFmt w:val="bullet"/>
      <w:lvlText w:val="·"/>
      <w:lvlJc w:val="left"/>
      <w:pPr>
        <w:ind w:left="720" w:hanging="360"/>
      </w:pPr>
      <w:rPr>
        <w:rFonts w:ascii="Symbol" w:hAnsi="Symbol" w:hint="default"/>
      </w:rPr>
    </w:lvl>
    <w:lvl w:ilvl="1" w:tplc="86480E5A">
      <w:start w:val="1"/>
      <w:numFmt w:val="bullet"/>
      <w:lvlText w:val="o"/>
      <w:lvlJc w:val="left"/>
      <w:pPr>
        <w:ind w:left="1440" w:hanging="360"/>
      </w:pPr>
      <w:rPr>
        <w:rFonts w:ascii="Courier New" w:hAnsi="Courier New" w:hint="default"/>
      </w:rPr>
    </w:lvl>
    <w:lvl w:ilvl="2" w:tplc="D0BAE458">
      <w:start w:val="1"/>
      <w:numFmt w:val="bullet"/>
      <w:lvlText w:val=""/>
      <w:lvlJc w:val="left"/>
      <w:pPr>
        <w:ind w:left="2160" w:hanging="360"/>
      </w:pPr>
      <w:rPr>
        <w:rFonts w:ascii="Wingdings" w:hAnsi="Wingdings" w:hint="default"/>
      </w:rPr>
    </w:lvl>
    <w:lvl w:ilvl="3" w:tplc="B2560466">
      <w:start w:val="1"/>
      <w:numFmt w:val="bullet"/>
      <w:lvlText w:val=""/>
      <w:lvlJc w:val="left"/>
      <w:pPr>
        <w:ind w:left="2880" w:hanging="360"/>
      </w:pPr>
      <w:rPr>
        <w:rFonts w:ascii="Symbol" w:hAnsi="Symbol" w:hint="default"/>
      </w:rPr>
    </w:lvl>
    <w:lvl w:ilvl="4" w:tplc="00CCEA30">
      <w:start w:val="1"/>
      <w:numFmt w:val="bullet"/>
      <w:lvlText w:val="o"/>
      <w:lvlJc w:val="left"/>
      <w:pPr>
        <w:ind w:left="3600" w:hanging="360"/>
      </w:pPr>
      <w:rPr>
        <w:rFonts w:ascii="Courier New" w:hAnsi="Courier New" w:hint="default"/>
      </w:rPr>
    </w:lvl>
    <w:lvl w:ilvl="5" w:tplc="D3D64B80">
      <w:start w:val="1"/>
      <w:numFmt w:val="bullet"/>
      <w:lvlText w:val=""/>
      <w:lvlJc w:val="left"/>
      <w:pPr>
        <w:ind w:left="4320" w:hanging="360"/>
      </w:pPr>
      <w:rPr>
        <w:rFonts w:ascii="Wingdings" w:hAnsi="Wingdings" w:hint="default"/>
      </w:rPr>
    </w:lvl>
    <w:lvl w:ilvl="6" w:tplc="EA6E37A2">
      <w:start w:val="1"/>
      <w:numFmt w:val="bullet"/>
      <w:lvlText w:val=""/>
      <w:lvlJc w:val="left"/>
      <w:pPr>
        <w:ind w:left="5040" w:hanging="360"/>
      </w:pPr>
      <w:rPr>
        <w:rFonts w:ascii="Symbol" w:hAnsi="Symbol" w:hint="default"/>
      </w:rPr>
    </w:lvl>
    <w:lvl w:ilvl="7" w:tplc="96FCD202">
      <w:start w:val="1"/>
      <w:numFmt w:val="bullet"/>
      <w:lvlText w:val="o"/>
      <w:lvlJc w:val="left"/>
      <w:pPr>
        <w:ind w:left="5760" w:hanging="360"/>
      </w:pPr>
      <w:rPr>
        <w:rFonts w:ascii="Courier New" w:hAnsi="Courier New" w:hint="default"/>
      </w:rPr>
    </w:lvl>
    <w:lvl w:ilvl="8" w:tplc="271A7436">
      <w:start w:val="1"/>
      <w:numFmt w:val="bullet"/>
      <w:lvlText w:val=""/>
      <w:lvlJc w:val="left"/>
      <w:pPr>
        <w:ind w:left="6480" w:hanging="360"/>
      </w:pPr>
      <w:rPr>
        <w:rFonts w:ascii="Wingdings" w:hAnsi="Wingdings" w:hint="default"/>
      </w:rPr>
    </w:lvl>
  </w:abstractNum>
  <w:abstractNum w:abstractNumId="104" w15:restartNumberingAfterBreak="0">
    <w:nsid w:val="513A5496"/>
    <w:multiLevelType w:val="hybridMultilevel"/>
    <w:tmpl w:val="B75243C2"/>
    <w:lvl w:ilvl="0" w:tplc="CE669E20">
      <w:start w:val="1"/>
      <w:numFmt w:val="bullet"/>
      <w:pStyle w:val="Bullets"/>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5" w15:restartNumberingAfterBreak="0">
    <w:nsid w:val="5477288C"/>
    <w:multiLevelType w:val="hybridMultilevel"/>
    <w:tmpl w:val="93325158"/>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5667E108"/>
    <w:multiLevelType w:val="hybridMultilevel"/>
    <w:tmpl w:val="FFFFFFFF"/>
    <w:lvl w:ilvl="0" w:tplc="1C20399C">
      <w:start w:val="1"/>
      <w:numFmt w:val="bullet"/>
      <w:lvlText w:val="·"/>
      <w:lvlJc w:val="left"/>
      <w:pPr>
        <w:ind w:left="720" w:hanging="360"/>
      </w:pPr>
      <w:rPr>
        <w:rFonts w:ascii="Symbol" w:hAnsi="Symbol" w:hint="default"/>
      </w:rPr>
    </w:lvl>
    <w:lvl w:ilvl="1" w:tplc="61D49838">
      <w:start w:val="1"/>
      <w:numFmt w:val="bullet"/>
      <w:lvlText w:val="o"/>
      <w:lvlJc w:val="left"/>
      <w:pPr>
        <w:ind w:left="1440" w:hanging="360"/>
      </w:pPr>
      <w:rPr>
        <w:rFonts w:ascii="Courier New" w:hAnsi="Courier New" w:hint="default"/>
      </w:rPr>
    </w:lvl>
    <w:lvl w:ilvl="2" w:tplc="42ECC68A">
      <w:start w:val="1"/>
      <w:numFmt w:val="bullet"/>
      <w:lvlText w:val=""/>
      <w:lvlJc w:val="left"/>
      <w:pPr>
        <w:ind w:left="2160" w:hanging="360"/>
      </w:pPr>
      <w:rPr>
        <w:rFonts w:ascii="Wingdings" w:hAnsi="Wingdings" w:hint="default"/>
      </w:rPr>
    </w:lvl>
    <w:lvl w:ilvl="3" w:tplc="4024140E">
      <w:start w:val="1"/>
      <w:numFmt w:val="bullet"/>
      <w:lvlText w:val=""/>
      <w:lvlJc w:val="left"/>
      <w:pPr>
        <w:ind w:left="2880" w:hanging="360"/>
      </w:pPr>
      <w:rPr>
        <w:rFonts w:ascii="Symbol" w:hAnsi="Symbol" w:hint="default"/>
      </w:rPr>
    </w:lvl>
    <w:lvl w:ilvl="4" w:tplc="E24C10B6">
      <w:start w:val="1"/>
      <w:numFmt w:val="bullet"/>
      <w:lvlText w:val="o"/>
      <w:lvlJc w:val="left"/>
      <w:pPr>
        <w:ind w:left="3600" w:hanging="360"/>
      </w:pPr>
      <w:rPr>
        <w:rFonts w:ascii="Courier New" w:hAnsi="Courier New" w:hint="default"/>
      </w:rPr>
    </w:lvl>
    <w:lvl w:ilvl="5" w:tplc="8CD2ED10">
      <w:start w:val="1"/>
      <w:numFmt w:val="bullet"/>
      <w:lvlText w:val=""/>
      <w:lvlJc w:val="left"/>
      <w:pPr>
        <w:ind w:left="4320" w:hanging="360"/>
      </w:pPr>
      <w:rPr>
        <w:rFonts w:ascii="Wingdings" w:hAnsi="Wingdings" w:hint="default"/>
      </w:rPr>
    </w:lvl>
    <w:lvl w:ilvl="6" w:tplc="329021B6">
      <w:start w:val="1"/>
      <w:numFmt w:val="bullet"/>
      <w:lvlText w:val=""/>
      <w:lvlJc w:val="left"/>
      <w:pPr>
        <w:ind w:left="5040" w:hanging="360"/>
      </w:pPr>
      <w:rPr>
        <w:rFonts w:ascii="Symbol" w:hAnsi="Symbol" w:hint="default"/>
      </w:rPr>
    </w:lvl>
    <w:lvl w:ilvl="7" w:tplc="ABF6778C">
      <w:start w:val="1"/>
      <w:numFmt w:val="bullet"/>
      <w:lvlText w:val="o"/>
      <w:lvlJc w:val="left"/>
      <w:pPr>
        <w:ind w:left="5760" w:hanging="360"/>
      </w:pPr>
      <w:rPr>
        <w:rFonts w:ascii="Courier New" w:hAnsi="Courier New" w:hint="default"/>
      </w:rPr>
    </w:lvl>
    <w:lvl w:ilvl="8" w:tplc="BFE8A816">
      <w:start w:val="1"/>
      <w:numFmt w:val="bullet"/>
      <w:lvlText w:val=""/>
      <w:lvlJc w:val="left"/>
      <w:pPr>
        <w:ind w:left="6480" w:hanging="360"/>
      </w:pPr>
      <w:rPr>
        <w:rFonts w:ascii="Wingdings" w:hAnsi="Wingdings" w:hint="default"/>
      </w:rPr>
    </w:lvl>
  </w:abstractNum>
  <w:abstractNum w:abstractNumId="107" w15:restartNumberingAfterBreak="0">
    <w:nsid w:val="5712163F"/>
    <w:multiLevelType w:val="hybridMultilevel"/>
    <w:tmpl w:val="FFFFFFFF"/>
    <w:lvl w:ilvl="0" w:tplc="140C920E">
      <w:start w:val="351"/>
      <w:numFmt w:val="decimal"/>
      <w:lvlText w:val="%1."/>
      <w:lvlJc w:val="left"/>
      <w:pPr>
        <w:ind w:left="720" w:hanging="360"/>
      </w:pPr>
    </w:lvl>
    <w:lvl w:ilvl="1" w:tplc="B8309576">
      <w:start w:val="1"/>
      <w:numFmt w:val="lowerLetter"/>
      <w:lvlText w:val="%2."/>
      <w:lvlJc w:val="left"/>
      <w:pPr>
        <w:ind w:left="1440" w:hanging="360"/>
      </w:pPr>
    </w:lvl>
    <w:lvl w:ilvl="2" w:tplc="5896C5F6">
      <w:start w:val="1"/>
      <w:numFmt w:val="lowerRoman"/>
      <w:lvlText w:val="%3."/>
      <w:lvlJc w:val="right"/>
      <w:pPr>
        <w:ind w:left="2160" w:hanging="180"/>
      </w:pPr>
    </w:lvl>
    <w:lvl w:ilvl="3" w:tplc="E1F870A8">
      <w:start w:val="1"/>
      <w:numFmt w:val="decimal"/>
      <w:lvlText w:val="%4."/>
      <w:lvlJc w:val="left"/>
      <w:pPr>
        <w:ind w:left="2880" w:hanging="360"/>
      </w:pPr>
    </w:lvl>
    <w:lvl w:ilvl="4" w:tplc="48D81A54">
      <w:start w:val="1"/>
      <w:numFmt w:val="lowerLetter"/>
      <w:lvlText w:val="%5."/>
      <w:lvlJc w:val="left"/>
      <w:pPr>
        <w:ind w:left="3600" w:hanging="360"/>
      </w:pPr>
    </w:lvl>
    <w:lvl w:ilvl="5" w:tplc="7AE882FC">
      <w:start w:val="1"/>
      <w:numFmt w:val="lowerRoman"/>
      <w:lvlText w:val="%6."/>
      <w:lvlJc w:val="right"/>
      <w:pPr>
        <w:ind w:left="4320" w:hanging="180"/>
      </w:pPr>
    </w:lvl>
    <w:lvl w:ilvl="6" w:tplc="8A3C80C2">
      <w:start w:val="1"/>
      <w:numFmt w:val="decimal"/>
      <w:lvlText w:val="%7."/>
      <w:lvlJc w:val="left"/>
      <w:pPr>
        <w:ind w:left="5040" w:hanging="360"/>
      </w:pPr>
    </w:lvl>
    <w:lvl w:ilvl="7" w:tplc="373EC396">
      <w:start w:val="1"/>
      <w:numFmt w:val="lowerLetter"/>
      <w:lvlText w:val="%8."/>
      <w:lvlJc w:val="left"/>
      <w:pPr>
        <w:ind w:left="5760" w:hanging="360"/>
      </w:pPr>
    </w:lvl>
    <w:lvl w:ilvl="8" w:tplc="D5DE2EEC">
      <w:start w:val="1"/>
      <w:numFmt w:val="lowerRoman"/>
      <w:lvlText w:val="%9."/>
      <w:lvlJc w:val="right"/>
      <w:pPr>
        <w:ind w:left="6480" w:hanging="180"/>
      </w:pPr>
    </w:lvl>
  </w:abstractNum>
  <w:abstractNum w:abstractNumId="108" w15:restartNumberingAfterBreak="0">
    <w:nsid w:val="586B9EE3"/>
    <w:multiLevelType w:val="hybridMultilevel"/>
    <w:tmpl w:val="FFFFFFFF"/>
    <w:lvl w:ilvl="0" w:tplc="BAE207DA">
      <w:start w:val="348"/>
      <w:numFmt w:val="decimal"/>
      <w:lvlText w:val="%1."/>
      <w:lvlJc w:val="left"/>
      <w:pPr>
        <w:ind w:left="720" w:hanging="360"/>
      </w:pPr>
    </w:lvl>
    <w:lvl w:ilvl="1" w:tplc="A0AEB3A4">
      <w:start w:val="1"/>
      <w:numFmt w:val="lowerLetter"/>
      <w:lvlText w:val="%2."/>
      <w:lvlJc w:val="left"/>
      <w:pPr>
        <w:ind w:left="1440" w:hanging="360"/>
      </w:pPr>
    </w:lvl>
    <w:lvl w:ilvl="2" w:tplc="4512166C">
      <w:start w:val="1"/>
      <w:numFmt w:val="lowerRoman"/>
      <w:lvlText w:val="%3."/>
      <w:lvlJc w:val="right"/>
      <w:pPr>
        <w:ind w:left="2160" w:hanging="180"/>
      </w:pPr>
    </w:lvl>
    <w:lvl w:ilvl="3" w:tplc="739CA51C">
      <w:start w:val="1"/>
      <w:numFmt w:val="decimal"/>
      <w:lvlText w:val="%4."/>
      <w:lvlJc w:val="left"/>
      <w:pPr>
        <w:ind w:left="2880" w:hanging="360"/>
      </w:pPr>
    </w:lvl>
    <w:lvl w:ilvl="4" w:tplc="D6AE8BEA">
      <w:start w:val="1"/>
      <w:numFmt w:val="lowerLetter"/>
      <w:lvlText w:val="%5."/>
      <w:lvlJc w:val="left"/>
      <w:pPr>
        <w:ind w:left="3600" w:hanging="360"/>
      </w:pPr>
    </w:lvl>
    <w:lvl w:ilvl="5" w:tplc="F274D290">
      <w:start w:val="1"/>
      <w:numFmt w:val="lowerRoman"/>
      <w:lvlText w:val="%6."/>
      <w:lvlJc w:val="right"/>
      <w:pPr>
        <w:ind w:left="4320" w:hanging="180"/>
      </w:pPr>
    </w:lvl>
    <w:lvl w:ilvl="6" w:tplc="78A4C382">
      <w:start w:val="1"/>
      <w:numFmt w:val="decimal"/>
      <w:lvlText w:val="%7."/>
      <w:lvlJc w:val="left"/>
      <w:pPr>
        <w:ind w:left="5040" w:hanging="360"/>
      </w:pPr>
    </w:lvl>
    <w:lvl w:ilvl="7" w:tplc="0478CE7E">
      <w:start w:val="1"/>
      <w:numFmt w:val="lowerLetter"/>
      <w:lvlText w:val="%8."/>
      <w:lvlJc w:val="left"/>
      <w:pPr>
        <w:ind w:left="5760" w:hanging="360"/>
      </w:pPr>
    </w:lvl>
    <w:lvl w:ilvl="8" w:tplc="57B4EDC0">
      <w:start w:val="1"/>
      <w:numFmt w:val="lowerRoman"/>
      <w:lvlText w:val="%9."/>
      <w:lvlJc w:val="right"/>
      <w:pPr>
        <w:ind w:left="6480" w:hanging="180"/>
      </w:pPr>
    </w:lvl>
  </w:abstractNum>
  <w:abstractNum w:abstractNumId="10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15:restartNumberingAfterBreak="0">
    <w:nsid w:val="5985CA5B"/>
    <w:multiLevelType w:val="hybridMultilevel"/>
    <w:tmpl w:val="FFFFFFFF"/>
    <w:lvl w:ilvl="0" w:tplc="17883B64">
      <w:start w:val="349"/>
      <w:numFmt w:val="decimal"/>
      <w:lvlText w:val="%1."/>
      <w:lvlJc w:val="left"/>
      <w:pPr>
        <w:ind w:left="720" w:hanging="360"/>
      </w:pPr>
    </w:lvl>
    <w:lvl w:ilvl="1" w:tplc="C8AC24AE">
      <w:start w:val="1"/>
      <w:numFmt w:val="lowerLetter"/>
      <w:lvlText w:val="%2."/>
      <w:lvlJc w:val="left"/>
      <w:pPr>
        <w:ind w:left="1440" w:hanging="360"/>
      </w:pPr>
    </w:lvl>
    <w:lvl w:ilvl="2" w:tplc="7E700D8C">
      <w:start w:val="1"/>
      <w:numFmt w:val="lowerRoman"/>
      <w:lvlText w:val="%3."/>
      <w:lvlJc w:val="right"/>
      <w:pPr>
        <w:ind w:left="2160" w:hanging="180"/>
      </w:pPr>
    </w:lvl>
    <w:lvl w:ilvl="3" w:tplc="2D8A9552">
      <w:start w:val="1"/>
      <w:numFmt w:val="decimal"/>
      <w:lvlText w:val="%4."/>
      <w:lvlJc w:val="left"/>
      <w:pPr>
        <w:ind w:left="2880" w:hanging="360"/>
      </w:pPr>
    </w:lvl>
    <w:lvl w:ilvl="4" w:tplc="D2824054">
      <w:start w:val="1"/>
      <w:numFmt w:val="lowerLetter"/>
      <w:lvlText w:val="%5."/>
      <w:lvlJc w:val="left"/>
      <w:pPr>
        <w:ind w:left="3600" w:hanging="360"/>
      </w:pPr>
    </w:lvl>
    <w:lvl w:ilvl="5" w:tplc="50D8E4CE">
      <w:start w:val="1"/>
      <w:numFmt w:val="lowerRoman"/>
      <w:lvlText w:val="%6."/>
      <w:lvlJc w:val="right"/>
      <w:pPr>
        <w:ind w:left="4320" w:hanging="180"/>
      </w:pPr>
    </w:lvl>
    <w:lvl w:ilvl="6" w:tplc="565098F8">
      <w:start w:val="1"/>
      <w:numFmt w:val="decimal"/>
      <w:lvlText w:val="%7."/>
      <w:lvlJc w:val="left"/>
      <w:pPr>
        <w:ind w:left="5040" w:hanging="360"/>
      </w:pPr>
    </w:lvl>
    <w:lvl w:ilvl="7" w:tplc="DDE4FE38">
      <w:start w:val="1"/>
      <w:numFmt w:val="lowerLetter"/>
      <w:lvlText w:val="%8."/>
      <w:lvlJc w:val="left"/>
      <w:pPr>
        <w:ind w:left="5760" w:hanging="360"/>
      </w:pPr>
    </w:lvl>
    <w:lvl w:ilvl="8" w:tplc="65BC4186">
      <w:start w:val="1"/>
      <w:numFmt w:val="lowerRoman"/>
      <w:lvlText w:val="%9."/>
      <w:lvlJc w:val="right"/>
      <w:pPr>
        <w:ind w:left="6480" w:hanging="180"/>
      </w:pPr>
    </w:lvl>
  </w:abstractNum>
  <w:abstractNum w:abstractNumId="111" w15:restartNumberingAfterBreak="0">
    <w:nsid w:val="5AA36175"/>
    <w:multiLevelType w:val="hybridMultilevel"/>
    <w:tmpl w:val="12AEE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5AAB1CEE"/>
    <w:multiLevelType w:val="hybridMultilevel"/>
    <w:tmpl w:val="FEB2ACD4"/>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5BCC8655"/>
    <w:multiLevelType w:val="hybridMultilevel"/>
    <w:tmpl w:val="FFFFFFFF"/>
    <w:lvl w:ilvl="0" w:tplc="565C616A">
      <w:start w:val="354"/>
      <w:numFmt w:val="decimal"/>
      <w:lvlText w:val="%1."/>
      <w:lvlJc w:val="left"/>
      <w:pPr>
        <w:ind w:left="720" w:hanging="360"/>
      </w:pPr>
    </w:lvl>
    <w:lvl w:ilvl="1" w:tplc="7FDC8F88">
      <w:start w:val="1"/>
      <w:numFmt w:val="lowerLetter"/>
      <w:lvlText w:val="%2."/>
      <w:lvlJc w:val="left"/>
      <w:pPr>
        <w:ind w:left="1440" w:hanging="360"/>
      </w:pPr>
    </w:lvl>
    <w:lvl w:ilvl="2" w:tplc="FF6A2880">
      <w:start w:val="1"/>
      <w:numFmt w:val="lowerRoman"/>
      <w:lvlText w:val="%3."/>
      <w:lvlJc w:val="right"/>
      <w:pPr>
        <w:ind w:left="2160" w:hanging="180"/>
      </w:pPr>
    </w:lvl>
    <w:lvl w:ilvl="3" w:tplc="1C1E0712">
      <w:start w:val="1"/>
      <w:numFmt w:val="decimal"/>
      <w:lvlText w:val="%4."/>
      <w:lvlJc w:val="left"/>
      <w:pPr>
        <w:ind w:left="2880" w:hanging="360"/>
      </w:pPr>
    </w:lvl>
    <w:lvl w:ilvl="4" w:tplc="870A0F76">
      <w:start w:val="1"/>
      <w:numFmt w:val="lowerLetter"/>
      <w:lvlText w:val="%5."/>
      <w:lvlJc w:val="left"/>
      <w:pPr>
        <w:ind w:left="3600" w:hanging="360"/>
      </w:pPr>
    </w:lvl>
    <w:lvl w:ilvl="5" w:tplc="A07EAB10">
      <w:start w:val="1"/>
      <w:numFmt w:val="lowerRoman"/>
      <w:lvlText w:val="%6."/>
      <w:lvlJc w:val="right"/>
      <w:pPr>
        <w:ind w:left="4320" w:hanging="180"/>
      </w:pPr>
    </w:lvl>
    <w:lvl w:ilvl="6" w:tplc="0FD8414A">
      <w:start w:val="1"/>
      <w:numFmt w:val="decimal"/>
      <w:lvlText w:val="%7."/>
      <w:lvlJc w:val="left"/>
      <w:pPr>
        <w:ind w:left="5040" w:hanging="360"/>
      </w:pPr>
    </w:lvl>
    <w:lvl w:ilvl="7" w:tplc="FEA478C2">
      <w:start w:val="1"/>
      <w:numFmt w:val="lowerLetter"/>
      <w:lvlText w:val="%8."/>
      <w:lvlJc w:val="left"/>
      <w:pPr>
        <w:ind w:left="5760" w:hanging="360"/>
      </w:pPr>
    </w:lvl>
    <w:lvl w:ilvl="8" w:tplc="179E5A5E">
      <w:start w:val="1"/>
      <w:numFmt w:val="lowerRoman"/>
      <w:lvlText w:val="%9."/>
      <w:lvlJc w:val="right"/>
      <w:pPr>
        <w:ind w:left="6480" w:hanging="180"/>
      </w:pPr>
    </w:lvl>
  </w:abstractNum>
  <w:abstractNum w:abstractNumId="114" w15:restartNumberingAfterBreak="0">
    <w:nsid w:val="5CC9582F"/>
    <w:multiLevelType w:val="hybridMultilevel"/>
    <w:tmpl w:val="79F42814"/>
    <w:lvl w:ilvl="0" w:tplc="3E162C9C">
      <w:start w:val="61"/>
      <w:numFmt w:val="decimal"/>
      <w:pStyle w:val="Numbered"/>
      <w:lvlText w:val="%1."/>
      <w:lvlJc w:val="left"/>
      <w:pPr>
        <w:ind w:left="57" w:hanging="57"/>
      </w:pPr>
      <w:rPr>
        <w:rFonts w:hint="default"/>
        <w:i w:val="0"/>
        <w:color w:val="auto"/>
        <w:vertAlign w:val="baseline"/>
      </w:r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15" w15:restartNumberingAfterBreak="0">
    <w:nsid w:val="5D863527"/>
    <w:multiLevelType w:val="hybridMultilevel"/>
    <w:tmpl w:val="8B967C6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5E286D66"/>
    <w:multiLevelType w:val="hybridMultilevel"/>
    <w:tmpl w:val="FFFFFFFF"/>
    <w:lvl w:ilvl="0" w:tplc="E8127B88">
      <w:start w:val="356"/>
      <w:numFmt w:val="decimal"/>
      <w:lvlText w:val="%1."/>
      <w:lvlJc w:val="left"/>
      <w:pPr>
        <w:ind w:left="720" w:hanging="360"/>
      </w:pPr>
    </w:lvl>
    <w:lvl w:ilvl="1" w:tplc="B82CEC48">
      <w:start w:val="1"/>
      <w:numFmt w:val="lowerLetter"/>
      <w:lvlText w:val="%2."/>
      <w:lvlJc w:val="left"/>
      <w:pPr>
        <w:ind w:left="1440" w:hanging="360"/>
      </w:pPr>
    </w:lvl>
    <w:lvl w:ilvl="2" w:tplc="1E4A69CE">
      <w:start w:val="1"/>
      <w:numFmt w:val="lowerRoman"/>
      <w:lvlText w:val="%3."/>
      <w:lvlJc w:val="right"/>
      <w:pPr>
        <w:ind w:left="2160" w:hanging="180"/>
      </w:pPr>
    </w:lvl>
    <w:lvl w:ilvl="3" w:tplc="8D9AF01A">
      <w:start w:val="1"/>
      <w:numFmt w:val="decimal"/>
      <w:lvlText w:val="%4."/>
      <w:lvlJc w:val="left"/>
      <w:pPr>
        <w:ind w:left="2880" w:hanging="360"/>
      </w:pPr>
    </w:lvl>
    <w:lvl w:ilvl="4" w:tplc="9FFC1FFA">
      <w:start w:val="1"/>
      <w:numFmt w:val="lowerLetter"/>
      <w:lvlText w:val="%5."/>
      <w:lvlJc w:val="left"/>
      <w:pPr>
        <w:ind w:left="3600" w:hanging="360"/>
      </w:pPr>
    </w:lvl>
    <w:lvl w:ilvl="5" w:tplc="FEF47D86">
      <w:start w:val="1"/>
      <w:numFmt w:val="lowerRoman"/>
      <w:lvlText w:val="%6."/>
      <w:lvlJc w:val="right"/>
      <w:pPr>
        <w:ind w:left="4320" w:hanging="180"/>
      </w:pPr>
    </w:lvl>
    <w:lvl w:ilvl="6" w:tplc="1E16B510">
      <w:start w:val="1"/>
      <w:numFmt w:val="decimal"/>
      <w:lvlText w:val="%7."/>
      <w:lvlJc w:val="left"/>
      <w:pPr>
        <w:ind w:left="5040" w:hanging="360"/>
      </w:pPr>
    </w:lvl>
    <w:lvl w:ilvl="7" w:tplc="AAA2773C">
      <w:start w:val="1"/>
      <w:numFmt w:val="lowerLetter"/>
      <w:lvlText w:val="%8."/>
      <w:lvlJc w:val="left"/>
      <w:pPr>
        <w:ind w:left="5760" w:hanging="360"/>
      </w:pPr>
    </w:lvl>
    <w:lvl w:ilvl="8" w:tplc="A0661660">
      <w:start w:val="1"/>
      <w:numFmt w:val="lowerRoman"/>
      <w:lvlText w:val="%9."/>
      <w:lvlJc w:val="right"/>
      <w:pPr>
        <w:ind w:left="6480" w:hanging="180"/>
      </w:pPr>
    </w:lvl>
  </w:abstractNum>
  <w:abstractNum w:abstractNumId="11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5EC33707"/>
    <w:multiLevelType w:val="hybridMultilevel"/>
    <w:tmpl w:val="A1861CB8"/>
    <w:lvl w:ilvl="0" w:tplc="DFD0C608">
      <w:start w:val="1"/>
      <w:numFmt w:val="lowerLetter"/>
      <w:lvlText w:val="(%1)"/>
      <w:lvlJc w:val="left"/>
      <w:pPr>
        <w:ind w:left="2628" w:hanging="360"/>
      </w:pPr>
      <w:rPr>
        <w:rFonts w:hint="default"/>
      </w:rPr>
    </w:lvl>
    <w:lvl w:ilvl="1" w:tplc="14090019" w:tentative="1">
      <w:start w:val="1"/>
      <w:numFmt w:val="lowerLetter"/>
      <w:lvlText w:val="%2."/>
      <w:lvlJc w:val="left"/>
      <w:pPr>
        <w:ind w:left="3348" w:hanging="360"/>
      </w:pPr>
    </w:lvl>
    <w:lvl w:ilvl="2" w:tplc="1409001B" w:tentative="1">
      <w:start w:val="1"/>
      <w:numFmt w:val="lowerRoman"/>
      <w:lvlText w:val="%3."/>
      <w:lvlJc w:val="right"/>
      <w:pPr>
        <w:ind w:left="4068" w:hanging="180"/>
      </w:pPr>
    </w:lvl>
    <w:lvl w:ilvl="3" w:tplc="1409000F" w:tentative="1">
      <w:start w:val="1"/>
      <w:numFmt w:val="decimal"/>
      <w:lvlText w:val="%4."/>
      <w:lvlJc w:val="left"/>
      <w:pPr>
        <w:ind w:left="4788" w:hanging="360"/>
      </w:pPr>
    </w:lvl>
    <w:lvl w:ilvl="4" w:tplc="14090019" w:tentative="1">
      <w:start w:val="1"/>
      <w:numFmt w:val="lowerLetter"/>
      <w:lvlText w:val="%5."/>
      <w:lvlJc w:val="left"/>
      <w:pPr>
        <w:ind w:left="5508" w:hanging="360"/>
      </w:pPr>
    </w:lvl>
    <w:lvl w:ilvl="5" w:tplc="1409001B" w:tentative="1">
      <w:start w:val="1"/>
      <w:numFmt w:val="lowerRoman"/>
      <w:lvlText w:val="%6."/>
      <w:lvlJc w:val="right"/>
      <w:pPr>
        <w:ind w:left="6228" w:hanging="180"/>
      </w:pPr>
    </w:lvl>
    <w:lvl w:ilvl="6" w:tplc="1409000F" w:tentative="1">
      <w:start w:val="1"/>
      <w:numFmt w:val="decimal"/>
      <w:lvlText w:val="%7."/>
      <w:lvlJc w:val="left"/>
      <w:pPr>
        <w:ind w:left="6948" w:hanging="360"/>
      </w:pPr>
    </w:lvl>
    <w:lvl w:ilvl="7" w:tplc="14090019" w:tentative="1">
      <w:start w:val="1"/>
      <w:numFmt w:val="lowerLetter"/>
      <w:lvlText w:val="%8."/>
      <w:lvlJc w:val="left"/>
      <w:pPr>
        <w:ind w:left="7668" w:hanging="360"/>
      </w:pPr>
    </w:lvl>
    <w:lvl w:ilvl="8" w:tplc="1409001B" w:tentative="1">
      <w:start w:val="1"/>
      <w:numFmt w:val="lowerRoman"/>
      <w:lvlText w:val="%9."/>
      <w:lvlJc w:val="right"/>
      <w:pPr>
        <w:ind w:left="8388" w:hanging="180"/>
      </w:pPr>
    </w:lvl>
  </w:abstractNum>
  <w:abstractNum w:abstractNumId="119" w15:restartNumberingAfterBreak="0">
    <w:nsid w:val="5F733A49"/>
    <w:multiLevelType w:val="hybridMultilevel"/>
    <w:tmpl w:val="FFFFFFFF"/>
    <w:lvl w:ilvl="0" w:tplc="95148636">
      <w:start w:val="348"/>
      <w:numFmt w:val="decimal"/>
      <w:lvlText w:val="%1."/>
      <w:lvlJc w:val="left"/>
      <w:pPr>
        <w:ind w:left="720" w:hanging="360"/>
      </w:pPr>
    </w:lvl>
    <w:lvl w:ilvl="1" w:tplc="6360DF6C">
      <w:start w:val="1"/>
      <w:numFmt w:val="lowerLetter"/>
      <w:lvlText w:val="%2."/>
      <w:lvlJc w:val="left"/>
      <w:pPr>
        <w:ind w:left="1440" w:hanging="360"/>
      </w:pPr>
    </w:lvl>
    <w:lvl w:ilvl="2" w:tplc="EA58DE58">
      <w:start w:val="1"/>
      <w:numFmt w:val="lowerRoman"/>
      <w:lvlText w:val="%3."/>
      <w:lvlJc w:val="right"/>
      <w:pPr>
        <w:ind w:left="2160" w:hanging="180"/>
      </w:pPr>
    </w:lvl>
    <w:lvl w:ilvl="3" w:tplc="955EA186">
      <w:start w:val="1"/>
      <w:numFmt w:val="decimal"/>
      <w:lvlText w:val="%4."/>
      <w:lvlJc w:val="left"/>
      <w:pPr>
        <w:ind w:left="2880" w:hanging="360"/>
      </w:pPr>
    </w:lvl>
    <w:lvl w:ilvl="4" w:tplc="2B2A5952">
      <w:start w:val="1"/>
      <w:numFmt w:val="lowerLetter"/>
      <w:lvlText w:val="%5."/>
      <w:lvlJc w:val="left"/>
      <w:pPr>
        <w:ind w:left="3600" w:hanging="360"/>
      </w:pPr>
    </w:lvl>
    <w:lvl w:ilvl="5" w:tplc="00A03B84">
      <w:start w:val="1"/>
      <w:numFmt w:val="lowerRoman"/>
      <w:lvlText w:val="%6."/>
      <w:lvlJc w:val="right"/>
      <w:pPr>
        <w:ind w:left="4320" w:hanging="180"/>
      </w:pPr>
    </w:lvl>
    <w:lvl w:ilvl="6" w:tplc="9C027B08">
      <w:start w:val="1"/>
      <w:numFmt w:val="decimal"/>
      <w:lvlText w:val="%7."/>
      <w:lvlJc w:val="left"/>
      <w:pPr>
        <w:ind w:left="5040" w:hanging="360"/>
      </w:pPr>
    </w:lvl>
    <w:lvl w:ilvl="7" w:tplc="590EF410">
      <w:start w:val="1"/>
      <w:numFmt w:val="lowerLetter"/>
      <w:lvlText w:val="%8."/>
      <w:lvlJc w:val="left"/>
      <w:pPr>
        <w:ind w:left="5760" w:hanging="360"/>
      </w:pPr>
    </w:lvl>
    <w:lvl w:ilvl="8" w:tplc="90C442BC">
      <w:start w:val="1"/>
      <w:numFmt w:val="lowerRoman"/>
      <w:lvlText w:val="%9."/>
      <w:lvlJc w:val="right"/>
      <w:pPr>
        <w:ind w:left="6480" w:hanging="180"/>
      </w:pPr>
    </w:lvl>
  </w:abstractNum>
  <w:abstractNum w:abstractNumId="120"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21" w15:restartNumberingAfterBreak="0">
    <w:nsid w:val="60B3AB24"/>
    <w:multiLevelType w:val="hybridMultilevel"/>
    <w:tmpl w:val="FFFFFFFF"/>
    <w:lvl w:ilvl="0" w:tplc="493607F0">
      <w:start w:val="1"/>
      <w:numFmt w:val="bullet"/>
      <w:lvlText w:val="·"/>
      <w:lvlJc w:val="left"/>
      <w:pPr>
        <w:ind w:left="720" w:hanging="360"/>
      </w:pPr>
      <w:rPr>
        <w:rFonts w:ascii="Symbol" w:hAnsi="Symbol" w:hint="default"/>
      </w:rPr>
    </w:lvl>
    <w:lvl w:ilvl="1" w:tplc="D0E473AC">
      <w:start w:val="1"/>
      <w:numFmt w:val="bullet"/>
      <w:lvlText w:val="o"/>
      <w:lvlJc w:val="left"/>
      <w:pPr>
        <w:ind w:left="1440" w:hanging="360"/>
      </w:pPr>
      <w:rPr>
        <w:rFonts w:ascii="Courier New" w:hAnsi="Courier New" w:hint="default"/>
      </w:rPr>
    </w:lvl>
    <w:lvl w:ilvl="2" w:tplc="FE12AC7E">
      <w:start w:val="1"/>
      <w:numFmt w:val="bullet"/>
      <w:lvlText w:val=""/>
      <w:lvlJc w:val="left"/>
      <w:pPr>
        <w:ind w:left="2160" w:hanging="360"/>
      </w:pPr>
      <w:rPr>
        <w:rFonts w:ascii="Wingdings" w:hAnsi="Wingdings" w:hint="default"/>
      </w:rPr>
    </w:lvl>
    <w:lvl w:ilvl="3" w:tplc="DF1CDD60">
      <w:start w:val="1"/>
      <w:numFmt w:val="bullet"/>
      <w:lvlText w:val=""/>
      <w:lvlJc w:val="left"/>
      <w:pPr>
        <w:ind w:left="2880" w:hanging="360"/>
      </w:pPr>
      <w:rPr>
        <w:rFonts w:ascii="Symbol" w:hAnsi="Symbol" w:hint="default"/>
      </w:rPr>
    </w:lvl>
    <w:lvl w:ilvl="4" w:tplc="3EE40C44">
      <w:start w:val="1"/>
      <w:numFmt w:val="bullet"/>
      <w:lvlText w:val="o"/>
      <w:lvlJc w:val="left"/>
      <w:pPr>
        <w:ind w:left="3600" w:hanging="360"/>
      </w:pPr>
      <w:rPr>
        <w:rFonts w:ascii="Courier New" w:hAnsi="Courier New" w:hint="default"/>
      </w:rPr>
    </w:lvl>
    <w:lvl w:ilvl="5" w:tplc="E9FE6DC2">
      <w:start w:val="1"/>
      <w:numFmt w:val="bullet"/>
      <w:lvlText w:val=""/>
      <w:lvlJc w:val="left"/>
      <w:pPr>
        <w:ind w:left="4320" w:hanging="360"/>
      </w:pPr>
      <w:rPr>
        <w:rFonts w:ascii="Wingdings" w:hAnsi="Wingdings" w:hint="default"/>
      </w:rPr>
    </w:lvl>
    <w:lvl w:ilvl="6" w:tplc="3E941A98">
      <w:start w:val="1"/>
      <w:numFmt w:val="bullet"/>
      <w:lvlText w:val=""/>
      <w:lvlJc w:val="left"/>
      <w:pPr>
        <w:ind w:left="5040" w:hanging="360"/>
      </w:pPr>
      <w:rPr>
        <w:rFonts w:ascii="Symbol" w:hAnsi="Symbol" w:hint="default"/>
      </w:rPr>
    </w:lvl>
    <w:lvl w:ilvl="7" w:tplc="BD725062">
      <w:start w:val="1"/>
      <w:numFmt w:val="bullet"/>
      <w:lvlText w:val="o"/>
      <w:lvlJc w:val="left"/>
      <w:pPr>
        <w:ind w:left="5760" w:hanging="360"/>
      </w:pPr>
      <w:rPr>
        <w:rFonts w:ascii="Courier New" w:hAnsi="Courier New" w:hint="default"/>
      </w:rPr>
    </w:lvl>
    <w:lvl w:ilvl="8" w:tplc="498E45A0">
      <w:start w:val="1"/>
      <w:numFmt w:val="bullet"/>
      <w:lvlText w:val=""/>
      <w:lvlJc w:val="left"/>
      <w:pPr>
        <w:ind w:left="6480" w:hanging="360"/>
      </w:pPr>
      <w:rPr>
        <w:rFonts w:ascii="Wingdings" w:hAnsi="Wingdings" w:hint="default"/>
      </w:rPr>
    </w:lvl>
  </w:abstractNum>
  <w:abstractNum w:abstractNumId="122" w15:restartNumberingAfterBreak="0">
    <w:nsid w:val="61694DA6"/>
    <w:multiLevelType w:val="hybridMultilevel"/>
    <w:tmpl w:val="085E7D3E"/>
    <w:lvl w:ilvl="0" w:tplc="2BDCFEC6">
      <w:start w:val="1"/>
      <w:numFmt w:val="decimal"/>
      <w:pStyle w:val="Paranumbers"/>
      <w:lvlText w:val="%1."/>
      <w:lvlJc w:val="left"/>
      <w:pPr>
        <w:ind w:left="1777" w:hanging="360"/>
      </w:pPr>
      <w:rPr>
        <w:b/>
        <w:bCs/>
        <w:color w:val="BF4B0D" w:themeColor="accent6" w:themeShade="BF"/>
        <w:sz w:val="22"/>
        <w:szCs w:val="22"/>
        <w:vertAlign w:val="baseline"/>
      </w:rPr>
    </w:lvl>
    <w:lvl w:ilvl="1" w:tplc="14090001">
      <w:start w:val="1"/>
      <w:numFmt w:val="bullet"/>
      <w:lvlText w:val=""/>
      <w:lvlJc w:val="left"/>
      <w:pPr>
        <w:ind w:left="-3126" w:hanging="360"/>
      </w:pPr>
      <w:rPr>
        <w:rFonts w:ascii="Symbol" w:hAnsi="Symbol" w:hint="default"/>
      </w:rPr>
    </w:lvl>
    <w:lvl w:ilvl="2" w:tplc="1409001B">
      <w:start w:val="1"/>
      <w:numFmt w:val="lowerRoman"/>
      <w:lvlText w:val="%3."/>
      <w:lvlJc w:val="right"/>
      <w:pPr>
        <w:ind w:left="-2406" w:hanging="180"/>
      </w:pPr>
    </w:lvl>
    <w:lvl w:ilvl="3" w:tplc="1409000F" w:tentative="1">
      <w:start w:val="1"/>
      <w:numFmt w:val="decimal"/>
      <w:lvlText w:val="%4."/>
      <w:lvlJc w:val="left"/>
      <w:pPr>
        <w:ind w:left="-1686" w:hanging="360"/>
      </w:pPr>
    </w:lvl>
    <w:lvl w:ilvl="4" w:tplc="14090019" w:tentative="1">
      <w:start w:val="1"/>
      <w:numFmt w:val="lowerLetter"/>
      <w:lvlText w:val="%5."/>
      <w:lvlJc w:val="left"/>
      <w:pPr>
        <w:ind w:left="-966" w:hanging="360"/>
      </w:pPr>
    </w:lvl>
    <w:lvl w:ilvl="5" w:tplc="1409001B" w:tentative="1">
      <w:start w:val="1"/>
      <w:numFmt w:val="lowerRoman"/>
      <w:lvlText w:val="%6."/>
      <w:lvlJc w:val="right"/>
      <w:pPr>
        <w:ind w:left="-246" w:hanging="180"/>
      </w:pPr>
    </w:lvl>
    <w:lvl w:ilvl="6" w:tplc="1409000F" w:tentative="1">
      <w:start w:val="1"/>
      <w:numFmt w:val="decimal"/>
      <w:lvlText w:val="%7."/>
      <w:lvlJc w:val="left"/>
      <w:pPr>
        <w:ind w:left="474" w:hanging="360"/>
      </w:pPr>
    </w:lvl>
    <w:lvl w:ilvl="7" w:tplc="14090019">
      <w:start w:val="1"/>
      <w:numFmt w:val="lowerLetter"/>
      <w:lvlText w:val="%8."/>
      <w:lvlJc w:val="left"/>
      <w:pPr>
        <w:ind w:left="1194" w:hanging="360"/>
      </w:pPr>
    </w:lvl>
    <w:lvl w:ilvl="8" w:tplc="1409001B">
      <w:start w:val="1"/>
      <w:numFmt w:val="lowerRoman"/>
      <w:lvlText w:val="%9."/>
      <w:lvlJc w:val="right"/>
      <w:pPr>
        <w:ind w:left="1914" w:hanging="180"/>
      </w:pPr>
    </w:lvl>
  </w:abstractNum>
  <w:abstractNum w:abstractNumId="123" w15:restartNumberingAfterBreak="0">
    <w:nsid w:val="6180062B"/>
    <w:multiLevelType w:val="hybridMultilevel"/>
    <w:tmpl w:val="FFFFFFFF"/>
    <w:lvl w:ilvl="0" w:tplc="D0C6C14A">
      <w:start w:val="356"/>
      <w:numFmt w:val="decimal"/>
      <w:lvlText w:val="%1."/>
      <w:lvlJc w:val="left"/>
      <w:pPr>
        <w:ind w:left="720" w:hanging="360"/>
      </w:pPr>
    </w:lvl>
    <w:lvl w:ilvl="1" w:tplc="BFC44200">
      <w:start w:val="1"/>
      <w:numFmt w:val="lowerLetter"/>
      <w:lvlText w:val="%2."/>
      <w:lvlJc w:val="left"/>
      <w:pPr>
        <w:ind w:left="1440" w:hanging="360"/>
      </w:pPr>
    </w:lvl>
    <w:lvl w:ilvl="2" w:tplc="6214EFF2">
      <w:start w:val="1"/>
      <w:numFmt w:val="lowerRoman"/>
      <w:lvlText w:val="%3."/>
      <w:lvlJc w:val="right"/>
      <w:pPr>
        <w:ind w:left="2160" w:hanging="180"/>
      </w:pPr>
    </w:lvl>
    <w:lvl w:ilvl="3" w:tplc="C4E8A2A0">
      <w:start w:val="1"/>
      <w:numFmt w:val="decimal"/>
      <w:lvlText w:val="%4."/>
      <w:lvlJc w:val="left"/>
      <w:pPr>
        <w:ind w:left="2880" w:hanging="360"/>
      </w:pPr>
    </w:lvl>
    <w:lvl w:ilvl="4" w:tplc="7D3E582E">
      <w:start w:val="1"/>
      <w:numFmt w:val="lowerLetter"/>
      <w:lvlText w:val="%5."/>
      <w:lvlJc w:val="left"/>
      <w:pPr>
        <w:ind w:left="3600" w:hanging="360"/>
      </w:pPr>
    </w:lvl>
    <w:lvl w:ilvl="5" w:tplc="6ADC157A">
      <w:start w:val="1"/>
      <w:numFmt w:val="lowerRoman"/>
      <w:lvlText w:val="%6."/>
      <w:lvlJc w:val="right"/>
      <w:pPr>
        <w:ind w:left="4320" w:hanging="180"/>
      </w:pPr>
    </w:lvl>
    <w:lvl w:ilvl="6" w:tplc="31B669EA">
      <w:start w:val="1"/>
      <w:numFmt w:val="decimal"/>
      <w:lvlText w:val="%7."/>
      <w:lvlJc w:val="left"/>
      <w:pPr>
        <w:ind w:left="5040" w:hanging="360"/>
      </w:pPr>
    </w:lvl>
    <w:lvl w:ilvl="7" w:tplc="B4C6B454">
      <w:start w:val="1"/>
      <w:numFmt w:val="lowerLetter"/>
      <w:lvlText w:val="%8."/>
      <w:lvlJc w:val="left"/>
      <w:pPr>
        <w:ind w:left="5760" w:hanging="360"/>
      </w:pPr>
    </w:lvl>
    <w:lvl w:ilvl="8" w:tplc="7F30C392">
      <w:start w:val="1"/>
      <w:numFmt w:val="lowerRoman"/>
      <w:lvlText w:val="%9."/>
      <w:lvlJc w:val="right"/>
      <w:pPr>
        <w:ind w:left="6480" w:hanging="180"/>
      </w:pPr>
    </w:lvl>
  </w:abstractNum>
  <w:abstractNum w:abstractNumId="124" w15:restartNumberingAfterBreak="0">
    <w:nsid w:val="651B7832"/>
    <w:multiLevelType w:val="hybridMultilevel"/>
    <w:tmpl w:val="AE0EE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56AC55F"/>
    <w:multiLevelType w:val="hybridMultilevel"/>
    <w:tmpl w:val="FFFFFFFF"/>
    <w:lvl w:ilvl="0" w:tplc="9E26B5A4">
      <w:start w:val="1"/>
      <w:numFmt w:val="decimal"/>
      <w:lvlText w:val="%1."/>
      <w:lvlJc w:val="left"/>
      <w:pPr>
        <w:ind w:left="720" w:hanging="360"/>
      </w:pPr>
    </w:lvl>
    <w:lvl w:ilvl="1" w:tplc="CA12B7A6">
      <w:start w:val="1"/>
      <w:numFmt w:val="lowerLetter"/>
      <w:lvlText w:val="%2."/>
      <w:lvlJc w:val="left"/>
      <w:pPr>
        <w:ind w:left="1440" w:hanging="360"/>
      </w:pPr>
    </w:lvl>
    <w:lvl w:ilvl="2" w:tplc="E2B0341E">
      <w:start w:val="1"/>
      <w:numFmt w:val="lowerRoman"/>
      <w:lvlText w:val="%3."/>
      <w:lvlJc w:val="right"/>
      <w:pPr>
        <w:ind w:left="2160" w:hanging="180"/>
      </w:pPr>
    </w:lvl>
    <w:lvl w:ilvl="3" w:tplc="D368C8FC">
      <w:start w:val="1"/>
      <w:numFmt w:val="decimal"/>
      <w:lvlText w:val="%4."/>
      <w:lvlJc w:val="left"/>
      <w:pPr>
        <w:ind w:left="2880" w:hanging="360"/>
      </w:pPr>
    </w:lvl>
    <w:lvl w:ilvl="4" w:tplc="F8B6E772">
      <w:start w:val="1"/>
      <w:numFmt w:val="lowerLetter"/>
      <w:lvlText w:val="%5."/>
      <w:lvlJc w:val="left"/>
      <w:pPr>
        <w:ind w:left="3600" w:hanging="360"/>
      </w:pPr>
    </w:lvl>
    <w:lvl w:ilvl="5" w:tplc="83224448">
      <w:start w:val="1"/>
      <w:numFmt w:val="lowerRoman"/>
      <w:lvlText w:val="%6."/>
      <w:lvlJc w:val="right"/>
      <w:pPr>
        <w:ind w:left="4320" w:hanging="180"/>
      </w:pPr>
    </w:lvl>
    <w:lvl w:ilvl="6" w:tplc="0C0205C6">
      <w:start w:val="1"/>
      <w:numFmt w:val="decimal"/>
      <w:lvlText w:val="%7."/>
      <w:lvlJc w:val="left"/>
      <w:pPr>
        <w:ind w:left="5040" w:hanging="360"/>
      </w:pPr>
    </w:lvl>
    <w:lvl w:ilvl="7" w:tplc="FE62A4FE">
      <w:start w:val="1"/>
      <w:numFmt w:val="lowerLetter"/>
      <w:lvlText w:val="%8."/>
      <w:lvlJc w:val="left"/>
      <w:pPr>
        <w:ind w:left="5760" w:hanging="360"/>
      </w:pPr>
    </w:lvl>
    <w:lvl w:ilvl="8" w:tplc="29BEAE34">
      <w:start w:val="1"/>
      <w:numFmt w:val="lowerRoman"/>
      <w:lvlText w:val="%9."/>
      <w:lvlJc w:val="right"/>
      <w:pPr>
        <w:ind w:left="6480" w:hanging="180"/>
      </w:pPr>
    </w:lvl>
  </w:abstractNum>
  <w:abstractNum w:abstractNumId="126" w15:restartNumberingAfterBreak="0">
    <w:nsid w:val="65A228CA"/>
    <w:multiLevelType w:val="hybridMultilevel"/>
    <w:tmpl w:val="FFFFFFFF"/>
    <w:lvl w:ilvl="0" w:tplc="C680BAB2">
      <w:start w:val="349"/>
      <w:numFmt w:val="decimal"/>
      <w:lvlText w:val="%1."/>
      <w:lvlJc w:val="left"/>
      <w:pPr>
        <w:ind w:left="720" w:hanging="360"/>
      </w:pPr>
    </w:lvl>
    <w:lvl w:ilvl="1" w:tplc="DF6AA5DA">
      <w:start w:val="1"/>
      <w:numFmt w:val="lowerLetter"/>
      <w:lvlText w:val="%2."/>
      <w:lvlJc w:val="left"/>
      <w:pPr>
        <w:ind w:left="1440" w:hanging="360"/>
      </w:pPr>
    </w:lvl>
    <w:lvl w:ilvl="2" w:tplc="3740E394">
      <w:start w:val="1"/>
      <w:numFmt w:val="lowerRoman"/>
      <w:lvlText w:val="%3."/>
      <w:lvlJc w:val="right"/>
      <w:pPr>
        <w:ind w:left="2160" w:hanging="180"/>
      </w:pPr>
    </w:lvl>
    <w:lvl w:ilvl="3" w:tplc="5C6C2FAC">
      <w:start w:val="1"/>
      <w:numFmt w:val="decimal"/>
      <w:lvlText w:val="%4."/>
      <w:lvlJc w:val="left"/>
      <w:pPr>
        <w:ind w:left="2880" w:hanging="360"/>
      </w:pPr>
    </w:lvl>
    <w:lvl w:ilvl="4" w:tplc="60F4D7C2">
      <w:start w:val="1"/>
      <w:numFmt w:val="lowerLetter"/>
      <w:lvlText w:val="%5."/>
      <w:lvlJc w:val="left"/>
      <w:pPr>
        <w:ind w:left="3600" w:hanging="360"/>
      </w:pPr>
    </w:lvl>
    <w:lvl w:ilvl="5" w:tplc="BB56416C">
      <w:start w:val="1"/>
      <w:numFmt w:val="lowerRoman"/>
      <w:lvlText w:val="%6."/>
      <w:lvlJc w:val="right"/>
      <w:pPr>
        <w:ind w:left="4320" w:hanging="180"/>
      </w:pPr>
    </w:lvl>
    <w:lvl w:ilvl="6" w:tplc="4378B108">
      <w:start w:val="1"/>
      <w:numFmt w:val="decimal"/>
      <w:lvlText w:val="%7."/>
      <w:lvlJc w:val="left"/>
      <w:pPr>
        <w:ind w:left="5040" w:hanging="360"/>
      </w:pPr>
    </w:lvl>
    <w:lvl w:ilvl="7" w:tplc="12A4775E">
      <w:start w:val="1"/>
      <w:numFmt w:val="lowerLetter"/>
      <w:lvlText w:val="%8."/>
      <w:lvlJc w:val="left"/>
      <w:pPr>
        <w:ind w:left="5760" w:hanging="360"/>
      </w:pPr>
    </w:lvl>
    <w:lvl w:ilvl="8" w:tplc="B218DCBA">
      <w:start w:val="1"/>
      <w:numFmt w:val="lowerRoman"/>
      <w:lvlText w:val="%9."/>
      <w:lvlJc w:val="right"/>
      <w:pPr>
        <w:ind w:left="6480" w:hanging="180"/>
      </w:pPr>
    </w:lvl>
  </w:abstractNum>
  <w:abstractNum w:abstractNumId="127" w15:restartNumberingAfterBreak="0">
    <w:nsid w:val="65C92D62"/>
    <w:multiLevelType w:val="hybridMultilevel"/>
    <w:tmpl w:val="A8D4703E"/>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8"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29" w15:restartNumberingAfterBreak="0">
    <w:nsid w:val="67CF3E49"/>
    <w:multiLevelType w:val="multilevel"/>
    <w:tmpl w:val="A1CECEA0"/>
    <w:lvl w:ilvl="0">
      <w:start w:val="1"/>
      <w:numFmt w:val="decimal"/>
      <w:pStyle w:val="SNHeading1"/>
      <w:lvlText w:val="%1"/>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0"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31" w15:restartNumberingAfterBreak="0">
    <w:nsid w:val="6BE62398"/>
    <w:multiLevelType w:val="hybridMultilevel"/>
    <w:tmpl w:val="10BC6794"/>
    <w:lvl w:ilvl="0" w:tplc="B13E04D2">
      <w:start w:val="345"/>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6CD3A5B8"/>
    <w:multiLevelType w:val="hybridMultilevel"/>
    <w:tmpl w:val="FFFFFFFF"/>
    <w:lvl w:ilvl="0" w:tplc="13E6CB30">
      <w:start w:val="348"/>
      <w:numFmt w:val="decimal"/>
      <w:lvlText w:val="%1."/>
      <w:lvlJc w:val="left"/>
      <w:pPr>
        <w:ind w:left="720" w:hanging="360"/>
      </w:pPr>
    </w:lvl>
    <w:lvl w:ilvl="1" w:tplc="6D025B86">
      <w:start w:val="1"/>
      <w:numFmt w:val="lowerLetter"/>
      <w:lvlText w:val="%2."/>
      <w:lvlJc w:val="left"/>
      <w:pPr>
        <w:ind w:left="1440" w:hanging="360"/>
      </w:pPr>
    </w:lvl>
    <w:lvl w:ilvl="2" w:tplc="8610762A">
      <w:start w:val="1"/>
      <w:numFmt w:val="lowerRoman"/>
      <w:lvlText w:val="%3."/>
      <w:lvlJc w:val="right"/>
      <w:pPr>
        <w:ind w:left="2160" w:hanging="180"/>
      </w:pPr>
    </w:lvl>
    <w:lvl w:ilvl="3" w:tplc="C3285E82">
      <w:start w:val="1"/>
      <w:numFmt w:val="decimal"/>
      <w:lvlText w:val="%4."/>
      <w:lvlJc w:val="left"/>
      <w:pPr>
        <w:ind w:left="2880" w:hanging="360"/>
      </w:pPr>
    </w:lvl>
    <w:lvl w:ilvl="4" w:tplc="37F054E0">
      <w:start w:val="1"/>
      <w:numFmt w:val="lowerLetter"/>
      <w:lvlText w:val="%5."/>
      <w:lvlJc w:val="left"/>
      <w:pPr>
        <w:ind w:left="3600" w:hanging="360"/>
      </w:pPr>
    </w:lvl>
    <w:lvl w:ilvl="5" w:tplc="9E14D4DA">
      <w:start w:val="1"/>
      <w:numFmt w:val="lowerRoman"/>
      <w:lvlText w:val="%6."/>
      <w:lvlJc w:val="right"/>
      <w:pPr>
        <w:ind w:left="4320" w:hanging="180"/>
      </w:pPr>
    </w:lvl>
    <w:lvl w:ilvl="6" w:tplc="44E68ED0">
      <w:start w:val="1"/>
      <w:numFmt w:val="decimal"/>
      <w:lvlText w:val="%7."/>
      <w:lvlJc w:val="left"/>
      <w:pPr>
        <w:ind w:left="5040" w:hanging="360"/>
      </w:pPr>
    </w:lvl>
    <w:lvl w:ilvl="7" w:tplc="550C30E2">
      <w:start w:val="1"/>
      <w:numFmt w:val="lowerLetter"/>
      <w:lvlText w:val="%8."/>
      <w:lvlJc w:val="left"/>
      <w:pPr>
        <w:ind w:left="5760" w:hanging="360"/>
      </w:pPr>
    </w:lvl>
    <w:lvl w:ilvl="8" w:tplc="A4BE7DFC">
      <w:start w:val="1"/>
      <w:numFmt w:val="lowerRoman"/>
      <w:lvlText w:val="%9."/>
      <w:lvlJc w:val="right"/>
      <w:pPr>
        <w:ind w:left="6480" w:hanging="180"/>
      </w:pPr>
    </w:lvl>
  </w:abstractNum>
  <w:abstractNum w:abstractNumId="133" w15:restartNumberingAfterBreak="0">
    <w:nsid w:val="6D73935A"/>
    <w:multiLevelType w:val="hybridMultilevel"/>
    <w:tmpl w:val="FFFFFFFF"/>
    <w:lvl w:ilvl="0" w:tplc="7C20745E">
      <w:start w:val="354"/>
      <w:numFmt w:val="decimal"/>
      <w:lvlText w:val="%1."/>
      <w:lvlJc w:val="left"/>
      <w:pPr>
        <w:ind w:left="720" w:hanging="360"/>
      </w:pPr>
    </w:lvl>
    <w:lvl w:ilvl="1" w:tplc="D428AADA">
      <w:start w:val="1"/>
      <w:numFmt w:val="lowerLetter"/>
      <w:lvlText w:val="%2."/>
      <w:lvlJc w:val="left"/>
      <w:pPr>
        <w:ind w:left="1440" w:hanging="360"/>
      </w:pPr>
    </w:lvl>
    <w:lvl w:ilvl="2" w:tplc="E79836F2">
      <w:start w:val="1"/>
      <w:numFmt w:val="lowerRoman"/>
      <w:lvlText w:val="%3."/>
      <w:lvlJc w:val="right"/>
      <w:pPr>
        <w:ind w:left="2160" w:hanging="180"/>
      </w:pPr>
    </w:lvl>
    <w:lvl w:ilvl="3" w:tplc="56C64908">
      <w:start w:val="1"/>
      <w:numFmt w:val="decimal"/>
      <w:lvlText w:val="%4."/>
      <w:lvlJc w:val="left"/>
      <w:pPr>
        <w:ind w:left="2880" w:hanging="360"/>
      </w:pPr>
    </w:lvl>
    <w:lvl w:ilvl="4" w:tplc="3C4468CE">
      <w:start w:val="1"/>
      <w:numFmt w:val="lowerLetter"/>
      <w:lvlText w:val="%5."/>
      <w:lvlJc w:val="left"/>
      <w:pPr>
        <w:ind w:left="3600" w:hanging="360"/>
      </w:pPr>
    </w:lvl>
    <w:lvl w:ilvl="5" w:tplc="318E5E3A">
      <w:start w:val="1"/>
      <w:numFmt w:val="lowerRoman"/>
      <w:lvlText w:val="%6."/>
      <w:lvlJc w:val="right"/>
      <w:pPr>
        <w:ind w:left="4320" w:hanging="180"/>
      </w:pPr>
    </w:lvl>
    <w:lvl w:ilvl="6" w:tplc="406AAE96">
      <w:start w:val="1"/>
      <w:numFmt w:val="decimal"/>
      <w:lvlText w:val="%7."/>
      <w:lvlJc w:val="left"/>
      <w:pPr>
        <w:ind w:left="5040" w:hanging="360"/>
      </w:pPr>
    </w:lvl>
    <w:lvl w:ilvl="7" w:tplc="501CB48C">
      <w:start w:val="1"/>
      <w:numFmt w:val="lowerLetter"/>
      <w:lvlText w:val="%8."/>
      <w:lvlJc w:val="left"/>
      <w:pPr>
        <w:ind w:left="5760" w:hanging="360"/>
      </w:pPr>
    </w:lvl>
    <w:lvl w:ilvl="8" w:tplc="F21A6C3E">
      <w:start w:val="1"/>
      <w:numFmt w:val="lowerRoman"/>
      <w:lvlText w:val="%9."/>
      <w:lvlJc w:val="right"/>
      <w:pPr>
        <w:ind w:left="6480" w:hanging="180"/>
      </w:pPr>
    </w:lvl>
  </w:abstractNum>
  <w:abstractNum w:abstractNumId="134"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35" w15:restartNumberingAfterBreak="0">
    <w:nsid w:val="6DFC2906"/>
    <w:multiLevelType w:val="hybridMultilevel"/>
    <w:tmpl w:val="E682C638"/>
    <w:lvl w:ilvl="0" w:tplc="14090001">
      <w:start w:val="1"/>
      <w:numFmt w:val="bullet"/>
      <w:lvlText w:val=""/>
      <w:lvlJc w:val="left"/>
      <w:pPr>
        <w:ind w:left="1494" w:hanging="360"/>
      </w:pPr>
      <w:rPr>
        <w:rFonts w:ascii="Symbol" w:hAnsi="Symbol"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136" w15:restartNumberingAfterBreak="0">
    <w:nsid w:val="6F568FE9"/>
    <w:multiLevelType w:val="hybridMultilevel"/>
    <w:tmpl w:val="FFFFFFFF"/>
    <w:lvl w:ilvl="0" w:tplc="811EF202">
      <w:start w:val="349"/>
      <w:numFmt w:val="decimal"/>
      <w:lvlText w:val="%1."/>
      <w:lvlJc w:val="left"/>
      <w:pPr>
        <w:ind w:left="720" w:hanging="360"/>
      </w:pPr>
    </w:lvl>
    <w:lvl w:ilvl="1" w:tplc="C30E7618">
      <w:start w:val="1"/>
      <w:numFmt w:val="lowerLetter"/>
      <w:lvlText w:val="%2."/>
      <w:lvlJc w:val="left"/>
      <w:pPr>
        <w:ind w:left="1440" w:hanging="360"/>
      </w:pPr>
    </w:lvl>
    <w:lvl w:ilvl="2" w:tplc="0D1EA4F6">
      <w:start w:val="1"/>
      <w:numFmt w:val="lowerRoman"/>
      <w:lvlText w:val="%3."/>
      <w:lvlJc w:val="right"/>
      <w:pPr>
        <w:ind w:left="2160" w:hanging="180"/>
      </w:pPr>
    </w:lvl>
    <w:lvl w:ilvl="3" w:tplc="FE640104">
      <w:start w:val="1"/>
      <w:numFmt w:val="decimal"/>
      <w:lvlText w:val="%4."/>
      <w:lvlJc w:val="left"/>
      <w:pPr>
        <w:ind w:left="2880" w:hanging="360"/>
      </w:pPr>
    </w:lvl>
    <w:lvl w:ilvl="4" w:tplc="3F120E6C">
      <w:start w:val="1"/>
      <w:numFmt w:val="lowerLetter"/>
      <w:lvlText w:val="%5."/>
      <w:lvlJc w:val="left"/>
      <w:pPr>
        <w:ind w:left="3600" w:hanging="360"/>
      </w:pPr>
    </w:lvl>
    <w:lvl w:ilvl="5" w:tplc="8EA49C52">
      <w:start w:val="1"/>
      <w:numFmt w:val="lowerRoman"/>
      <w:lvlText w:val="%6."/>
      <w:lvlJc w:val="right"/>
      <w:pPr>
        <w:ind w:left="4320" w:hanging="180"/>
      </w:pPr>
    </w:lvl>
    <w:lvl w:ilvl="6" w:tplc="82543ACA">
      <w:start w:val="1"/>
      <w:numFmt w:val="decimal"/>
      <w:lvlText w:val="%7."/>
      <w:lvlJc w:val="left"/>
      <w:pPr>
        <w:ind w:left="5040" w:hanging="360"/>
      </w:pPr>
    </w:lvl>
    <w:lvl w:ilvl="7" w:tplc="BF801776">
      <w:start w:val="1"/>
      <w:numFmt w:val="lowerLetter"/>
      <w:lvlText w:val="%8."/>
      <w:lvlJc w:val="left"/>
      <w:pPr>
        <w:ind w:left="5760" w:hanging="360"/>
      </w:pPr>
    </w:lvl>
    <w:lvl w:ilvl="8" w:tplc="5C4C6D62">
      <w:start w:val="1"/>
      <w:numFmt w:val="lowerRoman"/>
      <w:lvlText w:val="%9."/>
      <w:lvlJc w:val="right"/>
      <w:pPr>
        <w:ind w:left="6480" w:hanging="180"/>
      </w:pPr>
    </w:lvl>
  </w:abstractNum>
  <w:abstractNum w:abstractNumId="137" w15:restartNumberingAfterBreak="0">
    <w:nsid w:val="6F6E3071"/>
    <w:multiLevelType w:val="hybridMultilevel"/>
    <w:tmpl w:val="47E20842"/>
    <w:lvl w:ilvl="0" w:tplc="B13E04D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8" w15:restartNumberingAfterBreak="0">
    <w:nsid w:val="70291A74"/>
    <w:multiLevelType w:val="hybridMultilevel"/>
    <w:tmpl w:val="FFFFFFFF"/>
    <w:lvl w:ilvl="0" w:tplc="D8C21C64">
      <w:start w:val="348"/>
      <w:numFmt w:val="decimal"/>
      <w:lvlText w:val="%1."/>
      <w:lvlJc w:val="left"/>
      <w:pPr>
        <w:ind w:left="720" w:hanging="360"/>
      </w:pPr>
    </w:lvl>
    <w:lvl w:ilvl="1" w:tplc="A720EC76">
      <w:start w:val="1"/>
      <w:numFmt w:val="lowerLetter"/>
      <w:lvlText w:val="%2."/>
      <w:lvlJc w:val="left"/>
      <w:pPr>
        <w:ind w:left="1440" w:hanging="360"/>
      </w:pPr>
    </w:lvl>
    <w:lvl w:ilvl="2" w:tplc="F0F444E4">
      <w:start w:val="1"/>
      <w:numFmt w:val="lowerRoman"/>
      <w:lvlText w:val="%3."/>
      <w:lvlJc w:val="right"/>
      <w:pPr>
        <w:ind w:left="2160" w:hanging="180"/>
      </w:pPr>
    </w:lvl>
    <w:lvl w:ilvl="3" w:tplc="6A7804D6">
      <w:start w:val="1"/>
      <w:numFmt w:val="decimal"/>
      <w:lvlText w:val="%4."/>
      <w:lvlJc w:val="left"/>
      <w:pPr>
        <w:ind w:left="2880" w:hanging="360"/>
      </w:pPr>
    </w:lvl>
    <w:lvl w:ilvl="4" w:tplc="FE2ED858">
      <w:start w:val="1"/>
      <w:numFmt w:val="lowerLetter"/>
      <w:lvlText w:val="%5."/>
      <w:lvlJc w:val="left"/>
      <w:pPr>
        <w:ind w:left="3600" w:hanging="360"/>
      </w:pPr>
    </w:lvl>
    <w:lvl w:ilvl="5" w:tplc="3DC8B38C">
      <w:start w:val="1"/>
      <w:numFmt w:val="lowerRoman"/>
      <w:lvlText w:val="%6."/>
      <w:lvlJc w:val="right"/>
      <w:pPr>
        <w:ind w:left="4320" w:hanging="180"/>
      </w:pPr>
    </w:lvl>
    <w:lvl w:ilvl="6" w:tplc="A1CC92EC">
      <w:start w:val="1"/>
      <w:numFmt w:val="decimal"/>
      <w:lvlText w:val="%7."/>
      <w:lvlJc w:val="left"/>
      <w:pPr>
        <w:ind w:left="5040" w:hanging="360"/>
      </w:pPr>
    </w:lvl>
    <w:lvl w:ilvl="7" w:tplc="E542D3AE">
      <w:start w:val="1"/>
      <w:numFmt w:val="lowerLetter"/>
      <w:lvlText w:val="%8."/>
      <w:lvlJc w:val="left"/>
      <w:pPr>
        <w:ind w:left="5760" w:hanging="360"/>
      </w:pPr>
    </w:lvl>
    <w:lvl w:ilvl="8" w:tplc="5914E896">
      <w:start w:val="1"/>
      <w:numFmt w:val="lowerRoman"/>
      <w:lvlText w:val="%9."/>
      <w:lvlJc w:val="right"/>
      <w:pPr>
        <w:ind w:left="6480" w:hanging="180"/>
      </w:pPr>
    </w:lvl>
  </w:abstractNum>
  <w:abstractNum w:abstractNumId="139" w15:restartNumberingAfterBreak="0">
    <w:nsid w:val="7287C452"/>
    <w:multiLevelType w:val="multilevel"/>
    <w:tmpl w:val="7A2A180C"/>
    <w:lvl w:ilvl="0">
      <w:start w:val="1"/>
      <w:numFmt w:val="decimal"/>
      <w:lvlText w:val="%1."/>
      <w:lvlJc w:val="left"/>
      <w:pPr>
        <w:ind w:left="851" w:hanging="8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4B9C1A6"/>
    <w:multiLevelType w:val="hybridMultilevel"/>
    <w:tmpl w:val="FFFFFFFF"/>
    <w:lvl w:ilvl="0" w:tplc="855EFA1C">
      <w:start w:val="354"/>
      <w:numFmt w:val="decimal"/>
      <w:lvlText w:val="%1."/>
      <w:lvlJc w:val="left"/>
      <w:pPr>
        <w:ind w:left="720" w:hanging="360"/>
      </w:pPr>
    </w:lvl>
    <w:lvl w:ilvl="1" w:tplc="AFDE83AC">
      <w:start w:val="1"/>
      <w:numFmt w:val="lowerLetter"/>
      <w:lvlText w:val="%2."/>
      <w:lvlJc w:val="left"/>
      <w:pPr>
        <w:ind w:left="1440" w:hanging="360"/>
      </w:pPr>
    </w:lvl>
    <w:lvl w:ilvl="2" w:tplc="C5BAE4EE">
      <w:start w:val="1"/>
      <w:numFmt w:val="lowerRoman"/>
      <w:lvlText w:val="%3."/>
      <w:lvlJc w:val="right"/>
      <w:pPr>
        <w:ind w:left="2160" w:hanging="180"/>
      </w:pPr>
    </w:lvl>
    <w:lvl w:ilvl="3" w:tplc="F98C3436">
      <w:start w:val="1"/>
      <w:numFmt w:val="decimal"/>
      <w:lvlText w:val="%4."/>
      <w:lvlJc w:val="left"/>
      <w:pPr>
        <w:ind w:left="2880" w:hanging="360"/>
      </w:pPr>
    </w:lvl>
    <w:lvl w:ilvl="4" w:tplc="6B30B1C0">
      <w:start w:val="1"/>
      <w:numFmt w:val="lowerLetter"/>
      <w:lvlText w:val="%5."/>
      <w:lvlJc w:val="left"/>
      <w:pPr>
        <w:ind w:left="3600" w:hanging="360"/>
      </w:pPr>
    </w:lvl>
    <w:lvl w:ilvl="5" w:tplc="AB02D738">
      <w:start w:val="1"/>
      <w:numFmt w:val="lowerRoman"/>
      <w:lvlText w:val="%6."/>
      <w:lvlJc w:val="right"/>
      <w:pPr>
        <w:ind w:left="4320" w:hanging="180"/>
      </w:pPr>
    </w:lvl>
    <w:lvl w:ilvl="6" w:tplc="15D8781A">
      <w:start w:val="1"/>
      <w:numFmt w:val="decimal"/>
      <w:lvlText w:val="%7."/>
      <w:lvlJc w:val="left"/>
      <w:pPr>
        <w:ind w:left="5040" w:hanging="360"/>
      </w:pPr>
    </w:lvl>
    <w:lvl w:ilvl="7" w:tplc="04E2BE70">
      <w:start w:val="1"/>
      <w:numFmt w:val="lowerLetter"/>
      <w:lvlText w:val="%8."/>
      <w:lvlJc w:val="left"/>
      <w:pPr>
        <w:ind w:left="5760" w:hanging="360"/>
      </w:pPr>
    </w:lvl>
    <w:lvl w:ilvl="8" w:tplc="5F5A7FE8">
      <w:start w:val="1"/>
      <w:numFmt w:val="lowerRoman"/>
      <w:lvlText w:val="%9."/>
      <w:lvlJc w:val="right"/>
      <w:pPr>
        <w:ind w:left="6480" w:hanging="180"/>
      </w:pPr>
    </w:lvl>
  </w:abstractNum>
  <w:abstractNum w:abstractNumId="141" w15:restartNumberingAfterBreak="0">
    <w:nsid w:val="750A624B"/>
    <w:multiLevelType w:val="hybridMultilevel"/>
    <w:tmpl w:val="070CB99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75D710FA"/>
    <w:multiLevelType w:val="hybridMultilevel"/>
    <w:tmpl w:val="08145CF2"/>
    <w:lvl w:ilvl="0" w:tplc="DCB22112">
      <w:start w:val="3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3" w15:restartNumberingAfterBreak="0">
    <w:nsid w:val="765440DC"/>
    <w:multiLevelType w:val="hybridMultilevel"/>
    <w:tmpl w:val="A4249152"/>
    <w:lvl w:ilvl="0" w:tplc="FFFFFFFF">
      <w:start w:val="469"/>
      <w:numFmt w:val="decimal"/>
      <w:pStyle w:val="Vol4Numberedparas"/>
      <w:suff w:val="space"/>
      <w:lvlText w:val="%1."/>
      <w:lvlJc w:val="left"/>
      <w:pPr>
        <w:ind w:left="6173" w:hanging="360"/>
      </w:pPr>
      <w:rPr>
        <w:i w:val="0"/>
        <w:iCs/>
        <w:color w:val="auto"/>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4"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145" w15:restartNumberingAfterBreak="0">
    <w:nsid w:val="76AC7140"/>
    <w:multiLevelType w:val="hybridMultilevel"/>
    <w:tmpl w:val="2BE4574A"/>
    <w:lvl w:ilvl="0" w:tplc="FFFFFFFF">
      <w:start w:val="1"/>
      <w:numFmt w:val="lowerLetter"/>
      <w:lvlText w:val="%1)"/>
      <w:lvlJc w:val="left"/>
      <w:pPr>
        <w:ind w:left="360" w:hanging="360"/>
      </w:pPr>
    </w:lvl>
    <w:lvl w:ilvl="1" w:tplc="506CC550">
      <w:start w:val="1"/>
      <w:numFmt w:val="bullet"/>
      <w:lvlText w:val="-"/>
      <w:lvlJc w:val="left"/>
      <w:pPr>
        <w:ind w:left="1080" w:hanging="360"/>
      </w:pPr>
      <w:rPr>
        <w:rFonts w:ascii="Arial" w:hAnsi="Aria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6" w15:restartNumberingAfterBreak="0">
    <w:nsid w:val="76D1E568"/>
    <w:multiLevelType w:val="hybridMultilevel"/>
    <w:tmpl w:val="FFFFFFFF"/>
    <w:lvl w:ilvl="0" w:tplc="FC8E96AE">
      <w:start w:val="351"/>
      <w:numFmt w:val="decimal"/>
      <w:lvlText w:val="%1."/>
      <w:lvlJc w:val="left"/>
      <w:pPr>
        <w:ind w:left="720" w:hanging="360"/>
      </w:pPr>
    </w:lvl>
    <w:lvl w:ilvl="1" w:tplc="2A08EC96">
      <w:start w:val="1"/>
      <w:numFmt w:val="lowerLetter"/>
      <w:lvlText w:val="%2."/>
      <w:lvlJc w:val="left"/>
      <w:pPr>
        <w:ind w:left="1440" w:hanging="360"/>
      </w:pPr>
    </w:lvl>
    <w:lvl w:ilvl="2" w:tplc="DCA685C4">
      <w:start w:val="1"/>
      <w:numFmt w:val="lowerRoman"/>
      <w:lvlText w:val="%3."/>
      <w:lvlJc w:val="right"/>
      <w:pPr>
        <w:ind w:left="2160" w:hanging="180"/>
      </w:pPr>
    </w:lvl>
    <w:lvl w:ilvl="3" w:tplc="561A7D10">
      <w:start w:val="1"/>
      <w:numFmt w:val="decimal"/>
      <w:lvlText w:val="%4."/>
      <w:lvlJc w:val="left"/>
      <w:pPr>
        <w:ind w:left="2880" w:hanging="360"/>
      </w:pPr>
    </w:lvl>
    <w:lvl w:ilvl="4" w:tplc="30B61C62">
      <w:start w:val="1"/>
      <w:numFmt w:val="lowerLetter"/>
      <w:lvlText w:val="%5."/>
      <w:lvlJc w:val="left"/>
      <w:pPr>
        <w:ind w:left="3600" w:hanging="360"/>
      </w:pPr>
    </w:lvl>
    <w:lvl w:ilvl="5" w:tplc="660EAFF8">
      <w:start w:val="1"/>
      <w:numFmt w:val="lowerRoman"/>
      <w:lvlText w:val="%6."/>
      <w:lvlJc w:val="right"/>
      <w:pPr>
        <w:ind w:left="4320" w:hanging="180"/>
      </w:pPr>
    </w:lvl>
    <w:lvl w:ilvl="6" w:tplc="60D4449E">
      <w:start w:val="1"/>
      <w:numFmt w:val="decimal"/>
      <w:lvlText w:val="%7."/>
      <w:lvlJc w:val="left"/>
      <w:pPr>
        <w:ind w:left="5040" w:hanging="360"/>
      </w:pPr>
    </w:lvl>
    <w:lvl w:ilvl="7" w:tplc="B2248260">
      <w:start w:val="1"/>
      <w:numFmt w:val="lowerLetter"/>
      <w:lvlText w:val="%8."/>
      <w:lvlJc w:val="left"/>
      <w:pPr>
        <w:ind w:left="5760" w:hanging="360"/>
      </w:pPr>
    </w:lvl>
    <w:lvl w:ilvl="8" w:tplc="39F02B32">
      <w:start w:val="1"/>
      <w:numFmt w:val="lowerRoman"/>
      <w:lvlText w:val="%9."/>
      <w:lvlJc w:val="right"/>
      <w:pPr>
        <w:ind w:left="6480" w:hanging="180"/>
      </w:pPr>
    </w:lvl>
  </w:abstractNum>
  <w:abstractNum w:abstractNumId="147" w15:restartNumberingAfterBreak="0">
    <w:nsid w:val="77140EE3"/>
    <w:multiLevelType w:val="multilevel"/>
    <w:tmpl w:val="BFC2FD70"/>
    <w:lvl w:ilvl="0">
      <w:start w:val="1"/>
      <w:numFmt w:val="decimal"/>
      <w:pStyle w:val="Numbparas"/>
      <w:lvlText w:val="%1."/>
      <w:lvlJc w:val="left"/>
      <w:pPr>
        <w:ind w:left="851" w:hanging="851"/>
      </w:pPr>
      <w:rPr>
        <w:rFonts w:ascii="Arial" w:hAnsi="Arial" w:cs="Arial" w:hint="default"/>
        <w:b w:val="0"/>
        <w:bCs w:val="0"/>
        <w:strike w:val="0"/>
        <w:color w:val="auto"/>
        <w:sz w:val="22"/>
        <w:szCs w:val="22"/>
        <w:vertAlign w:val="baseline"/>
      </w:rPr>
    </w:lvl>
    <w:lvl w:ilvl="1">
      <w:start w:val="1"/>
      <w:numFmt w:val="bullet"/>
      <w:lvlText w:val=""/>
      <w:lvlJc w:val="left"/>
      <w:pPr>
        <w:ind w:left="2551" w:hanging="850"/>
      </w:pPr>
      <w:rPr>
        <w:rFonts w:ascii="Symbol" w:hAnsi="Symbol" w:hint="default"/>
      </w:rPr>
    </w:lvl>
    <w:lvl w:ilvl="2">
      <w:start w:val="1"/>
      <w:numFmt w:val="lowerRoman"/>
      <w:lvlText w:val="%3."/>
      <w:lvlJc w:val="left"/>
      <w:pPr>
        <w:ind w:left="2552"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94FE70D"/>
    <w:multiLevelType w:val="hybridMultilevel"/>
    <w:tmpl w:val="FFFFFFFF"/>
    <w:lvl w:ilvl="0" w:tplc="53A44408">
      <w:start w:val="355"/>
      <w:numFmt w:val="decimal"/>
      <w:lvlText w:val="%1."/>
      <w:lvlJc w:val="left"/>
      <w:pPr>
        <w:ind w:left="720" w:hanging="360"/>
      </w:pPr>
    </w:lvl>
    <w:lvl w:ilvl="1" w:tplc="7C646A64">
      <w:start w:val="1"/>
      <w:numFmt w:val="lowerLetter"/>
      <w:lvlText w:val="%2."/>
      <w:lvlJc w:val="left"/>
      <w:pPr>
        <w:ind w:left="1440" w:hanging="360"/>
      </w:pPr>
    </w:lvl>
    <w:lvl w:ilvl="2" w:tplc="19DA2898">
      <w:start w:val="1"/>
      <w:numFmt w:val="lowerRoman"/>
      <w:lvlText w:val="%3."/>
      <w:lvlJc w:val="right"/>
      <w:pPr>
        <w:ind w:left="2160" w:hanging="180"/>
      </w:pPr>
    </w:lvl>
    <w:lvl w:ilvl="3" w:tplc="BDB6A2C0">
      <w:start w:val="1"/>
      <w:numFmt w:val="decimal"/>
      <w:lvlText w:val="%4."/>
      <w:lvlJc w:val="left"/>
      <w:pPr>
        <w:ind w:left="2880" w:hanging="360"/>
      </w:pPr>
    </w:lvl>
    <w:lvl w:ilvl="4" w:tplc="43882FEE">
      <w:start w:val="1"/>
      <w:numFmt w:val="lowerLetter"/>
      <w:lvlText w:val="%5."/>
      <w:lvlJc w:val="left"/>
      <w:pPr>
        <w:ind w:left="3600" w:hanging="360"/>
      </w:pPr>
    </w:lvl>
    <w:lvl w:ilvl="5" w:tplc="1B4A6780">
      <w:start w:val="1"/>
      <w:numFmt w:val="lowerRoman"/>
      <w:lvlText w:val="%6."/>
      <w:lvlJc w:val="right"/>
      <w:pPr>
        <w:ind w:left="4320" w:hanging="180"/>
      </w:pPr>
    </w:lvl>
    <w:lvl w:ilvl="6" w:tplc="FDD8F872">
      <w:start w:val="1"/>
      <w:numFmt w:val="decimal"/>
      <w:lvlText w:val="%7."/>
      <w:lvlJc w:val="left"/>
      <w:pPr>
        <w:ind w:left="5040" w:hanging="360"/>
      </w:pPr>
    </w:lvl>
    <w:lvl w:ilvl="7" w:tplc="EE2A5A4E">
      <w:start w:val="1"/>
      <w:numFmt w:val="lowerLetter"/>
      <w:lvlText w:val="%8."/>
      <w:lvlJc w:val="left"/>
      <w:pPr>
        <w:ind w:left="5760" w:hanging="360"/>
      </w:pPr>
    </w:lvl>
    <w:lvl w:ilvl="8" w:tplc="DD5A752C">
      <w:start w:val="1"/>
      <w:numFmt w:val="lowerRoman"/>
      <w:lvlText w:val="%9."/>
      <w:lvlJc w:val="right"/>
      <w:pPr>
        <w:ind w:left="6480" w:hanging="180"/>
      </w:pPr>
    </w:lvl>
  </w:abstractNum>
  <w:abstractNum w:abstractNumId="149" w15:restartNumberingAfterBreak="0">
    <w:nsid w:val="7A238733"/>
    <w:multiLevelType w:val="hybridMultilevel"/>
    <w:tmpl w:val="FFFFFFFF"/>
    <w:lvl w:ilvl="0" w:tplc="5B3EF6C8">
      <w:start w:val="348"/>
      <w:numFmt w:val="decimal"/>
      <w:lvlText w:val="%1."/>
      <w:lvlJc w:val="left"/>
      <w:pPr>
        <w:ind w:left="720" w:hanging="360"/>
      </w:pPr>
    </w:lvl>
    <w:lvl w:ilvl="1" w:tplc="03AE7EA6">
      <w:start w:val="1"/>
      <w:numFmt w:val="lowerLetter"/>
      <w:lvlText w:val="%2."/>
      <w:lvlJc w:val="left"/>
      <w:pPr>
        <w:ind w:left="1440" w:hanging="360"/>
      </w:pPr>
    </w:lvl>
    <w:lvl w:ilvl="2" w:tplc="25B04DF6">
      <w:start w:val="1"/>
      <w:numFmt w:val="lowerRoman"/>
      <w:lvlText w:val="%3."/>
      <w:lvlJc w:val="right"/>
      <w:pPr>
        <w:ind w:left="2160" w:hanging="180"/>
      </w:pPr>
    </w:lvl>
    <w:lvl w:ilvl="3" w:tplc="51384918">
      <w:start w:val="1"/>
      <w:numFmt w:val="decimal"/>
      <w:lvlText w:val="%4."/>
      <w:lvlJc w:val="left"/>
      <w:pPr>
        <w:ind w:left="2880" w:hanging="360"/>
      </w:pPr>
    </w:lvl>
    <w:lvl w:ilvl="4" w:tplc="971EC492">
      <w:start w:val="1"/>
      <w:numFmt w:val="lowerLetter"/>
      <w:lvlText w:val="%5."/>
      <w:lvlJc w:val="left"/>
      <w:pPr>
        <w:ind w:left="3600" w:hanging="360"/>
      </w:pPr>
    </w:lvl>
    <w:lvl w:ilvl="5" w:tplc="94863DEE">
      <w:start w:val="1"/>
      <w:numFmt w:val="lowerRoman"/>
      <w:lvlText w:val="%6."/>
      <w:lvlJc w:val="right"/>
      <w:pPr>
        <w:ind w:left="4320" w:hanging="180"/>
      </w:pPr>
    </w:lvl>
    <w:lvl w:ilvl="6" w:tplc="1EE8FD38">
      <w:start w:val="1"/>
      <w:numFmt w:val="decimal"/>
      <w:lvlText w:val="%7."/>
      <w:lvlJc w:val="left"/>
      <w:pPr>
        <w:ind w:left="5040" w:hanging="360"/>
      </w:pPr>
    </w:lvl>
    <w:lvl w:ilvl="7" w:tplc="E6C8117E">
      <w:start w:val="1"/>
      <w:numFmt w:val="lowerLetter"/>
      <w:lvlText w:val="%8."/>
      <w:lvlJc w:val="left"/>
      <w:pPr>
        <w:ind w:left="5760" w:hanging="360"/>
      </w:pPr>
    </w:lvl>
    <w:lvl w:ilvl="8" w:tplc="526A3BDA">
      <w:start w:val="1"/>
      <w:numFmt w:val="lowerRoman"/>
      <w:lvlText w:val="%9."/>
      <w:lvlJc w:val="right"/>
      <w:pPr>
        <w:ind w:left="6480" w:hanging="180"/>
      </w:pPr>
    </w:lvl>
  </w:abstractNum>
  <w:abstractNum w:abstractNumId="150" w15:restartNumberingAfterBreak="0">
    <w:nsid w:val="7B0064AB"/>
    <w:multiLevelType w:val="hybridMultilevel"/>
    <w:tmpl w:val="FFFFFFFF"/>
    <w:lvl w:ilvl="0" w:tplc="8F30B57E">
      <w:start w:val="349"/>
      <w:numFmt w:val="decimal"/>
      <w:lvlText w:val="%1."/>
      <w:lvlJc w:val="left"/>
      <w:pPr>
        <w:ind w:left="720" w:hanging="360"/>
      </w:pPr>
    </w:lvl>
    <w:lvl w:ilvl="1" w:tplc="1788425C">
      <w:start w:val="1"/>
      <w:numFmt w:val="lowerLetter"/>
      <w:lvlText w:val="%2."/>
      <w:lvlJc w:val="left"/>
      <w:pPr>
        <w:ind w:left="1440" w:hanging="360"/>
      </w:pPr>
    </w:lvl>
    <w:lvl w:ilvl="2" w:tplc="13282FD0">
      <w:start w:val="1"/>
      <w:numFmt w:val="lowerRoman"/>
      <w:lvlText w:val="%3."/>
      <w:lvlJc w:val="right"/>
      <w:pPr>
        <w:ind w:left="2160" w:hanging="180"/>
      </w:pPr>
    </w:lvl>
    <w:lvl w:ilvl="3" w:tplc="BB1A6356">
      <w:start w:val="1"/>
      <w:numFmt w:val="decimal"/>
      <w:lvlText w:val="%4."/>
      <w:lvlJc w:val="left"/>
      <w:pPr>
        <w:ind w:left="2880" w:hanging="360"/>
      </w:pPr>
    </w:lvl>
    <w:lvl w:ilvl="4" w:tplc="39E6A51C">
      <w:start w:val="1"/>
      <w:numFmt w:val="lowerLetter"/>
      <w:lvlText w:val="%5."/>
      <w:lvlJc w:val="left"/>
      <w:pPr>
        <w:ind w:left="3600" w:hanging="360"/>
      </w:pPr>
    </w:lvl>
    <w:lvl w:ilvl="5" w:tplc="968E3888">
      <w:start w:val="1"/>
      <w:numFmt w:val="lowerRoman"/>
      <w:lvlText w:val="%6."/>
      <w:lvlJc w:val="right"/>
      <w:pPr>
        <w:ind w:left="4320" w:hanging="180"/>
      </w:pPr>
    </w:lvl>
    <w:lvl w:ilvl="6" w:tplc="18B2AEB0">
      <w:start w:val="1"/>
      <w:numFmt w:val="decimal"/>
      <w:lvlText w:val="%7."/>
      <w:lvlJc w:val="left"/>
      <w:pPr>
        <w:ind w:left="5040" w:hanging="360"/>
      </w:pPr>
    </w:lvl>
    <w:lvl w:ilvl="7" w:tplc="3C9A6F9E">
      <w:start w:val="1"/>
      <w:numFmt w:val="lowerLetter"/>
      <w:lvlText w:val="%8."/>
      <w:lvlJc w:val="left"/>
      <w:pPr>
        <w:ind w:left="5760" w:hanging="360"/>
      </w:pPr>
    </w:lvl>
    <w:lvl w:ilvl="8" w:tplc="7FF2C728">
      <w:start w:val="1"/>
      <w:numFmt w:val="lowerRoman"/>
      <w:lvlText w:val="%9."/>
      <w:lvlJc w:val="right"/>
      <w:pPr>
        <w:ind w:left="6480" w:hanging="180"/>
      </w:pPr>
    </w:lvl>
  </w:abstractNum>
  <w:abstractNum w:abstractNumId="151" w15:restartNumberingAfterBreak="0">
    <w:nsid w:val="7B6890FE"/>
    <w:multiLevelType w:val="hybridMultilevel"/>
    <w:tmpl w:val="FFFFFFFF"/>
    <w:lvl w:ilvl="0" w:tplc="68E0D4F2">
      <w:start w:val="352"/>
      <w:numFmt w:val="decimal"/>
      <w:lvlText w:val="%1."/>
      <w:lvlJc w:val="left"/>
      <w:pPr>
        <w:ind w:left="720" w:hanging="360"/>
      </w:pPr>
    </w:lvl>
    <w:lvl w:ilvl="1" w:tplc="FD18441C">
      <w:start w:val="1"/>
      <w:numFmt w:val="lowerLetter"/>
      <w:lvlText w:val="%2."/>
      <w:lvlJc w:val="left"/>
      <w:pPr>
        <w:ind w:left="1440" w:hanging="360"/>
      </w:pPr>
    </w:lvl>
    <w:lvl w:ilvl="2" w:tplc="75CEF7D0">
      <w:start w:val="1"/>
      <w:numFmt w:val="lowerRoman"/>
      <w:lvlText w:val="%3."/>
      <w:lvlJc w:val="right"/>
      <w:pPr>
        <w:ind w:left="2160" w:hanging="180"/>
      </w:pPr>
    </w:lvl>
    <w:lvl w:ilvl="3" w:tplc="69BE0C7A">
      <w:start w:val="1"/>
      <w:numFmt w:val="decimal"/>
      <w:lvlText w:val="%4."/>
      <w:lvlJc w:val="left"/>
      <w:pPr>
        <w:ind w:left="2880" w:hanging="360"/>
      </w:pPr>
    </w:lvl>
    <w:lvl w:ilvl="4" w:tplc="21700826">
      <w:start w:val="1"/>
      <w:numFmt w:val="lowerLetter"/>
      <w:lvlText w:val="%5."/>
      <w:lvlJc w:val="left"/>
      <w:pPr>
        <w:ind w:left="3600" w:hanging="360"/>
      </w:pPr>
    </w:lvl>
    <w:lvl w:ilvl="5" w:tplc="EF88FA7A">
      <w:start w:val="1"/>
      <w:numFmt w:val="lowerRoman"/>
      <w:lvlText w:val="%6."/>
      <w:lvlJc w:val="right"/>
      <w:pPr>
        <w:ind w:left="4320" w:hanging="180"/>
      </w:pPr>
    </w:lvl>
    <w:lvl w:ilvl="6" w:tplc="D08ADAFA">
      <w:start w:val="1"/>
      <w:numFmt w:val="decimal"/>
      <w:lvlText w:val="%7."/>
      <w:lvlJc w:val="left"/>
      <w:pPr>
        <w:ind w:left="5040" w:hanging="360"/>
      </w:pPr>
    </w:lvl>
    <w:lvl w:ilvl="7" w:tplc="4E849082">
      <w:start w:val="1"/>
      <w:numFmt w:val="lowerLetter"/>
      <w:lvlText w:val="%8."/>
      <w:lvlJc w:val="left"/>
      <w:pPr>
        <w:ind w:left="5760" w:hanging="360"/>
      </w:pPr>
    </w:lvl>
    <w:lvl w:ilvl="8" w:tplc="4EDE266C">
      <w:start w:val="1"/>
      <w:numFmt w:val="lowerRoman"/>
      <w:lvlText w:val="%9."/>
      <w:lvlJc w:val="right"/>
      <w:pPr>
        <w:ind w:left="6480" w:hanging="180"/>
      </w:pPr>
    </w:lvl>
  </w:abstractNum>
  <w:abstractNum w:abstractNumId="152" w15:restartNumberingAfterBreak="0">
    <w:nsid w:val="7FFA59A5"/>
    <w:multiLevelType w:val="hybridMultilevel"/>
    <w:tmpl w:val="FFFFFFFF"/>
    <w:lvl w:ilvl="0" w:tplc="68120AD0">
      <w:start w:val="348"/>
      <w:numFmt w:val="decimal"/>
      <w:lvlText w:val="%1."/>
      <w:lvlJc w:val="left"/>
      <w:pPr>
        <w:ind w:left="720" w:hanging="360"/>
      </w:pPr>
    </w:lvl>
    <w:lvl w:ilvl="1" w:tplc="470ABCE4">
      <w:start w:val="1"/>
      <w:numFmt w:val="lowerLetter"/>
      <w:lvlText w:val="%2."/>
      <w:lvlJc w:val="left"/>
      <w:pPr>
        <w:ind w:left="1440" w:hanging="360"/>
      </w:pPr>
    </w:lvl>
    <w:lvl w:ilvl="2" w:tplc="21FE7858">
      <w:start w:val="1"/>
      <w:numFmt w:val="lowerRoman"/>
      <w:lvlText w:val="%3."/>
      <w:lvlJc w:val="right"/>
      <w:pPr>
        <w:ind w:left="2160" w:hanging="180"/>
      </w:pPr>
    </w:lvl>
    <w:lvl w:ilvl="3" w:tplc="53069604">
      <w:start w:val="1"/>
      <w:numFmt w:val="decimal"/>
      <w:lvlText w:val="%4."/>
      <w:lvlJc w:val="left"/>
      <w:pPr>
        <w:ind w:left="2880" w:hanging="360"/>
      </w:pPr>
    </w:lvl>
    <w:lvl w:ilvl="4" w:tplc="9C76D7BA">
      <w:start w:val="1"/>
      <w:numFmt w:val="lowerLetter"/>
      <w:lvlText w:val="%5."/>
      <w:lvlJc w:val="left"/>
      <w:pPr>
        <w:ind w:left="3600" w:hanging="360"/>
      </w:pPr>
    </w:lvl>
    <w:lvl w:ilvl="5" w:tplc="7AF69D3E">
      <w:start w:val="1"/>
      <w:numFmt w:val="lowerRoman"/>
      <w:lvlText w:val="%6."/>
      <w:lvlJc w:val="right"/>
      <w:pPr>
        <w:ind w:left="4320" w:hanging="180"/>
      </w:pPr>
    </w:lvl>
    <w:lvl w:ilvl="6" w:tplc="DF765EFA">
      <w:start w:val="1"/>
      <w:numFmt w:val="decimal"/>
      <w:lvlText w:val="%7."/>
      <w:lvlJc w:val="left"/>
      <w:pPr>
        <w:ind w:left="5040" w:hanging="360"/>
      </w:pPr>
    </w:lvl>
    <w:lvl w:ilvl="7" w:tplc="104EE7F6">
      <w:start w:val="1"/>
      <w:numFmt w:val="lowerLetter"/>
      <w:lvlText w:val="%8."/>
      <w:lvlJc w:val="left"/>
      <w:pPr>
        <w:ind w:left="5760" w:hanging="360"/>
      </w:pPr>
    </w:lvl>
    <w:lvl w:ilvl="8" w:tplc="664E332A">
      <w:start w:val="1"/>
      <w:numFmt w:val="lowerRoman"/>
      <w:lvlText w:val="%9."/>
      <w:lvlJc w:val="right"/>
      <w:pPr>
        <w:ind w:left="6480" w:hanging="180"/>
      </w:pPr>
    </w:lvl>
  </w:abstractNum>
  <w:num w:numId="1" w16cid:durableId="2007826575">
    <w:abstractNumId w:val="5"/>
  </w:num>
  <w:num w:numId="2" w16cid:durableId="1991016437">
    <w:abstractNumId w:val="4"/>
  </w:num>
  <w:num w:numId="3" w16cid:durableId="1759324336">
    <w:abstractNumId w:val="3"/>
  </w:num>
  <w:num w:numId="4" w16cid:durableId="1251548307">
    <w:abstractNumId w:val="2"/>
  </w:num>
  <w:num w:numId="5" w16cid:durableId="179779217">
    <w:abstractNumId w:val="1"/>
  </w:num>
  <w:num w:numId="6" w16cid:durableId="429159005">
    <w:abstractNumId w:val="0"/>
  </w:num>
  <w:num w:numId="7" w16cid:durableId="438137593">
    <w:abstractNumId w:val="109"/>
  </w:num>
  <w:num w:numId="8" w16cid:durableId="1846162859">
    <w:abstractNumId w:val="117"/>
  </w:num>
  <w:num w:numId="9" w16cid:durableId="1814255207">
    <w:abstractNumId w:val="75"/>
  </w:num>
  <w:num w:numId="10" w16cid:durableId="822428911">
    <w:abstractNumId w:val="31"/>
  </w:num>
  <w:num w:numId="11" w16cid:durableId="408843661">
    <w:abstractNumId w:val="120"/>
  </w:num>
  <w:num w:numId="12" w16cid:durableId="893353902">
    <w:abstractNumId w:val="128"/>
  </w:num>
  <w:num w:numId="13" w16cid:durableId="1825316837">
    <w:abstractNumId w:val="134"/>
  </w:num>
  <w:num w:numId="14" w16cid:durableId="131145276">
    <w:abstractNumId w:val="11"/>
  </w:num>
  <w:num w:numId="15" w16cid:durableId="1442726525">
    <w:abstractNumId w:val="67"/>
  </w:num>
  <w:num w:numId="16" w16cid:durableId="1786538548">
    <w:abstractNumId w:val="144"/>
  </w:num>
  <w:num w:numId="17" w16cid:durableId="1324356533">
    <w:abstractNumId w:val="130"/>
  </w:num>
  <w:num w:numId="18" w16cid:durableId="1211695732">
    <w:abstractNumId w:val="90"/>
  </w:num>
  <w:num w:numId="19" w16cid:durableId="1973899624">
    <w:abstractNumId w:val="68"/>
  </w:num>
  <w:num w:numId="20" w16cid:durableId="1732074626">
    <w:abstractNumId w:val="18"/>
  </w:num>
  <w:num w:numId="21" w16cid:durableId="835536542">
    <w:abstractNumId w:val="9"/>
  </w:num>
  <w:num w:numId="22" w16cid:durableId="1919633209">
    <w:abstractNumId w:val="145"/>
  </w:num>
  <w:num w:numId="23" w16cid:durableId="827208982">
    <w:abstractNumId w:val="122"/>
  </w:num>
  <w:num w:numId="24" w16cid:durableId="1983386153">
    <w:abstractNumId w:val="104"/>
  </w:num>
  <w:num w:numId="25" w16cid:durableId="817112261">
    <w:abstractNumId w:val="8"/>
  </w:num>
  <w:num w:numId="26" w16cid:durableId="181752164">
    <w:abstractNumId w:val="114"/>
  </w:num>
  <w:num w:numId="27" w16cid:durableId="1242446404">
    <w:abstractNumId w:val="40"/>
  </w:num>
  <w:num w:numId="28" w16cid:durableId="1800565138">
    <w:abstractNumId w:val="143"/>
    <w:lvlOverride w:ilvl="0">
      <w:startOverride w:val="488"/>
    </w:lvlOverride>
  </w:num>
  <w:num w:numId="29" w16cid:durableId="2130052947">
    <w:abstractNumId w:val="147"/>
  </w:num>
  <w:num w:numId="30" w16cid:durableId="1068311524">
    <w:abstractNumId w:val="129"/>
  </w:num>
  <w:num w:numId="31" w16cid:durableId="193227840">
    <w:abstractNumId w:val="102"/>
  </w:num>
  <w:num w:numId="32" w16cid:durableId="2067606493">
    <w:abstractNumId w:val="147"/>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4050079">
    <w:abstractNumId w:val="111"/>
  </w:num>
  <w:num w:numId="34" w16cid:durableId="1219899533">
    <w:abstractNumId w:val="71"/>
  </w:num>
  <w:num w:numId="35" w16cid:durableId="262417567">
    <w:abstractNumId w:val="23"/>
  </w:num>
  <w:num w:numId="36" w16cid:durableId="1508473590">
    <w:abstractNumId w:val="135"/>
  </w:num>
  <w:num w:numId="37" w16cid:durableId="1299262460">
    <w:abstractNumId w:val="41"/>
  </w:num>
  <w:num w:numId="38" w16cid:durableId="1964800894">
    <w:abstractNumId w:val="49"/>
  </w:num>
  <w:num w:numId="39" w16cid:durableId="1509060863">
    <w:abstractNumId w:val="82"/>
  </w:num>
  <w:num w:numId="40" w16cid:durableId="1362585398">
    <w:abstractNumId w:val="137"/>
  </w:num>
  <w:num w:numId="41" w16cid:durableId="906259190">
    <w:abstractNumId w:val="72"/>
  </w:num>
  <w:num w:numId="42" w16cid:durableId="1390491198">
    <w:abstractNumId w:val="141"/>
  </w:num>
  <w:num w:numId="43" w16cid:durableId="1783067501">
    <w:abstractNumId w:val="124"/>
  </w:num>
  <w:num w:numId="44" w16cid:durableId="913274997">
    <w:abstractNumId w:val="14"/>
  </w:num>
  <w:num w:numId="45" w16cid:durableId="1888569620">
    <w:abstractNumId w:val="131"/>
  </w:num>
  <w:num w:numId="46" w16cid:durableId="1993630587">
    <w:abstractNumId w:val="7"/>
  </w:num>
  <w:num w:numId="47" w16cid:durableId="756944670">
    <w:abstractNumId w:val="86"/>
  </w:num>
  <w:num w:numId="48" w16cid:durableId="1060129333">
    <w:abstractNumId w:val="55"/>
  </w:num>
  <w:num w:numId="49" w16cid:durableId="423959423">
    <w:abstractNumId w:val="99"/>
  </w:num>
  <w:num w:numId="50" w16cid:durableId="1845902514">
    <w:abstractNumId w:val="35"/>
  </w:num>
  <w:num w:numId="51" w16cid:durableId="67728181">
    <w:abstractNumId w:val="87"/>
  </w:num>
  <w:num w:numId="52" w16cid:durableId="3552172">
    <w:abstractNumId w:val="96"/>
  </w:num>
  <w:num w:numId="53" w16cid:durableId="1642154957">
    <w:abstractNumId w:val="105"/>
  </w:num>
  <w:num w:numId="54" w16cid:durableId="1315455447">
    <w:abstractNumId w:val="115"/>
  </w:num>
  <w:num w:numId="55" w16cid:durableId="929193660">
    <w:abstractNumId w:val="101"/>
  </w:num>
  <w:num w:numId="56" w16cid:durableId="148863410">
    <w:abstractNumId w:val="112"/>
  </w:num>
  <w:num w:numId="57" w16cid:durableId="447629071">
    <w:abstractNumId w:val="127"/>
  </w:num>
  <w:num w:numId="58" w16cid:durableId="857233449">
    <w:abstractNumId w:val="19"/>
  </w:num>
  <w:num w:numId="59" w16cid:durableId="965505253">
    <w:abstractNumId w:val="6"/>
  </w:num>
  <w:num w:numId="60" w16cid:durableId="307905207">
    <w:abstractNumId w:val="79"/>
  </w:num>
  <w:num w:numId="61" w16cid:durableId="24140907">
    <w:abstractNumId w:val="142"/>
  </w:num>
  <w:num w:numId="62" w16cid:durableId="892081272">
    <w:abstractNumId w:val="30"/>
  </w:num>
  <w:num w:numId="63" w16cid:durableId="1899395285">
    <w:abstractNumId w:val="73"/>
  </w:num>
  <w:num w:numId="64" w16cid:durableId="1679579345">
    <w:abstractNumId w:val="147"/>
  </w:num>
  <w:num w:numId="65" w16cid:durableId="741374325">
    <w:abstractNumId w:val="28"/>
  </w:num>
  <w:num w:numId="66" w16cid:durableId="1701123100">
    <w:abstractNumId w:val="13"/>
  </w:num>
  <w:num w:numId="67" w16cid:durableId="634262700">
    <w:abstractNumId w:val="92"/>
    <w:lvlOverride w:ilvl="0">
      <w:startOverride w:val="1"/>
    </w:lvlOverride>
    <w:lvlOverride w:ilvl="1"/>
    <w:lvlOverride w:ilvl="2"/>
    <w:lvlOverride w:ilvl="3"/>
    <w:lvlOverride w:ilvl="4"/>
    <w:lvlOverride w:ilvl="5"/>
    <w:lvlOverride w:ilvl="6"/>
    <w:lvlOverride w:ilvl="7"/>
    <w:lvlOverride w:ilvl="8"/>
  </w:num>
  <w:num w:numId="68" w16cid:durableId="288824807">
    <w:abstractNumId w:val="51"/>
  </w:num>
  <w:num w:numId="69" w16cid:durableId="443692377">
    <w:abstractNumId w:val="70"/>
  </w:num>
  <w:num w:numId="70" w16cid:durableId="530534611">
    <w:abstractNumId w:val="69"/>
  </w:num>
  <w:num w:numId="71" w16cid:durableId="192157972">
    <w:abstractNumId w:val="15"/>
  </w:num>
  <w:num w:numId="72" w16cid:durableId="863594402">
    <w:abstractNumId w:val="88"/>
  </w:num>
  <w:num w:numId="73" w16cid:durableId="1982342424">
    <w:abstractNumId w:val="146"/>
  </w:num>
  <w:num w:numId="74" w16cid:durableId="1429425335">
    <w:abstractNumId w:val="77"/>
  </w:num>
  <w:num w:numId="75" w16cid:durableId="428350973">
    <w:abstractNumId w:val="150"/>
  </w:num>
  <w:num w:numId="76" w16cid:durableId="1474981206">
    <w:abstractNumId w:val="74"/>
  </w:num>
  <w:num w:numId="77" w16cid:durableId="432477212">
    <w:abstractNumId w:val="133"/>
  </w:num>
  <w:num w:numId="78" w16cid:durableId="1019156782">
    <w:abstractNumId w:val="25"/>
  </w:num>
  <w:num w:numId="79" w16cid:durableId="218982515">
    <w:abstractNumId w:val="48"/>
  </w:num>
  <w:num w:numId="80" w16cid:durableId="951934803">
    <w:abstractNumId w:val="59"/>
  </w:num>
  <w:num w:numId="81" w16cid:durableId="1423408005">
    <w:abstractNumId w:val="50"/>
  </w:num>
  <w:num w:numId="82" w16cid:durableId="1307079304">
    <w:abstractNumId w:val="136"/>
  </w:num>
  <w:num w:numId="83" w16cid:durableId="1635139621">
    <w:abstractNumId w:val="108"/>
  </w:num>
  <w:num w:numId="84" w16cid:durableId="180097410">
    <w:abstractNumId w:val="91"/>
  </w:num>
  <w:num w:numId="85" w16cid:durableId="1124427714">
    <w:abstractNumId w:val="47"/>
  </w:num>
  <w:num w:numId="86" w16cid:durableId="1998799387">
    <w:abstractNumId w:val="89"/>
  </w:num>
  <w:num w:numId="87" w16cid:durableId="442463683">
    <w:abstractNumId w:val="27"/>
  </w:num>
  <w:num w:numId="88" w16cid:durableId="841048020">
    <w:abstractNumId w:val="123"/>
  </w:num>
  <w:num w:numId="89" w16cid:durableId="352415132">
    <w:abstractNumId w:val="148"/>
  </w:num>
  <w:num w:numId="90" w16cid:durableId="154537963">
    <w:abstractNumId w:val="140"/>
  </w:num>
  <w:num w:numId="91" w16cid:durableId="197133743">
    <w:abstractNumId w:val="78"/>
  </w:num>
  <w:num w:numId="92" w16cid:durableId="1474832699">
    <w:abstractNumId w:val="151"/>
  </w:num>
  <w:num w:numId="93" w16cid:durableId="814251355">
    <w:abstractNumId w:val="26"/>
  </w:num>
  <w:num w:numId="94" w16cid:durableId="1466770996">
    <w:abstractNumId w:val="37"/>
  </w:num>
  <w:num w:numId="95" w16cid:durableId="346950221">
    <w:abstractNumId w:val="33"/>
  </w:num>
  <w:num w:numId="96" w16cid:durableId="805129186">
    <w:abstractNumId w:val="21"/>
  </w:num>
  <w:num w:numId="97" w16cid:durableId="136844688">
    <w:abstractNumId w:val="58"/>
  </w:num>
  <w:num w:numId="98" w16cid:durableId="1145926257">
    <w:abstractNumId w:val="56"/>
  </w:num>
  <w:num w:numId="99" w16cid:durableId="981034224">
    <w:abstractNumId w:val="152"/>
  </w:num>
  <w:num w:numId="100" w16cid:durableId="1549956252">
    <w:abstractNumId w:val="126"/>
  </w:num>
  <w:num w:numId="101" w16cid:durableId="501168450">
    <w:abstractNumId w:val="61"/>
  </w:num>
  <w:num w:numId="102" w16cid:durableId="365520889">
    <w:abstractNumId w:val="95"/>
  </w:num>
  <w:num w:numId="103" w16cid:durableId="260723142">
    <w:abstractNumId w:val="36"/>
  </w:num>
  <w:num w:numId="104" w16cid:durableId="343671577">
    <w:abstractNumId w:val="149"/>
  </w:num>
  <w:num w:numId="105" w16cid:durableId="37441936">
    <w:abstractNumId w:val="34"/>
  </w:num>
  <w:num w:numId="106" w16cid:durableId="876702745">
    <w:abstractNumId w:val="12"/>
  </w:num>
  <w:num w:numId="107" w16cid:durableId="258022482">
    <w:abstractNumId w:val="65"/>
  </w:num>
  <w:num w:numId="108" w16cid:durableId="1836411899">
    <w:abstractNumId w:val="100"/>
  </w:num>
  <w:num w:numId="109" w16cid:durableId="814225193">
    <w:abstractNumId w:val="66"/>
  </w:num>
  <w:num w:numId="110" w16cid:durableId="9457418">
    <w:abstractNumId w:val="53"/>
  </w:num>
  <w:num w:numId="111" w16cid:durableId="540822976">
    <w:abstractNumId w:val="138"/>
  </w:num>
  <w:num w:numId="112" w16cid:durableId="641346389">
    <w:abstractNumId w:val="20"/>
  </w:num>
  <w:num w:numId="113" w16cid:durableId="1431120309">
    <w:abstractNumId w:val="80"/>
  </w:num>
  <w:num w:numId="114" w16cid:durableId="233128555">
    <w:abstractNumId w:val="116"/>
  </w:num>
  <w:num w:numId="115" w16cid:durableId="800271573">
    <w:abstractNumId w:val="57"/>
  </w:num>
  <w:num w:numId="116" w16cid:durableId="1448354789">
    <w:abstractNumId w:val="113"/>
  </w:num>
  <w:num w:numId="117" w16cid:durableId="62993072">
    <w:abstractNumId w:val="42"/>
  </w:num>
  <w:num w:numId="118" w16cid:durableId="1903558822">
    <w:abstractNumId w:val="17"/>
  </w:num>
  <w:num w:numId="119" w16cid:durableId="200436861">
    <w:abstractNumId w:val="107"/>
  </w:num>
  <w:num w:numId="120" w16cid:durableId="161625176">
    <w:abstractNumId w:val="52"/>
  </w:num>
  <w:num w:numId="121" w16cid:durableId="889999354">
    <w:abstractNumId w:val="106"/>
  </w:num>
  <w:num w:numId="122" w16cid:durableId="69426658">
    <w:abstractNumId w:val="121"/>
  </w:num>
  <w:num w:numId="123" w16cid:durableId="1261181191">
    <w:abstractNumId w:val="16"/>
  </w:num>
  <w:num w:numId="124" w16cid:durableId="408581869">
    <w:abstractNumId w:val="85"/>
  </w:num>
  <w:num w:numId="125" w16cid:durableId="111294349">
    <w:abstractNumId w:val="103"/>
  </w:num>
  <w:num w:numId="126" w16cid:durableId="807479575">
    <w:abstractNumId w:val="94"/>
  </w:num>
  <w:num w:numId="127" w16cid:durableId="64766369">
    <w:abstractNumId w:val="63"/>
  </w:num>
  <w:num w:numId="128" w16cid:durableId="255598953">
    <w:abstractNumId w:val="119"/>
  </w:num>
  <w:num w:numId="129" w16cid:durableId="1675110936">
    <w:abstractNumId w:val="84"/>
  </w:num>
  <w:num w:numId="130" w16cid:durableId="601257476">
    <w:abstractNumId w:val="60"/>
  </w:num>
  <w:num w:numId="131" w16cid:durableId="980378842">
    <w:abstractNumId w:val="98"/>
  </w:num>
  <w:num w:numId="132" w16cid:durableId="2032415854">
    <w:abstractNumId w:val="29"/>
  </w:num>
  <w:num w:numId="133" w16cid:durableId="2049645322">
    <w:abstractNumId w:val="46"/>
  </w:num>
  <w:num w:numId="134" w16cid:durableId="1660499145">
    <w:abstractNumId w:val="43"/>
  </w:num>
  <w:num w:numId="135" w16cid:durableId="1875196416">
    <w:abstractNumId w:val="64"/>
  </w:num>
  <w:num w:numId="136" w16cid:durableId="2063017539">
    <w:abstractNumId w:val="24"/>
  </w:num>
  <w:num w:numId="137" w16cid:durableId="2038197115">
    <w:abstractNumId w:val="97"/>
  </w:num>
  <w:num w:numId="138" w16cid:durableId="1406802319">
    <w:abstractNumId w:val="76"/>
  </w:num>
  <w:num w:numId="139" w16cid:durableId="1541160449">
    <w:abstractNumId w:val="125"/>
  </w:num>
  <w:num w:numId="140" w16cid:durableId="366419455">
    <w:abstractNumId w:val="38"/>
  </w:num>
  <w:num w:numId="141" w16cid:durableId="1695573163">
    <w:abstractNumId w:val="39"/>
  </w:num>
  <w:num w:numId="142" w16cid:durableId="1633944397">
    <w:abstractNumId w:val="110"/>
  </w:num>
  <w:num w:numId="143" w16cid:durableId="251478736">
    <w:abstractNumId w:val="132"/>
  </w:num>
  <w:num w:numId="144" w16cid:durableId="924192847">
    <w:abstractNumId w:val="54"/>
  </w:num>
  <w:num w:numId="145" w16cid:durableId="1121460479">
    <w:abstractNumId w:val="45"/>
  </w:num>
  <w:num w:numId="146" w16cid:durableId="292249183">
    <w:abstractNumId w:val="139"/>
  </w:num>
  <w:num w:numId="147" w16cid:durableId="1504272067">
    <w:abstractNumId w:val="83"/>
  </w:num>
  <w:num w:numId="148" w16cid:durableId="243995209">
    <w:abstractNumId w:val="22"/>
  </w:num>
  <w:num w:numId="149" w16cid:durableId="1264875382">
    <w:abstractNumId w:val="10"/>
  </w:num>
  <w:num w:numId="150" w16cid:durableId="1002663039">
    <w:abstractNumId w:val="62"/>
  </w:num>
  <w:num w:numId="151" w16cid:durableId="403722075">
    <w:abstractNumId w:val="147"/>
  </w:num>
  <w:num w:numId="152" w16cid:durableId="406270996">
    <w:abstractNumId w:val="147"/>
  </w:num>
  <w:num w:numId="153" w16cid:durableId="554124352">
    <w:abstractNumId w:val="147"/>
  </w:num>
  <w:num w:numId="154" w16cid:durableId="1545023107">
    <w:abstractNumId w:val="147"/>
  </w:num>
  <w:num w:numId="155" w16cid:durableId="237176025">
    <w:abstractNumId w:val="81"/>
  </w:num>
  <w:num w:numId="156" w16cid:durableId="1006320934">
    <w:abstractNumId w:val="44"/>
  </w:num>
  <w:num w:numId="157" w16cid:durableId="676156249">
    <w:abstractNumId w:val="147"/>
  </w:num>
  <w:num w:numId="158" w16cid:durableId="900024428">
    <w:abstractNumId w:val="147"/>
  </w:num>
  <w:num w:numId="159" w16cid:durableId="1039209463">
    <w:abstractNumId w:val="32"/>
  </w:num>
  <w:num w:numId="160" w16cid:durableId="1466972346">
    <w:abstractNumId w:val="93"/>
  </w:num>
  <w:num w:numId="161" w16cid:durableId="1513493390">
    <w:abstractNumId w:val="118"/>
  </w:num>
  <w:num w:numId="162" w16cid:durableId="810757475">
    <w:abstractNumId w:val="14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2BA"/>
    <w:rsid w:val="00000049"/>
    <w:rsid w:val="0000009C"/>
    <w:rsid w:val="0000013C"/>
    <w:rsid w:val="00000316"/>
    <w:rsid w:val="00000464"/>
    <w:rsid w:val="0000049C"/>
    <w:rsid w:val="0000063B"/>
    <w:rsid w:val="000006A0"/>
    <w:rsid w:val="000006D8"/>
    <w:rsid w:val="0000077B"/>
    <w:rsid w:val="00000935"/>
    <w:rsid w:val="00000976"/>
    <w:rsid w:val="00000AE4"/>
    <w:rsid w:val="00000B07"/>
    <w:rsid w:val="00000B30"/>
    <w:rsid w:val="00000B78"/>
    <w:rsid w:val="00000B7B"/>
    <w:rsid w:val="00000BA6"/>
    <w:rsid w:val="00000C83"/>
    <w:rsid w:val="00000DC7"/>
    <w:rsid w:val="00000ED4"/>
    <w:rsid w:val="00001156"/>
    <w:rsid w:val="000013EF"/>
    <w:rsid w:val="00001410"/>
    <w:rsid w:val="00001563"/>
    <w:rsid w:val="0000161D"/>
    <w:rsid w:val="00001696"/>
    <w:rsid w:val="000016C2"/>
    <w:rsid w:val="000016F7"/>
    <w:rsid w:val="0000187B"/>
    <w:rsid w:val="00001966"/>
    <w:rsid w:val="000019E5"/>
    <w:rsid w:val="00001AC1"/>
    <w:rsid w:val="00001B61"/>
    <w:rsid w:val="00001C5C"/>
    <w:rsid w:val="00001CC8"/>
    <w:rsid w:val="00001CE8"/>
    <w:rsid w:val="00001D1A"/>
    <w:rsid w:val="00001D46"/>
    <w:rsid w:val="000020F0"/>
    <w:rsid w:val="000020F4"/>
    <w:rsid w:val="00002287"/>
    <w:rsid w:val="00002341"/>
    <w:rsid w:val="0000234A"/>
    <w:rsid w:val="00002382"/>
    <w:rsid w:val="000024B9"/>
    <w:rsid w:val="0000263C"/>
    <w:rsid w:val="000026F3"/>
    <w:rsid w:val="0000274B"/>
    <w:rsid w:val="00002773"/>
    <w:rsid w:val="00002A18"/>
    <w:rsid w:val="00002B1A"/>
    <w:rsid w:val="00002B29"/>
    <w:rsid w:val="00002BC1"/>
    <w:rsid w:val="00002C7D"/>
    <w:rsid w:val="00002C7F"/>
    <w:rsid w:val="00002C80"/>
    <w:rsid w:val="00002C9A"/>
    <w:rsid w:val="0000311E"/>
    <w:rsid w:val="000031E1"/>
    <w:rsid w:val="000032A4"/>
    <w:rsid w:val="000032B3"/>
    <w:rsid w:val="00003360"/>
    <w:rsid w:val="00003477"/>
    <w:rsid w:val="000034A5"/>
    <w:rsid w:val="00003599"/>
    <w:rsid w:val="0000359C"/>
    <w:rsid w:val="000036BF"/>
    <w:rsid w:val="00003763"/>
    <w:rsid w:val="000037BB"/>
    <w:rsid w:val="0000388E"/>
    <w:rsid w:val="0000389E"/>
    <w:rsid w:val="000038C5"/>
    <w:rsid w:val="00003A82"/>
    <w:rsid w:val="00003B78"/>
    <w:rsid w:val="00003B9B"/>
    <w:rsid w:val="00003BE3"/>
    <w:rsid w:val="00003C4C"/>
    <w:rsid w:val="00003DD7"/>
    <w:rsid w:val="00003F7C"/>
    <w:rsid w:val="00003FC7"/>
    <w:rsid w:val="0000441C"/>
    <w:rsid w:val="0000467E"/>
    <w:rsid w:val="00004798"/>
    <w:rsid w:val="000048A6"/>
    <w:rsid w:val="000048EF"/>
    <w:rsid w:val="00004A3C"/>
    <w:rsid w:val="00004A90"/>
    <w:rsid w:val="00004A97"/>
    <w:rsid w:val="00004B7E"/>
    <w:rsid w:val="00004BC6"/>
    <w:rsid w:val="00004CB3"/>
    <w:rsid w:val="00004D13"/>
    <w:rsid w:val="00004E8C"/>
    <w:rsid w:val="00004F32"/>
    <w:rsid w:val="00004F44"/>
    <w:rsid w:val="00004FF7"/>
    <w:rsid w:val="000050D3"/>
    <w:rsid w:val="00005209"/>
    <w:rsid w:val="00005235"/>
    <w:rsid w:val="000052B5"/>
    <w:rsid w:val="000052CC"/>
    <w:rsid w:val="00005385"/>
    <w:rsid w:val="00005433"/>
    <w:rsid w:val="000055D6"/>
    <w:rsid w:val="00005682"/>
    <w:rsid w:val="00005712"/>
    <w:rsid w:val="00005716"/>
    <w:rsid w:val="00005739"/>
    <w:rsid w:val="00005815"/>
    <w:rsid w:val="000058A6"/>
    <w:rsid w:val="00005918"/>
    <w:rsid w:val="00005919"/>
    <w:rsid w:val="0000599A"/>
    <w:rsid w:val="000059D4"/>
    <w:rsid w:val="00005A2B"/>
    <w:rsid w:val="00005ADD"/>
    <w:rsid w:val="00005BE7"/>
    <w:rsid w:val="00005BEC"/>
    <w:rsid w:val="00005E1D"/>
    <w:rsid w:val="00005EA7"/>
    <w:rsid w:val="00005F0B"/>
    <w:rsid w:val="00005FB0"/>
    <w:rsid w:val="0000623B"/>
    <w:rsid w:val="00006348"/>
    <w:rsid w:val="00006353"/>
    <w:rsid w:val="000063F4"/>
    <w:rsid w:val="00006498"/>
    <w:rsid w:val="00006523"/>
    <w:rsid w:val="0000681A"/>
    <w:rsid w:val="0000695B"/>
    <w:rsid w:val="00006991"/>
    <w:rsid w:val="00006ABD"/>
    <w:rsid w:val="00006B0B"/>
    <w:rsid w:val="00006C26"/>
    <w:rsid w:val="00006CAF"/>
    <w:rsid w:val="00006CBB"/>
    <w:rsid w:val="00006D0E"/>
    <w:rsid w:val="00006D6B"/>
    <w:rsid w:val="000070D4"/>
    <w:rsid w:val="000071E0"/>
    <w:rsid w:val="00007368"/>
    <w:rsid w:val="000073B7"/>
    <w:rsid w:val="0000749B"/>
    <w:rsid w:val="00007551"/>
    <w:rsid w:val="00007678"/>
    <w:rsid w:val="000076F9"/>
    <w:rsid w:val="00007757"/>
    <w:rsid w:val="00007802"/>
    <w:rsid w:val="00007809"/>
    <w:rsid w:val="00007829"/>
    <w:rsid w:val="0000782F"/>
    <w:rsid w:val="00007848"/>
    <w:rsid w:val="00007BC3"/>
    <w:rsid w:val="00007C42"/>
    <w:rsid w:val="00007CCF"/>
    <w:rsid w:val="00007EAE"/>
    <w:rsid w:val="00007F40"/>
    <w:rsid w:val="000100E1"/>
    <w:rsid w:val="00010149"/>
    <w:rsid w:val="000103AD"/>
    <w:rsid w:val="0001042D"/>
    <w:rsid w:val="00010486"/>
    <w:rsid w:val="00010642"/>
    <w:rsid w:val="00010651"/>
    <w:rsid w:val="00010825"/>
    <w:rsid w:val="00010A12"/>
    <w:rsid w:val="00010A3F"/>
    <w:rsid w:val="00010A44"/>
    <w:rsid w:val="00010A57"/>
    <w:rsid w:val="00010AF2"/>
    <w:rsid w:val="00010C45"/>
    <w:rsid w:val="00010D2B"/>
    <w:rsid w:val="00010D35"/>
    <w:rsid w:val="00010E42"/>
    <w:rsid w:val="00010E86"/>
    <w:rsid w:val="00011094"/>
    <w:rsid w:val="000112F2"/>
    <w:rsid w:val="0001131A"/>
    <w:rsid w:val="0001132E"/>
    <w:rsid w:val="00011352"/>
    <w:rsid w:val="00011485"/>
    <w:rsid w:val="000114A5"/>
    <w:rsid w:val="0001154B"/>
    <w:rsid w:val="0001158A"/>
    <w:rsid w:val="00011628"/>
    <w:rsid w:val="00011709"/>
    <w:rsid w:val="0001175F"/>
    <w:rsid w:val="000118B0"/>
    <w:rsid w:val="00011937"/>
    <w:rsid w:val="00011AE2"/>
    <w:rsid w:val="00011BB4"/>
    <w:rsid w:val="00011D5E"/>
    <w:rsid w:val="00011D6A"/>
    <w:rsid w:val="00011D8B"/>
    <w:rsid w:val="00011DEB"/>
    <w:rsid w:val="00011E7C"/>
    <w:rsid w:val="00011F15"/>
    <w:rsid w:val="00012039"/>
    <w:rsid w:val="00012173"/>
    <w:rsid w:val="000121AD"/>
    <w:rsid w:val="0001242D"/>
    <w:rsid w:val="0001277F"/>
    <w:rsid w:val="000127B5"/>
    <w:rsid w:val="000127E8"/>
    <w:rsid w:val="000128E4"/>
    <w:rsid w:val="000129BF"/>
    <w:rsid w:val="000129C2"/>
    <w:rsid w:val="00012A61"/>
    <w:rsid w:val="00012A77"/>
    <w:rsid w:val="00012A94"/>
    <w:rsid w:val="00012A9D"/>
    <w:rsid w:val="00012D37"/>
    <w:rsid w:val="00012DB3"/>
    <w:rsid w:val="00012DFC"/>
    <w:rsid w:val="00012E2A"/>
    <w:rsid w:val="00012FC7"/>
    <w:rsid w:val="00013072"/>
    <w:rsid w:val="00013144"/>
    <w:rsid w:val="000131A2"/>
    <w:rsid w:val="00013260"/>
    <w:rsid w:val="000132B7"/>
    <w:rsid w:val="00013507"/>
    <w:rsid w:val="00013538"/>
    <w:rsid w:val="0001357A"/>
    <w:rsid w:val="000135CB"/>
    <w:rsid w:val="00013872"/>
    <w:rsid w:val="00013888"/>
    <w:rsid w:val="000138E1"/>
    <w:rsid w:val="00013B3D"/>
    <w:rsid w:val="00013BDD"/>
    <w:rsid w:val="00013C0A"/>
    <w:rsid w:val="00013CCF"/>
    <w:rsid w:val="00013CFD"/>
    <w:rsid w:val="00013D7A"/>
    <w:rsid w:val="00013DE6"/>
    <w:rsid w:val="00013F1D"/>
    <w:rsid w:val="0001409C"/>
    <w:rsid w:val="00014216"/>
    <w:rsid w:val="00014221"/>
    <w:rsid w:val="000142D5"/>
    <w:rsid w:val="000142FB"/>
    <w:rsid w:val="00014485"/>
    <w:rsid w:val="000144BD"/>
    <w:rsid w:val="00014964"/>
    <w:rsid w:val="00014A20"/>
    <w:rsid w:val="00014B81"/>
    <w:rsid w:val="00014D1B"/>
    <w:rsid w:val="00014E37"/>
    <w:rsid w:val="00015020"/>
    <w:rsid w:val="000150F4"/>
    <w:rsid w:val="00015301"/>
    <w:rsid w:val="0001555C"/>
    <w:rsid w:val="00015830"/>
    <w:rsid w:val="000159B7"/>
    <w:rsid w:val="00015A54"/>
    <w:rsid w:val="00015A58"/>
    <w:rsid w:val="00015C29"/>
    <w:rsid w:val="00015C3F"/>
    <w:rsid w:val="00015E47"/>
    <w:rsid w:val="00015E6F"/>
    <w:rsid w:val="00016059"/>
    <w:rsid w:val="00016061"/>
    <w:rsid w:val="000160F7"/>
    <w:rsid w:val="0001610E"/>
    <w:rsid w:val="00016122"/>
    <w:rsid w:val="000161B7"/>
    <w:rsid w:val="000161FC"/>
    <w:rsid w:val="000163F7"/>
    <w:rsid w:val="0001642A"/>
    <w:rsid w:val="0001647B"/>
    <w:rsid w:val="000164DD"/>
    <w:rsid w:val="00016558"/>
    <w:rsid w:val="00016588"/>
    <w:rsid w:val="0001660F"/>
    <w:rsid w:val="00016626"/>
    <w:rsid w:val="00016645"/>
    <w:rsid w:val="0001675C"/>
    <w:rsid w:val="000167BC"/>
    <w:rsid w:val="0001685D"/>
    <w:rsid w:val="000168FA"/>
    <w:rsid w:val="000169E5"/>
    <w:rsid w:val="00016A8E"/>
    <w:rsid w:val="00016B66"/>
    <w:rsid w:val="00016CD4"/>
    <w:rsid w:val="00016D3F"/>
    <w:rsid w:val="00016E90"/>
    <w:rsid w:val="00017375"/>
    <w:rsid w:val="00017402"/>
    <w:rsid w:val="0001753E"/>
    <w:rsid w:val="00017545"/>
    <w:rsid w:val="00017556"/>
    <w:rsid w:val="000176B8"/>
    <w:rsid w:val="000177AD"/>
    <w:rsid w:val="000177CF"/>
    <w:rsid w:val="000178C4"/>
    <w:rsid w:val="000179A0"/>
    <w:rsid w:val="000179C6"/>
    <w:rsid w:val="00017BC6"/>
    <w:rsid w:val="00017C29"/>
    <w:rsid w:val="00017C65"/>
    <w:rsid w:val="00017DE9"/>
    <w:rsid w:val="00017E32"/>
    <w:rsid w:val="00017EBB"/>
    <w:rsid w:val="00017F65"/>
    <w:rsid w:val="00017F69"/>
    <w:rsid w:val="00017F81"/>
    <w:rsid w:val="00020010"/>
    <w:rsid w:val="00020025"/>
    <w:rsid w:val="000202D8"/>
    <w:rsid w:val="0002045C"/>
    <w:rsid w:val="000205E3"/>
    <w:rsid w:val="000206BD"/>
    <w:rsid w:val="00020708"/>
    <w:rsid w:val="00020744"/>
    <w:rsid w:val="00020759"/>
    <w:rsid w:val="0002078A"/>
    <w:rsid w:val="000208BB"/>
    <w:rsid w:val="000208D8"/>
    <w:rsid w:val="0002094C"/>
    <w:rsid w:val="00020A8F"/>
    <w:rsid w:val="00020ABD"/>
    <w:rsid w:val="00020AD5"/>
    <w:rsid w:val="00020BA9"/>
    <w:rsid w:val="00020BB4"/>
    <w:rsid w:val="00020BB8"/>
    <w:rsid w:val="00020C14"/>
    <w:rsid w:val="00020CA5"/>
    <w:rsid w:val="00020D2E"/>
    <w:rsid w:val="00020D2F"/>
    <w:rsid w:val="00020DA2"/>
    <w:rsid w:val="00020E0A"/>
    <w:rsid w:val="00020E3C"/>
    <w:rsid w:val="00020EE7"/>
    <w:rsid w:val="00020F34"/>
    <w:rsid w:val="00020F87"/>
    <w:rsid w:val="00021145"/>
    <w:rsid w:val="00021149"/>
    <w:rsid w:val="0002114C"/>
    <w:rsid w:val="000211B4"/>
    <w:rsid w:val="00021274"/>
    <w:rsid w:val="000212CC"/>
    <w:rsid w:val="0002153C"/>
    <w:rsid w:val="000216CD"/>
    <w:rsid w:val="00021706"/>
    <w:rsid w:val="000218B2"/>
    <w:rsid w:val="00021915"/>
    <w:rsid w:val="00021A25"/>
    <w:rsid w:val="00021BBB"/>
    <w:rsid w:val="00021C43"/>
    <w:rsid w:val="00021E96"/>
    <w:rsid w:val="00021F6E"/>
    <w:rsid w:val="00021F99"/>
    <w:rsid w:val="0002208C"/>
    <w:rsid w:val="000220B6"/>
    <w:rsid w:val="000221D4"/>
    <w:rsid w:val="00022282"/>
    <w:rsid w:val="00022323"/>
    <w:rsid w:val="000226C5"/>
    <w:rsid w:val="00022796"/>
    <w:rsid w:val="00022A65"/>
    <w:rsid w:val="00022B6C"/>
    <w:rsid w:val="00022C1D"/>
    <w:rsid w:val="00022E36"/>
    <w:rsid w:val="00022E93"/>
    <w:rsid w:val="00022EA3"/>
    <w:rsid w:val="00022EFA"/>
    <w:rsid w:val="0002308B"/>
    <w:rsid w:val="00023095"/>
    <w:rsid w:val="000231FA"/>
    <w:rsid w:val="000233E2"/>
    <w:rsid w:val="000233EC"/>
    <w:rsid w:val="000234B2"/>
    <w:rsid w:val="000234C5"/>
    <w:rsid w:val="00023510"/>
    <w:rsid w:val="0002355F"/>
    <w:rsid w:val="000235B1"/>
    <w:rsid w:val="000235E4"/>
    <w:rsid w:val="00023634"/>
    <w:rsid w:val="0002375B"/>
    <w:rsid w:val="0002379D"/>
    <w:rsid w:val="0002382B"/>
    <w:rsid w:val="0002386B"/>
    <w:rsid w:val="00023901"/>
    <w:rsid w:val="00023AE5"/>
    <w:rsid w:val="00023B45"/>
    <w:rsid w:val="00023BA1"/>
    <w:rsid w:val="00023D82"/>
    <w:rsid w:val="00023DBF"/>
    <w:rsid w:val="00023E0C"/>
    <w:rsid w:val="00023E4C"/>
    <w:rsid w:val="00023F6A"/>
    <w:rsid w:val="00023FE8"/>
    <w:rsid w:val="00024270"/>
    <w:rsid w:val="00024309"/>
    <w:rsid w:val="0002445E"/>
    <w:rsid w:val="00024525"/>
    <w:rsid w:val="0002466F"/>
    <w:rsid w:val="00024733"/>
    <w:rsid w:val="0002475A"/>
    <w:rsid w:val="000247D6"/>
    <w:rsid w:val="0002493A"/>
    <w:rsid w:val="00024BA2"/>
    <w:rsid w:val="00024D17"/>
    <w:rsid w:val="0002503E"/>
    <w:rsid w:val="000250AA"/>
    <w:rsid w:val="000251F0"/>
    <w:rsid w:val="000252F6"/>
    <w:rsid w:val="0002542A"/>
    <w:rsid w:val="0002545C"/>
    <w:rsid w:val="00025529"/>
    <w:rsid w:val="00025562"/>
    <w:rsid w:val="00025593"/>
    <w:rsid w:val="00025696"/>
    <w:rsid w:val="000256CB"/>
    <w:rsid w:val="00025765"/>
    <w:rsid w:val="00025837"/>
    <w:rsid w:val="00025896"/>
    <w:rsid w:val="00025979"/>
    <w:rsid w:val="00025E60"/>
    <w:rsid w:val="00025F35"/>
    <w:rsid w:val="00025F62"/>
    <w:rsid w:val="00025FC7"/>
    <w:rsid w:val="0002614A"/>
    <w:rsid w:val="000261BB"/>
    <w:rsid w:val="000261C7"/>
    <w:rsid w:val="00026321"/>
    <w:rsid w:val="00026322"/>
    <w:rsid w:val="00026346"/>
    <w:rsid w:val="00026360"/>
    <w:rsid w:val="000263F6"/>
    <w:rsid w:val="00026580"/>
    <w:rsid w:val="00026630"/>
    <w:rsid w:val="00026634"/>
    <w:rsid w:val="000266B3"/>
    <w:rsid w:val="0002697B"/>
    <w:rsid w:val="0002697D"/>
    <w:rsid w:val="000269EB"/>
    <w:rsid w:val="00026A55"/>
    <w:rsid w:val="00026CEE"/>
    <w:rsid w:val="00026D6E"/>
    <w:rsid w:val="00026EC2"/>
    <w:rsid w:val="00027041"/>
    <w:rsid w:val="00027079"/>
    <w:rsid w:val="0002711D"/>
    <w:rsid w:val="00027152"/>
    <w:rsid w:val="0002715A"/>
    <w:rsid w:val="0002719F"/>
    <w:rsid w:val="00027231"/>
    <w:rsid w:val="00027438"/>
    <w:rsid w:val="0002750A"/>
    <w:rsid w:val="00027539"/>
    <w:rsid w:val="00027554"/>
    <w:rsid w:val="00027692"/>
    <w:rsid w:val="000277E4"/>
    <w:rsid w:val="0002789E"/>
    <w:rsid w:val="00027ACB"/>
    <w:rsid w:val="00027B23"/>
    <w:rsid w:val="00027BBA"/>
    <w:rsid w:val="00027C43"/>
    <w:rsid w:val="00027FCE"/>
    <w:rsid w:val="000300A5"/>
    <w:rsid w:val="0003020D"/>
    <w:rsid w:val="00030302"/>
    <w:rsid w:val="00030313"/>
    <w:rsid w:val="00030461"/>
    <w:rsid w:val="0003046D"/>
    <w:rsid w:val="000304C0"/>
    <w:rsid w:val="000305A2"/>
    <w:rsid w:val="000306CB"/>
    <w:rsid w:val="0003072D"/>
    <w:rsid w:val="000307AC"/>
    <w:rsid w:val="000308C3"/>
    <w:rsid w:val="00030914"/>
    <w:rsid w:val="00030923"/>
    <w:rsid w:val="00030941"/>
    <w:rsid w:val="00030972"/>
    <w:rsid w:val="00030A18"/>
    <w:rsid w:val="00030C1C"/>
    <w:rsid w:val="00030C34"/>
    <w:rsid w:val="00030CCB"/>
    <w:rsid w:val="00030D69"/>
    <w:rsid w:val="00030E66"/>
    <w:rsid w:val="00030EDB"/>
    <w:rsid w:val="00030F03"/>
    <w:rsid w:val="00030FEA"/>
    <w:rsid w:val="0003138B"/>
    <w:rsid w:val="00031472"/>
    <w:rsid w:val="000314CB"/>
    <w:rsid w:val="000315A0"/>
    <w:rsid w:val="0003174A"/>
    <w:rsid w:val="00031781"/>
    <w:rsid w:val="0003182B"/>
    <w:rsid w:val="00031A19"/>
    <w:rsid w:val="00031B16"/>
    <w:rsid w:val="00031BA2"/>
    <w:rsid w:val="00031D0F"/>
    <w:rsid w:val="00031F42"/>
    <w:rsid w:val="00031F97"/>
    <w:rsid w:val="00031FF7"/>
    <w:rsid w:val="00032027"/>
    <w:rsid w:val="0003214E"/>
    <w:rsid w:val="00032230"/>
    <w:rsid w:val="00032303"/>
    <w:rsid w:val="000323D1"/>
    <w:rsid w:val="0003251F"/>
    <w:rsid w:val="0003264D"/>
    <w:rsid w:val="0003277C"/>
    <w:rsid w:val="000327B4"/>
    <w:rsid w:val="000327CB"/>
    <w:rsid w:val="000327FD"/>
    <w:rsid w:val="00032895"/>
    <w:rsid w:val="0003291B"/>
    <w:rsid w:val="00032965"/>
    <w:rsid w:val="00032BA9"/>
    <w:rsid w:val="00032C90"/>
    <w:rsid w:val="00032D5C"/>
    <w:rsid w:val="00032DCD"/>
    <w:rsid w:val="00032E36"/>
    <w:rsid w:val="00032E8E"/>
    <w:rsid w:val="000333FF"/>
    <w:rsid w:val="00033428"/>
    <w:rsid w:val="00033510"/>
    <w:rsid w:val="00033528"/>
    <w:rsid w:val="00033620"/>
    <w:rsid w:val="00033708"/>
    <w:rsid w:val="00033750"/>
    <w:rsid w:val="00033793"/>
    <w:rsid w:val="000337B5"/>
    <w:rsid w:val="000337F1"/>
    <w:rsid w:val="000339D2"/>
    <w:rsid w:val="00033AEA"/>
    <w:rsid w:val="00033BD2"/>
    <w:rsid w:val="00033C6D"/>
    <w:rsid w:val="00033D37"/>
    <w:rsid w:val="00033DD0"/>
    <w:rsid w:val="00033DE1"/>
    <w:rsid w:val="00033ED1"/>
    <w:rsid w:val="00033F8A"/>
    <w:rsid w:val="00033FD8"/>
    <w:rsid w:val="000341C2"/>
    <w:rsid w:val="00034240"/>
    <w:rsid w:val="00034262"/>
    <w:rsid w:val="0003426B"/>
    <w:rsid w:val="0003431F"/>
    <w:rsid w:val="00034454"/>
    <w:rsid w:val="0003452F"/>
    <w:rsid w:val="000345E0"/>
    <w:rsid w:val="00034673"/>
    <w:rsid w:val="00034675"/>
    <w:rsid w:val="00034895"/>
    <w:rsid w:val="00034953"/>
    <w:rsid w:val="00034AC9"/>
    <w:rsid w:val="00034D12"/>
    <w:rsid w:val="00034DAD"/>
    <w:rsid w:val="00034DCE"/>
    <w:rsid w:val="00034E4D"/>
    <w:rsid w:val="00034FB2"/>
    <w:rsid w:val="00034FEB"/>
    <w:rsid w:val="000350AF"/>
    <w:rsid w:val="00035108"/>
    <w:rsid w:val="00035313"/>
    <w:rsid w:val="000354BE"/>
    <w:rsid w:val="0003556E"/>
    <w:rsid w:val="0003577E"/>
    <w:rsid w:val="000358C4"/>
    <w:rsid w:val="00035A6D"/>
    <w:rsid w:val="00035AF3"/>
    <w:rsid w:val="00035FF1"/>
    <w:rsid w:val="00036204"/>
    <w:rsid w:val="000363D5"/>
    <w:rsid w:val="000363ED"/>
    <w:rsid w:val="000364E3"/>
    <w:rsid w:val="00036541"/>
    <w:rsid w:val="00036671"/>
    <w:rsid w:val="00036674"/>
    <w:rsid w:val="0003668F"/>
    <w:rsid w:val="000367D9"/>
    <w:rsid w:val="0003696F"/>
    <w:rsid w:val="00036B1D"/>
    <w:rsid w:val="00036BCF"/>
    <w:rsid w:val="00036BF2"/>
    <w:rsid w:val="00036C1E"/>
    <w:rsid w:val="00036C1F"/>
    <w:rsid w:val="00036C30"/>
    <w:rsid w:val="00036C99"/>
    <w:rsid w:val="00036D36"/>
    <w:rsid w:val="00036DE7"/>
    <w:rsid w:val="00037073"/>
    <w:rsid w:val="000370E9"/>
    <w:rsid w:val="000370FC"/>
    <w:rsid w:val="0003720E"/>
    <w:rsid w:val="00037226"/>
    <w:rsid w:val="000372FA"/>
    <w:rsid w:val="000373FF"/>
    <w:rsid w:val="00037499"/>
    <w:rsid w:val="000375EF"/>
    <w:rsid w:val="00037615"/>
    <w:rsid w:val="00037675"/>
    <w:rsid w:val="00037793"/>
    <w:rsid w:val="00037886"/>
    <w:rsid w:val="000378A0"/>
    <w:rsid w:val="00037985"/>
    <w:rsid w:val="00037A7D"/>
    <w:rsid w:val="00037AA2"/>
    <w:rsid w:val="00037AF8"/>
    <w:rsid w:val="00037BE1"/>
    <w:rsid w:val="00037C28"/>
    <w:rsid w:val="00037CAE"/>
    <w:rsid w:val="00037CE2"/>
    <w:rsid w:val="00037F39"/>
    <w:rsid w:val="0004024C"/>
    <w:rsid w:val="00040398"/>
    <w:rsid w:val="0004058B"/>
    <w:rsid w:val="000405FD"/>
    <w:rsid w:val="00040635"/>
    <w:rsid w:val="0004079B"/>
    <w:rsid w:val="000407AB"/>
    <w:rsid w:val="000409E2"/>
    <w:rsid w:val="00040A3D"/>
    <w:rsid w:val="00040DE2"/>
    <w:rsid w:val="00040DF1"/>
    <w:rsid w:val="00040E65"/>
    <w:rsid w:val="00040EC6"/>
    <w:rsid w:val="000411FB"/>
    <w:rsid w:val="000412B1"/>
    <w:rsid w:val="00041315"/>
    <w:rsid w:val="0004145F"/>
    <w:rsid w:val="0004149C"/>
    <w:rsid w:val="0004150D"/>
    <w:rsid w:val="00041577"/>
    <w:rsid w:val="000415CE"/>
    <w:rsid w:val="0004165B"/>
    <w:rsid w:val="0004169E"/>
    <w:rsid w:val="00041783"/>
    <w:rsid w:val="0004195B"/>
    <w:rsid w:val="00041986"/>
    <w:rsid w:val="00041AC8"/>
    <w:rsid w:val="00041C99"/>
    <w:rsid w:val="00041DC9"/>
    <w:rsid w:val="00041DDD"/>
    <w:rsid w:val="00041ED9"/>
    <w:rsid w:val="00041EEB"/>
    <w:rsid w:val="00041F5F"/>
    <w:rsid w:val="00042043"/>
    <w:rsid w:val="00042052"/>
    <w:rsid w:val="00042134"/>
    <w:rsid w:val="0004217A"/>
    <w:rsid w:val="000421A8"/>
    <w:rsid w:val="0004220B"/>
    <w:rsid w:val="00042241"/>
    <w:rsid w:val="0004255A"/>
    <w:rsid w:val="00042643"/>
    <w:rsid w:val="000426DF"/>
    <w:rsid w:val="000426FA"/>
    <w:rsid w:val="00042756"/>
    <w:rsid w:val="00042840"/>
    <w:rsid w:val="000428B3"/>
    <w:rsid w:val="00042926"/>
    <w:rsid w:val="00042A82"/>
    <w:rsid w:val="00042C82"/>
    <w:rsid w:val="00042CEE"/>
    <w:rsid w:val="00042E67"/>
    <w:rsid w:val="00042EA0"/>
    <w:rsid w:val="00042F4B"/>
    <w:rsid w:val="00043020"/>
    <w:rsid w:val="0004305B"/>
    <w:rsid w:val="0004326B"/>
    <w:rsid w:val="00043369"/>
    <w:rsid w:val="0004345F"/>
    <w:rsid w:val="000435C1"/>
    <w:rsid w:val="000435F0"/>
    <w:rsid w:val="00043655"/>
    <w:rsid w:val="00043A03"/>
    <w:rsid w:val="00043B46"/>
    <w:rsid w:val="00043BE9"/>
    <w:rsid w:val="00043C9E"/>
    <w:rsid w:val="00043EA4"/>
    <w:rsid w:val="00043EF9"/>
    <w:rsid w:val="0004425E"/>
    <w:rsid w:val="0004435D"/>
    <w:rsid w:val="00044512"/>
    <w:rsid w:val="000445A3"/>
    <w:rsid w:val="000446DA"/>
    <w:rsid w:val="000446E8"/>
    <w:rsid w:val="0004475F"/>
    <w:rsid w:val="000447C8"/>
    <w:rsid w:val="000447D3"/>
    <w:rsid w:val="00044AC2"/>
    <w:rsid w:val="00044B63"/>
    <w:rsid w:val="00044CC4"/>
    <w:rsid w:val="00044D18"/>
    <w:rsid w:val="00044DCD"/>
    <w:rsid w:val="00044E79"/>
    <w:rsid w:val="00044EA1"/>
    <w:rsid w:val="00044EFA"/>
    <w:rsid w:val="00044F39"/>
    <w:rsid w:val="00044FC2"/>
    <w:rsid w:val="00044FD6"/>
    <w:rsid w:val="0004503C"/>
    <w:rsid w:val="00045066"/>
    <w:rsid w:val="000450B0"/>
    <w:rsid w:val="00045246"/>
    <w:rsid w:val="000454DB"/>
    <w:rsid w:val="00045643"/>
    <w:rsid w:val="0004568B"/>
    <w:rsid w:val="000458F7"/>
    <w:rsid w:val="00045991"/>
    <w:rsid w:val="00045A43"/>
    <w:rsid w:val="00045A78"/>
    <w:rsid w:val="00045CB7"/>
    <w:rsid w:val="00045CFB"/>
    <w:rsid w:val="00045E04"/>
    <w:rsid w:val="00045EE2"/>
    <w:rsid w:val="00045F0D"/>
    <w:rsid w:val="00045F0F"/>
    <w:rsid w:val="00045FC7"/>
    <w:rsid w:val="00046083"/>
    <w:rsid w:val="00046121"/>
    <w:rsid w:val="00046173"/>
    <w:rsid w:val="00046187"/>
    <w:rsid w:val="00046256"/>
    <w:rsid w:val="0004627E"/>
    <w:rsid w:val="000462BC"/>
    <w:rsid w:val="0004631F"/>
    <w:rsid w:val="000463A9"/>
    <w:rsid w:val="0004648A"/>
    <w:rsid w:val="000466BB"/>
    <w:rsid w:val="00046703"/>
    <w:rsid w:val="0004679C"/>
    <w:rsid w:val="00046927"/>
    <w:rsid w:val="00046950"/>
    <w:rsid w:val="00046AB8"/>
    <w:rsid w:val="00046ADD"/>
    <w:rsid w:val="00046B32"/>
    <w:rsid w:val="00046BBC"/>
    <w:rsid w:val="00046CC8"/>
    <w:rsid w:val="00046D4D"/>
    <w:rsid w:val="00046D83"/>
    <w:rsid w:val="00046DEC"/>
    <w:rsid w:val="00046E77"/>
    <w:rsid w:val="00046EBE"/>
    <w:rsid w:val="0004714B"/>
    <w:rsid w:val="00047315"/>
    <w:rsid w:val="00047317"/>
    <w:rsid w:val="00047381"/>
    <w:rsid w:val="000473D1"/>
    <w:rsid w:val="0004746B"/>
    <w:rsid w:val="00047488"/>
    <w:rsid w:val="0004748D"/>
    <w:rsid w:val="00047612"/>
    <w:rsid w:val="000476B8"/>
    <w:rsid w:val="0004779B"/>
    <w:rsid w:val="000477C2"/>
    <w:rsid w:val="0004786C"/>
    <w:rsid w:val="00047CBC"/>
    <w:rsid w:val="00047D57"/>
    <w:rsid w:val="00047FD3"/>
    <w:rsid w:val="00047FF7"/>
    <w:rsid w:val="0005001A"/>
    <w:rsid w:val="0005008A"/>
    <w:rsid w:val="000500A5"/>
    <w:rsid w:val="000501D5"/>
    <w:rsid w:val="00050452"/>
    <w:rsid w:val="00050621"/>
    <w:rsid w:val="000507CB"/>
    <w:rsid w:val="000507FB"/>
    <w:rsid w:val="0005080E"/>
    <w:rsid w:val="00050835"/>
    <w:rsid w:val="0005083C"/>
    <w:rsid w:val="00050A04"/>
    <w:rsid w:val="00050A38"/>
    <w:rsid w:val="00050A56"/>
    <w:rsid w:val="00050B48"/>
    <w:rsid w:val="00050BA2"/>
    <w:rsid w:val="00050CC7"/>
    <w:rsid w:val="00050D18"/>
    <w:rsid w:val="00050D24"/>
    <w:rsid w:val="00050D3E"/>
    <w:rsid w:val="00050E90"/>
    <w:rsid w:val="00050E97"/>
    <w:rsid w:val="0005127C"/>
    <w:rsid w:val="0005128E"/>
    <w:rsid w:val="000512E2"/>
    <w:rsid w:val="00051346"/>
    <w:rsid w:val="00051357"/>
    <w:rsid w:val="00051431"/>
    <w:rsid w:val="00051479"/>
    <w:rsid w:val="000514F0"/>
    <w:rsid w:val="00051584"/>
    <w:rsid w:val="000515EF"/>
    <w:rsid w:val="0005178D"/>
    <w:rsid w:val="000517DA"/>
    <w:rsid w:val="00051876"/>
    <w:rsid w:val="00051977"/>
    <w:rsid w:val="00051AAD"/>
    <w:rsid w:val="00051B6B"/>
    <w:rsid w:val="00051BEE"/>
    <w:rsid w:val="00051C9F"/>
    <w:rsid w:val="00051E0C"/>
    <w:rsid w:val="00051F3C"/>
    <w:rsid w:val="00051FEF"/>
    <w:rsid w:val="00052074"/>
    <w:rsid w:val="000520B3"/>
    <w:rsid w:val="000520B6"/>
    <w:rsid w:val="000521C0"/>
    <w:rsid w:val="00052206"/>
    <w:rsid w:val="00052555"/>
    <w:rsid w:val="000525A7"/>
    <w:rsid w:val="0005262B"/>
    <w:rsid w:val="0005265B"/>
    <w:rsid w:val="000526FE"/>
    <w:rsid w:val="00052761"/>
    <w:rsid w:val="00052772"/>
    <w:rsid w:val="00052840"/>
    <w:rsid w:val="000528C8"/>
    <w:rsid w:val="000528C9"/>
    <w:rsid w:val="00052947"/>
    <w:rsid w:val="00052B0F"/>
    <w:rsid w:val="00052B12"/>
    <w:rsid w:val="00052C45"/>
    <w:rsid w:val="00052C81"/>
    <w:rsid w:val="00052CE9"/>
    <w:rsid w:val="00052DBC"/>
    <w:rsid w:val="00052DD4"/>
    <w:rsid w:val="00052EFB"/>
    <w:rsid w:val="00052F14"/>
    <w:rsid w:val="00052F55"/>
    <w:rsid w:val="00052FBE"/>
    <w:rsid w:val="00053001"/>
    <w:rsid w:val="0005317C"/>
    <w:rsid w:val="0005348A"/>
    <w:rsid w:val="0005349C"/>
    <w:rsid w:val="00053647"/>
    <w:rsid w:val="000536F7"/>
    <w:rsid w:val="00053729"/>
    <w:rsid w:val="000538FB"/>
    <w:rsid w:val="0005392A"/>
    <w:rsid w:val="00053964"/>
    <w:rsid w:val="000539DF"/>
    <w:rsid w:val="00053B5B"/>
    <w:rsid w:val="00053B60"/>
    <w:rsid w:val="00053B78"/>
    <w:rsid w:val="00053CF3"/>
    <w:rsid w:val="00053DF8"/>
    <w:rsid w:val="00053FEB"/>
    <w:rsid w:val="0005402A"/>
    <w:rsid w:val="000541A7"/>
    <w:rsid w:val="000541C7"/>
    <w:rsid w:val="00054265"/>
    <w:rsid w:val="000544E0"/>
    <w:rsid w:val="00054574"/>
    <w:rsid w:val="00054671"/>
    <w:rsid w:val="000546DF"/>
    <w:rsid w:val="0005479E"/>
    <w:rsid w:val="0005483F"/>
    <w:rsid w:val="000549EC"/>
    <w:rsid w:val="00054AB1"/>
    <w:rsid w:val="00054C9D"/>
    <w:rsid w:val="00054CAF"/>
    <w:rsid w:val="00054D68"/>
    <w:rsid w:val="00054DCF"/>
    <w:rsid w:val="00054E2F"/>
    <w:rsid w:val="00054FAE"/>
    <w:rsid w:val="00054FC6"/>
    <w:rsid w:val="000552D1"/>
    <w:rsid w:val="000557A3"/>
    <w:rsid w:val="000557BF"/>
    <w:rsid w:val="00055871"/>
    <w:rsid w:val="000558C9"/>
    <w:rsid w:val="00055A9A"/>
    <w:rsid w:val="00055B56"/>
    <w:rsid w:val="00055C9D"/>
    <w:rsid w:val="00055CEA"/>
    <w:rsid w:val="00055DFB"/>
    <w:rsid w:val="00055F5E"/>
    <w:rsid w:val="00056002"/>
    <w:rsid w:val="00056045"/>
    <w:rsid w:val="000561B6"/>
    <w:rsid w:val="000562C0"/>
    <w:rsid w:val="0005642B"/>
    <w:rsid w:val="0005649A"/>
    <w:rsid w:val="00056666"/>
    <w:rsid w:val="00056742"/>
    <w:rsid w:val="000568FC"/>
    <w:rsid w:val="000569AC"/>
    <w:rsid w:val="000569F7"/>
    <w:rsid w:val="00056C42"/>
    <w:rsid w:val="00056C8B"/>
    <w:rsid w:val="00056CF5"/>
    <w:rsid w:val="00056F81"/>
    <w:rsid w:val="00056FB2"/>
    <w:rsid w:val="00056FBC"/>
    <w:rsid w:val="00057050"/>
    <w:rsid w:val="000570D5"/>
    <w:rsid w:val="000570F5"/>
    <w:rsid w:val="0005718B"/>
    <w:rsid w:val="00057275"/>
    <w:rsid w:val="00057490"/>
    <w:rsid w:val="00057568"/>
    <w:rsid w:val="0005773F"/>
    <w:rsid w:val="0005789F"/>
    <w:rsid w:val="000578B7"/>
    <w:rsid w:val="000578E8"/>
    <w:rsid w:val="00057900"/>
    <w:rsid w:val="00057904"/>
    <w:rsid w:val="00057A03"/>
    <w:rsid w:val="00057BAA"/>
    <w:rsid w:val="00057C59"/>
    <w:rsid w:val="00057DF9"/>
    <w:rsid w:val="00057F80"/>
    <w:rsid w:val="00057F9F"/>
    <w:rsid w:val="000601DE"/>
    <w:rsid w:val="000601FE"/>
    <w:rsid w:val="00060516"/>
    <w:rsid w:val="0006057E"/>
    <w:rsid w:val="00060605"/>
    <w:rsid w:val="0006066D"/>
    <w:rsid w:val="000607A8"/>
    <w:rsid w:val="000607DF"/>
    <w:rsid w:val="000608C4"/>
    <w:rsid w:val="0006094E"/>
    <w:rsid w:val="0006098B"/>
    <w:rsid w:val="00060A65"/>
    <w:rsid w:val="00060B38"/>
    <w:rsid w:val="00060B9A"/>
    <w:rsid w:val="00060C0A"/>
    <w:rsid w:val="00060C90"/>
    <w:rsid w:val="00060CA9"/>
    <w:rsid w:val="00060CDC"/>
    <w:rsid w:val="00060D0C"/>
    <w:rsid w:val="00060D8F"/>
    <w:rsid w:val="00060E00"/>
    <w:rsid w:val="00060ECF"/>
    <w:rsid w:val="00060FE2"/>
    <w:rsid w:val="0006101C"/>
    <w:rsid w:val="00061044"/>
    <w:rsid w:val="00061072"/>
    <w:rsid w:val="0006107F"/>
    <w:rsid w:val="00061274"/>
    <w:rsid w:val="000612FD"/>
    <w:rsid w:val="00061370"/>
    <w:rsid w:val="0006137F"/>
    <w:rsid w:val="00061473"/>
    <w:rsid w:val="000614B6"/>
    <w:rsid w:val="0006152A"/>
    <w:rsid w:val="000618B7"/>
    <w:rsid w:val="00061A22"/>
    <w:rsid w:val="00061B8A"/>
    <w:rsid w:val="00061BD6"/>
    <w:rsid w:val="00061C27"/>
    <w:rsid w:val="00061CD2"/>
    <w:rsid w:val="00061DBD"/>
    <w:rsid w:val="00061F43"/>
    <w:rsid w:val="0006203F"/>
    <w:rsid w:val="000622DB"/>
    <w:rsid w:val="000624A0"/>
    <w:rsid w:val="0006263C"/>
    <w:rsid w:val="000626F8"/>
    <w:rsid w:val="00062706"/>
    <w:rsid w:val="00062715"/>
    <w:rsid w:val="000627DC"/>
    <w:rsid w:val="0006281A"/>
    <w:rsid w:val="00062977"/>
    <w:rsid w:val="00062E51"/>
    <w:rsid w:val="00062E7C"/>
    <w:rsid w:val="00062EA3"/>
    <w:rsid w:val="00063111"/>
    <w:rsid w:val="00063254"/>
    <w:rsid w:val="000632AF"/>
    <w:rsid w:val="00063376"/>
    <w:rsid w:val="0006340E"/>
    <w:rsid w:val="000634D9"/>
    <w:rsid w:val="000635B0"/>
    <w:rsid w:val="000635CE"/>
    <w:rsid w:val="000635EE"/>
    <w:rsid w:val="000635F8"/>
    <w:rsid w:val="0006374B"/>
    <w:rsid w:val="0006379C"/>
    <w:rsid w:val="000638AE"/>
    <w:rsid w:val="00063910"/>
    <w:rsid w:val="0006394D"/>
    <w:rsid w:val="00063A7B"/>
    <w:rsid w:val="00063BB2"/>
    <w:rsid w:val="00063BD1"/>
    <w:rsid w:val="00063D68"/>
    <w:rsid w:val="00063DC5"/>
    <w:rsid w:val="00063E20"/>
    <w:rsid w:val="00063EB6"/>
    <w:rsid w:val="00063EBD"/>
    <w:rsid w:val="00063F57"/>
    <w:rsid w:val="00063FA2"/>
    <w:rsid w:val="00063FA6"/>
    <w:rsid w:val="00064004"/>
    <w:rsid w:val="000640D9"/>
    <w:rsid w:val="00064170"/>
    <w:rsid w:val="0006447A"/>
    <w:rsid w:val="0006451F"/>
    <w:rsid w:val="0006463A"/>
    <w:rsid w:val="00064795"/>
    <w:rsid w:val="000647CB"/>
    <w:rsid w:val="00064829"/>
    <w:rsid w:val="00064867"/>
    <w:rsid w:val="00064891"/>
    <w:rsid w:val="0006493E"/>
    <w:rsid w:val="000649C8"/>
    <w:rsid w:val="000649CC"/>
    <w:rsid w:val="00064B3A"/>
    <w:rsid w:val="00064C08"/>
    <w:rsid w:val="00064D21"/>
    <w:rsid w:val="00064D72"/>
    <w:rsid w:val="00064E0D"/>
    <w:rsid w:val="00064E76"/>
    <w:rsid w:val="00065238"/>
    <w:rsid w:val="00065246"/>
    <w:rsid w:val="000652D9"/>
    <w:rsid w:val="00065364"/>
    <w:rsid w:val="000653BD"/>
    <w:rsid w:val="000653CE"/>
    <w:rsid w:val="000653D3"/>
    <w:rsid w:val="00065467"/>
    <w:rsid w:val="000654E4"/>
    <w:rsid w:val="000654FF"/>
    <w:rsid w:val="0006558F"/>
    <w:rsid w:val="0006566F"/>
    <w:rsid w:val="0006589F"/>
    <w:rsid w:val="00065940"/>
    <w:rsid w:val="00065A09"/>
    <w:rsid w:val="00065A10"/>
    <w:rsid w:val="00065AA0"/>
    <w:rsid w:val="00065C36"/>
    <w:rsid w:val="00065E07"/>
    <w:rsid w:val="00065E44"/>
    <w:rsid w:val="00065EE5"/>
    <w:rsid w:val="00065F18"/>
    <w:rsid w:val="00065FAB"/>
    <w:rsid w:val="00065FD1"/>
    <w:rsid w:val="000660B9"/>
    <w:rsid w:val="000663D3"/>
    <w:rsid w:val="00066492"/>
    <w:rsid w:val="00066499"/>
    <w:rsid w:val="000664E0"/>
    <w:rsid w:val="000666D7"/>
    <w:rsid w:val="00066744"/>
    <w:rsid w:val="00066855"/>
    <w:rsid w:val="000668E5"/>
    <w:rsid w:val="00066940"/>
    <w:rsid w:val="00066A2F"/>
    <w:rsid w:val="00066A84"/>
    <w:rsid w:val="00066A97"/>
    <w:rsid w:val="00066B5B"/>
    <w:rsid w:val="00066C90"/>
    <w:rsid w:val="00066CDE"/>
    <w:rsid w:val="00066DCC"/>
    <w:rsid w:val="00066EB0"/>
    <w:rsid w:val="00066F3C"/>
    <w:rsid w:val="00066F61"/>
    <w:rsid w:val="00067005"/>
    <w:rsid w:val="0006712C"/>
    <w:rsid w:val="00067189"/>
    <w:rsid w:val="00067199"/>
    <w:rsid w:val="0006734F"/>
    <w:rsid w:val="0006750B"/>
    <w:rsid w:val="0006750E"/>
    <w:rsid w:val="00067570"/>
    <w:rsid w:val="000675B9"/>
    <w:rsid w:val="000676C4"/>
    <w:rsid w:val="000678FC"/>
    <w:rsid w:val="0006799D"/>
    <w:rsid w:val="000679C0"/>
    <w:rsid w:val="00067B3B"/>
    <w:rsid w:val="00067BA0"/>
    <w:rsid w:val="00067CDC"/>
    <w:rsid w:val="00067E33"/>
    <w:rsid w:val="00067ECA"/>
    <w:rsid w:val="00067FCC"/>
    <w:rsid w:val="00070017"/>
    <w:rsid w:val="00070062"/>
    <w:rsid w:val="000700CD"/>
    <w:rsid w:val="00070295"/>
    <w:rsid w:val="00070299"/>
    <w:rsid w:val="000702B8"/>
    <w:rsid w:val="0007036B"/>
    <w:rsid w:val="000704EA"/>
    <w:rsid w:val="0007056F"/>
    <w:rsid w:val="000706FE"/>
    <w:rsid w:val="00070769"/>
    <w:rsid w:val="000708E8"/>
    <w:rsid w:val="000708EA"/>
    <w:rsid w:val="00070934"/>
    <w:rsid w:val="000709F5"/>
    <w:rsid w:val="00070AA1"/>
    <w:rsid w:val="00070AFB"/>
    <w:rsid w:val="00070B9F"/>
    <w:rsid w:val="00070C4F"/>
    <w:rsid w:val="00070E33"/>
    <w:rsid w:val="00070F34"/>
    <w:rsid w:val="00070F71"/>
    <w:rsid w:val="00071008"/>
    <w:rsid w:val="000710F2"/>
    <w:rsid w:val="00071109"/>
    <w:rsid w:val="00071129"/>
    <w:rsid w:val="0007112D"/>
    <w:rsid w:val="00071380"/>
    <w:rsid w:val="00071394"/>
    <w:rsid w:val="000713C2"/>
    <w:rsid w:val="00071471"/>
    <w:rsid w:val="000714C7"/>
    <w:rsid w:val="00071500"/>
    <w:rsid w:val="000715E6"/>
    <w:rsid w:val="000715F6"/>
    <w:rsid w:val="00071636"/>
    <w:rsid w:val="00071748"/>
    <w:rsid w:val="00071927"/>
    <w:rsid w:val="0007192E"/>
    <w:rsid w:val="000719AB"/>
    <w:rsid w:val="00071A75"/>
    <w:rsid w:val="00071E03"/>
    <w:rsid w:val="00071E4F"/>
    <w:rsid w:val="00071ECD"/>
    <w:rsid w:val="00071F32"/>
    <w:rsid w:val="00071F41"/>
    <w:rsid w:val="00071FE5"/>
    <w:rsid w:val="00071FFE"/>
    <w:rsid w:val="000720F2"/>
    <w:rsid w:val="00072183"/>
    <w:rsid w:val="000721B9"/>
    <w:rsid w:val="000722D4"/>
    <w:rsid w:val="00072300"/>
    <w:rsid w:val="00072481"/>
    <w:rsid w:val="00072658"/>
    <w:rsid w:val="000726E6"/>
    <w:rsid w:val="0007273E"/>
    <w:rsid w:val="000728AC"/>
    <w:rsid w:val="00072950"/>
    <w:rsid w:val="00072989"/>
    <w:rsid w:val="000729DA"/>
    <w:rsid w:val="00072AF0"/>
    <w:rsid w:val="00072B30"/>
    <w:rsid w:val="00072C6B"/>
    <w:rsid w:val="00072CDE"/>
    <w:rsid w:val="00072D69"/>
    <w:rsid w:val="00072DF5"/>
    <w:rsid w:val="00072EC1"/>
    <w:rsid w:val="00072F1F"/>
    <w:rsid w:val="0007305B"/>
    <w:rsid w:val="0007306F"/>
    <w:rsid w:val="00073387"/>
    <w:rsid w:val="0007347A"/>
    <w:rsid w:val="000734DA"/>
    <w:rsid w:val="0007360F"/>
    <w:rsid w:val="000736B5"/>
    <w:rsid w:val="000737F2"/>
    <w:rsid w:val="0007383D"/>
    <w:rsid w:val="0007389D"/>
    <w:rsid w:val="000738BE"/>
    <w:rsid w:val="00073929"/>
    <w:rsid w:val="00073977"/>
    <w:rsid w:val="00073A55"/>
    <w:rsid w:val="00073AD1"/>
    <w:rsid w:val="00073D24"/>
    <w:rsid w:val="00073D2D"/>
    <w:rsid w:val="00073F6E"/>
    <w:rsid w:val="000742B6"/>
    <w:rsid w:val="00074305"/>
    <w:rsid w:val="00074497"/>
    <w:rsid w:val="000745DB"/>
    <w:rsid w:val="00074616"/>
    <w:rsid w:val="0007464C"/>
    <w:rsid w:val="000746F2"/>
    <w:rsid w:val="000747E9"/>
    <w:rsid w:val="000748B4"/>
    <w:rsid w:val="00074943"/>
    <w:rsid w:val="0007494B"/>
    <w:rsid w:val="00074954"/>
    <w:rsid w:val="00074A21"/>
    <w:rsid w:val="00074D35"/>
    <w:rsid w:val="00074E07"/>
    <w:rsid w:val="00074E28"/>
    <w:rsid w:val="00074F0E"/>
    <w:rsid w:val="00074F6D"/>
    <w:rsid w:val="00075047"/>
    <w:rsid w:val="000753BE"/>
    <w:rsid w:val="00075554"/>
    <w:rsid w:val="0007566B"/>
    <w:rsid w:val="00075676"/>
    <w:rsid w:val="00075811"/>
    <w:rsid w:val="0007593A"/>
    <w:rsid w:val="00075940"/>
    <w:rsid w:val="00075AAD"/>
    <w:rsid w:val="00075BB9"/>
    <w:rsid w:val="00075BDF"/>
    <w:rsid w:val="00075C7B"/>
    <w:rsid w:val="00075D27"/>
    <w:rsid w:val="00075EE1"/>
    <w:rsid w:val="00075FE8"/>
    <w:rsid w:val="00076035"/>
    <w:rsid w:val="00076086"/>
    <w:rsid w:val="000762A8"/>
    <w:rsid w:val="00076355"/>
    <w:rsid w:val="0007636F"/>
    <w:rsid w:val="00076370"/>
    <w:rsid w:val="0007638A"/>
    <w:rsid w:val="000764C4"/>
    <w:rsid w:val="00076515"/>
    <w:rsid w:val="000765F7"/>
    <w:rsid w:val="0007661B"/>
    <w:rsid w:val="0007664B"/>
    <w:rsid w:val="00076784"/>
    <w:rsid w:val="00076792"/>
    <w:rsid w:val="000768EA"/>
    <w:rsid w:val="00076910"/>
    <w:rsid w:val="000769FA"/>
    <w:rsid w:val="00076A05"/>
    <w:rsid w:val="00076A98"/>
    <w:rsid w:val="00076B47"/>
    <w:rsid w:val="00076B49"/>
    <w:rsid w:val="00076C2B"/>
    <w:rsid w:val="00076DBC"/>
    <w:rsid w:val="00076EE3"/>
    <w:rsid w:val="00076FA7"/>
    <w:rsid w:val="00076FFC"/>
    <w:rsid w:val="00077013"/>
    <w:rsid w:val="00077024"/>
    <w:rsid w:val="00077027"/>
    <w:rsid w:val="0007702E"/>
    <w:rsid w:val="000770B7"/>
    <w:rsid w:val="000770BE"/>
    <w:rsid w:val="000770D2"/>
    <w:rsid w:val="00077176"/>
    <w:rsid w:val="0007729E"/>
    <w:rsid w:val="000772D0"/>
    <w:rsid w:val="0007743D"/>
    <w:rsid w:val="000775B1"/>
    <w:rsid w:val="00077637"/>
    <w:rsid w:val="0007774E"/>
    <w:rsid w:val="0007775F"/>
    <w:rsid w:val="000777A1"/>
    <w:rsid w:val="00077928"/>
    <w:rsid w:val="00077B31"/>
    <w:rsid w:val="00077D6D"/>
    <w:rsid w:val="00077DD1"/>
    <w:rsid w:val="00077DF9"/>
    <w:rsid w:val="00077E44"/>
    <w:rsid w:val="0008000A"/>
    <w:rsid w:val="0008017D"/>
    <w:rsid w:val="0008026C"/>
    <w:rsid w:val="0008035E"/>
    <w:rsid w:val="000803D7"/>
    <w:rsid w:val="000803E7"/>
    <w:rsid w:val="00080425"/>
    <w:rsid w:val="00080633"/>
    <w:rsid w:val="0008073D"/>
    <w:rsid w:val="00080782"/>
    <w:rsid w:val="0008079B"/>
    <w:rsid w:val="000808B3"/>
    <w:rsid w:val="000808D6"/>
    <w:rsid w:val="000808E6"/>
    <w:rsid w:val="000809E5"/>
    <w:rsid w:val="00080AD2"/>
    <w:rsid w:val="00080B7F"/>
    <w:rsid w:val="00080CE7"/>
    <w:rsid w:val="00080D17"/>
    <w:rsid w:val="00080D68"/>
    <w:rsid w:val="00080DDC"/>
    <w:rsid w:val="00080F93"/>
    <w:rsid w:val="0008115A"/>
    <w:rsid w:val="000811B5"/>
    <w:rsid w:val="00081201"/>
    <w:rsid w:val="00081252"/>
    <w:rsid w:val="00081552"/>
    <w:rsid w:val="00081580"/>
    <w:rsid w:val="000815DC"/>
    <w:rsid w:val="000815F4"/>
    <w:rsid w:val="00081729"/>
    <w:rsid w:val="00081766"/>
    <w:rsid w:val="000818B9"/>
    <w:rsid w:val="000818CA"/>
    <w:rsid w:val="0008196D"/>
    <w:rsid w:val="00081A38"/>
    <w:rsid w:val="00081ABF"/>
    <w:rsid w:val="00081ACA"/>
    <w:rsid w:val="00081B23"/>
    <w:rsid w:val="00081C6D"/>
    <w:rsid w:val="00081CFC"/>
    <w:rsid w:val="00081EF6"/>
    <w:rsid w:val="00081F25"/>
    <w:rsid w:val="00081F7D"/>
    <w:rsid w:val="0008231F"/>
    <w:rsid w:val="000823B4"/>
    <w:rsid w:val="00082415"/>
    <w:rsid w:val="0008248A"/>
    <w:rsid w:val="000824AE"/>
    <w:rsid w:val="00082675"/>
    <w:rsid w:val="00082710"/>
    <w:rsid w:val="000827BB"/>
    <w:rsid w:val="000827EB"/>
    <w:rsid w:val="0008285D"/>
    <w:rsid w:val="00082A9C"/>
    <w:rsid w:val="00082AB0"/>
    <w:rsid w:val="00082D1A"/>
    <w:rsid w:val="00082EA0"/>
    <w:rsid w:val="00082ED6"/>
    <w:rsid w:val="00082F46"/>
    <w:rsid w:val="0008347C"/>
    <w:rsid w:val="00083514"/>
    <w:rsid w:val="00083543"/>
    <w:rsid w:val="00083568"/>
    <w:rsid w:val="000836D4"/>
    <w:rsid w:val="00083726"/>
    <w:rsid w:val="000838D6"/>
    <w:rsid w:val="000839BB"/>
    <w:rsid w:val="00083BF4"/>
    <w:rsid w:val="00083C75"/>
    <w:rsid w:val="00083D31"/>
    <w:rsid w:val="00083DBA"/>
    <w:rsid w:val="00083ECE"/>
    <w:rsid w:val="00083EF1"/>
    <w:rsid w:val="00083F5D"/>
    <w:rsid w:val="00083F5F"/>
    <w:rsid w:val="00083FAB"/>
    <w:rsid w:val="000840A7"/>
    <w:rsid w:val="00084264"/>
    <w:rsid w:val="00084265"/>
    <w:rsid w:val="000843A4"/>
    <w:rsid w:val="0008446A"/>
    <w:rsid w:val="000844BB"/>
    <w:rsid w:val="0008450F"/>
    <w:rsid w:val="0008457F"/>
    <w:rsid w:val="0008465F"/>
    <w:rsid w:val="0008470E"/>
    <w:rsid w:val="00084779"/>
    <w:rsid w:val="000847B1"/>
    <w:rsid w:val="000847E6"/>
    <w:rsid w:val="00084815"/>
    <w:rsid w:val="00084875"/>
    <w:rsid w:val="00084999"/>
    <w:rsid w:val="000849B7"/>
    <w:rsid w:val="000849C3"/>
    <w:rsid w:val="00084AC3"/>
    <w:rsid w:val="00084CAF"/>
    <w:rsid w:val="00084CFB"/>
    <w:rsid w:val="00084D8B"/>
    <w:rsid w:val="00084E08"/>
    <w:rsid w:val="00084E1F"/>
    <w:rsid w:val="00084F91"/>
    <w:rsid w:val="00084F9D"/>
    <w:rsid w:val="000850EF"/>
    <w:rsid w:val="0008518D"/>
    <w:rsid w:val="000851D1"/>
    <w:rsid w:val="00085254"/>
    <w:rsid w:val="000852C5"/>
    <w:rsid w:val="000852CD"/>
    <w:rsid w:val="000853C8"/>
    <w:rsid w:val="00085581"/>
    <w:rsid w:val="00085796"/>
    <w:rsid w:val="000857D1"/>
    <w:rsid w:val="00085808"/>
    <w:rsid w:val="000858B9"/>
    <w:rsid w:val="00085981"/>
    <w:rsid w:val="00085991"/>
    <w:rsid w:val="000859E2"/>
    <w:rsid w:val="00085A40"/>
    <w:rsid w:val="00085AED"/>
    <w:rsid w:val="00085B6D"/>
    <w:rsid w:val="00085C1A"/>
    <w:rsid w:val="00085D15"/>
    <w:rsid w:val="00085DB3"/>
    <w:rsid w:val="00085E12"/>
    <w:rsid w:val="00085ED7"/>
    <w:rsid w:val="00085F7F"/>
    <w:rsid w:val="00086098"/>
    <w:rsid w:val="0008611D"/>
    <w:rsid w:val="00086122"/>
    <w:rsid w:val="0008628B"/>
    <w:rsid w:val="000862D1"/>
    <w:rsid w:val="000862E1"/>
    <w:rsid w:val="0008632F"/>
    <w:rsid w:val="00086729"/>
    <w:rsid w:val="0008678E"/>
    <w:rsid w:val="000868E9"/>
    <w:rsid w:val="00086A39"/>
    <w:rsid w:val="00086B57"/>
    <w:rsid w:val="00086B64"/>
    <w:rsid w:val="00086BEC"/>
    <w:rsid w:val="00086D60"/>
    <w:rsid w:val="00086F2A"/>
    <w:rsid w:val="00086F7E"/>
    <w:rsid w:val="00086FA3"/>
    <w:rsid w:val="00086FD2"/>
    <w:rsid w:val="000870B3"/>
    <w:rsid w:val="00087108"/>
    <w:rsid w:val="0008712A"/>
    <w:rsid w:val="0008715D"/>
    <w:rsid w:val="000871B4"/>
    <w:rsid w:val="000871B9"/>
    <w:rsid w:val="00087356"/>
    <w:rsid w:val="0008763B"/>
    <w:rsid w:val="000876CB"/>
    <w:rsid w:val="0008777F"/>
    <w:rsid w:val="0008781C"/>
    <w:rsid w:val="000878A6"/>
    <w:rsid w:val="000878AD"/>
    <w:rsid w:val="000878BF"/>
    <w:rsid w:val="00087958"/>
    <w:rsid w:val="00087AC8"/>
    <w:rsid w:val="00087E38"/>
    <w:rsid w:val="00087E9C"/>
    <w:rsid w:val="00087F60"/>
    <w:rsid w:val="00090026"/>
    <w:rsid w:val="00090305"/>
    <w:rsid w:val="00090307"/>
    <w:rsid w:val="000903AC"/>
    <w:rsid w:val="000903BF"/>
    <w:rsid w:val="00090440"/>
    <w:rsid w:val="00090499"/>
    <w:rsid w:val="000904E0"/>
    <w:rsid w:val="000905FE"/>
    <w:rsid w:val="000906CE"/>
    <w:rsid w:val="000906F8"/>
    <w:rsid w:val="00090AB3"/>
    <w:rsid w:val="00090BE9"/>
    <w:rsid w:val="00090DB2"/>
    <w:rsid w:val="00090E3D"/>
    <w:rsid w:val="00090E46"/>
    <w:rsid w:val="00090E4F"/>
    <w:rsid w:val="00090EE4"/>
    <w:rsid w:val="00091295"/>
    <w:rsid w:val="00091496"/>
    <w:rsid w:val="000915D5"/>
    <w:rsid w:val="00091664"/>
    <w:rsid w:val="000916E1"/>
    <w:rsid w:val="00091707"/>
    <w:rsid w:val="0009175A"/>
    <w:rsid w:val="0009186C"/>
    <w:rsid w:val="0009195C"/>
    <w:rsid w:val="00091B1A"/>
    <w:rsid w:val="00091C3A"/>
    <w:rsid w:val="00091F24"/>
    <w:rsid w:val="00091FF9"/>
    <w:rsid w:val="000920AF"/>
    <w:rsid w:val="00092191"/>
    <w:rsid w:val="000921CE"/>
    <w:rsid w:val="000922E1"/>
    <w:rsid w:val="00092317"/>
    <w:rsid w:val="00092561"/>
    <w:rsid w:val="0009257A"/>
    <w:rsid w:val="000929C2"/>
    <w:rsid w:val="00092A53"/>
    <w:rsid w:val="00092ACB"/>
    <w:rsid w:val="00092B33"/>
    <w:rsid w:val="00092CE5"/>
    <w:rsid w:val="00092E20"/>
    <w:rsid w:val="000930AB"/>
    <w:rsid w:val="00093152"/>
    <w:rsid w:val="000931C2"/>
    <w:rsid w:val="00093255"/>
    <w:rsid w:val="00093403"/>
    <w:rsid w:val="0009348D"/>
    <w:rsid w:val="000935BA"/>
    <w:rsid w:val="00093749"/>
    <w:rsid w:val="000937D3"/>
    <w:rsid w:val="000938B7"/>
    <w:rsid w:val="000938D1"/>
    <w:rsid w:val="000939DC"/>
    <w:rsid w:val="00093C24"/>
    <w:rsid w:val="00093C9C"/>
    <w:rsid w:val="00093E32"/>
    <w:rsid w:val="00093F26"/>
    <w:rsid w:val="00093F7D"/>
    <w:rsid w:val="0009410F"/>
    <w:rsid w:val="00094133"/>
    <w:rsid w:val="00094189"/>
    <w:rsid w:val="000941C2"/>
    <w:rsid w:val="0009426A"/>
    <w:rsid w:val="00094284"/>
    <w:rsid w:val="00094391"/>
    <w:rsid w:val="00094462"/>
    <w:rsid w:val="00094493"/>
    <w:rsid w:val="000944C3"/>
    <w:rsid w:val="00094562"/>
    <w:rsid w:val="000946DA"/>
    <w:rsid w:val="00094929"/>
    <w:rsid w:val="00094970"/>
    <w:rsid w:val="00094A20"/>
    <w:rsid w:val="00094B53"/>
    <w:rsid w:val="00094B92"/>
    <w:rsid w:val="00094B9F"/>
    <w:rsid w:val="00094E3F"/>
    <w:rsid w:val="00094E99"/>
    <w:rsid w:val="00094F10"/>
    <w:rsid w:val="00094F6F"/>
    <w:rsid w:val="00094F76"/>
    <w:rsid w:val="00094FB3"/>
    <w:rsid w:val="00094FD0"/>
    <w:rsid w:val="000951A6"/>
    <w:rsid w:val="000951D8"/>
    <w:rsid w:val="0009523F"/>
    <w:rsid w:val="000953E6"/>
    <w:rsid w:val="00095417"/>
    <w:rsid w:val="0009549D"/>
    <w:rsid w:val="000954BA"/>
    <w:rsid w:val="000954E9"/>
    <w:rsid w:val="0009553F"/>
    <w:rsid w:val="000955EA"/>
    <w:rsid w:val="000955EE"/>
    <w:rsid w:val="000959DE"/>
    <w:rsid w:val="00095A8B"/>
    <w:rsid w:val="00095B73"/>
    <w:rsid w:val="00095CB4"/>
    <w:rsid w:val="00095CC0"/>
    <w:rsid w:val="00095E64"/>
    <w:rsid w:val="00096028"/>
    <w:rsid w:val="000960E6"/>
    <w:rsid w:val="0009614C"/>
    <w:rsid w:val="00096390"/>
    <w:rsid w:val="00096399"/>
    <w:rsid w:val="000964AB"/>
    <w:rsid w:val="000964C7"/>
    <w:rsid w:val="000964CA"/>
    <w:rsid w:val="00096553"/>
    <w:rsid w:val="000965D4"/>
    <w:rsid w:val="00096731"/>
    <w:rsid w:val="00096963"/>
    <w:rsid w:val="00096A21"/>
    <w:rsid w:val="00096A78"/>
    <w:rsid w:val="00096BF9"/>
    <w:rsid w:val="00096D1F"/>
    <w:rsid w:val="00096F7A"/>
    <w:rsid w:val="0009715F"/>
    <w:rsid w:val="00097185"/>
    <w:rsid w:val="00097258"/>
    <w:rsid w:val="0009751A"/>
    <w:rsid w:val="0009754B"/>
    <w:rsid w:val="00097564"/>
    <w:rsid w:val="000975B1"/>
    <w:rsid w:val="00097803"/>
    <w:rsid w:val="000978E0"/>
    <w:rsid w:val="00097AE3"/>
    <w:rsid w:val="00097C26"/>
    <w:rsid w:val="00097C28"/>
    <w:rsid w:val="00097C2C"/>
    <w:rsid w:val="00097E06"/>
    <w:rsid w:val="00097EC6"/>
    <w:rsid w:val="00097F48"/>
    <w:rsid w:val="000A00B9"/>
    <w:rsid w:val="000A0171"/>
    <w:rsid w:val="000A0194"/>
    <w:rsid w:val="000A0204"/>
    <w:rsid w:val="000A0223"/>
    <w:rsid w:val="000A0287"/>
    <w:rsid w:val="000A032C"/>
    <w:rsid w:val="000A0371"/>
    <w:rsid w:val="000A0387"/>
    <w:rsid w:val="000A0431"/>
    <w:rsid w:val="000A04B0"/>
    <w:rsid w:val="000A053C"/>
    <w:rsid w:val="000A0627"/>
    <w:rsid w:val="000A072A"/>
    <w:rsid w:val="000A08F4"/>
    <w:rsid w:val="000A0B0D"/>
    <w:rsid w:val="000A0BF2"/>
    <w:rsid w:val="000A0C1E"/>
    <w:rsid w:val="000A0C2B"/>
    <w:rsid w:val="000A0C35"/>
    <w:rsid w:val="000A0D16"/>
    <w:rsid w:val="000A0D6F"/>
    <w:rsid w:val="000A0F5D"/>
    <w:rsid w:val="000A106F"/>
    <w:rsid w:val="000A10F8"/>
    <w:rsid w:val="000A1221"/>
    <w:rsid w:val="000A12A7"/>
    <w:rsid w:val="000A13FD"/>
    <w:rsid w:val="000A140D"/>
    <w:rsid w:val="000A1464"/>
    <w:rsid w:val="000A15E5"/>
    <w:rsid w:val="000A17A8"/>
    <w:rsid w:val="000A1872"/>
    <w:rsid w:val="000A1A80"/>
    <w:rsid w:val="000A1A93"/>
    <w:rsid w:val="000A1B6B"/>
    <w:rsid w:val="000A1D70"/>
    <w:rsid w:val="000A1DAB"/>
    <w:rsid w:val="000A1DC8"/>
    <w:rsid w:val="000A1F54"/>
    <w:rsid w:val="000A1F77"/>
    <w:rsid w:val="000A1FD7"/>
    <w:rsid w:val="000A200F"/>
    <w:rsid w:val="000A2060"/>
    <w:rsid w:val="000A2178"/>
    <w:rsid w:val="000A2198"/>
    <w:rsid w:val="000A2240"/>
    <w:rsid w:val="000A23AD"/>
    <w:rsid w:val="000A23AF"/>
    <w:rsid w:val="000A23BF"/>
    <w:rsid w:val="000A2552"/>
    <w:rsid w:val="000A25E8"/>
    <w:rsid w:val="000A2629"/>
    <w:rsid w:val="000A26BD"/>
    <w:rsid w:val="000A283F"/>
    <w:rsid w:val="000A28C7"/>
    <w:rsid w:val="000A2ACA"/>
    <w:rsid w:val="000A2B36"/>
    <w:rsid w:val="000A2B59"/>
    <w:rsid w:val="000A2B9B"/>
    <w:rsid w:val="000A2C7E"/>
    <w:rsid w:val="000A2CE3"/>
    <w:rsid w:val="000A2D44"/>
    <w:rsid w:val="000A2D53"/>
    <w:rsid w:val="000A2DA5"/>
    <w:rsid w:val="000A2F65"/>
    <w:rsid w:val="000A3057"/>
    <w:rsid w:val="000A3460"/>
    <w:rsid w:val="000A34E7"/>
    <w:rsid w:val="000A3515"/>
    <w:rsid w:val="000A3527"/>
    <w:rsid w:val="000A35D9"/>
    <w:rsid w:val="000A387F"/>
    <w:rsid w:val="000A38A0"/>
    <w:rsid w:val="000A39E9"/>
    <w:rsid w:val="000A39ED"/>
    <w:rsid w:val="000A39F2"/>
    <w:rsid w:val="000A3AEA"/>
    <w:rsid w:val="000A3AFD"/>
    <w:rsid w:val="000A3CA2"/>
    <w:rsid w:val="000A3D6A"/>
    <w:rsid w:val="000A3F92"/>
    <w:rsid w:val="000A3FB2"/>
    <w:rsid w:val="000A424B"/>
    <w:rsid w:val="000A4388"/>
    <w:rsid w:val="000A4495"/>
    <w:rsid w:val="000A471B"/>
    <w:rsid w:val="000A4859"/>
    <w:rsid w:val="000A4862"/>
    <w:rsid w:val="000A486D"/>
    <w:rsid w:val="000A4964"/>
    <w:rsid w:val="000A49BD"/>
    <w:rsid w:val="000A4A51"/>
    <w:rsid w:val="000A4B01"/>
    <w:rsid w:val="000A4BAE"/>
    <w:rsid w:val="000A4CAF"/>
    <w:rsid w:val="000A4CB4"/>
    <w:rsid w:val="000A4D01"/>
    <w:rsid w:val="000A4D6C"/>
    <w:rsid w:val="000A4F10"/>
    <w:rsid w:val="000A4FA1"/>
    <w:rsid w:val="000A4FFC"/>
    <w:rsid w:val="000A507B"/>
    <w:rsid w:val="000A5153"/>
    <w:rsid w:val="000A52D6"/>
    <w:rsid w:val="000A52E0"/>
    <w:rsid w:val="000A5309"/>
    <w:rsid w:val="000A539E"/>
    <w:rsid w:val="000A5442"/>
    <w:rsid w:val="000A54F0"/>
    <w:rsid w:val="000A5778"/>
    <w:rsid w:val="000A57C1"/>
    <w:rsid w:val="000A597E"/>
    <w:rsid w:val="000A59FB"/>
    <w:rsid w:val="000A5A7B"/>
    <w:rsid w:val="000A5B14"/>
    <w:rsid w:val="000A5B6A"/>
    <w:rsid w:val="000A5B74"/>
    <w:rsid w:val="000A5C93"/>
    <w:rsid w:val="000A5D25"/>
    <w:rsid w:val="000A5DB5"/>
    <w:rsid w:val="000A5E00"/>
    <w:rsid w:val="000A5E9D"/>
    <w:rsid w:val="000A5EF0"/>
    <w:rsid w:val="000A6127"/>
    <w:rsid w:val="000A62D6"/>
    <w:rsid w:val="000A6303"/>
    <w:rsid w:val="000A6369"/>
    <w:rsid w:val="000A6394"/>
    <w:rsid w:val="000A63C4"/>
    <w:rsid w:val="000A6505"/>
    <w:rsid w:val="000A65C5"/>
    <w:rsid w:val="000A661F"/>
    <w:rsid w:val="000A6642"/>
    <w:rsid w:val="000A6649"/>
    <w:rsid w:val="000A666A"/>
    <w:rsid w:val="000A66A8"/>
    <w:rsid w:val="000A66CB"/>
    <w:rsid w:val="000A6723"/>
    <w:rsid w:val="000A6820"/>
    <w:rsid w:val="000A68AF"/>
    <w:rsid w:val="000A68BE"/>
    <w:rsid w:val="000A6A34"/>
    <w:rsid w:val="000A6A66"/>
    <w:rsid w:val="000A6AAA"/>
    <w:rsid w:val="000A6AFC"/>
    <w:rsid w:val="000A6B37"/>
    <w:rsid w:val="000A6BCD"/>
    <w:rsid w:val="000A6C98"/>
    <w:rsid w:val="000A6DBD"/>
    <w:rsid w:val="000A6E22"/>
    <w:rsid w:val="000A7022"/>
    <w:rsid w:val="000A70DA"/>
    <w:rsid w:val="000A7104"/>
    <w:rsid w:val="000A73E7"/>
    <w:rsid w:val="000A745B"/>
    <w:rsid w:val="000A7488"/>
    <w:rsid w:val="000A754B"/>
    <w:rsid w:val="000A762B"/>
    <w:rsid w:val="000A78C4"/>
    <w:rsid w:val="000A797C"/>
    <w:rsid w:val="000A7C17"/>
    <w:rsid w:val="000A7C39"/>
    <w:rsid w:val="000A7C74"/>
    <w:rsid w:val="000A7C78"/>
    <w:rsid w:val="000A7D78"/>
    <w:rsid w:val="000AEE7E"/>
    <w:rsid w:val="000B00C8"/>
    <w:rsid w:val="000B00E2"/>
    <w:rsid w:val="000B0350"/>
    <w:rsid w:val="000B06C9"/>
    <w:rsid w:val="000B087E"/>
    <w:rsid w:val="000B0931"/>
    <w:rsid w:val="000B0997"/>
    <w:rsid w:val="000B09D5"/>
    <w:rsid w:val="000B0B5F"/>
    <w:rsid w:val="000B0B6F"/>
    <w:rsid w:val="000B0C1E"/>
    <w:rsid w:val="000B0C48"/>
    <w:rsid w:val="000B0E33"/>
    <w:rsid w:val="000B0EAF"/>
    <w:rsid w:val="000B1039"/>
    <w:rsid w:val="000B11DF"/>
    <w:rsid w:val="000B124D"/>
    <w:rsid w:val="000B133F"/>
    <w:rsid w:val="000B1342"/>
    <w:rsid w:val="000B13D0"/>
    <w:rsid w:val="000B1414"/>
    <w:rsid w:val="000B1574"/>
    <w:rsid w:val="000B1803"/>
    <w:rsid w:val="000B1913"/>
    <w:rsid w:val="000B1953"/>
    <w:rsid w:val="000B19E2"/>
    <w:rsid w:val="000B1A20"/>
    <w:rsid w:val="000B1A43"/>
    <w:rsid w:val="000B1B71"/>
    <w:rsid w:val="000B1CB3"/>
    <w:rsid w:val="000B1DC0"/>
    <w:rsid w:val="000B1FB9"/>
    <w:rsid w:val="000B1FCD"/>
    <w:rsid w:val="000B200E"/>
    <w:rsid w:val="000B2085"/>
    <w:rsid w:val="000B226E"/>
    <w:rsid w:val="000B22FA"/>
    <w:rsid w:val="000B24F3"/>
    <w:rsid w:val="000B257F"/>
    <w:rsid w:val="000B263D"/>
    <w:rsid w:val="000B2650"/>
    <w:rsid w:val="000B2660"/>
    <w:rsid w:val="000B268F"/>
    <w:rsid w:val="000B27FE"/>
    <w:rsid w:val="000B2853"/>
    <w:rsid w:val="000B28B9"/>
    <w:rsid w:val="000B291C"/>
    <w:rsid w:val="000B2A0B"/>
    <w:rsid w:val="000B2A29"/>
    <w:rsid w:val="000B2B67"/>
    <w:rsid w:val="000B2E8E"/>
    <w:rsid w:val="000B2FD3"/>
    <w:rsid w:val="000B30A7"/>
    <w:rsid w:val="000B326A"/>
    <w:rsid w:val="000B32DD"/>
    <w:rsid w:val="000B3361"/>
    <w:rsid w:val="000B3425"/>
    <w:rsid w:val="000B3455"/>
    <w:rsid w:val="000B3478"/>
    <w:rsid w:val="000B34D2"/>
    <w:rsid w:val="000B35E0"/>
    <w:rsid w:val="000B3700"/>
    <w:rsid w:val="000B3956"/>
    <w:rsid w:val="000B3986"/>
    <w:rsid w:val="000B3A65"/>
    <w:rsid w:val="000B3AC8"/>
    <w:rsid w:val="000B3AEC"/>
    <w:rsid w:val="000B3AFA"/>
    <w:rsid w:val="000B3CF9"/>
    <w:rsid w:val="000B3CFF"/>
    <w:rsid w:val="000B3DF1"/>
    <w:rsid w:val="000B3E2D"/>
    <w:rsid w:val="000B4024"/>
    <w:rsid w:val="000B4084"/>
    <w:rsid w:val="000B415A"/>
    <w:rsid w:val="000B424D"/>
    <w:rsid w:val="000B4372"/>
    <w:rsid w:val="000B43D1"/>
    <w:rsid w:val="000B4431"/>
    <w:rsid w:val="000B45BE"/>
    <w:rsid w:val="000B45F1"/>
    <w:rsid w:val="000B46FA"/>
    <w:rsid w:val="000B47B3"/>
    <w:rsid w:val="000B4863"/>
    <w:rsid w:val="000B487A"/>
    <w:rsid w:val="000B48F0"/>
    <w:rsid w:val="000B4B91"/>
    <w:rsid w:val="000B4C82"/>
    <w:rsid w:val="000B4DC4"/>
    <w:rsid w:val="000B4E84"/>
    <w:rsid w:val="000B4EB2"/>
    <w:rsid w:val="000B5010"/>
    <w:rsid w:val="000B5055"/>
    <w:rsid w:val="000B5086"/>
    <w:rsid w:val="000B50D1"/>
    <w:rsid w:val="000B515B"/>
    <w:rsid w:val="000B523C"/>
    <w:rsid w:val="000B524F"/>
    <w:rsid w:val="000B5296"/>
    <w:rsid w:val="000B52D1"/>
    <w:rsid w:val="000B53B9"/>
    <w:rsid w:val="000B53E8"/>
    <w:rsid w:val="000B5493"/>
    <w:rsid w:val="000B55DF"/>
    <w:rsid w:val="000B560E"/>
    <w:rsid w:val="000B56C4"/>
    <w:rsid w:val="000B574B"/>
    <w:rsid w:val="000B5764"/>
    <w:rsid w:val="000B5808"/>
    <w:rsid w:val="000B5841"/>
    <w:rsid w:val="000B591B"/>
    <w:rsid w:val="000B593C"/>
    <w:rsid w:val="000B5ABC"/>
    <w:rsid w:val="000B5B20"/>
    <w:rsid w:val="000B5B6B"/>
    <w:rsid w:val="000B5C22"/>
    <w:rsid w:val="000B5C78"/>
    <w:rsid w:val="000B5C99"/>
    <w:rsid w:val="000B5D32"/>
    <w:rsid w:val="000B5E77"/>
    <w:rsid w:val="000B5F43"/>
    <w:rsid w:val="000B6072"/>
    <w:rsid w:val="000B6111"/>
    <w:rsid w:val="000B61AF"/>
    <w:rsid w:val="000B61EE"/>
    <w:rsid w:val="000B6220"/>
    <w:rsid w:val="000B625D"/>
    <w:rsid w:val="000B63DB"/>
    <w:rsid w:val="000B64AE"/>
    <w:rsid w:val="000B65D6"/>
    <w:rsid w:val="000B66E7"/>
    <w:rsid w:val="000B671A"/>
    <w:rsid w:val="000B6741"/>
    <w:rsid w:val="000B69B2"/>
    <w:rsid w:val="000B6A6B"/>
    <w:rsid w:val="000B6A76"/>
    <w:rsid w:val="000B6C03"/>
    <w:rsid w:val="000B6CAD"/>
    <w:rsid w:val="000B6E34"/>
    <w:rsid w:val="000B6E41"/>
    <w:rsid w:val="000B70F5"/>
    <w:rsid w:val="000B7175"/>
    <w:rsid w:val="000B71A5"/>
    <w:rsid w:val="000B7229"/>
    <w:rsid w:val="000B7238"/>
    <w:rsid w:val="000B72A2"/>
    <w:rsid w:val="000B72B6"/>
    <w:rsid w:val="000B740A"/>
    <w:rsid w:val="000B74EC"/>
    <w:rsid w:val="000B7597"/>
    <w:rsid w:val="000B764C"/>
    <w:rsid w:val="000B76CD"/>
    <w:rsid w:val="000B7766"/>
    <w:rsid w:val="000B777F"/>
    <w:rsid w:val="000B77D7"/>
    <w:rsid w:val="000B7883"/>
    <w:rsid w:val="000B7A7E"/>
    <w:rsid w:val="000B7AC2"/>
    <w:rsid w:val="000B7AE3"/>
    <w:rsid w:val="000B7B20"/>
    <w:rsid w:val="000B7D45"/>
    <w:rsid w:val="000B7D57"/>
    <w:rsid w:val="000B7D78"/>
    <w:rsid w:val="000C0058"/>
    <w:rsid w:val="000C008F"/>
    <w:rsid w:val="000C00C9"/>
    <w:rsid w:val="000C00DA"/>
    <w:rsid w:val="000C01C9"/>
    <w:rsid w:val="000C0326"/>
    <w:rsid w:val="000C0389"/>
    <w:rsid w:val="000C04D0"/>
    <w:rsid w:val="000C050F"/>
    <w:rsid w:val="000C0531"/>
    <w:rsid w:val="000C0692"/>
    <w:rsid w:val="000C0861"/>
    <w:rsid w:val="000C09D7"/>
    <w:rsid w:val="000C0ACE"/>
    <w:rsid w:val="000C0C70"/>
    <w:rsid w:val="000C0E89"/>
    <w:rsid w:val="000C0ED3"/>
    <w:rsid w:val="000C1092"/>
    <w:rsid w:val="000C1113"/>
    <w:rsid w:val="000C122A"/>
    <w:rsid w:val="000C124F"/>
    <w:rsid w:val="000C12F4"/>
    <w:rsid w:val="000C1309"/>
    <w:rsid w:val="000C1379"/>
    <w:rsid w:val="000C1736"/>
    <w:rsid w:val="000C1922"/>
    <w:rsid w:val="000C1A85"/>
    <w:rsid w:val="000C1C95"/>
    <w:rsid w:val="000C2034"/>
    <w:rsid w:val="000C203E"/>
    <w:rsid w:val="000C21D0"/>
    <w:rsid w:val="000C2719"/>
    <w:rsid w:val="000C289D"/>
    <w:rsid w:val="000C2996"/>
    <w:rsid w:val="000C2B72"/>
    <w:rsid w:val="000C2B98"/>
    <w:rsid w:val="000C2BA4"/>
    <w:rsid w:val="000C2C62"/>
    <w:rsid w:val="000C2F9C"/>
    <w:rsid w:val="000C308B"/>
    <w:rsid w:val="000C30AE"/>
    <w:rsid w:val="000C30C0"/>
    <w:rsid w:val="000C32A3"/>
    <w:rsid w:val="000C3622"/>
    <w:rsid w:val="000C36D6"/>
    <w:rsid w:val="000C378F"/>
    <w:rsid w:val="000C38F2"/>
    <w:rsid w:val="000C3945"/>
    <w:rsid w:val="000C39BE"/>
    <w:rsid w:val="000C3A2A"/>
    <w:rsid w:val="000C3A49"/>
    <w:rsid w:val="000C3BE8"/>
    <w:rsid w:val="000C3D8E"/>
    <w:rsid w:val="000C3DB5"/>
    <w:rsid w:val="000C3E06"/>
    <w:rsid w:val="000C3E3E"/>
    <w:rsid w:val="000C3EC9"/>
    <w:rsid w:val="000C3F29"/>
    <w:rsid w:val="000C3F44"/>
    <w:rsid w:val="000C3FB1"/>
    <w:rsid w:val="000C3FC4"/>
    <w:rsid w:val="000C43DA"/>
    <w:rsid w:val="000C4502"/>
    <w:rsid w:val="000C4673"/>
    <w:rsid w:val="000C4873"/>
    <w:rsid w:val="000C49E5"/>
    <w:rsid w:val="000C49F7"/>
    <w:rsid w:val="000C4AF5"/>
    <w:rsid w:val="000C4EAD"/>
    <w:rsid w:val="000C4EE2"/>
    <w:rsid w:val="000C4F52"/>
    <w:rsid w:val="000C50F7"/>
    <w:rsid w:val="000C5133"/>
    <w:rsid w:val="000C534A"/>
    <w:rsid w:val="000C5371"/>
    <w:rsid w:val="000C53C0"/>
    <w:rsid w:val="000C545B"/>
    <w:rsid w:val="000C569A"/>
    <w:rsid w:val="000C56F9"/>
    <w:rsid w:val="000C5762"/>
    <w:rsid w:val="000C5838"/>
    <w:rsid w:val="000C5AB0"/>
    <w:rsid w:val="000C5C28"/>
    <w:rsid w:val="000C5C56"/>
    <w:rsid w:val="000C5D87"/>
    <w:rsid w:val="000C5DA3"/>
    <w:rsid w:val="000C5DB6"/>
    <w:rsid w:val="000C5E0C"/>
    <w:rsid w:val="000C5E3D"/>
    <w:rsid w:val="000C5F90"/>
    <w:rsid w:val="000C6090"/>
    <w:rsid w:val="000C609B"/>
    <w:rsid w:val="000C60FB"/>
    <w:rsid w:val="000C622A"/>
    <w:rsid w:val="000C624C"/>
    <w:rsid w:val="000C6330"/>
    <w:rsid w:val="000C6334"/>
    <w:rsid w:val="000C63B9"/>
    <w:rsid w:val="000C6505"/>
    <w:rsid w:val="000C65C4"/>
    <w:rsid w:val="000C6835"/>
    <w:rsid w:val="000C6887"/>
    <w:rsid w:val="000C6888"/>
    <w:rsid w:val="000C68D8"/>
    <w:rsid w:val="000C6967"/>
    <w:rsid w:val="000C696F"/>
    <w:rsid w:val="000C69E3"/>
    <w:rsid w:val="000C6A18"/>
    <w:rsid w:val="000C6A48"/>
    <w:rsid w:val="000C6B62"/>
    <w:rsid w:val="000C6C0E"/>
    <w:rsid w:val="000C6D19"/>
    <w:rsid w:val="000C6D59"/>
    <w:rsid w:val="000C6E14"/>
    <w:rsid w:val="000C6E5F"/>
    <w:rsid w:val="000C6F77"/>
    <w:rsid w:val="000C6F97"/>
    <w:rsid w:val="000C70D4"/>
    <w:rsid w:val="000C70EC"/>
    <w:rsid w:val="000C7182"/>
    <w:rsid w:val="000C7484"/>
    <w:rsid w:val="000C74C1"/>
    <w:rsid w:val="000C756F"/>
    <w:rsid w:val="000C76F1"/>
    <w:rsid w:val="000C7749"/>
    <w:rsid w:val="000C78CD"/>
    <w:rsid w:val="000C7948"/>
    <w:rsid w:val="000C7A80"/>
    <w:rsid w:val="000C7AC1"/>
    <w:rsid w:val="000C7B0E"/>
    <w:rsid w:val="000C7CDC"/>
    <w:rsid w:val="000C7DF0"/>
    <w:rsid w:val="000C7E96"/>
    <w:rsid w:val="000C7F69"/>
    <w:rsid w:val="000C7F88"/>
    <w:rsid w:val="000C7FC9"/>
    <w:rsid w:val="000D0046"/>
    <w:rsid w:val="000D0123"/>
    <w:rsid w:val="000D020D"/>
    <w:rsid w:val="000D0241"/>
    <w:rsid w:val="000D0369"/>
    <w:rsid w:val="000D03A4"/>
    <w:rsid w:val="000D0549"/>
    <w:rsid w:val="000D065B"/>
    <w:rsid w:val="000D0669"/>
    <w:rsid w:val="000D07DE"/>
    <w:rsid w:val="000D0862"/>
    <w:rsid w:val="000D08E4"/>
    <w:rsid w:val="000D0986"/>
    <w:rsid w:val="000D0A6D"/>
    <w:rsid w:val="000D0B29"/>
    <w:rsid w:val="000D0B49"/>
    <w:rsid w:val="000D0BAF"/>
    <w:rsid w:val="000D0C17"/>
    <w:rsid w:val="000D0D2E"/>
    <w:rsid w:val="000D0D90"/>
    <w:rsid w:val="000D0DA8"/>
    <w:rsid w:val="000D0F27"/>
    <w:rsid w:val="000D1024"/>
    <w:rsid w:val="000D10EE"/>
    <w:rsid w:val="000D1345"/>
    <w:rsid w:val="000D1502"/>
    <w:rsid w:val="000D152E"/>
    <w:rsid w:val="000D160D"/>
    <w:rsid w:val="000D1AEC"/>
    <w:rsid w:val="000D1D0B"/>
    <w:rsid w:val="000D1D3C"/>
    <w:rsid w:val="000D1E35"/>
    <w:rsid w:val="000D1F1F"/>
    <w:rsid w:val="000D1FE9"/>
    <w:rsid w:val="000D21EC"/>
    <w:rsid w:val="000D2295"/>
    <w:rsid w:val="000D2331"/>
    <w:rsid w:val="000D2392"/>
    <w:rsid w:val="000D24E0"/>
    <w:rsid w:val="000D2581"/>
    <w:rsid w:val="000D265D"/>
    <w:rsid w:val="000D2697"/>
    <w:rsid w:val="000D2957"/>
    <w:rsid w:val="000D29A0"/>
    <w:rsid w:val="000D2AE9"/>
    <w:rsid w:val="000D2BAC"/>
    <w:rsid w:val="000D2BB1"/>
    <w:rsid w:val="000D2BB8"/>
    <w:rsid w:val="000D2C70"/>
    <w:rsid w:val="000D2E6A"/>
    <w:rsid w:val="000D2EBD"/>
    <w:rsid w:val="000D2EC2"/>
    <w:rsid w:val="000D2F1B"/>
    <w:rsid w:val="000D315C"/>
    <w:rsid w:val="000D3163"/>
    <w:rsid w:val="000D3197"/>
    <w:rsid w:val="000D320A"/>
    <w:rsid w:val="000D32B6"/>
    <w:rsid w:val="000D339D"/>
    <w:rsid w:val="000D33DC"/>
    <w:rsid w:val="000D347E"/>
    <w:rsid w:val="000D3501"/>
    <w:rsid w:val="000D3556"/>
    <w:rsid w:val="000D3658"/>
    <w:rsid w:val="000D3771"/>
    <w:rsid w:val="000D3781"/>
    <w:rsid w:val="000D37DA"/>
    <w:rsid w:val="000D3845"/>
    <w:rsid w:val="000D38F1"/>
    <w:rsid w:val="000D395D"/>
    <w:rsid w:val="000D3AEB"/>
    <w:rsid w:val="000D3B1E"/>
    <w:rsid w:val="000D3B58"/>
    <w:rsid w:val="000D3BC8"/>
    <w:rsid w:val="000D3CA2"/>
    <w:rsid w:val="000D3D50"/>
    <w:rsid w:val="000D3D6D"/>
    <w:rsid w:val="000D3DD9"/>
    <w:rsid w:val="000D3E33"/>
    <w:rsid w:val="000D3E7C"/>
    <w:rsid w:val="000D3E8E"/>
    <w:rsid w:val="000D3FF1"/>
    <w:rsid w:val="000D4150"/>
    <w:rsid w:val="000D43CF"/>
    <w:rsid w:val="000D43D6"/>
    <w:rsid w:val="000D446D"/>
    <w:rsid w:val="000D447A"/>
    <w:rsid w:val="000D4512"/>
    <w:rsid w:val="000D4593"/>
    <w:rsid w:val="000D46C0"/>
    <w:rsid w:val="000D4720"/>
    <w:rsid w:val="000D4785"/>
    <w:rsid w:val="000D49A3"/>
    <w:rsid w:val="000D4A5C"/>
    <w:rsid w:val="000D4BE2"/>
    <w:rsid w:val="000D4C0D"/>
    <w:rsid w:val="000D4D50"/>
    <w:rsid w:val="000D4E1B"/>
    <w:rsid w:val="000D4EC0"/>
    <w:rsid w:val="000D4F29"/>
    <w:rsid w:val="000D4F2E"/>
    <w:rsid w:val="000D5127"/>
    <w:rsid w:val="000D51ED"/>
    <w:rsid w:val="000D5282"/>
    <w:rsid w:val="000D5291"/>
    <w:rsid w:val="000D52D1"/>
    <w:rsid w:val="000D534D"/>
    <w:rsid w:val="000D53D2"/>
    <w:rsid w:val="000D5519"/>
    <w:rsid w:val="000D5581"/>
    <w:rsid w:val="000D57E2"/>
    <w:rsid w:val="000D5946"/>
    <w:rsid w:val="000D5B91"/>
    <w:rsid w:val="000D5C07"/>
    <w:rsid w:val="000D5CBF"/>
    <w:rsid w:val="000D5DDB"/>
    <w:rsid w:val="000D5EC5"/>
    <w:rsid w:val="000D5F21"/>
    <w:rsid w:val="000D600F"/>
    <w:rsid w:val="000D61F6"/>
    <w:rsid w:val="000D64D1"/>
    <w:rsid w:val="000D64E5"/>
    <w:rsid w:val="000D6505"/>
    <w:rsid w:val="000D6578"/>
    <w:rsid w:val="000D6583"/>
    <w:rsid w:val="000D659B"/>
    <w:rsid w:val="000D6624"/>
    <w:rsid w:val="000D6728"/>
    <w:rsid w:val="000D674C"/>
    <w:rsid w:val="000D6805"/>
    <w:rsid w:val="000D6847"/>
    <w:rsid w:val="000D6873"/>
    <w:rsid w:val="000D6924"/>
    <w:rsid w:val="000D6C7F"/>
    <w:rsid w:val="000D6CCF"/>
    <w:rsid w:val="000D6DAC"/>
    <w:rsid w:val="000D6E43"/>
    <w:rsid w:val="000D6E9B"/>
    <w:rsid w:val="000D6F4E"/>
    <w:rsid w:val="000D6F73"/>
    <w:rsid w:val="000D6FBC"/>
    <w:rsid w:val="000D7004"/>
    <w:rsid w:val="000D7085"/>
    <w:rsid w:val="000D70BA"/>
    <w:rsid w:val="000D70C4"/>
    <w:rsid w:val="000D7266"/>
    <w:rsid w:val="000D7426"/>
    <w:rsid w:val="000D7439"/>
    <w:rsid w:val="000D74D5"/>
    <w:rsid w:val="000D7512"/>
    <w:rsid w:val="000D770D"/>
    <w:rsid w:val="000D7859"/>
    <w:rsid w:val="000D78BF"/>
    <w:rsid w:val="000D7AF4"/>
    <w:rsid w:val="000D7B02"/>
    <w:rsid w:val="000D7E70"/>
    <w:rsid w:val="000D7E75"/>
    <w:rsid w:val="000D7E7F"/>
    <w:rsid w:val="000D7E85"/>
    <w:rsid w:val="000D7F27"/>
    <w:rsid w:val="000D7F7B"/>
    <w:rsid w:val="000DEDD7"/>
    <w:rsid w:val="000E001C"/>
    <w:rsid w:val="000E0229"/>
    <w:rsid w:val="000E04E3"/>
    <w:rsid w:val="000E05C7"/>
    <w:rsid w:val="000E08DE"/>
    <w:rsid w:val="000E0ACC"/>
    <w:rsid w:val="000E0C03"/>
    <w:rsid w:val="000E0D6C"/>
    <w:rsid w:val="000E0E76"/>
    <w:rsid w:val="000E1079"/>
    <w:rsid w:val="000E10C3"/>
    <w:rsid w:val="000E1189"/>
    <w:rsid w:val="000E11C2"/>
    <w:rsid w:val="000E126B"/>
    <w:rsid w:val="000E1273"/>
    <w:rsid w:val="000E1326"/>
    <w:rsid w:val="000E1460"/>
    <w:rsid w:val="000E1534"/>
    <w:rsid w:val="000E1601"/>
    <w:rsid w:val="000E1719"/>
    <w:rsid w:val="000E1746"/>
    <w:rsid w:val="000E19AE"/>
    <w:rsid w:val="000E19DB"/>
    <w:rsid w:val="000E1CA8"/>
    <w:rsid w:val="000E1E49"/>
    <w:rsid w:val="000E207B"/>
    <w:rsid w:val="000E20E3"/>
    <w:rsid w:val="000E2185"/>
    <w:rsid w:val="000E22F0"/>
    <w:rsid w:val="000E2300"/>
    <w:rsid w:val="000E2396"/>
    <w:rsid w:val="000E2482"/>
    <w:rsid w:val="000E24D4"/>
    <w:rsid w:val="000E2504"/>
    <w:rsid w:val="000E2579"/>
    <w:rsid w:val="000E2626"/>
    <w:rsid w:val="000E2738"/>
    <w:rsid w:val="000E280C"/>
    <w:rsid w:val="000E2BBC"/>
    <w:rsid w:val="000E2C8B"/>
    <w:rsid w:val="000E2D6F"/>
    <w:rsid w:val="000E2EFC"/>
    <w:rsid w:val="000E2FCB"/>
    <w:rsid w:val="000E3240"/>
    <w:rsid w:val="000E3268"/>
    <w:rsid w:val="000E3309"/>
    <w:rsid w:val="000E3369"/>
    <w:rsid w:val="000E33D1"/>
    <w:rsid w:val="000E3408"/>
    <w:rsid w:val="000E3411"/>
    <w:rsid w:val="000E3445"/>
    <w:rsid w:val="000E39C1"/>
    <w:rsid w:val="000E3A1E"/>
    <w:rsid w:val="000E3ABE"/>
    <w:rsid w:val="000E3B75"/>
    <w:rsid w:val="000E3C64"/>
    <w:rsid w:val="000E3D2F"/>
    <w:rsid w:val="000E3E4E"/>
    <w:rsid w:val="000E3F2F"/>
    <w:rsid w:val="000E3F6C"/>
    <w:rsid w:val="000E4186"/>
    <w:rsid w:val="000E4216"/>
    <w:rsid w:val="000E428E"/>
    <w:rsid w:val="000E429D"/>
    <w:rsid w:val="000E42A4"/>
    <w:rsid w:val="000E434C"/>
    <w:rsid w:val="000E43D6"/>
    <w:rsid w:val="000E445B"/>
    <w:rsid w:val="000E44A5"/>
    <w:rsid w:val="000E450B"/>
    <w:rsid w:val="000E454E"/>
    <w:rsid w:val="000E454F"/>
    <w:rsid w:val="000E4573"/>
    <w:rsid w:val="000E4592"/>
    <w:rsid w:val="000E45C8"/>
    <w:rsid w:val="000E476B"/>
    <w:rsid w:val="000E495D"/>
    <w:rsid w:val="000E4B0C"/>
    <w:rsid w:val="000E4C5B"/>
    <w:rsid w:val="000E4C5D"/>
    <w:rsid w:val="000E4E7E"/>
    <w:rsid w:val="000E4FD1"/>
    <w:rsid w:val="000E5234"/>
    <w:rsid w:val="000E5265"/>
    <w:rsid w:val="000E5491"/>
    <w:rsid w:val="000E55FB"/>
    <w:rsid w:val="000E5621"/>
    <w:rsid w:val="000E578D"/>
    <w:rsid w:val="000E57F5"/>
    <w:rsid w:val="000E5872"/>
    <w:rsid w:val="000E58FA"/>
    <w:rsid w:val="000E5A20"/>
    <w:rsid w:val="000E5AFA"/>
    <w:rsid w:val="000E5B19"/>
    <w:rsid w:val="000E5B7B"/>
    <w:rsid w:val="000E5C6B"/>
    <w:rsid w:val="000E5C77"/>
    <w:rsid w:val="000E5CCA"/>
    <w:rsid w:val="000E5CD4"/>
    <w:rsid w:val="000E5E94"/>
    <w:rsid w:val="000E5EEF"/>
    <w:rsid w:val="000E5F9E"/>
    <w:rsid w:val="000E600A"/>
    <w:rsid w:val="000E6463"/>
    <w:rsid w:val="000E64AA"/>
    <w:rsid w:val="000E6551"/>
    <w:rsid w:val="000E677B"/>
    <w:rsid w:val="000E682A"/>
    <w:rsid w:val="000E6912"/>
    <w:rsid w:val="000E694B"/>
    <w:rsid w:val="000E6962"/>
    <w:rsid w:val="000E6A43"/>
    <w:rsid w:val="000E6DFE"/>
    <w:rsid w:val="000E6E36"/>
    <w:rsid w:val="000E6F45"/>
    <w:rsid w:val="000E6F69"/>
    <w:rsid w:val="000E7017"/>
    <w:rsid w:val="000E7137"/>
    <w:rsid w:val="000E715A"/>
    <w:rsid w:val="000E7200"/>
    <w:rsid w:val="000E720E"/>
    <w:rsid w:val="000E72B7"/>
    <w:rsid w:val="000E72C6"/>
    <w:rsid w:val="000E73A4"/>
    <w:rsid w:val="000E73D6"/>
    <w:rsid w:val="000E74DD"/>
    <w:rsid w:val="000E7639"/>
    <w:rsid w:val="000E7648"/>
    <w:rsid w:val="000E7869"/>
    <w:rsid w:val="000E793B"/>
    <w:rsid w:val="000E799B"/>
    <w:rsid w:val="000E7A06"/>
    <w:rsid w:val="000E7A5B"/>
    <w:rsid w:val="000E7A99"/>
    <w:rsid w:val="000E7B46"/>
    <w:rsid w:val="000E7B4B"/>
    <w:rsid w:val="000E7CF1"/>
    <w:rsid w:val="000E7DE7"/>
    <w:rsid w:val="000E7E59"/>
    <w:rsid w:val="000E7F2C"/>
    <w:rsid w:val="000E7F87"/>
    <w:rsid w:val="000F004A"/>
    <w:rsid w:val="000F009B"/>
    <w:rsid w:val="000F00EC"/>
    <w:rsid w:val="000F0109"/>
    <w:rsid w:val="000F0179"/>
    <w:rsid w:val="000F021E"/>
    <w:rsid w:val="000F027F"/>
    <w:rsid w:val="000F0569"/>
    <w:rsid w:val="000F057A"/>
    <w:rsid w:val="000F058D"/>
    <w:rsid w:val="000F0672"/>
    <w:rsid w:val="000F0675"/>
    <w:rsid w:val="000F06AC"/>
    <w:rsid w:val="000F0731"/>
    <w:rsid w:val="000F07D9"/>
    <w:rsid w:val="000F08BE"/>
    <w:rsid w:val="000F08E0"/>
    <w:rsid w:val="000F0B90"/>
    <w:rsid w:val="000F0D82"/>
    <w:rsid w:val="000F110C"/>
    <w:rsid w:val="000F112F"/>
    <w:rsid w:val="000F1319"/>
    <w:rsid w:val="000F1408"/>
    <w:rsid w:val="000F1515"/>
    <w:rsid w:val="000F1543"/>
    <w:rsid w:val="000F15E6"/>
    <w:rsid w:val="000F1720"/>
    <w:rsid w:val="000F17AD"/>
    <w:rsid w:val="000F1831"/>
    <w:rsid w:val="000F185B"/>
    <w:rsid w:val="000F1995"/>
    <w:rsid w:val="000F19CE"/>
    <w:rsid w:val="000F1AEA"/>
    <w:rsid w:val="000F1B7B"/>
    <w:rsid w:val="000F1C1F"/>
    <w:rsid w:val="000F1C4B"/>
    <w:rsid w:val="000F1C8D"/>
    <w:rsid w:val="000F1E3F"/>
    <w:rsid w:val="000F1E82"/>
    <w:rsid w:val="000F1F4C"/>
    <w:rsid w:val="000F1FC1"/>
    <w:rsid w:val="000F21C1"/>
    <w:rsid w:val="000F21DE"/>
    <w:rsid w:val="000F21F7"/>
    <w:rsid w:val="000F238D"/>
    <w:rsid w:val="000F23CB"/>
    <w:rsid w:val="000F260B"/>
    <w:rsid w:val="000F2779"/>
    <w:rsid w:val="000F277C"/>
    <w:rsid w:val="000F287F"/>
    <w:rsid w:val="000F289D"/>
    <w:rsid w:val="000F28F9"/>
    <w:rsid w:val="000F2B17"/>
    <w:rsid w:val="000F2B95"/>
    <w:rsid w:val="000F2BAC"/>
    <w:rsid w:val="000F2BF6"/>
    <w:rsid w:val="000F2C13"/>
    <w:rsid w:val="000F2D92"/>
    <w:rsid w:val="000F2E36"/>
    <w:rsid w:val="000F2FC2"/>
    <w:rsid w:val="000F3041"/>
    <w:rsid w:val="000F3047"/>
    <w:rsid w:val="000F305C"/>
    <w:rsid w:val="000F30AE"/>
    <w:rsid w:val="000F3101"/>
    <w:rsid w:val="000F310D"/>
    <w:rsid w:val="000F31BE"/>
    <w:rsid w:val="000F326A"/>
    <w:rsid w:val="000F3426"/>
    <w:rsid w:val="000F3518"/>
    <w:rsid w:val="000F354A"/>
    <w:rsid w:val="000F35E8"/>
    <w:rsid w:val="000F379A"/>
    <w:rsid w:val="000F37F7"/>
    <w:rsid w:val="000F38F5"/>
    <w:rsid w:val="000F38F8"/>
    <w:rsid w:val="000F3981"/>
    <w:rsid w:val="000F3ACC"/>
    <w:rsid w:val="000F3B1E"/>
    <w:rsid w:val="000F3D82"/>
    <w:rsid w:val="000F3E2D"/>
    <w:rsid w:val="000F3E8E"/>
    <w:rsid w:val="000F3F82"/>
    <w:rsid w:val="000F3FD5"/>
    <w:rsid w:val="000F4055"/>
    <w:rsid w:val="000F40F7"/>
    <w:rsid w:val="000F41A4"/>
    <w:rsid w:val="000F41BB"/>
    <w:rsid w:val="000F4241"/>
    <w:rsid w:val="000F4244"/>
    <w:rsid w:val="000F439F"/>
    <w:rsid w:val="000F43D4"/>
    <w:rsid w:val="000F4406"/>
    <w:rsid w:val="000F4487"/>
    <w:rsid w:val="000F4683"/>
    <w:rsid w:val="000F4712"/>
    <w:rsid w:val="000F473C"/>
    <w:rsid w:val="000F4AA7"/>
    <w:rsid w:val="000F4ADF"/>
    <w:rsid w:val="000F4AEA"/>
    <w:rsid w:val="000F4B1D"/>
    <w:rsid w:val="000F4C74"/>
    <w:rsid w:val="000F4D2A"/>
    <w:rsid w:val="000F4E6E"/>
    <w:rsid w:val="000F4EC9"/>
    <w:rsid w:val="000F518D"/>
    <w:rsid w:val="000F51D0"/>
    <w:rsid w:val="000F531B"/>
    <w:rsid w:val="000F53B0"/>
    <w:rsid w:val="000F5408"/>
    <w:rsid w:val="000F543F"/>
    <w:rsid w:val="000F54D4"/>
    <w:rsid w:val="000F5598"/>
    <w:rsid w:val="000F5641"/>
    <w:rsid w:val="000F57FC"/>
    <w:rsid w:val="000F58B4"/>
    <w:rsid w:val="000F5A00"/>
    <w:rsid w:val="000F5C25"/>
    <w:rsid w:val="000F5CA7"/>
    <w:rsid w:val="000F5D54"/>
    <w:rsid w:val="000F5DDC"/>
    <w:rsid w:val="000F5DF0"/>
    <w:rsid w:val="000F5E60"/>
    <w:rsid w:val="000F60FD"/>
    <w:rsid w:val="000F61AF"/>
    <w:rsid w:val="000F6244"/>
    <w:rsid w:val="000F628A"/>
    <w:rsid w:val="000F6465"/>
    <w:rsid w:val="000F6481"/>
    <w:rsid w:val="000F6498"/>
    <w:rsid w:val="000F6743"/>
    <w:rsid w:val="000F6931"/>
    <w:rsid w:val="000F6AE8"/>
    <w:rsid w:val="000F6B23"/>
    <w:rsid w:val="000F6B3D"/>
    <w:rsid w:val="000F6BD0"/>
    <w:rsid w:val="000F6BF4"/>
    <w:rsid w:val="000F6C2F"/>
    <w:rsid w:val="000F6C38"/>
    <w:rsid w:val="000F6C92"/>
    <w:rsid w:val="000F6C9E"/>
    <w:rsid w:val="000F6E12"/>
    <w:rsid w:val="000F6F18"/>
    <w:rsid w:val="000F6F1B"/>
    <w:rsid w:val="000F7063"/>
    <w:rsid w:val="000F70FB"/>
    <w:rsid w:val="000F7392"/>
    <w:rsid w:val="000F741F"/>
    <w:rsid w:val="000F7421"/>
    <w:rsid w:val="000F74BC"/>
    <w:rsid w:val="000F7531"/>
    <w:rsid w:val="000F771C"/>
    <w:rsid w:val="000F7865"/>
    <w:rsid w:val="000F78DA"/>
    <w:rsid w:val="000F7A3C"/>
    <w:rsid w:val="000F7B26"/>
    <w:rsid w:val="000F7BDB"/>
    <w:rsid w:val="000F7BEF"/>
    <w:rsid w:val="000F7C5E"/>
    <w:rsid w:val="000F7DE4"/>
    <w:rsid w:val="000F7E31"/>
    <w:rsid w:val="000F7E81"/>
    <w:rsid w:val="000F7E9B"/>
    <w:rsid w:val="000F7EFE"/>
    <w:rsid w:val="00100065"/>
    <w:rsid w:val="00100174"/>
    <w:rsid w:val="00100176"/>
    <w:rsid w:val="0010019F"/>
    <w:rsid w:val="001001D3"/>
    <w:rsid w:val="0010029A"/>
    <w:rsid w:val="001002CF"/>
    <w:rsid w:val="0010036D"/>
    <w:rsid w:val="00100395"/>
    <w:rsid w:val="00100446"/>
    <w:rsid w:val="001004BC"/>
    <w:rsid w:val="001004FC"/>
    <w:rsid w:val="00100659"/>
    <w:rsid w:val="00100819"/>
    <w:rsid w:val="00100838"/>
    <w:rsid w:val="00100951"/>
    <w:rsid w:val="00100C52"/>
    <w:rsid w:val="00100E8E"/>
    <w:rsid w:val="00100E90"/>
    <w:rsid w:val="00100EC5"/>
    <w:rsid w:val="00100EDF"/>
    <w:rsid w:val="00100FE8"/>
    <w:rsid w:val="0010100B"/>
    <w:rsid w:val="0010119C"/>
    <w:rsid w:val="0010125E"/>
    <w:rsid w:val="001013EB"/>
    <w:rsid w:val="0010171C"/>
    <w:rsid w:val="00101725"/>
    <w:rsid w:val="0010183E"/>
    <w:rsid w:val="00101CB7"/>
    <w:rsid w:val="00101DB8"/>
    <w:rsid w:val="00101E46"/>
    <w:rsid w:val="00101E6E"/>
    <w:rsid w:val="00101E8D"/>
    <w:rsid w:val="00101F76"/>
    <w:rsid w:val="001021A8"/>
    <w:rsid w:val="001021F8"/>
    <w:rsid w:val="00102217"/>
    <w:rsid w:val="00102290"/>
    <w:rsid w:val="00102345"/>
    <w:rsid w:val="00102347"/>
    <w:rsid w:val="0010244B"/>
    <w:rsid w:val="001024C7"/>
    <w:rsid w:val="001025B7"/>
    <w:rsid w:val="00102866"/>
    <w:rsid w:val="00102EC9"/>
    <w:rsid w:val="00102F7F"/>
    <w:rsid w:val="00102FAD"/>
    <w:rsid w:val="00102FF8"/>
    <w:rsid w:val="0010305A"/>
    <w:rsid w:val="001030BC"/>
    <w:rsid w:val="0010313D"/>
    <w:rsid w:val="0010317C"/>
    <w:rsid w:val="001031BB"/>
    <w:rsid w:val="0010332F"/>
    <w:rsid w:val="00103356"/>
    <w:rsid w:val="00103627"/>
    <w:rsid w:val="00103657"/>
    <w:rsid w:val="001036CE"/>
    <w:rsid w:val="0010376D"/>
    <w:rsid w:val="001039E3"/>
    <w:rsid w:val="00103C37"/>
    <w:rsid w:val="00103C93"/>
    <w:rsid w:val="00103D14"/>
    <w:rsid w:val="00103DA0"/>
    <w:rsid w:val="00104045"/>
    <w:rsid w:val="001040C7"/>
    <w:rsid w:val="00104737"/>
    <w:rsid w:val="0010485D"/>
    <w:rsid w:val="00104866"/>
    <w:rsid w:val="0010487B"/>
    <w:rsid w:val="00104888"/>
    <w:rsid w:val="00104890"/>
    <w:rsid w:val="00104961"/>
    <w:rsid w:val="0010497A"/>
    <w:rsid w:val="00104BE4"/>
    <w:rsid w:val="00104D16"/>
    <w:rsid w:val="00104DC1"/>
    <w:rsid w:val="00104E20"/>
    <w:rsid w:val="00104ED9"/>
    <w:rsid w:val="00104FC2"/>
    <w:rsid w:val="00105011"/>
    <w:rsid w:val="0010507C"/>
    <w:rsid w:val="00105147"/>
    <w:rsid w:val="001052B4"/>
    <w:rsid w:val="001052ED"/>
    <w:rsid w:val="001054C6"/>
    <w:rsid w:val="00105721"/>
    <w:rsid w:val="00105766"/>
    <w:rsid w:val="0010581E"/>
    <w:rsid w:val="0010586E"/>
    <w:rsid w:val="00105B8B"/>
    <w:rsid w:val="00105BD3"/>
    <w:rsid w:val="00105CD9"/>
    <w:rsid w:val="00105D05"/>
    <w:rsid w:val="00105D0A"/>
    <w:rsid w:val="00105DEF"/>
    <w:rsid w:val="00105EBB"/>
    <w:rsid w:val="00105EFE"/>
    <w:rsid w:val="00105FA0"/>
    <w:rsid w:val="00106069"/>
    <w:rsid w:val="001060E8"/>
    <w:rsid w:val="001061EE"/>
    <w:rsid w:val="0010623B"/>
    <w:rsid w:val="00106272"/>
    <w:rsid w:val="0010644E"/>
    <w:rsid w:val="001067BE"/>
    <w:rsid w:val="0010684E"/>
    <w:rsid w:val="00106B25"/>
    <w:rsid w:val="00106B55"/>
    <w:rsid w:val="00106BBA"/>
    <w:rsid w:val="00106BE1"/>
    <w:rsid w:val="00106D09"/>
    <w:rsid w:val="00106D30"/>
    <w:rsid w:val="00106D73"/>
    <w:rsid w:val="00106E35"/>
    <w:rsid w:val="00106EA5"/>
    <w:rsid w:val="00106F38"/>
    <w:rsid w:val="0010702C"/>
    <w:rsid w:val="0010722C"/>
    <w:rsid w:val="00107274"/>
    <w:rsid w:val="001073B7"/>
    <w:rsid w:val="001074AD"/>
    <w:rsid w:val="001074FB"/>
    <w:rsid w:val="00107519"/>
    <w:rsid w:val="0010751E"/>
    <w:rsid w:val="00107559"/>
    <w:rsid w:val="001075CE"/>
    <w:rsid w:val="001076A6"/>
    <w:rsid w:val="00107844"/>
    <w:rsid w:val="0010795D"/>
    <w:rsid w:val="00107A8F"/>
    <w:rsid w:val="00107B2B"/>
    <w:rsid w:val="00107BA8"/>
    <w:rsid w:val="00107CE1"/>
    <w:rsid w:val="00107CED"/>
    <w:rsid w:val="00107F64"/>
    <w:rsid w:val="00110057"/>
    <w:rsid w:val="00110197"/>
    <w:rsid w:val="00110349"/>
    <w:rsid w:val="001103BC"/>
    <w:rsid w:val="001103C3"/>
    <w:rsid w:val="001103F1"/>
    <w:rsid w:val="001104BF"/>
    <w:rsid w:val="001105AA"/>
    <w:rsid w:val="00110622"/>
    <w:rsid w:val="001106A4"/>
    <w:rsid w:val="00110733"/>
    <w:rsid w:val="001107D4"/>
    <w:rsid w:val="001107F0"/>
    <w:rsid w:val="00110866"/>
    <w:rsid w:val="0011088C"/>
    <w:rsid w:val="001108C1"/>
    <w:rsid w:val="0011091E"/>
    <w:rsid w:val="001109F5"/>
    <w:rsid w:val="00110AC3"/>
    <w:rsid w:val="00110B37"/>
    <w:rsid w:val="00110B50"/>
    <w:rsid w:val="00110D00"/>
    <w:rsid w:val="00110D1D"/>
    <w:rsid w:val="00110F27"/>
    <w:rsid w:val="00110F8E"/>
    <w:rsid w:val="00111025"/>
    <w:rsid w:val="0011109A"/>
    <w:rsid w:val="0011128D"/>
    <w:rsid w:val="001112EE"/>
    <w:rsid w:val="001113B3"/>
    <w:rsid w:val="00111466"/>
    <w:rsid w:val="0011147F"/>
    <w:rsid w:val="0011154C"/>
    <w:rsid w:val="00111553"/>
    <w:rsid w:val="00111781"/>
    <w:rsid w:val="00111795"/>
    <w:rsid w:val="001118EF"/>
    <w:rsid w:val="001118F3"/>
    <w:rsid w:val="001119A7"/>
    <w:rsid w:val="00111B8C"/>
    <w:rsid w:val="00111C3E"/>
    <w:rsid w:val="00111D0B"/>
    <w:rsid w:val="00111E7F"/>
    <w:rsid w:val="00112294"/>
    <w:rsid w:val="001122A6"/>
    <w:rsid w:val="00112368"/>
    <w:rsid w:val="001123EE"/>
    <w:rsid w:val="001125E3"/>
    <w:rsid w:val="00112667"/>
    <w:rsid w:val="001126C7"/>
    <w:rsid w:val="001129A9"/>
    <w:rsid w:val="00112A75"/>
    <w:rsid w:val="00112A8B"/>
    <w:rsid w:val="00112C06"/>
    <w:rsid w:val="00112E87"/>
    <w:rsid w:val="00112EDA"/>
    <w:rsid w:val="00112F9B"/>
    <w:rsid w:val="0011308D"/>
    <w:rsid w:val="001130B3"/>
    <w:rsid w:val="00113182"/>
    <w:rsid w:val="00113186"/>
    <w:rsid w:val="00113287"/>
    <w:rsid w:val="00113376"/>
    <w:rsid w:val="0011358A"/>
    <w:rsid w:val="001135E1"/>
    <w:rsid w:val="00113759"/>
    <w:rsid w:val="00113837"/>
    <w:rsid w:val="00113897"/>
    <w:rsid w:val="00113A8E"/>
    <w:rsid w:val="00113C66"/>
    <w:rsid w:val="00113CA9"/>
    <w:rsid w:val="00113CC6"/>
    <w:rsid w:val="00113D6C"/>
    <w:rsid w:val="00113D98"/>
    <w:rsid w:val="00113E11"/>
    <w:rsid w:val="001140F6"/>
    <w:rsid w:val="0011416D"/>
    <w:rsid w:val="001141D1"/>
    <w:rsid w:val="001141FE"/>
    <w:rsid w:val="00114244"/>
    <w:rsid w:val="001142DD"/>
    <w:rsid w:val="00114418"/>
    <w:rsid w:val="00114429"/>
    <w:rsid w:val="001147AE"/>
    <w:rsid w:val="0011492A"/>
    <w:rsid w:val="00114CF9"/>
    <w:rsid w:val="00114E36"/>
    <w:rsid w:val="00114FA6"/>
    <w:rsid w:val="00115072"/>
    <w:rsid w:val="0011514B"/>
    <w:rsid w:val="0011517A"/>
    <w:rsid w:val="0011551D"/>
    <w:rsid w:val="001156BD"/>
    <w:rsid w:val="001157F8"/>
    <w:rsid w:val="0011587F"/>
    <w:rsid w:val="001158D7"/>
    <w:rsid w:val="00115AD2"/>
    <w:rsid w:val="00115B05"/>
    <w:rsid w:val="00115B47"/>
    <w:rsid w:val="00115C06"/>
    <w:rsid w:val="00115D19"/>
    <w:rsid w:val="00115D63"/>
    <w:rsid w:val="00115DB9"/>
    <w:rsid w:val="00115EE5"/>
    <w:rsid w:val="00115FE8"/>
    <w:rsid w:val="00116187"/>
    <w:rsid w:val="0011629F"/>
    <w:rsid w:val="001162C1"/>
    <w:rsid w:val="001162CB"/>
    <w:rsid w:val="001163A0"/>
    <w:rsid w:val="001163AB"/>
    <w:rsid w:val="001164BF"/>
    <w:rsid w:val="001164D8"/>
    <w:rsid w:val="0011657A"/>
    <w:rsid w:val="00116703"/>
    <w:rsid w:val="00116858"/>
    <w:rsid w:val="00116B62"/>
    <w:rsid w:val="00116BC7"/>
    <w:rsid w:val="00116C51"/>
    <w:rsid w:val="00116C80"/>
    <w:rsid w:val="00116D30"/>
    <w:rsid w:val="00116E4D"/>
    <w:rsid w:val="00116F12"/>
    <w:rsid w:val="00116FF2"/>
    <w:rsid w:val="00117046"/>
    <w:rsid w:val="00117119"/>
    <w:rsid w:val="00117147"/>
    <w:rsid w:val="0011717C"/>
    <w:rsid w:val="00117205"/>
    <w:rsid w:val="00117299"/>
    <w:rsid w:val="001173EB"/>
    <w:rsid w:val="0011751C"/>
    <w:rsid w:val="0011753E"/>
    <w:rsid w:val="00117706"/>
    <w:rsid w:val="001177A6"/>
    <w:rsid w:val="001177E2"/>
    <w:rsid w:val="0011783B"/>
    <w:rsid w:val="001178DE"/>
    <w:rsid w:val="00117996"/>
    <w:rsid w:val="001179A7"/>
    <w:rsid w:val="001179E5"/>
    <w:rsid w:val="00117AD4"/>
    <w:rsid w:val="00117B22"/>
    <w:rsid w:val="00117CEF"/>
    <w:rsid w:val="00117D22"/>
    <w:rsid w:val="00117EDD"/>
    <w:rsid w:val="00117F5E"/>
    <w:rsid w:val="00117F84"/>
    <w:rsid w:val="0012021D"/>
    <w:rsid w:val="00120338"/>
    <w:rsid w:val="00120442"/>
    <w:rsid w:val="001204D2"/>
    <w:rsid w:val="0012069B"/>
    <w:rsid w:val="0012071B"/>
    <w:rsid w:val="00120766"/>
    <w:rsid w:val="001207C0"/>
    <w:rsid w:val="00120917"/>
    <w:rsid w:val="0012096F"/>
    <w:rsid w:val="0012097B"/>
    <w:rsid w:val="00120A4B"/>
    <w:rsid w:val="00120A68"/>
    <w:rsid w:val="00120B51"/>
    <w:rsid w:val="00120B5F"/>
    <w:rsid w:val="00120DA3"/>
    <w:rsid w:val="00120E85"/>
    <w:rsid w:val="00120F73"/>
    <w:rsid w:val="00120F9E"/>
    <w:rsid w:val="00121033"/>
    <w:rsid w:val="001210B9"/>
    <w:rsid w:val="00121339"/>
    <w:rsid w:val="00121430"/>
    <w:rsid w:val="00121487"/>
    <w:rsid w:val="001214A3"/>
    <w:rsid w:val="001214D3"/>
    <w:rsid w:val="0012164D"/>
    <w:rsid w:val="00121762"/>
    <w:rsid w:val="001217B5"/>
    <w:rsid w:val="00121870"/>
    <w:rsid w:val="00121885"/>
    <w:rsid w:val="00121ACD"/>
    <w:rsid w:val="00121BA0"/>
    <w:rsid w:val="00121BE7"/>
    <w:rsid w:val="00121CDD"/>
    <w:rsid w:val="00121D52"/>
    <w:rsid w:val="00121E1C"/>
    <w:rsid w:val="00122101"/>
    <w:rsid w:val="00122132"/>
    <w:rsid w:val="001221A0"/>
    <w:rsid w:val="0012222B"/>
    <w:rsid w:val="0012239D"/>
    <w:rsid w:val="0012246C"/>
    <w:rsid w:val="00122503"/>
    <w:rsid w:val="001225C1"/>
    <w:rsid w:val="0012261E"/>
    <w:rsid w:val="00122627"/>
    <w:rsid w:val="00122633"/>
    <w:rsid w:val="001226A7"/>
    <w:rsid w:val="0012275A"/>
    <w:rsid w:val="001227C8"/>
    <w:rsid w:val="00122894"/>
    <w:rsid w:val="001229BE"/>
    <w:rsid w:val="00122A46"/>
    <w:rsid w:val="00122B3F"/>
    <w:rsid w:val="00122CB5"/>
    <w:rsid w:val="00122D2F"/>
    <w:rsid w:val="00122DAF"/>
    <w:rsid w:val="00122DDD"/>
    <w:rsid w:val="00122E1B"/>
    <w:rsid w:val="00122E62"/>
    <w:rsid w:val="00122F01"/>
    <w:rsid w:val="00122F3A"/>
    <w:rsid w:val="00122F5A"/>
    <w:rsid w:val="0012310A"/>
    <w:rsid w:val="001232B7"/>
    <w:rsid w:val="001232CF"/>
    <w:rsid w:val="0012352A"/>
    <w:rsid w:val="001235B1"/>
    <w:rsid w:val="00123621"/>
    <w:rsid w:val="00123649"/>
    <w:rsid w:val="0012365C"/>
    <w:rsid w:val="001237A9"/>
    <w:rsid w:val="00123915"/>
    <w:rsid w:val="00123955"/>
    <w:rsid w:val="00123991"/>
    <w:rsid w:val="00123A27"/>
    <w:rsid w:val="00123B5D"/>
    <w:rsid w:val="00123B8F"/>
    <w:rsid w:val="0012428F"/>
    <w:rsid w:val="001242B6"/>
    <w:rsid w:val="0012437B"/>
    <w:rsid w:val="00124419"/>
    <w:rsid w:val="00124441"/>
    <w:rsid w:val="001244AA"/>
    <w:rsid w:val="0012454A"/>
    <w:rsid w:val="001245A6"/>
    <w:rsid w:val="001245F6"/>
    <w:rsid w:val="001246CA"/>
    <w:rsid w:val="00124759"/>
    <w:rsid w:val="001247E0"/>
    <w:rsid w:val="001247ED"/>
    <w:rsid w:val="001247FB"/>
    <w:rsid w:val="0012481A"/>
    <w:rsid w:val="001249A9"/>
    <w:rsid w:val="00124AC3"/>
    <w:rsid w:val="00124B1D"/>
    <w:rsid w:val="00124BA2"/>
    <w:rsid w:val="00124BBD"/>
    <w:rsid w:val="00124BBE"/>
    <w:rsid w:val="00124E14"/>
    <w:rsid w:val="00124E1C"/>
    <w:rsid w:val="00124E42"/>
    <w:rsid w:val="00124EAC"/>
    <w:rsid w:val="001251F7"/>
    <w:rsid w:val="00125245"/>
    <w:rsid w:val="00125368"/>
    <w:rsid w:val="0012538B"/>
    <w:rsid w:val="0012538F"/>
    <w:rsid w:val="00125459"/>
    <w:rsid w:val="001254B1"/>
    <w:rsid w:val="001254BF"/>
    <w:rsid w:val="00125504"/>
    <w:rsid w:val="00125704"/>
    <w:rsid w:val="00125763"/>
    <w:rsid w:val="0012583A"/>
    <w:rsid w:val="0012584E"/>
    <w:rsid w:val="00125886"/>
    <w:rsid w:val="00125A00"/>
    <w:rsid w:val="00125A6D"/>
    <w:rsid w:val="00125B42"/>
    <w:rsid w:val="00125B72"/>
    <w:rsid w:val="00125D81"/>
    <w:rsid w:val="00125F04"/>
    <w:rsid w:val="0012600F"/>
    <w:rsid w:val="00126280"/>
    <w:rsid w:val="0012640A"/>
    <w:rsid w:val="00126587"/>
    <w:rsid w:val="0012666A"/>
    <w:rsid w:val="00126727"/>
    <w:rsid w:val="0012678F"/>
    <w:rsid w:val="0012693D"/>
    <w:rsid w:val="00126957"/>
    <w:rsid w:val="00126BF3"/>
    <w:rsid w:val="00126C35"/>
    <w:rsid w:val="00126D96"/>
    <w:rsid w:val="00126F62"/>
    <w:rsid w:val="00126FDE"/>
    <w:rsid w:val="00127017"/>
    <w:rsid w:val="001270EC"/>
    <w:rsid w:val="001271D9"/>
    <w:rsid w:val="001272BA"/>
    <w:rsid w:val="00127494"/>
    <w:rsid w:val="0012766B"/>
    <w:rsid w:val="00127857"/>
    <w:rsid w:val="0012792F"/>
    <w:rsid w:val="0012794B"/>
    <w:rsid w:val="00127A5F"/>
    <w:rsid w:val="00127C7F"/>
    <w:rsid w:val="00127E3A"/>
    <w:rsid w:val="00127F3A"/>
    <w:rsid w:val="00127F91"/>
    <w:rsid w:val="00127FF8"/>
    <w:rsid w:val="0012EFDA"/>
    <w:rsid w:val="0013005B"/>
    <w:rsid w:val="001300DB"/>
    <w:rsid w:val="001301FC"/>
    <w:rsid w:val="00130271"/>
    <w:rsid w:val="00130364"/>
    <w:rsid w:val="0013037B"/>
    <w:rsid w:val="0013067F"/>
    <w:rsid w:val="001306FF"/>
    <w:rsid w:val="0013088A"/>
    <w:rsid w:val="00130AB4"/>
    <w:rsid w:val="00130BE2"/>
    <w:rsid w:val="00130C9F"/>
    <w:rsid w:val="00130CA0"/>
    <w:rsid w:val="00130DC4"/>
    <w:rsid w:val="00130FC6"/>
    <w:rsid w:val="00131089"/>
    <w:rsid w:val="001310EC"/>
    <w:rsid w:val="00131163"/>
    <w:rsid w:val="001311E6"/>
    <w:rsid w:val="0013126B"/>
    <w:rsid w:val="00131380"/>
    <w:rsid w:val="001313DB"/>
    <w:rsid w:val="001313EF"/>
    <w:rsid w:val="00131413"/>
    <w:rsid w:val="00131656"/>
    <w:rsid w:val="00131685"/>
    <w:rsid w:val="0013184B"/>
    <w:rsid w:val="001318FE"/>
    <w:rsid w:val="00131994"/>
    <w:rsid w:val="00131C2D"/>
    <w:rsid w:val="00131D9B"/>
    <w:rsid w:val="00131E41"/>
    <w:rsid w:val="00131F97"/>
    <w:rsid w:val="00132064"/>
    <w:rsid w:val="00132065"/>
    <w:rsid w:val="001320AE"/>
    <w:rsid w:val="001321BE"/>
    <w:rsid w:val="0013230E"/>
    <w:rsid w:val="001323A4"/>
    <w:rsid w:val="001323AA"/>
    <w:rsid w:val="00132418"/>
    <w:rsid w:val="0013249C"/>
    <w:rsid w:val="0013249E"/>
    <w:rsid w:val="001326A4"/>
    <w:rsid w:val="001326D9"/>
    <w:rsid w:val="00132760"/>
    <w:rsid w:val="00132772"/>
    <w:rsid w:val="0013277D"/>
    <w:rsid w:val="0013282C"/>
    <w:rsid w:val="0013292B"/>
    <w:rsid w:val="001329DC"/>
    <w:rsid w:val="001329F7"/>
    <w:rsid w:val="00132BE6"/>
    <w:rsid w:val="00132C0C"/>
    <w:rsid w:val="00132D1D"/>
    <w:rsid w:val="00132D5A"/>
    <w:rsid w:val="00132E4E"/>
    <w:rsid w:val="00132E89"/>
    <w:rsid w:val="00132EDB"/>
    <w:rsid w:val="00132EFC"/>
    <w:rsid w:val="00132F41"/>
    <w:rsid w:val="00132F79"/>
    <w:rsid w:val="001330A7"/>
    <w:rsid w:val="001330E5"/>
    <w:rsid w:val="00133116"/>
    <w:rsid w:val="00133347"/>
    <w:rsid w:val="001335E7"/>
    <w:rsid w:val="00133685"/>
    <w:rsid w:val="001337A5"/>
    <w:rsid w:val="001337C1"/>
    <w:rsid w:val="00133821"/>
    <w:rsid w:val="00133998"/>
    <w:rsid w:val="001339D3"/>
    <w:rsid w:val="00133A8E"/>
    <w:rsid w:val="00133AEE"/>
    <w:rsid w:val="00133BAF"/>
    <w:rsid w:val="00133BF4"/>
    <w:rsid w:val="00133C9D"/>
    <w:rsid w:val="00133F86"/>
    <w:rsid w:val="00133FB1"/>
    <w:rsid w:val="00134013"/>
    <w:rsid w:val="0013402C"/>
    <w:rsid w:val="00134177"/>
    <w:rsid w:val="00134689"/>
    <w:rsid w:val="00134840"/>
    <w:rsid w:val="00134954"/>
    <w:rsid w:val="00134AEF"/>
    <w:rsid w:val="00134C8F"/>
    <w:rsid w:val="00134CC7"/>
    <w:rsid w:val="00134CE6"/>
    <w:rsid w:val="00134D0F"/>
    <w:rsid w:val="00134EC3"/>
    <w:rsid w:val="0013518C"/>
    <w:rsid w:val="00135205"/>
    <w:rsid w:val="0013528A"/>
    <w:rsid w:val="001352A6"/>
    <w:rsid w:val="00135444"/>
    <w:rsid w:val="001354BE"/>
    <w:rsid w:val="00135660"/>
    <w:rsid w:val="0013566E"/>
    <w:rsid w:val="001356B0"/>
    <w:rsid w:val="001356BC"/>
    <w:rsid w:val="001357CD"/>
    <w:rsid w:val="00135818"/>
    <w:rsid w:val="001358F1"/>
    <w:rsid w:val="00135B30"/>
    <w:rsid w:val="00135B38"/>
    <w:rsid w:val="00135CD6"/>
    <w:rsid w:val="00135E86"/>
    <w:rsid w:val="00135F66"/>
    <w:rsid w:val="0013604A"/>
    <w:rsid w:val="00136099"/>
    <w:rsid w:val="00136189"/>
    <w:rsid w:val="001361CC"/>
    <w:rsid w:val="001363A0"/>
    <w:rsid w:val="001363CF"/>
    <w:rsid w:val="0013655F"/>
    <w:rsid w:val="00136602"/>
    <w:rsid w:val="0013661D"/>
    <w:rsid w:val="00136632"/>
    <w:rsid w:val="00136660"/>
    <w:rsid w:val="00136692"/>
    <w:rsid w:val="001366D3"/>
    <w:rsid w:val="001367FF"/>
    <w:rsid w:val="001368D4"/>
    <w:rsid w:val="001369F2"/>
    <w:rsid w:val="00136B13"/>
    <w:rsid w:val="00136BD4"/>
    <w:rsid w:val="00136D3E"/>
    <w:rsid w:val="00136D68"/>
    <w:rsid w:val="00136D75"/>
    <w:rsid w:val="00136DC0"/>
    <w:rsid w:val="00136DD1"/>
    <w:rsid w:val="00136E36"/>
    <w:rsid w:val="00136E5A"/>
    <w:rsid w:val="00136FEF"/>
    <w:rsid w:val="0013703F"/>
    <w:rsid w:val="001371D4"/>
    <w:rsid w:val="00137279"/>
    <w:rsid w:val="00137476"/>
    <w:rsid w:val="001374B8"/>
    <w:rsid w:val="00137991"/>
    <w:rsid w:val="00137C1B"/>
    <w:rsid w:val="00137CB2"/>
    <w:rsid w:val="00137D02"/>
    <w:rsid w:val="00137DF0"/>
    <w:rsid w:val="00137E1C"/>
    <w:rsid w:val="00137E48"/>
    <w:rsid w:val="00137E57"/>
    <w:rsid w:val="00137E66"/>
    <w:rsid w:val="0014005B"/>
    <w:rsid w:val="0014015F"/>
    <w:rsid w:val="001402E0"/>
    <w:rsid w:val="001403E3"/>
    <w:rsid w:val="001404EE"/>
    <w:rsid w:val="00140503"/>
    <w:rsid w:val="0014052A"/>
    <w:rsid w:val="00140601"/>
    <w:rsid w:val="00140635"/>
    <w:rsid w:val="001406D3"/>
    <w:rsid w:val="00140711"/>
    <w:rsid w:val="001407B2"/>
    <w:rsid w:val="001407BA"/>
    <w:rsid w:val="00140A60"/>
    <w:rsid w:val="00140A65"/>
    <w:rsid w:val="00140AA1"/>
    <w:rsid w:val="00140ABF"/>
    <w:rsid w:val="00140B1B"/>
    <w:rsid w:val="00140E0E"/>
    <w:rsid w:val="00140E69"/>
    <w:rsid w:val="00140ED2"/>
    <w:rsid w:val="00140FDB"/>
    <w:rsid w:val="00141008"/>
    <w:rsid w:val="00141084"/>
    <w:rsid w:val="00141086"/>
    <w:rsid w:val="0014109D"/>
    <w:rsid w:val="001410C7"/>
    <w:rsid w:val="00141123"/>
    <w:rsid w:val="0014119E"/>
    <w:rsid w:val="0014133A"/>
    <w:rsid w:val="00141378"/>
    <w:rsid w:val="0014138A"/>
    <w:rsid w:val="0014141E"/>
    <w:rsid w:val="0014148B"/>
    <w:rsid w:val="00141601"/>
    <w:rsid w:val="0014160D"/>
    <w:rsid w:val="0014171B"/>
    <w:rsid w:val="0014197D"/>
    <w:rsid w:val="00141B81"/>
    <w:rsid w:val="00141B82"/>
    <w:rsid w:val="00141BA7"/>
    <w:rsid w:val="00141EFF"/>
    <w:rsid w:val="001420E4"/>
    <w:rsid w:val="00142157"/>
    <w:rsid w:val="0014222B"/>
    <w:rsid w:val="001422B1"/>
    <w:rsid w:val="001422B8"/>
    <w:rsid w:val="001423F0"/>
    <w:rsid w:val="00142514"/>
    <w:rsid w:val="00142531"/>
    <w:rsid w:val="00142782"/>
    <w:rsid w:val="0014282A"/>
    <w:rsid w:val="001429A3"/>
    <w:rsid w:val="00142B02"/>
    <w:rsid w:val="00142DDC"/>
    <w:rsid w:val="00142E79"/>
    <w:rsid w:val="00142EAF"/>
    <w:rsid w:val="00142EF8"/>
    <w:rsid w:val="0014305E"/>
    <w:rsid w:val="00143080"/>
    <w:rsid w:val="001430A6"/>
    <w:rsid w:val="001430C4"/>
    <w:rsid w:val="0014318C"/>
    <w:rsid w:val="0014327C"/>
    <w:rsid w:val="001432B8"/>
    <w:rsid w:val="001433DA"/>
    <w:rsid w:val="0014398F"/>
    <w:rsid w:val="001439BB"/>
    <w:rsid w:val="00143A35"/>
    <w:rsid w:val="00143A85"/>
    <w:rsid w:val="00143AA2"/>
    <w:rsid w:val="00143AC9"/>
    <w:rsid w:val="00143B44"/>
    <w:rsid w:val="00143B85"/>
    <w:rsid w:val="00143CC0"/>
    <w:rsid w:val="00143E7C"/>
    <w:rsid w:val="00144010"/>
    <w:rsid w:val="0014406F"/>
    <w:rsid w:val="00144088"/>
    <w:rsid w:val="0014411C"/>
    <w:rsid w:val="0014415C"/>
    <w:rsid w:val="00144238"/>
    <w:rsid w:val="001443A6"/>
    <w:rsid w:val="001444F3"/>
    <w:rsid w:val="00144551"/>
    <w:rsid w:val="00144567"/>
    <w:rsid w:val="0014463F"/>
    <w:rsid w:val="00144754"/>
    <w:rsid w:val="0014480B"/>
    <w:rsid w:val="0014489C"/>
    <w:rsid w:val="00144940"/>
    <w:rsid w:val="00144992"/>
    <w:rsid w:val="00144AD3"/>
    <w:rsid w:val="00144BDD"/>
    <w:rsid w:val="00144E6D"/>
    <w:rsid w:val="00144E9D"/>
    <w:rsid w:val="00144F1E"/>
    <w:rsid w:val="00144FAD"/>
    <w:rsid w:val="00145004"/>
    <w:rsid w:val="001450B7"/>
    <w:rsid w:val="00145105"/>
    <w:rsid w:val="00145276"/>
    <w:rsid w:val="001452F5"/>
    <w:rsid w:val="00145485"/>
    <w:rsid w:val="001454B3"/>
    <w:rsid w:val="0014565E"/>
    <w:rsid w:val="001456AA"/>
    <w:rsid w:val="00145796"/>
    <w:rsid w:val="00145889"/>
    <w:rsid w:val="0014588E"/>
    <w:rsid w:val="001459B4"/>
    <w:rsid w:val="00145A02"/>
    <w:rsid w:val="00145AA4"/>
    <w:rsid w:val="00145C1E"/>
    <w:rsid w:val="00145D27"/>
    <w:rsid w:val="00145EFB"/>
    <w:rsid w:val="0014653E"/>
    <w:rsid w:val="001465F2"/>
    <w:rsid w:val="00146615"/>
    <w:rsid w:val="00146650"/>
    <w:rsid w:val="001466C2"/>
    <w:rsid w:val="001467A7"/>
    <w:rsid w:val="00146970"/>
    <w:rsid w:val="001469CC"/>
    <w:rsid w:val="00146B21"/>
    <w:rsid w:val="00146BDD"/>
    <w:rsid w:val="00146C2B"/>
    <w:rsid w:val="00146CDC"/>
    <w:rsid w:val="00146CEE"/>
    <w:rsid w:val="00146D61"/>
    <w:rsid w:val="00147033"/>
    <w:rsid w:val="001470A6"/>
    <w:rsid w:val="001471BB"/>
    <w:rsid w:val="001471DB"/>
    <w:rsid w:val="00147233"/>
    <w:rsid w:val="00147345"/>
    <w:rsid w:val="001473A6"/>
    <w:rsid w:val="00147416"/>
    <w:rsid w:val="00147520"/>
    <w:rsid w:val="00147542"/>
    <w:rsid w:val="00147551"/>
    <w:rsid w:val="001476B2"/>
    <w:rsid w:val="001476F5"/>
    <w:rsid w:val="0014777E"/>
    <w:rsid w:val="001477D1"/>
    <w:rsid w:val="0014787E"/>
    <w:rsid w:val="00147C23"/>
    <w:rsid w:val="00147C42"/>
    <w:rsid w:val="00147C84"/>
    <w:rsid w:val="00150093"/>
    <w:rsid w:val="00150281"/>
    <w:rsid w:val="001502CB"/>
    <w:rsid w:val="001503A7"/>
    <w:rsid w:val="001503FA"/>
    <w:rsid w:val="0015042D"/>
    <w:rsid w:val="0015048D"/>
    <w:rsid w:val="00150580"/>
    <w:rsid w:val="00150614"/>
    <w:rsid w:val="001506BF"/>
    <w:rsid w:val="001507ED"/>
    <w:rsid w:val="001507EE"/>
    <w:rsid w:val="00150858"/>
    <w:rsid w:val="00150979"/>
    <w:rsid w:val="00150AE5"/>
    <w:rsid w:val="00150B03"/>
    <w:rsid w:val="00150B38"/>
    <w:rsid w:val="00150BB4"/>
    <w:rsid w:val="00150BBF"/>
    <w:rsid w:val="00150C5D"/>
    <w:rsid w:val="00150CF3"/>
    <w:rsid w:val="00150D4A"/>
    <w:rsid w:val="00150EB9"/>
    <w:rsid w:val="00150F3E"/>
    <w:rsid w:val="001510C5"/>
    <w:rsid w:val="001510D4"/>
    <w:rsid w:val="0015113E"/>
    <w:rsid w:val="001512C6"/>
    <w:rsid w:val="00151348"/>
    <w:rsid w:val="001513A3"/>
    <w:rsid w:val="0015142F"/>
    <w:rsid w:val="0015160A"/>
    <w:rsid w:val="00151674"/>
    <w:rsid w:val="00151770"/>
    <w:rsid w:val="00151781"/>
    <w:rsid w:val="0015178A"/>
    <w:rsid w:val="0015183D"/>
    <w:rsid w:val="00151A8B"/>
    <w:rsid w:val="00151AE7"/>
    <w:rsid w:val="00151FB5"/>
    <w:rsid w:val="00152141"/>
    <w:rsid w:val="001521A8"/>
    <w:rsid w:val="0015220A"/>
    <w:rsid w:val="00152326"/>
    <w:rsid w:val="0015244C"/>
    <w:rsid w:val="0015270A"/>
    <w:rsid w:val="00152825"/>
    <w:rsid w:val="00152872"/>
    <w:rsid w:val="00152ADB"/>
    <w:rsid w:val="00152C50"/>
    <w:rsid w:val="00152C89"/>
    <w:rsid w:val="00152DC2"/>
    <w:rsid w:val="00152F08"/>
    <w:rsid w:val="00153145"/>
    <w:rsid w:val="00153149"/>
    <w:rsid w:val="00153157"/>
    <w:rsid w:val="00153329"/>
    <w:rsid w:val="0015339F"/>
    <w:rsid w:val="00153421"/>
    <w:rsid w:val="00153434"/>
    <w:rsid w:val="0015350E"/>
    <w:rsid w:val="0015357A"/>
    <w:rsid w:val="00153667"/>
    <w:rsid w:val="001536C9"/>
    <w:rsid w:val="00153729"/>
    <w:rsid w:val="00153762"/>
    <w:rsid w:val="00153966"/>
    <w:rsid w:val="00153A36"/>
    <w:rsid w:val="00153AFB"/>
    <w:rsid w:val="00153D07"/>
    <w:rsid w:val="00153DD8"/>
    <w:rsid w:val="00153DDD"/>
    <w:rsid w:val="00153E44"/>
    <w:rsid w:val="001540FC"/>
    <w:rsid w:val="001541CD"/>
    <w:rsid w:val="001541DB"/>
    <w:rsid w:val="0015429B"/>
    <w:rsid w:val="001544D7"/>
    <w:rsid w:val="001546A6"/>
    <w:rsid w:val="00154777"/>
    <w:rsid w:val="001547A0"/>
    <w:rsid w:val="001547BC"/>
    <w:rsid w:val="001547D7"/>
    <w:rsid w:val="001548A6"/>
    <w:rsid w:val="001548BB"/>
    <w:rsid w:val="001549D3"/>
    <w:rsid w:val="00154A11"/>
    <w:rsid w:val="00154A75"/>
    <w:rsid w:val="00154AB3"/>
    <w:rsid w:val="00154B71"/>
    <w:rsid w:val="00154B74"/>
    <w:rsid w:val="00154D10"/>
    <w:rsid w:val="00154D53"/>
    <w:rsid w:val="00154DF5"/>
    <w:rsid w:val="00154E7D"/>
    <w:rsid w:val="00154F25"/>
    <w:rsid w:val="00154F3A"/>
    <w:rsid w:val="00154F77"/>
    <w:rsid w:val="001550B8"/>
    <w:rsid w:val="00155128"/>
    <w:rsid w:val="001551E5"/>
    <w:rsid w:val="001553B0"/>
    <w:rsid w:val="001553EC"/>
    <w:rsid w:val="0015543F"/>
    <w:rsid w:val="00155588"/>
    <w:rsid w:val="00155635"/>
    <w:rsid w:val="00155651"/>
    <w:rsid w:val="00155686"/>
    <w:rsid w:val="001556EF"/>
    <w:rsid w:val="001557E5"/>
    <w:rsid w:val="001557FA"/>
    <w:rsid w:val="00155A23"/>
    <w:rsid w:val="00155A91"/>
    <w:rsid w:val="00155AB2"/>
    <w:rsid w:val="00155CF5"/>
    <w:rsid w:val="00155E0B"/>
    <w:rsid w:val="00155EF2"/>
    <w:rsid w:val="00155FB1"/>
    <w:rsid w:val="00155FC1"/>
    <w:rsid w:val="00156040"/>
    <w:rsid w:val="001560BC"/>
    <w:rsid w:val="00156196"/>
    <w:rsid w:val="00156360"/>
    <w:rsid w:val="00156408"/>
    <w:rsid w:val="00156590"/>
    <w:rsid w:val="00156591"/>
    <w:rsid w:val="001565D5"/>
    <w:rsid w:val="001566B6"/>
    <w:rsid w:val="00156700"/>
    <w:rsid w:val="0015699E"/>
    <w:rsid w:val="00156A42"/>
    <w:rsid w:val="00156A79"/>
    <w:rsid w:val="00156B10"/>
    <w:rsid w:val="00156D9B"/>
    <w:rsid w:val="00156E45"/>
    <w:rsid w:val="00156EFC"/>
    <w:rsid w:val="00156FB7"/>
    <w:rsid w:val="001572F4"/>
    <w:rsid w:val="00157401"/>
    <w:rsid w:val="001574A6"/>
    <w:rsid w:val="0015751C"/>
    <w:rsid w:val="00157557"/>
    <w:rsid w:val="0015780F"/>
    <w:rsid w:val="00157836"/>
    <w:rsid w:val="00157873"/>
    <w:rsid w:val="001578D0"/>
    <w:rsid w:val="00157BC0"/>
    <w:rsid w:val="00157D28"/>
    <w:rsid w:val="00157DCD"/>
    <w:rsid w:val="00157DD1"/>
    <w:rsid w:val="00157DE7"/>
    <w:rsid w:val="00157F47"/>
    <w:rsid w:val="00157F94"/>
    <w:rsid w:val="00160032"/>
    <w:rsid w:val="00160103"/>
    <w:rsid w:val="00160198"/>
    <w:rsid w:val="00160199"/>
    <w:rsid w:val="0016029E"/>
    <w:rsid w:val="001602A6"/>
    <w:rsid w:val="0016035D"/>
    <w:rsid w:val="0016047B"/>
    <w:rsid w:val="0016060C"/>
    <w:rsid w:val="00160635"/>
    <w:rsid w:val="00160894"/>
    <w:rsid w:val="0016092C"/>
    <w:rsid w:val="00160986"/>
    <w:rsid w:val="00160AB7"/>
    <w:rsid w:val="00160AC3"/>
    <w:rsid w:val="00160B89"/>
    <w:rsid w:val="00160CC0"/>
    <w:rsid w:val="00160D58"/>
    <w:rsid w:val="00160D70"/>
    <w:rsid w:val="00160DA0"/>
    <w:rsid w:val="00160E83"/>
    <w:rsid w:val="0016101C"/>
    <w:rsid w:val="00161183"/>
    <w:rsid w:val="0016128A"/>
    <w:rsid w:val="0016129F"/>
    <w:rsid w:val="001612CE"/>
    <w:rsid w:val="0016143C"/>
    <w:rsid w:val="0016143E"/>
    <w:rsid w:val="00161450"/>
    <w:rsid w:val="00161510"/>
    <w:rsid w:val="00161788"/>
    <w:rsid w:val="001618E3"/>
    <w:rsid w:val="00161906"/>
    <w:rsid w:val="00161915"/>
    <w:rsid w:val="00161972"/>
    <w:rsid w:val="00161ACD"/>
    <w:rsid w:val="00161C04"/>
    <w:rsid w:val="00161C64"/>
    <w:rsid w:val="00161CAD"/>
    <w:rsid w:val="00161D8B"/>
    <w:rsid w:val="00161DB4"/>
    <w:rsid w:val="001621BA"/>
    <w:rsid w:val="001622C8"/>
    <w:rsid w:val="001624C1"/>
    <w:rsid w:val="00162537"/>
    <w:rsid w:val="0016275E"/>
    <w:rsid w:val="001628C0"/>
    <w:rsid w:val="001628E5"/>
    <w:rsid w:val="001629D1"/>
    <w:rsid w:val="00162AAB"/>
    <w:rsid w:val="00162B1D"/>
    <w:rsid w:val="00162D4D"/>
    <w:rsid w:val="00162DDB"/>
    <w:rsid w:val="00162EF4"/>
    <w:rsid w:val="00162F95"/>
    <w:rsid w:val="00162FF5"/>
    <w:rsid w:val="00163031"/>
    <w:rsid w:val="00163032"/>
    <w:rsid w:val="00163173"/>
    <w:rsid w:val="001631B6"/>
    <w:rsid w:val="001632D8"/>
    <w:rsid w:val="001633CB"/>
    <w:rsid w:val="0016352B"/>
    <w:rsid w:val="00163616"/>
    <w:rsid w:val="0016362A"/>
    <w:rsid w:val="00163684"/>
    <w:rsid w:val="00163712"/>
    <w:rsid w:val="00163804"/>
    <w:rsid w:val="00163880"/>
    <w:rsid w:val="0016392A"/>
    <w:rsid w:val="001639C5"/>
    <w:rsid w:val="00163A98"/>
    <w:rsid w:val="00163B05"/>
    <w:rsid w:val="00163B73"/>
    <w:rsid w:val="00163C22"/>
    <w:rsid w:val="00163CAE"/>
    <w:rsid w:val="00163D59"/>
    <w:rsid w:val="00163EDA"/>
    <w:rsid w:val="00163FE4"/>
    <w:rsid w:val="0016400C"/>
    <w:rsid w:val="00164035"/>
    <w:rsid w:val="0016407F"/>
    <w:rsid w:val="00164086"/>
    <w:rsid w:val="001640CF"/>
    <w:rsid w:val="001641C3"/>
    <w:rsid w:val="00164268"/>
    <w:rsid w:val="0016433D"/>
    <w:rsid w:val="00164556"/>
    <w:rsid w:val="00164586"/>
    <w:rsid w:val="00164753"/>
    <w:rsid w:val="00164755"/>
    <w:rsid w:val="00164796"/>
    <w:rsid w:val="0016490E"/>
    <w:rsid w:val="001649B2"/>
    <w:rsid w:val="00164A29"/>
    <w:rsid w:val="00164F53"/>
    <w:rsid w:val="00164FA5"/>
    <w:rsid w:val="00164FC1"/>
    <w:rsid w:val="001650A9"/>
    <w:rsid w:val="00165133"/>
    <w:rsid w:val="00165265"/>
    <w:rsid w:val="00165270"/>
    <w:rsid w:val="001652F6"/>
    <w:rsid w:val="0016531B"/>
    <w:rsid w:val="0016533A"/>
    <w:rsid w:val="001653D5"/>
    <w:rsid w:val="0016540A"/>
    <w:rsid w:val="00165460"/>
    <w:rsid w:val="0016547C"/>
    <w:rsid w:val="001654B1"/>
    <w:rsid w:val="001654CB"/>
    <w:rsid w:val="001659AE"/>
    <w:rsid w:val="00165A75"/>
    <w:rsid w:val="00165AE7"/>
    <w:rsid w:val="00165D9F"/>
    <w:rsid w:val="00165DA9"/>
    <w:rsid w:val="00165DD3"/>
    <w:rsid w:val="00165DFB"/>
    <w:rsid w:val="00165E09"/>
    <w:rsid w:val="00165ED0"/>
    <w:rsid w:val="0016604A"/>
    <w:rsid w:val="001660D3"/>
    <w:rsid w:val="0016642F"/>
    <w:rsid w:val="0016645F"/>
    <w:rsid w:val="00166519"/>
    <w:rsid w:val="0016653F"/>
    <w:rsid w:val="00166651"/>
    <w:rsid w:val="0016672E"/>
    <w:rsid w:val="0016674D"/>
    <w:rsid w:val="00166948"/>
    <w:rsid w:val="0016695C"/>
    <w:rsid w:val="00166A0E"/>
    <w:rsid w:val="00166A32"/>
    <w:rsid w:val="00166A99"/>
    <w:rsid w:val="00166AA8"/>
    <w:rsid w:val="00166B1D"/>
    <w:rsid w:val="00166B52"/>
    <w:rsid w:val="00166B75"/>
    <w:rsid w:val="00166EBD"/>
    <w:rsid w:val="00166F4F"/>
    <w:rsid w:val="0016704B"/>
    <w:rsid w:val="0016713E"/>
    <w:rsid w:val="00167216"/>
    <w:rsid w:val="0016726D"/>
    <w:rsid w:val="00167345"/>
    <w:rsid w:val="0016751F"/>
    <w:rsid w:val="00167572"/>
    <w:rsid w:val="00167622"/>
    <w:rsid w:val="0016780A"/>
    <w:rsid w:val="00167855"/>
    <w:rsid w:val="00167941"/>
    <w:rsid w:val="00167996"/>
    <w:rsid w:val="001679F9"/>
    <w:rsid w:val="00167C91"/>
    <w:rsid w:val="00167D14"/>
    <w:rsid w:val="00167E1E"/>
    <w:rsid w:val="0016DBBA"/>
    <w:rsid w:val="001700D2"/>
    <w:rsid w:val="001701C9"/>
    <w:rsid w:val="00170277"/>
    <w:rsid w:val="00170525"/>
    <w:rsid w:val="001707A8"/>
    <w:rsid w:val="001707B1"/>
    <w:rsid w:val="001708BA"/>
    <w:rsid w:val="001708BD"/>
    <w:rsid w:val="0017097C"/>
    <w:rsid w:val="001709A9"/>
    <w:rsid w:val="00170C62"/>
    <w:rsid w:val="00170C66"/>
    <w:rsid w:val="00170E13"/>
    <w:rsid w:val="00170E8A"/>
    <w:rsid w:val="00170F74"/>
    <w:rsid w:val="00170FAF"/>
    <w:rsid w:val="0017105A"/>
    <w:rsid w:val="0017116E"/>
    <w:rsid w:val="0017117A"/>
    <w:rsid w:val="0017124D"/>
    <w:rsid w:val="0017125F"/>
    <w:rsid w:val="00171275"/>
    <w:rsid w:val="001714BF"/>
    <w:rsid w:val="001716B3"/>
    <w:rsid w:val="00171704"/>
    <w:rsid w:val="00171845"/>
    <w:rsid w:val="00171883"/>
    <w:rsid w:val="001718DC"/>
    <w:rsid w:val="00171E56"/>
    <w:rsid w:val="00171E76"/>
    <w:rsid w:val="001721B9"/>
    <w:rsid w:val="0017229F"/>
    <w:rsid w:val="001722A8"/>
    <w:rsid w:val="0017266B"/>
    <w:rsid w:val="00172683"/>
    <w:rsid w:val="001726F3"/>
    <w:rsid w:val="00172A2D"/>
    <w:rsid w:val="00172AD5"/>
    <w:rsid w:val="00172BA5"/>
    <w:rsid w:val="00172C59"/>
    <w:rsid w:val="00172E58"/>
    <w:rsid w:val="00173164"/>
    <w:rsid w:val="001731BC"/>
    <w:rsid w:val="00173553"/>
    <w:rsid w:val="00173567"/>
    <w:rsid w:val="001735DA"/>
    <w:rsid w:val="001735DE"/>
    <w:rsid w:val="0017360E"/>
    <w:rsid w:val="00173708"/>
    <w:rsid w:val="00173884"/>
    <w:rsid w:val="00173ABA"/>
    <w:rsid w:val="00173B75"/>
    <w:rsid w:val="00173B7C"/>
    <w:rsid w:val="00173B8B"/>
    <w:rsid w:val="00173ECA"/>
    <w:rsid w:val="00174005"/>
    <w:rsid w:val="0017403C"/>
    <w:rsid w:val="00174051"/>
    <w:rsid w:val="001740DD"/>
    <w:rsid w:val="00174188"/>
    <w:rsid w:val="001741CB"/>
    <w:rsid w:val="001741D5"/>
    <w:rsid w:val="00174273"/>
    <w:rsid w:val="0017462F"/>
    <w:rsid w:val="0017482A"/>
    <w:rsid w:val="0017495B"/>
    <w:rsid w:val="001749AE"/>
    <w:rsid w:val="00174B41"/>
    <w:rsid w:val="00174B69"/>
    <w:rsid w:val="00174B6D"/>
    <w:rsid w:val="00174BB8"/>
    <w:rsid w:val="00174BEA"/>
    <w:rsid w:val="00174DAA"/>
    <w:rsid w:val="00174DF7"/>
    <w:rsid w:val="00174DFD"/>
    <w:rsid w:val="00174E80"/>
    <w:rsid w:val="00174EC8"/>
    <w:rsid w:val="00174EEE"/>
    <w:rsid w:val="00175110"/>
    <w:rsid w:val="001751F7"/>
    <w:rsid w:val="0017522B"/>
    <w:rsid w:val="001752AB"/>
    <w:rsid w:val="00175340"/>
    <w:rsid w:val="00175562"/>
    <w:rsid w:val="001755FB"/>
    <w:rsid w:val="00175812"/>
    <w:rsid w:val="00175868"/>
    <w:rsid w:val="001759B1"/>
    <w:rsid w:val="00175B0F"/>
    <w:rsid w:val="00175C0D"/>
    <w:rsid w:val="00175C34"/>
    <w:rsid w:val="00175C44"/>
    <w:rsid w:val="001760D5"/>
    <w:rsid w:val="001760D6"/>
    <w:rsid w:val="00176196"/>
    <w:rsid w:val="001761DB"/>
    <w:rsid w:val="00176296"/>
    <w:rsid w:val="001762B5"/>
    <w:rsid w:val="0017649E"/>
    <w:rsid w:val="00176515"/>
    <w:rsid w:val="00176550"/>
    <w:rsid w:val="001765A4"/>
    <w:rsid w:val="00176665"/>
    <w:rsid w:val="00176687"/>
    <w:rsid w:val="0017672D"/>
    <w:rsid w:val="00176756"/>
    <w:rsid w:val="00176779"/>
    <w:rsid w:val="00176799"/>
    <w:rsid w:val="001767A2"/>
    <w:rsid w:val="001768A9"/>
    <w:rsid w:val="001769DE"/>
    <w:rsid w:val="001769F0"/>
    <w:rsid w:val="00176AAC"/>
    <w:rsid w:val="00176AE4"/>
    <w:rsid w:val="00176B61"/>
    <w:rsid w:val="00176BD8"/>
    <w:rsid w:val="00176BDF"/>
    <w:rsid w:val="00176BF5"/>
    <w:rsid w:val="00176CB3"/>
    <w:rsid w:val="00176CF2"/>
    <w:rsid w:val="00176D76"/>
    <w:rsid w:val="00176E5A"/>
    <w:rsid w:val="00176EB7"/>
    <w:rsid w:val="001770D0"/>
    <w:rsid w:val="001771CA"/>
    <w:rsid w:val="00177232"/>
    <w:rsid w:val="001772CB"/>
    <w:rsid w:val="001772FD"/>
    <w:rsid w:val="001773BD"/>
    <w:rsid w:val="001773C4"/>
    <w:rsid w:val="001773EB"/>
    <w:rsid w:val="00177571"/>
    <w:rsid w:val="00177630"/>
    <w:rsid w:val="0017764C"/>
    <w:rsid w:val="001777AE"/>
    <w:rsid w:val="00177857"/>
    <w:rsid w:val="00177931"/>
    <w:rsid w:val="00177A4A"/>
    <w:rsid w:val="00177AA9"/>
    <w:rsid w:val="00177AF7"/>
    <w:rsid w:val="00177BD7"/>
    <w:rsid w:val="00177D35"/>
    <w:rsid w:val="00177D96"/>
    <w:rsid w:val="00177DE0"/>
    <w:rsid w:val="00177E32"/>
    <w:rsid w:val="00177E7E"/>
    <w:rsid w:val="00180066"/>
    <w:rsid w:val="00180186"/>
    <w:rsid w:val="0018020E"/>
    <w:rsid w:val="0018021B"/>
    <w:rsid w:val="00180651"/>
    <w:rsid w:val="001806A9"/>
    <w:rsid w:val="001807ED"/>
    <w:rsid w:val="0018085F"/>
    <w:rsid w:val="00180A78"/>
    <w:rsid w:val="00180ABF"/>
    <w:rsid w:val="00180B7B"/>
    <w:rsid w:val="00180B95"/>
    <w:rsid w:val="00180BFF"/>
    <w:rsid w:val="00180C7A"/>
    <w:rsid w:val="00180CDB"/>
    <w:rsid w:val="00180D5F"/>
    <w:rsid w:val="00180DD8"/>
    <w:rsid w:val="00180E38"/>
    <w:rsid w:val="00180E6A"/>
    <w:rsid w:val="00180F04"/>
    <w:rsid w:val="00180F6B"/>
    <w:rsid w:val="00181107"/>
    <w:rsid w:val="00181308"/>
    <w:rsid w:val="001813ED"/>
    <w:rsid w:val="0018154F"/>
    <w:rsid w:val="00181694"/>
    <w:rsid w:val="001816F3"/>
    <w:rsid w:val="00181851"/>
    <w:rsid w:val="001818F3"/>
    <w:rsid w:val="00181A2C"/>
    <w:rsid w:val="00181A36"/>
    <w:rsid w:val="00181A8A"/>
    <w:rsid w:val="00181BEC"/>
    <w:rsid w:val="00181D56"/>
    <w:rsid w:val="00181D9A"/>
    <w:rsid w:val="00182068"/>
    <w:rsid w:val="001823BC"/>
    <w:rsid w:val="00182457"/>
    <w:rsid w:val="00182708"/>
    <w:rsid w:val="0018282F"/>
    <w:rsid w:val="001828A7"/>
    <w:rsid w:val="00182A8C"/>
    <w:rsid w:val="00182CC7"/>
    <w:rsid w:val="00182CF0"/>
    <w:rsid w:val="00182D2F"/>
    <w:rsid w:val="00182D69"/>
    <w:rsid w:val="00182FB0"/>
    <w:rsid w:val="0018305B"/>
    <w:rsid w:val="001830AE"/>
    <w:rsid w:val="001831C8"/>
    <w:rsid w:val="00183270"/>
    <w:rsid w:val="001833BC"/>
    <w:rsid w:val="00183422"/>
    <w:rsid w:val="001834C0"/>
    <w:rsid w:val="0018362B"/>
    <w:rsid w:val="0018375E"/>
    <w:rsid w:val="00183989"/>
    <w:rsid w:val="001839EA"/>
    <w:rsid w:val="00183B3D"/>
    <w:rsid w:val="00183B72"/>
    <w:rsid w:val="00183CE8"/>
    <w:rsid w:val="00183DB4"/>
    <w:rsid w:val="00183E50"/>
    <w:rsid w:val="00183F5E"/>
    <w:rsid w:val="001842CB"/>
    <w:rsid w:val="0018432A"/>
    <w:rsid w:val="00184418"/>
    <w:rsid w:val="0018458F"/>
    <w:rsid w:val="0018465B"/>
    <w:rsid w:val="00184664"/>
    <w:rsid w:val="001847FF"/>
    <w:rsid w:val="00184886"/>
    <w:rsid w:val="0018496F"/>
    <w:rsid w:val="00184A2A"/>
    <w:rsid w:val="00184C0F"/>
    <w:rsid w:val="00184D01"/>
    <w:rsid w:val="00184DB9"/>
    <w:rsid w:val="00184E17"/>
    <w:rsid w:val="0018501E"/>
    <w:rsid w:val="0018503C"/>
    <w:rsid w:val="00185048"/>
    <w:rsid w:val="0018521A"/>
    <w:rsid w:val="00185223"/>
    <w:rsid w:val="001852A0"/>
    <w:rsid w:val="001853B2"/>
    <w:rsid w:val="0018541A"/>
    <w:rsid w:val="00185427"/>
    <w:rsid w:val="00185503"/>
    <w:rsid w:val="0018552E"/>
    <w:rsid w:val="00185577"/>
    <w:rsid w:val="0018558E"/>
    <w:rsid w:val="00185650"/>
    <w:rsid w:val="0018569C"/>
    <w:rsid w:val="001857A3"/>
    <w:rsid w:val="00185828"/>
    <w:rsid w:val="001858DD"/>
    <w:rsid w:val="001859C7"/>
    <w:rsid w:val="00185A2C"/>
    <w:rsid w:val="00185AC5"/>
    <w:rsid w:val="00185BC9"/>
    <w:rsid w:val="00185CB0"/>
    <w:rsid w:val="00185D3A"/>
    <w:rsid w:val="00185D57"/>
    <w:rsid w:val="00185F25"/>
    <w:rsid w:val="00185F2E"/>
    <w:rsid w:val="001860A2"/>
    <w:rsid w:val="001861AD"/>
    <w:rsid w:val="00186358"/>
    <w:rsid w:val="00186758"/>
    <w:rsid w:val="00186784"/>
    <w:rsid w:val="001867F6"/>
    <w:rsid w:val="00186A37"/>
    <w:rsid w:val="00186C37"/>
    <w:rsid w:val="00186C9A"/>
    <w:rsid w:val="00186CF5"/>
    <w:rsid w:val="00186CF8"/>
    <w:rsid w:val="00186E7C"/>
    <w:rsid w:val="0018710D"/>
    <w:rsid w:val="001872DD"/>
    <w:rsid w:val="0018742D"/>
    <w:rsid w:val="00187451"/>
    <w:rsid w:val="00187463"/>
    <w:rsid w:val="001875DA"/>
    <w:rsid w:val="001876A7"/>
    <w:rsid w:val="00187766"/>
    <w:rsid w:val="00187850"/>
    <w:rsid w:val="001878DA"/>
    <w:rsid w:val="0018795C"/>
    <w:rsid w:val="00187968"/>
    <w:rsid w:val="001879A8"/>
    <w:rsid w:val="00187A1A"/>
    <w:rsid w:val="00187A6C"/>
    <w:rsid w:val="00187B36"/>
    <w:rsid w:val="00187B8D"/>
    <w:rsid w:val="00187E28"/>
    <w:rsid w:val="00187E89"/>
    <w:rsid w:val="00187E95"/>
    <w:rsid w:val="00187EE3"/>
    <w:rsid w:val="00187FE5"/>
    <w:rsid w:val="00190026"/>
    <w:rsid w:val="0019010F"/>
    <w:rsid w:val="0019017C"/>
    <w:rsid w:val="00190250"/>
    <w:rsid w:val="00190305"/>
    <w:rsid w:val="00190346"/>
    <w:rsid w:val="00190413"/>
    <w:rsid w:val="001904BD"/>
    <w:rsid w:val="00190529"/>
    <w:rsid w:val="00190533"/>
    <w:rsid w:val="00190540"/>
    <w:rsid w:val="001907C6"/>
    <w:rsid w:val="001909D6"/>
    <w:rsid w:val="001909E2"/>
    <w:rsid w:val="001909F4"/>
    <w:rsid w:val="00190A8C"/>
    <w:rsid w:val="00190C1C"/>
    <w:rsid w:val="00190F66"/>
    <w:rsid w:val="001910BE"/>
    <w:rsid w:val="001912B6"/>
    <w:rsid w:val="00191310"/>
    <w:rsid w:val="00191521"/>
    <w:rsid w:val="0019153C"/>
    <w:rsid w:val="0019160A"/>
    <w:rsid w:val="001916C3"/>
    <w:rsid w:val="00191704"/>
    <w:rsid w:val="00191705"/>
    <w:rsid w:val="001917DB"/>
    <w:rsid w:val="00191856"/>
    <w:rsid w:val="00191A81"/>
    <w:rsid w:val="00191A99"/>
    <w:rsid w:val="00191CF1"/>
    <w:rsid w:val="00191E7E"/>
    <w:rsid w:val="0019204D"/>
    <w:rsid w:val="001920BB"/>
    <w:rsid w:val="0019210C"/>
    <w:rsid w:val="00192163"/>
    <w:rsid w:val="00192332"/>
    <w:rsid w:val="00192399"/>
    <w:rsid w:val="001923A7"/>
    <w:rsid w:val="001923D7"/>
    <w:rsid w:val="001923DF"/>
    <w:rsid w:val="00192426"/>
    <w:rsid w:val="001924B7"/>
    <w:rsid w:val="0019268A"/>
    <w:rsid w:val="00192715"/>
    <w:rsid w:val="001929EC"/>
    <w:rsid w:val="00192A1D"/>
    <w:rsid w:val="00192C57"/>
    <w:rsid w:val="00192D1C"/>
    <w:rsid w:val="00192D44"/>
    <w:rsid w:val="00192EA5"/>
    <w:rsid w:val="00192FA4"/>
    <w:rsid w:val="001930DB"/>
    <w:rsid w:val="00193219"/>
    <w:rsid w:val="00193279"/>
    <w:rsid w:val="001932B3"/>
    <w:rsid w:val="001932E1"/>
    <w:rsid w:val="00193358"/>
    <w:rsid w:val="00193396"/>
    <w:rsid w:val="001933EB"/>
    <w:rsid w:val="00193400"/>
    <w:rsid w:val="00193500"/>
    <w:rsid w:val="00193552"/>
    <w:rsid w:val="001935F5"/>
    <w:rsid w:val="001936EE"/>
    <w:rsid w:val="001937E4"/>
    <w:rsid w:val="00193838"/>
    <w:rsid w:val="00193B3C"/>
    <w:rsid w:val="00193B80"/>
    <w:rsid w:val="00193B96"/>
    <w:rsid w:val="00193C1A"/>
    <w:rsid w:val="00193C54"/>
    <w:rsid w:val="00193C74"/>
    <w:rsid w:val="00193CD6"/>
    <w:rsid w:val="00193D82"/>
    <w:rsid w:val="00193DF0"/>
    <w:rsid w:val="00193E93"/>
    <w:rsid w:val="00193EAF"/>
    <w:rsid w:val="00193ECD"/>
    <w:rsid w:val="00193F6E"/>
    <w:rsid w:val="00193FCE"/>
    <w:rsid w:val="00193FEC"/>
    <w:rsid w:val="001940AE"/>
    <w:rsid w:val="0019418A"/>
    <w:rsid w:val="00194507"/>
    <w:rsid w:val="0019462A"/>
    <w:rsid w:val="001946D6"/>
    <w:rsid w:val="00194761"/>
    <w:rsid w:val="001947DF"/>
    <w:rsid w:val="00194930"/>
    <w:rsid w:val="0019494C"/>
    <w:rsid w:val="001949C1"/>
    <w:rsid w:val="00194A45"/>
    <w:rsid w:val="00194BCD"/>
    <w:rsid w:val="00194C1B"/>
    <w:rsid w:val="00194D9B"/>
    <w:rsid w:val="00194DAC"/>
    <w:rsid w:val="00194EBD"/>
    <w:rsid w:val="00194F10"/>
    <w:rsid w:val="00195055"/>
    <w:rsid w:val="001950ED"/>
    <w:rsid w:val="00195114"/>
    <w:rsid w:val="001951DE"/>
    <w:rsid w:val="00195603"/>
    <w:rsid w:val="00195663"/>
    <w:rsid w:val="0019579A"/>
    <w:rsid w:val="00195CF8"/>
    <w:rsid w:val="00195D25"/>
    <w:rsid w:val="00195D82"/>
    <w:rsid w:val="00195E45"/>
    <w:rsid w:val="00195F04"/>
    <w:rsid w:val="00195FE5"/>
    <w:rsid w:val="001960A9"/>
    <w:rsid w:val="0019629E"/>
    <w:rsid w:val="001962D5"/>
    <w:rsid w:val="00196479"/>
    <w:rsid w:val="00196499"/>
    <w:rsid w:val="0019649F"/>
    <w:rsid w:val="001964CD"/>
    <w:rsid w:val="0019654C"/>
    <w:rsid w:val="001965A2"/>
    <w:rsid w:val="001967FC"/>
    <w:rsid w:val="0019688E"/>
    <w:rsid w:val="0019691D"/>
    <w:rsid w:val="00196971"/>
    <w:rsid w:val="001969C0"/>
    <w:rsid w:val="00196B52"/>
    <w:rsid w:val="00196C89"/>
    <w:rsid w:val="00196E0E"/>
    <w:rsid w:val="00197053"/>
    <w:rsid w:val="00197268"/>
    <w:rsid w:val="00197334"/>
    <w:rsid w:val="0019735E"/>
    <w:rsid w:val="0019738C"/>
    <w:rsid w:val="001975B2"/>
    <w:rsid w:val="001975CF"/>
    <w:rsid w:val="00197617"/>
    <w:rsid w:val="0019780B"/>
    <w:rsid w:val="00197909"/>
    <w:rsid w:val="00197950"/>
    <w:rsid w:val="00197B2A"/>
    <w:rsid w:val="00197B4F"/>
    <w:rsid w:val="00197C00"/>
    <w:rsid w:val="00197C22"/>
    <w:rsid w:val="00197C38"/>
    <w:rsid w:val="00197D43"/>
    <w:rsid w:val="00197DFA"/>
    <w:rsid w:val="00197E8C"/>
    <w:rsid w:val="00197F99"/>
    <w:rsid w:val="001A0215"/>
    <w:rsid w:val="001A03F3"/>
    <w:rsid w:val="001A0449"/>
    <w:rsid w:val="001A0480"/>
    <w:rsid w:val="001A0BC4"/>
    <w:rsid w:val="001A0C67"/>
    <w:rsid w:val="001A0D7A"/>
    <w:rsid w:val="001A0DB4"/>
    <w:rsid w:val="001A0DDD"/>
    <w:rsid w:val="001A0E0F"/>
    <w:rsid w:val="001A0FBE"/>
    <w:rsid w:val="001A103F"/>
    <w:rsid w:val="001A125E"/>
    <w:rsid w:val="001A1328"/>
    <w:rsid w:val="001A13BA"/>
    <w:rsid w:val="001A144A"/>
    <w:rsid w:val="001A1581"/>
    <w:rsid w:val="001A1604"/>
    <w:rsid w:val="001A1732"/>
    <w:rsid w:val="001A179C"/>
    <w:rsid w:val="001A17D5"/>
    <w:rsid w:val="001A1820"/>
    <w:rsid w:val="001A18FF"/>
    <w:rsid w:val="001A1A9B"/>
    <w:rsid w:val="001A1A9E"/>
    <w:rsid w:val="001A1B19"/>
    <w:rsid w:val="001A1B9D"/>
    <w:rsid w:val="001A1BE7"/>
    <w:rsid w:val="001A1C63"/>
    <w:rsid w:val="001A1CC9"/>
    <w:rsid w:val="001A1D37"/>
    <w:rsid w:val="001A1F60"/>
    <w:rsid w:val="001A1F76"/>
    <w:rsid w:val="001A2171"/>
    <w:rsid w:val="001A22BD"/>
    <w:rsid w:val="001A23D5"/>
    <w:rsid w:val="001A24B9"/>
    <w:rsid w:val="001A24F6"/>
    <w:rsid w:val="001A252D"/>
    <w:rsid w:val="001A2565"/>
    <w:rsid w:val="001A25F8"/>
    <w:rsid w:val="001A265F"/>
    <w:rsid w:val="001A28A6"/>
    <w:rsid w:val="001A28B7"/>
    <w:rsid w:val="001A2A35"/>
    <w:rsid w:val="001A2C62"/>
    <w:rsid w:val="001A2C81"/>
    <w:rsid w:val="001A2D27"/>
    <w:rsid w:val="001A2D7E"/>
    <w:rsid w:val="001A2E4F"/>
    <w:rsid w:val="001A2E53"/>
    <w:rsid w:val="001A2EF7"/>
    <w:rsid w:val="001A3068"/>
    <w:rsid w:val="001A309D"/>
    <w:rsid w:val="001A3142"/>
    <w:rsid w:val="001A31B9"/>
    <w:rsid w:val="001A3202"/>
    <w:rsid w:val="001A32EE"/>
    <w:rsid w:val="001A3547"/>
    <w:rsid w:val="001A35A5"/>
    <w:rsid w:val="001A382C"/>
    <w:rsid w:val="001A3981"/>
    <w:rsid w:val="001A3A86"/>
    <w:rsid w:val="001A3B0A"/>
    <w:rsid w:val="001A3B35"/>
    <w:rsid w:val="001A3B49"/>
    <w:rsid w:val="001A3DD5"/>
    <w:rsid w:val="001A3ED8"/>
    <w:rsid w:val="001A4038"/>
    <w:rsid w:val="001A411B"/>
    <w:rsid w:val="001A41D9"/>
    <w:rsid w:val="001A4235"/>
    <w:rsid w:val="001A42CF"/>
    <w:rsid w:val="001A4322"/>
    <w:rsid w:val="001A4365"/>
    <w:rsid w:val="001A45DB"/>
    <w:rsid w:val="001A4630"/>
    <w:rsid w:val="001A4631"/>
    <w:rsid w:val="001A4885"/>
    <w:rsid w:val="001A48BD"/>
    <w:rsid w:val="001A48D0"/>
    <w:rsid w:val="001A4A78"/>
    <w:rsid w:val="001A4AEF"/>
    <w:rsid w:val="001A4B09"/>
    <w:rsid w:val="001A4BB3"/>
    <w:rsid w:val="001A4C11"/>
    <w:rsid w:val="001A4C43"/>
    <w:rsid w:val="001A4CEF"/>
    <w:rsid w:val="001A4DC3"/>
    <w:rsid w:val="001A4ED3"/>
    <w:rsid w:val="001A4F33"/>
    <w:rsid w:val="001A4F4B"/>
    <w:rsid w:val="001A51BF"/>
    <w:rsid w:val="001A52E8"/>
    <w:rsid w:val="001A5376"/>
    <w:rsid w:val="001A53A1"/>
    <w:rsid w:val="001A5478"/>
    <w:rsid w:val="001A5619"/>
    <w:rsid w:val="001A5741"/>
    <w:rsid w:val="001A57B6"/>
    <w:rsid w:val="001A5810"/>
    <w:rsid w:val="001A5877"/>
    <w:rsid w:val="001A58F3"/>
    <w:rsid w:val="001A5919"/>
    <w:rsid w:val="001A5939"/>
    <w:rsid w:val="001A5A3C"/>
    <w:rsid w:val="001A5AB3"/>
    <w:rsid w:val="001A5AE3"/>
    <w:rsid w:val="001A5B3B"/>
    <w:rsid w:val="001A5C53"/>
    <w:rsid w:val="001A5EC3"/>
    <w:rsid w:val="001A5ECD"/>
    <w:rsid w:val="001A5F32"/>
    <w:rsid w:val="001A5F55"/>
    <w:rsid w:val="001A5F65"/>
    <w:rsid w:val="001A6039"/>
    <w:rsid w:val="001A60E4"/>
    <w:rsid w:val="001A61A8"/>
    <w:rsid w:val="001A629F"/>
    <w:rsid w:val="001A62F1"/>
    <w:rsid w:val="001A6430"/>
    <w:rsid w:val="001A66C3"/>
    <w:rsid w:val="001A670B"/>
    <w:rsid w:val="001A6741"/>
    <w:rsid w:val="001A674B"/>
    <w:rsid w:val="001A6788"/>
    <w:rsid w:val="001A685D"/>
    <w:rsid w:val="001A69E4"/>
    <w:rsid w:val="001A6B37"/>
    <w:rsid w:val="001A6BE8"/>
    <w:rsid w:val="001A6C59"/>
    <w:rsid w:val="001A6DFD"/>
    <w:rsid w:val="001A6E2B"/>
    <w:rsid w:val="001A6ED5"/>
    <w:rsid w:val="001A6FA4"/>
    <w:rsid w:val="001A6FB5"/>
    <w:rsid w:val="001A6FF1"/>
    <w:rsid w:val="001A70E8"/>
    <w:rsid w:val="001A7109"/>
    <w:rsid w:val="001A715C"/>
    <w:rsid w:val="001A7178"/>
    <w:rsid w:val="001A71FE"/>
    <w:rsid w:val="001A724C"/>
    <w:rsid w:val="001A72E1"/>
    <w:rsid w:val="001A73DD"/>
    <w:rsid w:val="001A740B"/>
    <w:rsid w:val="001A7421"/>
    <w:rsid w:val="001A75CA"/>
    <w:rsid w:val="001A76A6"/>
    <w:rsid w:val="001A76CA"/>
    <w:rsid w:val="001A7736"/>
    <w:rsid w:val="001A7750"/>
    <w:rsid w:val="001A778B"/>
    <w:rsid w:val="001A7859"/>
    <w:rsid w:val="001A78BD"/>
    <w:rsid w:val="001A7B6E"/>
    <w:rsid w:val="001A7C5A"/>
    <w:rsid w:val="001A7DF3"/>
    <w:rsid w:val="001A7F66"/>
    <w:rsid w:val="001A7F87"/>
    <w:rsid w:val="001B0011"/>
    <w:rsid w:val="001B0153"/>
    <w:rsid w:val="001B01C2"/>
    <w:rsid w:val="001B0255"/>
    <w:rsid w:val="001B025B"/>
    <w:rsid w:val="001B0273"/>
    <w:rsid w:val="001B02C1"/>
    <w:rsid w:val="001B0444"/>
    <w:rsid w:val="001B051E"/>
    <w:rsid w:val="001B0758"/>
    <w:rsid w:val="001B07C6"/>
    <w:rsid w:val="001B0A45"/>
    <w:rsid w:val="001B0A72"/>
    <w:rsid w:val="001B0AFC"/>
    <w:rsid w:val="001B0B70"/>
    <w:rsid w:val="001B0D73"/>
    <w:rsid w:val="001B0D93"/>
    <w:rsid w:val="001B0E15"/>
    <w:rsid w:val="001B0E2C"/>
    <w:rsid w:val="001B0EAC"/>
    <w:rsid w:val="001B0F1B"/>
    <w:rsid w:val="001B0F96"/>
    <w:rsid w:val="001B0FFE"/>
    <w:rsid w:val="001B1019"/>
    <w:rsid w:val="001B11CF"/>
    <w:rsid w:val="001B11D0"/>
    <w:rsid w:val="001B1325"/>
    <w:rsid w:val="001B144C"/>
    <w:rsid w:val="001B14A5"/>
    <w:rsid w:val="001B14B6"/>
    <w:rsid w:val="001B1561"/>
    <w:rsid w:val="001B15AD"/>
    <w:rsid w:val="001B15F3"/>
    <w:rsid w:val="001B16DD"/>
    <w:rsid w:val="001B17CA"/>
    <w:rsid w:val="001B191A"/>
    <w:rsid w:val="001B19A1"/>
    <w:rsid w:val="001B1B58"/>
    <w:rsid w:val="001B1C0B"/>
    <w:rsid w:val="001B1D9C"/>
    <w:rsid w:val="001B1DDB"/>
    <w:rsid w:val="001B1E32"/>
    <w:rsid w:val="001B1E8F"/>
    <w:rsid w:val="001B1ECA"/>
    <w:rsid w:val="001B1F55"/>
    <w:rsid w:val="001B222D"/>
    <w:rsid w:val="001B237B"/>
    <w:rsid w:val="001B2453"/>
    <w:rsid w:val="001B247A"/>
    <w:rsid w:val="001B250F"/>
    <w:rsid w:val="001B25B9"/>
    <w:rsid w:val="001B268B"/>
    <w:rsid w:val="001B2741"/>
    <w:rsid w:val="001B2756"/>
    <w:rsid w:val="001B283C"/>
    <w:rsid w:val="001B28B7"/>
    <w:rsid w:val="001B2990"/>
    <w:rsid w:val="001B2AC8"/>
    <w:rsid w:val="001B2AFE"/>
    <w:rsid w:val="001B2CB8"/>
    <w:rsid w:val="001B2DCA"/>
    <w:rsid w:val="001B2FA5"/>
    <w:rsid w:val="001B2FC9"/>
    <w:rsid w:val="001B300F"/>
    <w:rsid w:val="001B32E7"/>
    <w:rsid w:val="001B3318"/>
    <w:rsid w:val="001B337C"/>
    <w:rsid w:val="001B342B"/>
    <w:rsid w:val="001B3448"/>
    <w:rsid w:val="001B3480"/>
    <w:rsid w:val="001B3518"/>
    <w:rsid w:val="001B35C2"/>
    <w:rsid w:val="001B377B"/>
    <w:rsid w:val="001B38CF"/>
    <w:rsid w:val="001B38F9"/>
    <w:rsid w:val="001B3A83"/>
    <w:rsid w:val="001B3AF4"/>
    <w:rsid w:val="001B3B5D"/>
    <w:rsid w:val="001B3E9C"/>
    <w:rsid w:val="001B3F05"/>
    <w:rsid w:val="001B3F8F"/>
    <w:rsid w:val="001B4149"/>
    <w:rsid w:val="001B43D5"/>
    <w:rsid w:val="001B45D3"/>
    <w:rsid w:val="001B4609"/>
    <w:rsid w:val="001B4671"/>
    <w:rsid w:val="001B4679"/>
    <w:rsid w:val="001B46E7"/>
    <w:rsid w:val="001B4745"/>
    <w:rsid w:val="001B47EE"/>
    <w:rsid w:val="001B48B1"/>
    <w:rsid w:val="001B498D"/>
    <w:rsid w:val="001B4A6E"/>
    <w:rsid w:val="001B4A98"/>
    <w:rsid w:val="001B4BEF"/>
    <w:rsid w:val="001B4DC9"/>
    <w:rsid w:val="001B4F65"/>
    <w:rsid w:val="001B4F79"/>
    <w:rsid w:val="001B500D"/>
    <w:rsid w:val="001B50BF"/>
    <w:rsid w:val="001B5219"/>
    <w:rsid w:val="001B53DC"/>
    <w:rsid w:val="001B5724"/>
    <w:rsid w:val="001B577D"/>
    <w:rsid w:val="001B57A4"/>
    <w:rsid w:val="001B582B"/>
    <w:rsid w:val="001B5836"/>
    <w:rsid w:val="001B588D"/>
    <w:rsid w:val="001B5968"/>
    <w:rsid w:val="001B598F"/>
    <w:rsid w:val="001B59C3"/>
    <w:rsid w:val="001B59C4"/>
    <w:rsid w:val="001B5A40"/>
    <w:rsid w:val="001B5D0A"/>
    <w:rsid w:val="001B5D26"/>
    <w:rsid w:val="001B5D96"/>
    <w:rsid w:val="001B5E47"/>
    <w:rsid w:val="001B6006"/>
    <w:rsid w:val="001B6179"/>
    <w:rsid w:val="001B618B"/>
    <w:rsid w:val="001B619A"/>
    <w:rsid w:val="001B61F2"/>
    <w:rsid w:val="001B6206"/>
    <w:rsid w:val="001B6449"/>
    <w:rsid w:val="001B64EE"/>
    <w:rsid w:val="001B6538"/>
    <w:rsid w:val="001B6568"/>
    <w:rsid w:val="001B662F"/>
    <w:rsid w:val="001B66DD"/>
    <w:rsid w:val="001B674B"/>
    <w:rsid w:val="001B6764"/>
    <w:rsid w:val="001B67F1"/>
    <w:rsid w:val="001B692D"/>
    <w:rsid w:val="001B69A6"/>
    <w:rsid w:val="001B6A3F"/>
    <w:rsid w:val="001B6A69"/>
    <w:rsid w:val="001B6B55"/>
    <w:rsid w:val="001B6BB3"/>
    <w:rsid w:val="001B6CB8"/>
    <w:rsid w:val="001B6CD8"/>
    <w:rsid w:val="001B6DA7"/>
    <w:rsid w:val="001B6E81"/>
    <w:rsid w:val="001B6EEA"/>
    <w:rsid w:val="001B6F00"/>
    <w:rsid w:val="001B7078"/>
    <w:rsid w:val="001B7130"/>
    <w:rsid w:val="001B725D"/>
    <w:rsid w:val="001B73F4"/>
    <w:rsid w:val="001B74FD"/>
    <w:rsid w:val="001B7539"/>
    <w:rsid w:val="001B770C"/>
    <w:rsid w:val="001B7954"/>
    <w:rsid w:val="001B7AF5"/>
    <w:rsid w:val="001B7B9C"/>
    <w:rsid w:val="001B7D95"/>
    <w:rsid w:val="001B7DCD"/>
    <w:rsid w:val="001C0031"/>
    <w:rsid w:val="001C0069"/>
    <w:rsid w:val="001C01F1"/>
    <w:rsid w:val="001C0232"/>
    <w:rsid w:val="001C025E"/>
    <w:rsid w:val="001C0646"/>
    <w:rsid w:val="001C083D"/>
    <w:rsid w:val="001C0943"/>
    <w:rsid w:val="001C0971"/>
    <w:rsid w:val="001C0A6D"/>
    <w:rsid w:val="001C0B05"/>
    <w:rsid w:val="001C0BAB"/>
    <w:rsid w:val="001C0C30"/>
    <w:rsid w:val="001C0F74"/>
    <w:rsid w:val="001C0FA3"/>
    <w:rsid w:val="001C1147"/>
    <w:rsid w:val="001C1189"/>
    <w:rsid w:val="001C12A1"/>
    <w:rsid w:val="001C137C"/>
    <w:rsid w:val="001C138B"/>
    <w:rsid w:val="001C1421"/>
    <w:rsid w:val="001C142F"/>
    <w:rsid w:val="001C1518"/>
    <w:rsid w:val="001C1740"/>
    <w:rsid w:val="001C183C"/>
    <w:rsid w:val="001C18BD"/>
    <w:rsid w:val="001C1973"/>
    <w:rsid w:val="001C1B0E"/>
    <w:rsid w:val="001C1B40"/>
    <w:rsid w:val="001C1C9F"/>
    <w:rsid w:val="001C1E31"/>
    <w:rsid w:val="001C1F83"/>
    <w:rsid w:val="001C1F84"/>
    <w:rsid w:val="001C1FEB"/>
    <w:rsid w:val="001C2069"/>
    <w:rsid w:val="001C2086"/>
    <w:rsid w:val="001C22D9"/>
    <w:rsid w:val="001C239E"/>
    <w:rsid w:val="001C2682"/>
    <w:rsid w:val="001C26B2"/>
    <w:rsid w:val="001C2724"/>
    <w:rsid w:val="001C278D"/>
    <w:rsid w:val="001C2839"/>
    <w:rsid w:val="001C2AB1"/>
    <w:rsid w:val="001C2D50"/>
    <w:rsid w:val="001C2D84"/>
    <w:rsid w:val="001C2E38"/>
    <w:rsid w:val="001C2E4A"/>
    <w:rsid w:val="001C2F45"/>
    <w:rsid w:val="001C2FAF"/>
    <w:rsid w:val="001C2FB7"/>
    <w:rsid w:val="001C3006"/>
    <w:rsid w:val="001C3065"/>
    <w:rsid w:val="001C3212"/>
    <w:rsid w:val="001C334F"/>
    <w:rsid w:val="001C3375"/>
    <w:rsid w:val="001C3403"/>
    <w:rsid w:val="001C3580"/>
    <w:rsid w:val="001C3671"/>
    <w:rsid w:val="001C3678"/>
    <w:rsid w:val="001C3719"/>
    <w:rsid w:val="001C3777"/>
    <w:rsid w:val="001C3883"/>
    <w:rsid w:val="001C3888"/>
    <w:rsid w:val="001C3921"/>
    <w:rsid w:val="001C3A61"/>
    <w:rsid w:val="001C3AAC"/>
    <w:rsid w:val="001C3AF7"/>
    <w:rsid w:val="001C3B3E"/>
    <w:rsid w:val="001C3B48"/>
    <w:rsid w:val="001C3B50"/>
    <w:rsid w:val="001C3B51"/>
    <w:rsid w:val="001C3CE9"/>
    <w:rsid w:val="001C3D65"/>
    <w:rsid w:val="001C3DBB"/>
    <w:rsid w:val="001C3DDA"/>
    <w:rsid w:val="001C3DFB"/>
    <w:rsid w:val="001C3E56"/>
    <w:rsid w:val="001C3EF7"/>
    <w:rsid w:val="001C4046"/>
    <w:rsid w:val="001C4086"/>
    <w:rsid w:val="001C40F0"/>
    <w:rsid w:val="001C40F6"/>
    <w:rsid w:val="001C4110"/>
    <w:rsid w:val="001C41EE"/>
    <w:rsid w:val="001C429E"/>
    <w:rsid w:val="001C42F0"/>
    <w:rsid w:val="001C4310"/>
    <w:rsid w:val="001C433D"/>
    <w:rsid w:val="001C43A1"/>
    <w:rsid w:val="001C44AE"/>
    <w:rsid w:val="001C4503"/>
    <w:rsid w:val="001C4516"/>
    <w:rsid w:val="001C4578"/>
    <w:rsid w:val="001C466F"/>
    <w:rsid w:val="001C4707"/>
    <w:rsid w:val="001C47F3"/>
    <w:rsid w:val="001C482D"/>
    <w:rsid w:val="001C488B"/>
    <w:rsid w:val="001C4990"/>
    <w:rsid w:val="001C4AB4"/>
    <w:rsid w:val="001C4D08"/>
    <w:rsid w:val="001C4E29"/>
    <w:rsid w:val="001C50E6"/>
    <w:rsid w:val="001C50F5"/>
    <w:rsid w:val="001C52B4"/>
    <w:rsid w:val="001C52C7"/>
    <w:rsid w:val="001C53A4"/>
    <w:rsid w:val="001C55B2"/>
    <w:rsid w:val="001C5615"/>
    <w:rsid w:val="001C5678"/>
    <w:rsid w:val="001C57A5"/>
    <w:rsid w:val="001C5811"/>
    <w:rsid w:val="001C58E2"/>
    <w:rsid w:val="001C5930"/>
    <w:rsid w:val="001C5987"/>
    <w:rsid w:val="001C5B00"/>
    <w:rsid w:val="001C5DB4"/>
    <w:rsid w:val="001C5E44"/>
    <w:rsid w:val="001C5E89"/>
    <w:rsid w:val="001C5EE3"/>
    <w:rsid w:val="001C5FA3"/>
    <w:rsid w:val="001C606E"/>
    <w:rsid w:val="001C63E0"/>
    <w:rsid w:val="001C63F8"/>
    <w:rsid w:val="001C646C"/>
    <w:rsid w:val="001C65A3"/>
    <w:rsid w:val="001C6622"/>
    <w:rsid w:val="001C6733"/>
    <w:rsid w:val="001C673A"/>
    <w:rsid w:val="001C675A"/>
    <w:rsid w:val="001C67CE"/>
    <w:rsid w:val="001C6873"/>
    <w:rsid w:val="001C6912"/>
    <w:rsid w:val="001C6AD6"/>
    <w:rsid w:val="001C6C77"/>
    <w:rsid w:val="001C6EF4"/>
    <w:rsid w:val="001C6F78"/>
    <w:rsid w:val="001C6F88"/>
    <w:rsid w:val="001C7059"/>
    <w:rsid w:val="001C7292"/>
    <w:rsid w:val="001C72F2"/>
    <w:rsid w:val="001C7450"/>
    <w:rsid w:val="001C7816"/>
    <w:rsid w:val="001C79DA"/>
    <w:rsid w:val="001C7B6F"/>
    <w:rsid w:val="001C7C3D"/>
    <w:rsid w:val="001C7C47"/>
    <w:rsid w:val="001C7CDD"/>
    <w:rsid w:val="001C7D16"/>
    <w:rsid w:val="001C7EC0"/>
    <w:rsid w:val="001C7F40"/>
    <w:rsid w:val="001C7F7D"/>
    <w:rsid w:val="001C7F88"/>
    <w:rsid w:val="001C7F95"/>
    <w:rsid w:val="001D0032"/>
    <w:rsid w:val="001D0068"/>
    <w:rsid w:val="001D0111"/>
    <w:rsid w:val="001D02B0"/>
    <w:rsid w:val="001D034B"/>
    <w:rsid w:val="001D0562"/>
    <w:rsid w:val="001D06DA"/>
    <w:rsid w:val="001D075D"/>
    <w:rsid w:val="001D0761"/>
    <w:rsid w:val="001D07C7"/>
    <w:rsid w:val="001D08E0"/>
    <w:rsid w:val="001D08F1"/>
    <w:rsid w:val="001D0969"/>
    <w:rsid w:val="001D0971"/>
    <w:rsid w:val="001D09A9"/>
    <w:rsid w:val="001D09AF"/>
    <w:rsid w:val="001D0A59"/>
    <w:rsid w:val="001D0A95"/>
    <w:rsid w:val="001D0CF2"/>
    <w:rsid w:val="001D0D4C"/>
    <w:rsid w:val="001D0F82"/>
    <w:rsid w:val="001D1077"/>
    <w:rsid w:val="001D10D8"/>
    <w:rsid w:val="001D10F8"/>
    <w:rsid w:val="001D1188"/>
    <w:rsid w:val="001D12B1"/>
    <w:rsid w:val="001D1370"/>
    <w:rsid w:val="001D14AA"/>
    <w:rsid w:val="001D1560"/>
    <w:rsid w:val="001D16B9"/>
    <w:rsid w:val="001D17D5"/>
    <w:rsid w:val="001D19AA"/>
    <w:rsid w:val="001D19D4"/>
    <w:rsid w:val="001D1A05"/>
    <w:rsid w:val="001D1A17"/>
    <w:rsid w:val="001D1A87"/>
    <w:rsid w:val="001D1AE9"/>
    <w:rsid w:val="001D1BBC"/>
    <w:rsid w:val="001D1C53"/>
    <w:rsid w:val="001D1EDC"/>
    <w:rsid w:val="001D1F77"/>
    <w:rsid w:val="001D2084"/>
    <w:rsid w:val="001D2274"/>
    <w:rsid w:val="001D22D8"/>
    <w:rsid w:val="001D24BB"/>
    <w:rsid w:val="001D26C7"/>
    <w:rsid w:val="001D28EF"/>
    <w:rsid w:val="001D2A5A"/>
    <w:rsid w:val="001D2AA7"/>
    <w:rsid w:val="001D2CF5"/>
    <w:rsid w:val="001D2CF8"/>
    <w:rsid w:val="001D2F8B"/>
    <w:rsid w:val="001D2FA0"/>
    <w:rsid w:val="001D2FBD"/>
    <w:rsid w:val="001D3003"/>
    <w:rsid w:val="001D30FA"/>
    <w:rsid w:val="001D3128"/>
    <w:rsid w:val="001D3165"/>
    <w:rsid w:val="001D31C5"/>
    <w:rsid w:val="001D3281"/>
    <w:rsid w:val="001D33DB"/>
    <w:rsid w:val="001D34A1"/>
    <w:rsid w:val="001D35C6"/>
    <w:rsid w:val="001D35E9"/>
    <w:rsid w:val="001D39AC"/>
    <w:rsid w:val="001D3A89"/>
    <w:rsid w:val="001D3CCC"/>
    <w:rsid w:val="001D3CE2"/>
    <w:rsid w:val="001D3CF5"/>
    <w:rsid w:val="001D3D0B"/>
    <w:rsid w:val="001D3F00"/>
    <w:rsid w:val="001D3F5F"/>
    <w:rsid w:val="001D3F76"/>
    <w:rsid w:val="001D3FAB"/>
    <w:rsid w:val="001D40C0"/>
    <w:rsid w:val="001D4120"/>
    <w:rsid w:val="001D4193"/>
    <w:rsid w:val="001D425A"/>
    <w:rsid w:val="001D4307"/>
    <w:rsid w:val="001D4318"/>
    <w:rsid w:val="001D4424"/>
    <w:rsid w:val="001D452E"/>
    <w:rsid w:val="001D45F7"/>
    <w:rsid w:val="001D46DD"/>
    <w:rsid w:val="001D4845"/>
    <w:rsid w:val="001D493D"/>
    <w:rsid w:val="001D4984"/>
    <w:rsid w:val="001D4A10"/>
    <w:rsid w:val="001D4C11"/>
    <w:rsid w:val="001D4C57"/>
    <w:rsid w:val="001D4CCF"/>
    <w:rsid w:val="001D4DDC"/>
    <w:rsid w:val="001D4E70"/>
    <w:rsid w:val="001D4EB3"/>
    <w:rsid w:val="001D4FBD"/>
    <w:rsid w:val="001D50E7"/>
    <w:rsid w:val="001D5254"/>
    <w:rsid w:val="001D5285"/>
    <w:rsid w:val="001D541F"/>
    <w:rsid w:val="001D54B5"/>
    <w:rsid w:val="001D5540"/>
    <w:rsid w:val="001D5675"/>
    <w:rsid w:val="001D56F2"/>
    <w:rsid w:val="001D5836"/>
    <w:rsid w:val="001D5B21"/>
    <w:rsid w:val="001D5CDD"/>
    <w:rsid w:val="001D5CF5"/>
    <w:rsid w:val="001D5F25"/>
    <w:rsid w:val="001D5FC8"/>
    <w:rsid w:val="001D603A"/>
    <w:rsid w:val="001D60F0"/>
    <w:rsid w:val="001D60FB"/>
    <w:rsid w:val="001D6192"/>
    <w:rsid w:val="001D61C9"/>
    <w:rsid w:val="001D6294"/>
    <w:rsid w:val="001D62A8"/>
    <w:rsid w:val="001D64CB"/>
    <w:rsid w:val="001D657F"/>
    <w:rsid w:val="001D65DC"/>
    <w:rsid w:val="001D664C"/>
    <w:rsid w:val="001D66D8"/>
    <w:rsid w:val="001D6870"/>
    <w:rsid w:val="001D69F4"/>
    <w:rsid w:val="001D6A64"/>
    <w:rsid w:val="001D6A6E"/>
    <w:rsid w:val="001D6AC7"/>
    <w:rsid w:val="001D6ACD"/>
    <w:rsid w:val="001D6B0D"/>
    <w:rsid w:val="001D6D12"/>
    <w:rsid w:val="001D6D84"/>
    <w:rsid w:val="001D6DCA"/>
    <w:rsid w:val="001D6E84"/>
    <w:rsid w:val="001D6EF9"/>
    <w:rsid w:val="001D6FF7"/>
    <w:rsid w:val="001D7090"/>
    <w:rsid w:val="001D7147"/>
    <w:rsid w:val="001D71CB"/>
    <w:rsid w:val="001D721C"/>
    <w:rsid w:val="001D734E"/>
    <w:rsid w:val="001D73E8"/>
    <w:rsid w:val="001D761D"/>
    <w:rsid w:val="001D76FF"/>
    <w:rsid w:val="001D7701"/>
    <w:rsid w:val="001D7728"/>
    <w:rsid w:val="001D7814"/>
    <w:rsid w:val="001D792D"/>
    <w:rsid w:val="001D7C1C"/>
    <w:rsid w:val="001D7D0C"/>
    <w:rsid w:val="001D7E2A"/>
    <w:rsid w:val="001D7E4D"/>
    <w:rsid w:val="001D7EAE"/>
    <w:rsid w:val="001DD3BB"/>
    <w:rsid w:val="001E0052"/>
    <w:rsid w:val="001E0151"/>
    <w:rsid w:val="001E0155"/>
    <w:rsid w:val="001E023D"/>
    <w:rsid w:val="001E025B"/>
    <w:rsid w:val="001E0293"/>
    <w:rsid w:val="001E0396"/>
    <w:rsid w:val="001E040A"/>
    <w:rsid w:val="001E047D"/>
    <w:rsid w:val="001E04F7"/>
    <w:rsid w:val="001E0599"/>
    <w:rsid w:val="001E059D"/>
    <w:rsid w:val="001E07F7"/>
    <w:rsid w:val="001E08E3"/>
    <w:rsid w:val="001E0916"/>
    <w:rsid w:val="001E092C"/>
    <w:rsid w:val="001E093F"/>
    <w:rsid w:val="001E0B26"/>
    <w:rsid w:val="001E0B5D"/>
    <w:rsid w:val="001E0EA2"/>
    <w:rsid w:val="001E0F48"/>
    <w:rsid w:val="001E0F91"/>
    <w:rsid w:val="001E0FA3"/>
    <w:rsid w:val="001E10C4"/>
    <w:rsid w:val="001E1282"/>
    <w:rsid w:val="001E12EA"/>
    <w:rsid w:val="001E13C6"/>
    <w:rsid w:val="001E15C9"/>
    <w:rsid w:val="001E161E"/>
    <w:rsid w:val="001E16C9"/>
    <w:rsid w:val="001E16D6"/>
    <w:rsid w:val="001E1739"/>
    <w:rsid w:val="001E17F1"/>
    <w:rsid w:val="001E1860"/>
    <w:rsid w:val="001E1886"/>
    <w:rsid w:val="001E1A78"/>
    <w:rsid w:val="001E1ACC"/>
    <w:rsid w:val="001E1B02"/>
    <w:rsid w:val="001E1B86"/>
    <w:rsid w:val="001E1D95"/>
    <w:rsid w:val="001E1DB3"/>
    <w:rsid w:val="001E1F77"/>
    <w:rsid w:val="001E1FE3"/>
    <w:rsid w:val="001E2041"/>
    <w:rsid w:val="001E2073"/>
    <w:rsid w:val="001E208C"/>
    <w:rsid w:val="001E2091"/>
    <w:rsid w:val="001E21C6"/>
    <w:rsid w:val="001E246B"/>
    <w:rsid w:val="001E25DF"/>
    <w:rsid w:val="001E26A1"/>
    <w:rsid w:val="001E2710"/>
    <w:rsid w:val="001E279D"/>
    <w:rsid w:val="001E287B"/>
    <w:rsid w:val="001E2A05"/>
    <w:rsid w:val="001E2CC0"/>
    <w:rsid w:val="001E2DCC"/>
    <w:rsid w:val="001E2E3F"/>
    <w:rsid w:val="001E2F91"/>
    <w:rsid w:val="001E2FA2"/>
    <w:rsid w:val="001E300D"/>
    <w:rsid w:val="001E30C4"/>
    <w:rsid w:val="001E30E1"/>
    <w:rsid w:val="001E3114"/>
    <w:rsid w:val="001E315D"/>
    <w:rsid w:val="001E33B9"/>
    <w:rsid w:val="001E33CF"/>
    <w:rsid w:val="001E3682"/>
    <w:rsid w:val="001E36BC"/>
    <w:rsid w:val="001E373E"/>
    <w:rsid w:val="001E387A"/>
    <w:rsid w:val="001E3A40"/>
    <w:rsid w:val="001E3B31"/>
    <w:rsid w:val="001E3CDA"/>
    <w:rsid w:val="001E3D3E"/>
    <w:rsid w:val="001E3FEA"/>
    <w:rsid w:val="001E4096"/>
    <w:rsid w:val="001E41E8"/>
    <w:rsid w:val="001E425A"/>
    <w:rsid w:val="001E452C"/>
    <w:rsid w:val="001E456A"/>
    <w:rsid w:val="001E48E1"/>
    <w:rsid w:val="001E48F0"/>
    <w:rsid w:val="001E48FF"/>
    <w:rsid w:val="001E4F08"/>
    <w:rsid w:val="001E5020"/>
    <w:rsid w:val="001E5290"/>
    <w:rsid w:val="001E53F2"/>
    <w:rsid w:val="001E5504"/>
    <w:rsid w:val="001E554E"/>
    <w:rsid w:val="001E55C2"/>
    <w:rsid w:val="001E5746"/>
    <w:rsid w:val="001E576B"/>
    <w:rsid w:val="001E5994"/>
    <w:rsid w:val="001E5A6C"/>
    <w:rsid w:val="001E5DF9"/>
    <w:rsid w:val="001E5E02"/>
    <w:rsid w:val="001E5E9C"/>
    <w:rsid w:val="001E5F79"/>
    <w:rsid w:val="001E5F9F"/>
    <w:rsid w:val="001E62FF"/>
    <w:rsid w:val="001E636D"/>
    <w:rsid w:val="001E6433"/>
    <w:rsid w:val="001E64FC"/>
    <w:rsid w:val="001E6590"/>
    <w:rsid w:val="001E685A"/>
    <w:rsid w:val="001E68CE"/>
    <w:rsid w:val="001E69E3"/>
    <w:rsid w:val="001E6D93"/>
    <w:rsid w:val="001E6F44"/>
    <w:rsid w:val="001E700C"/>
    <w:rsid w:val="001E7150"/>
    <w:rsid w:val="001E7412"/>
    <w:rsid w:val="001E742A"/>
    <w:rsid w:val="001E743F"/>
    <w:rsid w:val="001E746B"/>
    <w:rsid w:val="001E76D4"/>
    <w:rsid w:val="001E76F8"/>
    <w:rsid w:val="001E77E4"/>
    <w:rsid w:val="001E7811"/>
    <w:rsid w:val="001E78B8"/>
    <w:rsid w:val="001E78D3"/>
    <w:rsid w:val="001E78E0"/>
    <w:rsid w:val="001E7989"/>
    <w:rsid w:val="001E7B34"/>
    <w:rsid w:val="001E7BF8"/>
    <w:rsid w:val="001E7D86"/>
    <w:rsid w:val="001E7E49"/>
    <w:rsid w:val="001E7E4C"/>
    <w:rsid w:val="001E7E69"/>
    <w:rsid w:val="001F019C"/>
    <w:rsid w:val="001F031B"/>
    <w:rsid w:val="001F0388"/>
    <w:rsid w:val="001F0535"/>
    <w:rsid w:val="001F05AC"/>
    <w:rsid w:val="001F0653"/>
    <w:rsid w:val="001F06C7"/>
    <w:rsid w:val="001F0724"/>
    <w:rsid w:val="001F095A"/>
    <w:rsid w:val="001F09AE"/>
    <w:rsid w:val="001F0A71"/>
    <w:rsid w:val="001F0B4C"/>
    <w:rsid w:val="001F0BD0"/>
    <w:rsid w:val="001F0BD5"/>
    <w:rsid w:val="001F0D11"/>
    <w:rsid w:val="001F0D8A"/>
    <w:rsid w:val="001F0D90"/>
    <w:rsid w:val="001F10A8"/>
    <w:rsid w:val="001F10AC"/>
    <w:rsid w:val="001F114C"/>
    <w:rsid w:val="001F1190"/>
    <w:rsid w:val="001F119E"/>
    <w:rsid w:val="001F12C7"/>
    <w:rsid w:val="001F145F"/>
    <w:rsid w:val="001F1583"/>
    <w:rsid w:val="001F192F"/>
    <w:rsid w:val="001F19ED"/>
    <w:rsid w:val="001F1AAD"/>
    <w:rsid w:val="001F1AB8"/>
    <w:rsid w:val="001F1BEA"/>
    <w:rsid w:val="001F1D26"/>
    <w:rsid w:val="001F1F12"/>
    <w:rsid w:val="001F1F8E"/>
    <w:rsid w:val="001F1FD5"/>
    <w:rsid w:val="001F2185"/>
    <w:rsid w:val="001F2202"/>
    <w:rsid w:val="001F2214"/>
    <w:rsid w:val="001F2462"/>
    <w:rsid w:val="001F24D1"/>
    <w:rsid w:val="001F2579"/>
    <w:rsid w:val="001F2599"/>
    <w:rsid w:val="001F27BF"/>
    <w:rsid w:val="001F27DD"/>
    <w:rsid w:val="001F298A"/>
    <w:rsid w:val="001F2B53"/>
    <w:rsid w:val="001F2BEA"/>
    <w:rsid w:val="001F2C2C"/>
    <w:rsid w:val="001F2DFE"/>
    <w:rsid w:val="001F2E10"/>
    <w:rsid w:val="001F2EA8"/>
    <w:rsid w:val="001F3016"/>
    <w:rsid w:val="001F30D5"/>
    <w:rsid w:val="001F32E3"/>
    <w:rsid w:val="001F35CC"/>
    <w:rsid w:val="001F37E8"/>
    <w:rsid w:val="001F398B"/>
    <w:rsid w:val="001F3A13"/>
    <w:rsid w:val="001F3C46"/>
    <w:rsid w:val="001F3D89"/>
    <w:rsid w:val="001F3DEA"/>
    <w:rsid w:val="001F3E0D"/>
    <w:rsid w:val="001F3E3A"/>
    <w:rsid w:val="001F3E64"/>
    <w:rsid w:val="001F3EDB"/>
    <w:rsid w:val="001F3F47"/>
    <w:rsid w:val="001F4100"/>
    <w:rsid w:val="001F41A4"/>
    <w:rsid w:val="001F4225"/>
    <w:rsid w:val="001F4297"/>
    <w:rsid w:val="001F42B7"/>
    <w:rsid w:val="001F436C"/>
    <w:rsid w:val="001F4403"/>
    <w:rsid w:val="001F449D"/>
    <w:rsid w:val="001F4549"/>
    <w:rsid w:val="001F47F7"/>
    <w:rsid w:val="001F48B5"/>
    <w:rsid w:val="001F48D2"/>
    <w:rsid w:val="001F4942"/>
    <w:rsid w:val="001F497B"/>
    <w:rsid w:val="001F499B"/>
    <w:rsid w:val="001F49F3"/>
    <w:rsid w:val="001F4AAB"/>
    <w:rsid w:val="001F4BAA"/>
    <w:rsid w:val="001F4C0E"/>
    <w:rsid w:val="001F4C11"/>
    <w:rsid w:val="001F4D70"/>
    <w:rsid w:val="001F4E92"/>
    <w:rsid w:val="001F516E"/>
    <w:rsid w:val="001F51C7"/>
    <w:rsid w:val="001F51CD"/>
    <w:rsid w:val="001F5324"/>
    <w:rsid w:val="001F542D"/>
    <w:rsid w:val="001F545C"/>
    <w:rsid w:val="001F555F"/>
    <w:rsid w:val="001F5576"/>
    <w:rsid w:val="001F55A4"/>
    <w:rsid w:val="001F5634"/>
    <w:rsid w:val="001F56D5"/>
    <w:rsid w:val="001F5749"/>
    <w:rsid w:val="001F5889"/>
    <w:rsid w:val="001F5A5D"/>
    <w:rsid w:val="001F5B1B"/>
    <w:rsid w:val="001F5B1C"/>
    <w:rsid w:val="001F5B64"/>
    <w:rsid w:val="001F5CA5"/>
    <w:rsid w:val="001F5E04"/>
    <w:rsid w:val="001F5F26"/>
    <w:rsid w:val="001F605E"/>
    <w:rsid w:val="001F640D"/>
    <w:rsid w:val="001F6459"/>
    <w:rsid w:val="001F6548"/>
    <w:rsid w:val="001F65BC"/>
    <w:rsid w:val="001F6646"/>
    <w:rsid w:val="001F6684"/>
    <w:rsid w:val="001F68F6"/>
    <w:rsid w:val="001F6ACD"/>
    <w:rsid w:val="001F6AE7"/>
    <w:rsid w:val="001F6D04"/>
    <w:rsid w:val="001F6D83"/>
    <w:rsid w:val="001F7001"/>
    <w:rsid w:val="001F7027"/>
    <w:rsid w:val="001F7088"/>
    <w:rsid w:val="001F7124"/>
    <w:rsid w:val="001F7130"/>
    <w:rsid w:val="001F74DE"/>
    <w:rsid w:val="001F7545"/>
    <w:rsid w:val="001F75BD"/>
    <w:rsid w:val="001F75C0"/>
    <w:rsid w:val="001F75DB"/>
    <w:rsid w:val="001F76F9"/>
    <w:rsid w:val="001F7A25"/>
    <w:rsid w:val="001F7B2F"/>
    <w:rsid w:val="001F7BF7"/>
    <w:rsid w:val="001F7C37"/>
    <w:rsid w:val="001F7CF8"/>
    <w:rsid w:val="001F7D8B"/>
    <w:rsid w:val="001F7E21"/>
    <w:rsid w:val="001F7E9D"/>
    <w:rsid w:val="00200194"/>
    <w:rsid w:val="002001B7"/>
    <w:rsid w:val="002003E1"/>
    <w:rsid w:val="00200570"/>
    <w:rsid w:val="002005AB"/>
    <w:rsid w:val="002006A2"/>
    <w:rsid w:val="002007DF"/>
    <w:rsid w:val="002009B7"/>
    <w:rsid w:val="00200A5F"/>
    <w:rsid w:val="00200CBC"/>
    <w:rsid w:val="00200D2B"/>
    <w:rsid w:val="00200E3D"/>
    <w:rsid w:val="00200F96"/>
    <w:rsid w:val="00201091"/>
    <w:rsid w:val="0020146D"/>
    <w:rsid w:val="00201537"/>
    <w:rsid w:val="00201591"/>
    <w:rsid w:val="002015A4"/>
    <w:rsid w:val="002016E5"/>
    <w:rsid w:val="002016F3"/>
    <w:rsid w:val="00201772"/>
    <w:rsid w:val="002017AE"/>
    <w:rsid w:val="0020181B"/>
    <w:rsid w:val="00201843"/>
    <w:rsid w:val="002018C0"/>
    <w:rsid w:val="00201946"/>
    <w:rsid w:val="002019BD"/>
    <w:rsid w:val="00201A8A"/>
    <w:rsid w:val="00201AD2"/>
    <w:rsid w:val="00201B83"/>
    <w:rsid w:val="00201D46"/>
    <w:rsid w:val="00201E5B"/>
    <w:rsid w:val="00201EED"/>
    <w:rsid w:val="00201F48"/>
    <w:rsid w:val="00201FC6"/>
    <w:rsid w:val="00202027"/>
    <w:rsid w:val="002020EB"/>
    <w:rsid w:val="0020229D"/>
    <w:rsid w:val="00202480"/>
    <w:rsid w:val="0020278F"/>
    <w:rsid w:val="002028C1"/>
    <w:rsid w:val="00202A4B"/>
    <w:rsid w:val="00202A8F"/>
    <w:rsid w:val="00202B00"/>
    <w:rsid w:val="00202B8B"/>
    <w:rsid w:val="00202C23"/>
    <w:rsid w:val="00202D53"/>
    <w:rsid w:val="00202F88"/>
    <w:rsid w:val="00203087"/>
    <w:rsid w:val="002031CB"/>
    <w:rsid w:val="00203220"/>
    <w:rsid w:val="00203255"/>
    <w:rsid w:val="00203262"/>
    <w:rsid w:val="002032BA"/>
    <w:rsid w:val="00203332"/>
    <w:rsid w:val="00203349"/>
    <w:rsid w:val="002033A6"/>
    <w:rsid w:val="00203634"/>
    <w:rsid w:val="00203769"/>
    <w:rsid w:val="00203825"/>
    <w:rsid w:val="00203827"/>
    <w:rsid w:val="00203C6C"/>
    <w:rsid w:val="00203C97"/>
    <w:rsid w:val="00203CB6"/>
    <w:rsid w:val="00203DE1"/>
    <w:rsid w:val="00203E9A"/>
    <w:rsid w:val="00203F2E"/>
    <w:rsid w:val="002040A7"/>
    <w:rsid w:val="00204289"/>
    <w:rsid w:val="0020436C"/>
    <w:rsid w:val="002043DE"/>
    <w:rsid w:val="00204615"/>
    <w:rsid w:val="002046C3"/>
    <w:rsid w:val="002046CE"/>
    <w:rsid w:val="002048EE"/>
    <w:rsid w:val="00204921"/>
    <w:rsid w:val="00204A26"/>
    <w:rsid w:val="00204D7C"/>
    <w:rsid w:val="00204E2E"/>
    <w:rsid w:val="00204E87"/>
    <w:rsid w:val="00204FC4"/>
    <w:rsid w:val="00204FD5"/>
    <w:rsid w:val="0020519B"/>
    <w:rsid w:val="0020522E"/>
    <w:rsid w:val="00205349"/>
    <w:rsid w:val="00205526"/>
    <w:rsid w:val="00205636"/>
    <w:rsid w:val="002056DF"/>
    <w:rsid w:val="002057E2"/>
    <w:rsid w:val="0020580B"/>
    <w:rsid w:val="00205886"/>
    <w:rsid w:val="002058C3"/>
    <w:rsid w:val="00205904"/>
    <w:rsid w:val="00205A06"/>
    <w:rsid w:val="00205AFE"/>
    <w:rsid w:val="00205C99"/>
    <w:rsid w:val="00205F1F"/>
    <w:rsid w:val="00205F3B"/>
    <w:rsid w:val="00205FE8"/>
    <w:rsid w:val="00206049"/>
    <w:rsid w:val="00206200"/>
    <w:rsid w:val="00206515"/>
    <w:rsid w:val="0020651B"/>
    <w:rsid w:val="00206601"/>
    <w:rsid w:val="002067DD"/>
    <w:rsid w:val="002067E2"/>
    <w:rsid w:val="00206829"/>
    <w:rsid w:val="00206843"/>
    <w:rsid w:val="002068A3"/>
    <w:rsid w:val="00206AC9"/>
    <w:rsid w:val="00206B6D"/>
    <w:rsid w:val="00206BA3"/>
    <w:rsid w:val="00206CDC"/>
    <w:rsid w:val="00206D0D"/>
    <w:rsid w:val="00206D28"/>
    <w:rsid w:val="00206D9D"/>
    <w:rsid w:val="00206E06"/>
    <w:rsid w:val="00206E32"/>
    <w:rsid w:val="00206E84"/>
    <w:rsid w:val="00206F27"/>
    <w:rsid w:val="00207019"/>
    <w:rsid w:val="002070B3"/>
    <w:rsid w:val="0020715D"/>
    <w:rsid w:val="00207225"/>
    <w:rsid w:val="00207347"/>
    <w:rsid w:val="002073F9"/>
    <w:rsid w:val="00207511"/>
    <w:rsid w:val="00207605"/>
    <w:rsid w:val="00207B0A"/>
    <w:rsid w:val="00207B82"/>
    <w:rsid w:val="00207B9A"/>
    <w:rsid w:val="00207BE5"/>
    <w:rsid w:val="00207C05"/>
    <w:rsid w:val="00207CD7"/>
    <w:rsid w:val="00207D43"/>
    <w:rsid w:val="00207D6B"/>
    <w:rsid w:val="00207DA4"/>
    <w:rsid w:val="00207DCD"/>
    <w:rsid w:val="0021007C"/>
    <w:rsid w:val="00210146"/>
    <w:rsid w:val="00210181"/>
    <w:rsid w:val="0021046B"/>
    <w:rsid w:val="0021063E"/>
    <w:rsid w:val="002107E4"/>
    <w:rsid w:val="00210938"/>
    <w:rsid w:val="00210A4C"/>
    <w:rsid w:val="00210A80"/>
    <w:rsid w:val="00210AA0"/>
    <w:rsid w:val="00210CAF"/>
    <w:rsid w:val="00210D63"/>
    <w:rsid w:val="00210EF9"/>
    <w:rsid w:val="00210F17"/>
    <w:rsid w:val="002111BC"/>
    <w:rsid w:val="0021169D"/>
    <w:rsid w:val="002116C5"/>
    <w:rsid w:val="00211767"/>
    <w:rsid w:val="002117A9"/>
    <w:rsid w:val="002117F7"/>
    <w:rsid w:val="00211800"/>
    <w:rsid w:val="0021189B"/>
    <w:rsid w:val="00211A02"/>
    <w:rsid w:val="00211B43"/>
    <w:rsid w:val="00211B77"/>
    <w:rsid w:val="00211BA5"/>
    <w:rsid w:val="00211BF6"/>
    <w:rsid w:val="00211C0B"/>
    <w:rsid w:val="00211C83"/>
    <w:rsid w:val="00211CCD"/>
    <w:rsid w:val="00211D68"/>
    <w:rsid w:val="00211D92"/>
    <w:rsid w:val="00211DE2"/>
    <w:rsid w:val="00211DFA"/>
    <w:rsid w:val="00211E25"/>
    <w:rsid w:val="00211E5D"/>
    <w:rsid w:val="00211EB8"/>
    <w:rsid w:val="00211EFE"/>
    <w:rsid w:val="002121AB"/>
    <w:rsid w:val="002122BA"/>
    <w:rsid w:val="002124FB"/>
    <w:rsid w:val="0021255C"/>
    <w:rsid w:val="00212566"/>
    <w:rsid w:val="0021267C"/>
    <w:rsid w:val="00212680"/>
    <w:rsid w:val="002127AF"/>
    <w:rsid w:val="002127BE"/>
    <w:rsid w:val="0021284F"/>
    <w:rsid w:val="00212944"/>
    <w:rsid w:val="00212973"/>
    <w:rsid w:val="00212A69"/>
    <w:rsid w:val="00212A7F"/>
    <w:rsid w:val="00212BA7"/>
    <w:rsid w:val="00212BBD"/>
    <w:rsid w:val="00212CAB"/>
    <w:rsid w:val="00212E90"/>
    <w:rsid w:val="00212F1C"/>
    <w:rsid w:val="00212F37"/>
    <w:rsid w:val="00213039"/>
    <w:rsid w:val="0021308D"/>
    <w:rsid w:val="00213131"/>
    <w:rsid w:val="00213158"/>
    <w:rsid w:val="002131AA"/>
    <w:rsid w:val="00213201"/>
    <w:rsid w:val="00213234"/>
    <w:rsid w:val="0021323B"/>
    <w:rsid w:val="00213281"/>
    <w:rsid w:val="00213412"/>
    <w:rsid w:val="002134F8"/>
    <w:rsid w:val="002136A3"/>
    <w:rsid w:val="002136DC"/>
    <w:rsid w:val="00213718"/>
    <w:rsid w:val="00213842"/>
    <w:rsid w:val="00213850"/>
    <w:rsid w:val="00213890"/>
    <w:rsid w:val="00213895"/>
    <w:rsid w:val="002138B9"/>
    <w:rsid w:val="00213A54"/>
    <w:rsid w:val="00213ABD"/>
    <w:rsid w:val="00213B3E"/>
    <w:rsid w:val="00213B9E"/>
    <w:rsid w:val="00213BCA"/>
    <w:rsid w:val="00213D0B"/>
    <w:rsid w:val="00213E93"/>
    <w:rsid w:val="00213F86"/>
    <w:rsid w:val="0021402E"/>
    <w:rsid w:val="0021419C"/>
    <w:rsid w:val="002141C0"/>
    <w:rsid w:val="002141C3"/>
    <w:rsid w:val="002141CF"/>
    <w:rsid w:val="002141D8"/>
    <w:rsid w:val="002141FF"/>
    <w:rsid w:val="002143B9"/>
    <w:rsid w:val="002143BA"/>
    <w:rsid w:val="00214490"/>
    <w:rsid w:val="0021449D"/>
    <w:rsid w:val="002146F7"/>
    <w:rsid w:val="002148A4"/>
    <w:rsid w:val="00214BBB"/>
    <w:rsid w:val="00214C17"/>
    <w:rsid w:val="00214C56"/>
    <w:rsid w:val="00214C93"/>
    <w:rsid w:val="00214CA1"/>
    <w:rsid w:val="00214D2B"/>
    <w:rsid w:val="00214D59"/>
    <w:rsid w:val="00214F2C"/>
    <w:rsid w:val="00214F47"/>
    <w:rsid w:val="00214FEE"/>
    <w:rsid w:val="00215160"/>
    <w:rsid w:val="0021517D"/>
    <w:rsid w:val="0021532D"/>
    <w:rsid w:val="0021536C"/>
    <w:rsid w:val="002155BE"/>
    <w:rsid w:val="00215678"/>
    <w:rsid w:val="00215692"/>
    <w:rsid w:val="00215874"/>
    <w:rsid w:val="00215A91"/>
    <w:rsid w:val="00215B1D"/>
    <w:rsid w:val="00215D69"/>
    <w:rsid w:val="00215D7C"/>
    <w:rsid w:val="00215EC7"/>
    <w:rsid w:val="00215F6C"/>
    <w:rsid w:val="00215F7D"/>
    <w:rsid w:val="00216157"/>
    <w:rsid w:val="00216411"/>
    <w:rsid w:val="00216456"/>
    <w:rsid w:val="002164ED"/>
    <w:rsid w:val="00216565"/>
    <w:rsid w:val="0021679D"/>
    <w:rsid w:val="002167BA"/>
    <w:rsid w:val="00216836"/>
    <w:rsid w:val="0021693E"/>
    <w:rsid w:val="00216B27"/>
    <w:rsid w:val="00216CE0"/>
    <w:rsid w:val="00216F28"/>
    <w:rsid w:val="00216FC1"/>
    <w:rsid w:val="00216FD1"/>
    <w:rsid w:val="00217129"/>
    <w:rsid w:val="002171FA"/>
    <w:rsid w:val="002172BD"/>
    <w:rsid w:val="002173C0"/>
    <w:rsid w:val="00217452"/>
    <w:rsid w:val="002176E3"/>
    <w:rsid w:val="0021770F"/>
    <w:rsid w:val="00217959"/>
    <w:rsid w:val="00217A1E"/>
    <w:rsid w:val="00217C30"/>
    <w:rsid w:val="00217C8C"/>
    <w:rsid w:val="00217DDB"/>
    <w:rsid w:val="00217E57"/>
    <w:rsid w:val="00217F10"/>
    <w:rsid w:val="0022016E"/>
    <w:rsid w:val="00220288"/>
    <w:rsid w:val="002202C2"/>
    <w:rsid w:val="002202F1"/>
    <w:rsid w:val="00220388"/>
    <w:rsid w:val="00220397"/>
    <w:rsid w:val="002203E8"/>
    <w:rsid w:val="0022054A"/>
    <w:rsid w:val="002207E3"/>
    <w:rsid w:val="0022083C"/>
    <w:rsid w:val="0022087D"/>
    <w:rsid w:val="0022088C"/>
    <w:rsid w:val="0022089B"/>
    <w:rsid w:val="002208A0"/>
    <w:rsid w:val="002208B2"/>
    <w:rsid w:val="00220A61"/>
    <w:rsid w:val="00220AA0"/>
    <w:rsid w:val="00220B7D"/>
    <w:rsid w:val="00220CEA"/>
    <w:rsid w:val="00220D45"/>
    <w:rsid w:val="00220D74"/>
    <w:rsid w:val="00220E68"/>
    <w:rsid w:val="00221111"/>
    <w:rsid w:val="0022118C"/>
    <w:rsid w:val="0022134B"/>
    <w:rsid w:val="00221394"/>
    <w:rsid w:val="00221439"/>
    <w:rsid w:val="00221455"/>
    <w:rsid w:val="00221479"/>
    <w:rsid w:val="0022169F"/>
    <w:rsid w:val="002217E4"/>
    <w:rsid w:val="002218E4"/>
    <w:rsid w:val="0022193B"/>
    <w:rsid w:val="002219CC"/>
    <w:rsid w:val="002219CE"/>
    <w:rsid w:val="00221C59"/>
    <w:rsid w:val="00221E4C"/>
    <w:rsid w:val="00221E60"/>
    <w:rsid w:val="00221F80"/>
    <w:rsid w:val="00221F87"/>
    <w:rsid w:val="00222399"/>
    <w:rsid w:val="0022246F"/>
    <w:rsid w:val="002224B4"/>
    <w:rsid w:val="002224F0"/>
    <w:rsid w:val="002225B0"/>
    <w:rsid w:val="002225C8"/>
    <w:rsid w:val="002227FF"/>
    <w:rsid w:val="00222851"/>
    <w:rsid w:val="0022296D"/>
    <w:rsid w:val="00222B66"/>
    <w:rsid w:val="00222BDE"/>
    <w:rsid w:val="00222C04"/>
    <w:rsid w:val="00222C07"/>
    <w:rsid w:val="00222C2C"/>
    <w:rsid w:val="00222CE1"/>
    <w:rsid w:val="00222CFE"/>
    <w:rsid w:val="00222E1C"/>
    <w:rsid w:val="0022303B"/>
    <w:rsid w:val="002231AC"/>
    <w:rsid w:val="00223368"/>
    <w:rsid w:val="0022340A"/>
    <w:rsid w:val="00223488"/>
    <w:rsid w:val="002234D7"/>
    <w:rsid w:val="00223522"/>
    <w:rsid w:val="00223587"/>
    <w:rsid w:val="002235B7"/>
    <w:rsid w:val="002235F3"/>
    <w:rsid w:val="002236F1"/>
    <w:rsid w:val="0022373F"/>
    <w:rsid w:val="00223858"/>
    <w:rsid w:val="0022386E"/>
    <w:rsid w:val="00223943"/>
    <w:rsid w:val="002239CA"/>
    <w:rsid w:val="00223A10"/>
    <w:rsid w:val="00223B44"/>
    <w:rsid w:val="00223B62"/>
    <w:rsid w:val="00223BCC"/>
    <w:rsid w:val="00223CC9"/>
    <w:rsid w:val="00223E06"/>
    <w:rsid w:val="00223FF3"/>
    <w:rsid w:val="00224264"/>
    <w:rsid w:val="00224387"/>
    <w:rsid w:val="00224712"/>
    <w:rsid w:val="0022474E"/>
    <w:rsid w:val="002247DE"/>
    <w:rsid w:val="00224825"/>
    <w:rsid w:val="0022493B"/>
    <w:rsid w:val="00224B2D"/>
    <w:rsid w:val="00224F23"/>
    <w:rsid w:val="00224FAD"/>
    <w:rsid w:val="00224FEB"/>
    <w:rsid w:val="0022510C"/>
    <w:rsid w:val="00225196"/>
    <w:rsid w:val="00225333"/>
    <w:rsid w:val="0022537C"/>
    <w:rsid w:val="002253CC"/>
    <w:rsid w:val="002253F0"/>
    <w:rsid w:val="00225423"/>
    <w:rsid w:val="0022542A"/>
    <w:rsid w:val="002255A7"/>
    <w:rsid w:val="00225751"/>
    <w:rsid w:val="00225786"/>
    <w:rsid w:val="002257A7"/>
    <w:rsid w:val="0022595F"/>
    <w:rsid w:val="00225A22"/>
    <w:rsid w:val="00225A2A"/>
    <w:rsid w:val="00225D0C"/>
    <w:rsid w:val="00225D53"/>
    <w:rsid w:val="00225D55"/>
    <w:rsid w:val="00225D8B"/>
    <w:rsid w:val="00225E37"/>
    <w:rsid w:val="0022608C"/>
    <w:rsid w:val="0022609A"/>
    <w:rsid w:val="0022610F"/>
    <w:rsid w:val="00226394"/>
    <w:rsid w:val="002263E2"/>
    <w:rsid w:val="0022671B"/>
    <w:rsid w:val="002267C6"/>
    <w:rsid w:val="002267CD"/>
    <w:rsid w:val="0022681C"/>
    <w:rsid w:val="00226965"/>
    <w:rsid w:val="00226A55"/>
    <w:rsid w:val="00226B07"/>
    <w:rsid w:val="00226B7C"/>
    <w:rsid w:val="00226C7A"/>
    <w:rsid w:val="00226D59"/>
    <w:rsid w:val="00226D5E"/>
    <w:rsid w:val="00226E09"/>
    <w:rsid w:val="00226FAB"/>
    <w:rsid w:val="00226FAC"/>
    <w:rsid w:val="00226FFB"/>
    <w:rsid w:val="002270AC"/>
    <w:rsid w:val="002270B5"/>
    <w:rsid w:val="0022716A"/>
    <w:rsid w:val="00227203"/>
    <w:rsid w:val="002272C5"/>
    <w:rsid w:val="002273C5"/>
    <w:rsid w:val="00227A2A"/>
    <w:rsid w:val="00227A7B"/>
    <w:rsid w:val="00227BAD"/>
    <w:rsid w:val="00227C31"/>
    <w:rsid w:val="00227D19"/>
    <w:rsid w:val="00227DCD"/>
    <w:rsid w:val="00227EF9"/>
    <w:rsid w:val="00227FC6"/>
    <w:rsid w:val="00230057"/>
    <w:rsid w:val="002300AA"/>
    <w:rsid w:val="002302CF"/>
    <w:rsid w:val="002302D4"/>
    <w:rsid w:val="0023030C"/>
    <w:rsid w:val="0023048F"/>
    <w:rsid w:val="0023057A"/>
    <w:rsid w:val="002306AA"/>
    <w:rsid w:val="00230736"/>
    <w:rsid w:val="002307CB"/>
    <w:rsid w:val="00230C8C"/>
    <w:rsid w:val="00230D57"/>
    <w:rsid w:val="00230D83"/>
    <w:rsid w:val="00230E7B"/>
    <w:rsid w:val="002310AD"/>
    <w:rsid w:val="002311D5"/>
    <w:rsid w:val="002312A9"/>
    <w:rsid w:val="002312FC"/>
    <w:rsid w:val="002315B3"/>
    <w:rsid w:val="002315EC"/>
    <w:rsid w:val="002315F2"/>
    <w:rsid w:val="0023162B"/>
    <w:rsid w:val="0023169D"/>
    <w:rsid w:val="002317ED"/>
    <w:rsid w:val="00231927"/>
    <w:rsid w:val="002319A8"/>
    <w:rsid w:val="00231A62"/>
    <w:rsid w:val="00231A6A"/>
    <w:rsid w:val="00231A7E"/>
    <w:rsid w:val="00231B9A"/>
    <w:rsid w:val="00231C43"/>
    <w:rsid w:val="00231C55"/>
    <w:rsid w:val="00231D64"/>
    <w:rsid w:val="00231F0C"/>
    <w:rsid w:val="00231F1C"/>
    <w:rsid w:val="00231F53"/>
    <w:rsid w:val="00231F69"/>
    <w:rsid w:val="00231FFC"/>
    <w:rsid w:val="00232080"/>
    <w:rsid w:val="00232237"/>
    <w:rsid w:val="0023246B"/>
    <w:rsid w:val="00232481"/>
    <w:rsid w:val="002326F1"/>
    <w:rsid w:val="002328D1"/>
    <w:rsid w:val="00232A5B"/>
    <w:rsid w:val="00232A7C"/>
    <w:rsid w:val="00232C7D"/>
    <w:rsid w:val="00232D83"/>
    <w:rsid w:val="00232E0C"/>
    <w:rsid w:val="00232E16"/>
    <w:rsid w:val="00232EC6"/>
    <w:rsid w:val="002330D5"/>
    <w:rsid w:val="002331B7"/>
    <w:rsid w:val="002331EF"/>
    <w:rsid w:val="00233263"/>
    <w:rsid w:val="00233334"/>
    <w:rsid w:val="00233358"/>
    <w:rsid w:val="002333A1"/>
    <w:rsid w:val="00233583"/>
    <w:rsid w:val="002335DB"/>
    <w:rsid w:val="002335F2"/>
    <w:rsid w:val="00233666"/>
    <w:rsid w:val="00233929"/>
    <w:rsid w:val="00233A25"/>
    <w:rsid w:val="00233CE5"/>
    <w:rsid w:val="00233CF1"/>
    <w:rsid w:val="00233D4C"/>
    <w:rsid w:val="00233D4D"/>
    <w:rsid w:val="00233EB4"/>
    <w:rsid w:val="00234113"/>
    <w:rsid w:val="0023415A"/>
    <w:rsid w:val="002341CD"/>
    <w:rsid w:val="002341EE"/>
    <w:rsid w:val="002343FC"/>
    <w:rsid w:val="00234435"/>
    <w:rsid w:val="00234471"/>
    <w:rsid w:val="002344C6"/>
    <w:rsid w:val="0023485B"/>
    <w:rsid w:val="0023492E"/>
    <w:rsid w:val="00234A59"/>
    <w:rsid w:val="00234AF1"/>
    <w:rsid w:val="00234B0C"/>
    <w:rsid w:val="00234B50"/>
    <w:rsid w:val="00234D42"/>
    <w:rsid w:val="00234EC2"/>
    <w:rsid w:val="00234F55"/>
    <w:rsid w:val="0023517C"/>
    <w:rsid w:val="002352BD"/>
    <w:rsid w:val="00235348"/>
    <w:rsid w:val="002353A7"/>
    <w:rsid w:val="00235648"/>
    <w:rsid w:val="0023566E"/>
    <w:rsid w:val="00235706"/>
    <w:rsid w:val="00235730"/>
    <w:rsid w:val="0023574F"/>
    <w:rsid w:val="002357F9"/>
    <w:rsid w:val="0023585C"/>
    <w:rsid w:val="0023589B"/>
    <w:rsid w:val="002358D6"/>
    <w:rsid w:val="002358EA"/>
    <w:rsid w:val="0023599F"/>
    <w:rsid w:val="00235A67"/>
    <w:rsid w:val="00235AB9"/>
    <w:rsid w:val="00235B22"/>
    <w:rsid w:val="00235C98"/>
    <w:rsid w:val="00235CC7"/>
    <w:rsid w:val="00235D3E"/>
    <w:rsid w:val="00235D74"/>
    <w:rsid w:val="00235D93"/>
    <w:rsid w:val="00235F75"/>
    <w:rsid w:val="00235F90"/>
    <w:rsid w:val="00235FC5"/>
    <w:rsid w:val="0023617A"/>
    <w:rsid w:val="00236225"/>
    <w:rsid w:val="0023625A"/>
    <w:rsid w:val="00236574"/>
    <w:rsid w:val="00236594"/>
    <w:rsid w:val="002365B9"/>
    <w:rsid w:val="002365D4"/>
    <w:rsid w:val="002366B6"/>
    <w:rsid w:val="0023683E"/>
    <w:rsid w:val="0023687E"/>
    <w:rsid w:val="00236A45"/>
    <w:rsid w:val="00236B20"/>
    <w:rsid w:val="00236DCF"/>
    <w:rsid w:val="00236E31"/>
    <w:rsid w:val="00236ED5"/>
    <w:rsid w:val="0023715B"/>
    <w:rsid w:val="002372F9"/>
    <w:rsid w:val="00237318"/>
    <w:rsid w:val="0023745F"/>
    <w:rsid w:val="00237575"/>
    <w:rsid w:val="0023758F"/>
    <w:rsid w:val="0023781F"/>
    <w:rsid w:val="00237833"/>
    <w:rsid w:val="002378A1"/>
    <w:rsid w:val="002378D6"/>
    <w:rsid w:val="00237A09"/>
    <w:rsid w:val="00237A3D"/>
    <w:rsid w:val="00237C12"/>
    <w:rsid w:val="00237C97"/>
    <w:rsid w:val="00237E03"/>
    <w:rsid w:val="00237EC5"/>
    <w:rsid w:val="00237EFC"/>
    <w:rsid w:val="00237FBB"/>
    <w:rsid w:val="00237FF4"/>
    <w:rsid w:val="0024002D"/>
    <w:rsid w:val="002400BF"/>
    <w:rsid w:val="002401F5"/>
    <w:rsid w:val="00240274"/>
    <w:rsid w:val="00240293"/>
    <w:rsid w:val="0024029C"/>
    <w:rsid w:val="002403AA"/>
    <w:rsid w:val="002403DB"/>
    <w:rsid w:val="002404B1"/>
    <w:rsid w:val="00240525"/>
    <w:rsid w:val="0024058D"/>
    <w:rsid w:val="00240640"/>
    <w:rsid w:val="00240654"/>
    <w:rsid w:val="002406FE"/>
    <w:rsid w:val="002407E7"/>
    <w:rsid w:val="00240801"/>
    <w:rsid w:val="0024089F"/>
    <w:rsid w:val="002408D8"/>
    <w:rsid w:val="00240B26"/>
    <w:rsid w:val="00240B9F"/>
    <w:rsid w:val="00240CBF"/>
    <w:rsid w:val="00240E50"/>
    <w:rsid w:val="00240E83"/>
    <w:rsid w:val="00240FCB"/>
    <w:rsid w:val="0024119C"/>
    <w:rsid w:val="002411CB"/>
    <w:rsid w:val="002411F9"/>
    <w:rsid w:val="0024127C"/>
    <w:rsid w:val="002412BC"/>
    <w:rsid w:val="00241306"/>
    <w:rsid w:val="00241437"/>
    <w:rsid w:val="002416B6"/>
    <w:rsid w:val="002416BA"/>
    <w:rsid w:val="00241740"/>
    <w:rsid w:val="00241829"/>
    <w:rsid w:val="0024189C"/>
    <w:rsid w:val="002418A2"/>
    <w:rsid w:val="00241978"/>
    <w:rsid w:val="00241A63"/>
    <w:rsid w:val="00241A9B"/>
    <w:rsid w:val="00241B1C"/>
    <w:rsid w:val="00241BC1"/>
    <w:rsid w:val="00241C25"/>
    <w:rsid w:val="00241CA4"/>
    <w:rsid w:val="00241E64"/>
    <w:rsid w:val="00241E98"/>
    <w:rsid w:val="00241F2B"/>
    <w:rsid w:val="00242077"/>
    <w:rsid w:val="00242475"/>
    <w:rsid w:val="00242492"/>
    <w:rsid w:val="00242699"/>
    <w:rsid w:val="002426B6"/>
    <w:rsid w:val="00242780"/>
    <w:rsid w:val="0024284D"/>
    <w:rsid w:val="00242950"/>
    <w:rsid w:val="00242AF2"/>
    <w:rsid w:val="00242D36"/>
    <w:rsid w:val="00242E27"/>
    <w:rsid w:val="00242E5B"/>
    <w:rsid w:val="00242E9C"/>
    <w:rsid w:val="00242FA6"/>
    <w:rsid w:val="00243032"/>
    <w:rsid w:val="0024304A"/>
    <w:rsid w:val="0024333C"/>
    <w:rsid w:val="002433E6"/>
    <w:rsid w:val="002433FB"/>
    <w:rsid w:val="00243474"/>
    <w:rsid w:val="002434A7"/>
    <w:rsid w:val="00243696"/>
    <w:rsid w:val="002436D0"/>
    <w:rsid w:val="00243717"/>
    <w:rsid w:val="002437CE"/>
    <w:rsid w:val="002437FC"/>
    <w:rsid w:val="00243801"/>
    <w:rsid w:val="002438F4"/>
    <w:rsid w:val="00243A75"/>
    <w:rsid w:val="00243A8B"/>
    <w:rsid w:val="00243AA6"/>
    <w:rsid w:val="00243C3F"/>
    <w:rsid w:val="00243D90"/>
    <w:rsid w:val="00243ECE"/>
    <w:rsid w:val="00243F57"/>
    <w:rsid w:val="002440E6"/>
    <w:rsid w:val="002440EC"/>
    <w:rsid w:val="002440FD"/>
    <w:rsid w:val="002441AE"/>
    <w:rsid w:val="00244202"/>
    <w:rsid w:val="0024433C"/>
    <w:rsid w:val="002444C5"/>
    <w:rsid w:val="00244514"/>
    <w:rsid w:val="0024451F"/>
    <w:rsid w:val="0024470E"/>
    <w:rsid w:val="00244758"/>
    <w:rsid w:val="00244831"/>
    <w:rsid w:val="0024484F"/>
    <w:rsid w:val="00244A59"/>
    <w:rsid w:val="00244AAA"/>
    <w:rsid w:val="00244C1A"/>
    <w:rsid w:val="00244CC2"/>
    <w:rsid w:val="00244D2C"/>
    <w:rsid w:val="00244E34"/>
    <w:rsid w:val="00244FF2"/>
    <w:rsid w:val="002451F7"/>
    <w:rsid w:val="002451FB"/>
    <w:rsid w:val="00245243"/>
    <w:rsid w:val="0024542B"/>
    <w:rsid w:val="00245600"/>
    <w:rsid w:val="00245881"/>
    <w:rsid w:val="00245882"/>
    <w:rsid w:val="00245931"/>
    <w:rsid w:val="00245B12"/>
    <w:rsid w:val="00245C07"/>
    <w:rsid w:val="00245CB0"/>
    <w:rsid w:val="00245CBD"/>
    <w:rsid w:val="00245D85"/>
    <w:rsid w:val="00245D89"/>
    <w:rsid w:val="00245DF3"/>
    <w:rsid w:val="00245E6C"/>
    <w:rsid w:val="00245EC9"/>
    <w:rsid w:val="00245F7B"/>
    <w:rsid w:val="00245F80"/>
    <w:rsid w:val="0024610F"/>
    <w:rsid w:val="00246161"/>
    <w:rsid w:val="00246261"/>
    <w:rsid w:val="002462E0"/>
    <w:rsid w:val="002465F3"/>
    <w:rsid w:val="00246606"/>
    <w:rsid w:val="002466F2"/>
    <w:rsid w:val="002469AD"/>
    <w:rsid w:val="002469C1"/>
    <w:rsid w:val="002469DA"/>
    <w:rsid w:val="00246D91"/>
    <w:rsid w:val="00246DD5"/>
    <w:rsid w:val="00246DD6"/>
    <w:rsid w:val="00246DF7"/>
    <w:rsid w:val="00246FBD"/>
    <w:rsid w:val="00247005"/>
    <w:rsid w:val="002470A1"/>
    <w:rsid w:val="002471C6"/>
    <w:rsid w:val="002473C3"/>
    <w:rsid w:val="002473C6"/>
    <w:rsid w:val="002474A2"/>
    <w:rsid w:val="00247548"/>
    <w:rsid w:val="00247583"/>
    <w:rsid w:val="00247624"/>
    <w:rsid w:val="0024767E"/>
    <w:rsid w:val="0024778A"/>
    <w:rsid w:val="00247797"/>
    <w:rsid w:val="002477A0"/>
    <w:rsid w:val="002477F3"/>
    <w:rsid w:val="00247950"/>
    <w:rsid w:val="00247A9F"/>
    <w:rsid w:val="00247BC2"/>
    <w:rsid w:val="00247BFD"/>
    <w:rsid w:val="00247E25"/>
    <w:rsid w:val="00247E4B"/>
    <w:rsid w:val="00247EC7"/>
    <w:rsid w:val="00247F95"/>
    <w:rsid w:val="00247FD1"/>
    <w:rsid w:val="00247FF1"/>
    <w:rsid w:val="002500AF"/>
    <w:rsid w:val="00250229"/>
    <w:rsid w:val="002502D1"/>
    <w:rsid w:val="00250316"/>
    <w:rsid w:val="0025032C"/>
    <w:rsid w:val="00250333"/>
    <w:rsid w:val="0025034D"/>
    <w:rsid w:val="002503AD"/>
    <w:rsid w:val="002504DB"/>
    <w:rsid w:val="0025055C"/>
    <w:rsid w:val="0025059C"/>
    <w:rsid w:val="00250716"/>
    <w:rsid w:val="0025072F"/>
    <w:rsid w:val="00250918"/>
    <w:rsid w:val="00250B62"/>
    <w:rsid w:val="00250CC3"/>
    <w:rsid w:val="00250CD4"/>
    <w:rsid w:val="00250D08"/>
    <w:rsid w:val="00250D5F"/>
    <w:rsid w:val="00250DA7"/>
    <w:rsid w:val="00250F90"/>
    <w:rsid w:val="00251069"/>
    <w:rsid w:val="0025135A"/>
    <w:rsid w:val="00251454"/>
    <w:rsid w:val="002514CC"/>
    <w:rsid w:val="00251544"/>
    <w:rsid w:val="002515F9"/>
    <w:rsid w:val="002519CB"/>
    <w:rsid w:val="002519CD"/>
    <w:rsid w:val="00251AD3"/>
    <w:rsid w:val="00251BFF"/>
    <w:rsid w:val="00251C10"/>
    <w:rsid w:val="00251CBA"/>
    <w:rsid w:val="00251D77"/>
    <w:rsid w:val="00251F27"/>
    <w:rsid w:val="00252030"/>
    <w:rsid w:val="00252115"/>
    <w:rsid w:val="00252176"/>
    <w:rsid w:val="002522C2"/>
    <w:rsid w:val="002522D9"/>
    <w:rsid w:val="002522E5"/>
    <w:rsid w:val="0025234F"/>
    <w:rsid w:val="002523E1"/>
    <w:rsid w:val="0025252D"/>
    <w:rsid w:val="0025258B"/>
    <w:rsid w:val="002525E3"/>
    <w:rsid w:val="0025279B"/>
    <w:rsid w:val="002528B4"/>
    <w:rsid w:val="00252A36"/>
    <w:rsid w:val="00252B00"/>
    <w:rsid w:val="00252B84"/>
    <w:rsid w:val="00252C16"/>
    <w:rsid w:val="00252E5E"/>
    <w:rsid w:val="00252ED0"/>
    <w:rsid w:val="00252FF0"/>
    <w:rsid w:val="00253004"/>
    <w:rsid w:val="00253041"/>
    <w:rsid w:val="00253049"/>
    <w:rsid w:val="00253190"/>
    <w:rsid w:val="00253237"/>
    <w:rsid w:val="002532CF"/>
    <w:rsid w:val="00253344"/>
    <w:rsid w:val="002534BF"/>
    <w:rsid w:val="00253770"/>
    <w:rsid w:val="002537FA"/>
    <w:rsid w:val="0025380D"/>
    <w:rsid w:val="002539A6"/>
    <w:rsid w:val="00253A1A"/>
    <w:rsid w:val="00253AE7"/>
    <w:rsid w:val="00253B9E"/>
    <w:rsid w:val="00253BFD"/>
    <w:rsid w:val="00253C5F"/>
    <w:rsid w:val="00253DDE"/>
    <w:rsid w:val="00253EEA"/>
    <w:rsid w:val="00253FA1"/>
    <w:rsid w:val="00253FA4"/>
    <w:rsid w:val="0025409C"/>
    <w:rsid w:val="00254196"/>
    <w:rsid w:val="0025424A"/>
    <w:rsid w:val="0025432C"/>
    <w:rsid w:val="0025443A"/>
    <w:rsid w:val="002544FD"/>
    <w:rsid w:val="002545CC"/>
    <w:rsid w:val="00254628"/>
    <w:rsid w:val="00254692"/>
    <w:rsid w:val="002546C9"/>
    <w:rsid w:val="002547DE"/>
    <w:rsid w:val="00254937"/>
    <w:rsid w:val="00254AF0"/>
    <w:rsid w:val="00254CE2"/>
    <w:rsid w:val="00254D31"/>
    <w:rsid w:val="00254F08"/>
    <w:rsid w:val="00254FBA"/>
    <w:rsid w:val="0025522E"/>
    <w:rsid w:val="002552D2"/>
    <w:rsid w:val="00255330"/>
    <w:rsid w:val="002555B8"/>
    <w:rsid w:val="00255657"/>
    <w:rsid w:val="00255A3A"/>
    <w:rsid w:val="00255C39"/>
    <w:rsid w:val="00255D58"/>
    <w:rsid w:val="00255DDB"/>
    <w:rsid w:val="0025611E"/>
    <w:rsid w:val="00256278"/>
    <w:rsid w:val="002563D2"/>
    <w:rsid w:val="0025640A"/>
    <w:rsid w:val="00256463"/>
    <w:rsid w:val="002564C3"/>
    <w:rsid w:val="00256633"/>
    <w:rsid w:val="002566E1"/>
    <w:rsid w:val="0025674D"/>
    <w:rsid w:val="0025680A"/>
    <w:rsid w:val="00256841"/>
    <w:rsid w:val="00256889"/>
    <w:rsid w:val="00256E59"/>
    <w:rsid w:val="00256E73"/>
    <w:rsid w:val="00256E98"/>
    <w:rsid w:val="00256F0A"/>
    <w:rsid w:val="00256F13"/>
    <w:rsid w:val="00257025"/>
    <w:rsid w:val="00257091"/>
    <w:rsid w:val="002570E9"/>
    <w:rsid w:val="00257217"/>
    <w:rsid w:val="0025729D"/>
    <w:rsid w:val="0025730B"/>
    <w:rsid w:val="00257501"/>
    <w:rsid w:val="002575C3"/>
    <w:rsid w:val="002575DB"/>
    <w:rsid w:val="002575E6"/>
    <w:rsid w:val="0025764D"/>
    <w:rsid w:val="002577B2"/>
    <w:rsid w:val="0025783E"/>
    <w:rsid w:val="002578A4"/>
    <w:rsid w:val="002579FA"/>
    <w:rsid w:val="00257A09"/>
    <w:rsid w:val="00257A16"/>
    <w:rsid w:val="00257A7C"/>
    <w:rsid w:val="00257B38"/>
    <w:rsid w:val="00257B56"/>
    <w:rsid w:val="00257BA3"/>
    <w:rsid w:val="00257C02"/>
    <w:rsid w:val="00257C7A"/>
    <w:rsid w:val="00257CA3"/>
    <w:rsid w:val="00257CC1"/>
    <w:rsid w:val="00257EC8"/>
    <w:rsid w:val="00257F8E"/>
    <w:rsid w:val="0025FA0B"/>
    <w:rsid w:val="002600D4"/>
    <w:rsid w:val="0026029C"/>
    <w:rsid w:val="002602AB"/>
    <w:rsid w:val="00260406"/>
    <w:rsid w:val="002604D4"/>
    <w:rsid w:val="00260594"/>
    <w:rsid w:val="002605A8"/>
    <w:rsid w:val="0026067E"/>
    <w:rsid w:val="00260890"/>
    <w:rsid w:val="002608D1"/>
    <w:rsid w:val="00260A17"/>
    <w:rsid w:val="00260B92"/>
    <w:rsid w:val="00260DD7"/>
    <w:rsid w:val="00260E91"/>
    <w:rsid w:val="00260EF2"/>
    <w:rsid w:val="00260FD8"/>
    <w:rsid w:val="00261120"/>
    <w:rsid w:val="00261296"/>
    <w:rsid w:val="00261597"/>
    <w:rsid w:val="00261649"/>
    <w:rsid w:val="00261697"/>
    <w:rsid w:val="00261899"/>
    <w:rsid w:val="002618AD"/>
    <w:rsid w:val="002618E8"/>
    <w:rsid w:val="00261911"/>
    <w:rsid w:val="00261A1E"/>
    <w:rsid w:val="00261AAF"/>
    <w:rsid w:val="00261B2C"/>
    <w:rsid w:val="00261B5F"/>
    <w:rsid w:val="00261E0E"/>
    <w:rsid w:val="00261F3F"/>
    <w:rsid w:val="00261F59"/>
    <w:rsid w:val="00261FAC"/>
    <w:rsid w:val="002620E0"/>
    <w:rsid w:val="002621C6"/>
    <w:rsid w:val="00262507"/>
    <w:rsid w:val="0026259C"/>
    <w:rsid w:val="002625EC"/>
    <w:rsid w:val="00262724"/>
    <w:rsid w:val="00262881"/>
    <w:rsid w:val="00262894"/>
    <w:rsid w:val="002628FB"/>
    <w:rsid w:val="00262961"/>
    <w:rsid w:val="00262A43"/>
    <w:rsid w:val="00262BF6"/>
    <w:rsid w:val="00262C88"/>
    <w:rsid w:val="00262EC0"/>
    <w:rsid w:val="00262F56"/>
    <w:rsid w:val="00262F5D"/>
    <w:rsid w:val="00262F65"/>
    <w:rsid w:val="00262FCC"/>
    <w:rsid w:val="0026318C"/>
    <w:rsid w:val="002634FD"/>
    <w:rsid w:val="00263A48"/>
    <w:rsid w:val="00263ACA"/>
    <w:rsid w:val="00263E37"/>
    <w:rsid w:val="00263E4B"/>
    <w:rsid w:val="00264069"/>
    <w:rsid w:val="00264185"/>
    <w:rsid w:val="002641F5"/>
    <w:rsid w:val="00264253"/>
    <w:rsid w:val="0026446C"/>
    <w:rsid w:val="00264583"/>
    <w:rsid w:val="00264647"/>
    <w:rsid w:val="0026464E"/>
    <w:rsid w:val="00264677"/>
    <w:rsid w:val="002647B3"/>
    <w:rsid w:val="0026488B"/>
    <w:rsid w:val="002649E3"/>
    <w:rsid w:val="00264A91"/>
    <w:rsid w:val="00264C04"/>
    <w:rsid w:val="00264D83"/>
    <w:rsid w:val="00264E12"/>
    <w:rsid w:val="00264E30"/>
    <w:rsid w:val="00264F4D"/>
    <w:rsid w:val="00265066"/>
    <w:rsid w:val="00265137"/>
    <w:rsid w:val="002653DC"/>
    <w:rsid w:val="00265425"/>
    <w:rsid w:val="00265434"/>
    <w:rsid w:val="002655C1"/>
    <w:rsid w:val="00265743"/>
    <w:rsid w:val="0026581E"/>
    <w:rsid w:val="0026582D"/>
    <w:rsid w:val="002658CE"/>
    <w:rsid w:val="002659E1"/>
    <w:rsid w:val="00265A05"/>
    <w:rsid w:val="00265A0A"/>
    <w:rsid w:val="00265A7C"/>
    <w:rsid w:val="00265AE9"/>
    <w:rsid w:val="00265C2E"/>
    <w:rsid w:val="00265CBA"/>
    <w:rsid w:val="00265CFE"/>
    <w:rsid w:val="00265D15"/>
    <w:rsid w:val="00265E3D"/>
    <w:rsid w:val="00266048"/>
    <w:rsid w:val="002660A9"/>
    <w:rsid w:val="00266125"/>
    <w:rsid w:val="00266329"/>
    <w:rsid w:val="002664A0"/>
    <w:rsid w:val="002664F5"/>
    <w:rsid w:val="00266546"/>
    <w:rsid w:val="002665AC"/>
    <w:rsid w:val="002665D2"/>
    <w:rsid w:val="002666AC"/>
    <w:rsid w:val="002666CD"/>
    <w:rsid w:val="002666EB"/>
    <w:rsid w:val="00266700"/>
    <w:rsid w:val="0026671F"/>
    <w:rsid w:val="00266726"/>
    <w:rsid w:val="00266883"/>
    <w:rsid w:val="002668D6"/>
    <w:rsid w:val="00266926"/>
    <w:rsid w:val="00266B7B"/>
    <w:rsid w:val="00266C1A"/>
    <w:rsid w:val="00266C6D"/>
    <w:rsid w:val="00266CE5"/>
    <w:rsid w:val="00266EB2"/>
    <w:rsid w:val="00266EC6"/>
    <w:rsid w:val="0026705C"/>
    <w:rsid w:val="002671AB"/>
    <w:rsid w:val="00267207"/>
    <w:rsid w:val="002672A4"/>
    <w:rsid w:val="002673EE"/>
    <w:rsid w:val="0026758F"/>
    <w:rsid w:val="002675A9"/>
    <w:rsid w:val="0026783A"/>
    <w:rsid w:val="00267840"/>
    <w:rsid w:val="00267AA1"/>
    <w:rsid w:val="00267CF4"/>
    <w:rsid w:val="00267D67"/>
    <w:rsid w:val="00267F47"/>
    <w:rsid w:val="00267F56"/>
    <w:rsid w:val="0027009E"/>
    <w:rsid w:val="002700D1"/>
    <w:rsid w:val="002703DE"/>
    <w:rsid w:val="0027040A"/>
    <w:rsid w:val="002705B4"/>
    <w:rsid w:val="0027064C"/>
    <w:rsid w:val="002706CD"/>
    <w:rsid w:val="00270959"/>
    <w:rsid w:val="00270989"/>
    <w:rsid w:val="002709B1"/>
    <w:rsid w:val="002709CD"/>
    <w:rsid w:val="00270A96"/>
    <w:rsid w:val="00270B45"/>
    <w:rsid w:val="00270B7E"/>
    <w:rsid w:val="00270BA3"/>
    <w:rsid w:val="00270D1A"/>
    <w:rsid w:val="00270D5C"/>
    <w:rsid w:val="00270EEC"/>
    <w:rsid w:val="00270F0C"/>
    <w:rsid w:val="00270F6F"/>
    <w:rsid w:val="00270FA4"/>
    <w:rsid w:val="00270FFE"/>
    <w:rsid w:val="0027103B"/>
    <w:rsid w:val="002710D5"/>
    <w:rsid w:val="002712F4"/>
    <w:rsid w:val="00271344"/>
    <w:rsid w:val="002714BB"/>
    <w:rsid w:val="002717A8"/>
    <w:rsid w:val="0027198A"/>
    <w:rsid w:val="00271B7E"/>
    <w:rsid w:val="00271C1F"/>
    <w:rsid w:val="00271D93"/>
    <w:rsid w:val="00271E86"/>
    <w:rsid w:val="00271E8C"/>
    <w:rsid w:val="00271EE1"/>
    <w:rsid w:val="00271F32"/>
    <w:rsid w:val="00271FE8"/>
    <w:rsid w:val="002720BE"/>
    <w:rsid w:val="002720E2"/>
    <w:rsid w:val="0027218B"/>
    <w:rsid w:val="002721CB"/>
    <w:rsid w:val="002721F9"/>
    <w:rsid w:val="0027227E"/>
    <w:rsid w:val="00272296"/>
    <w:rsid w:val="0027234D"/>
    <w:rsid w:val="0027254E"/>
    <w:rsid w:val="002726B3"/>
    <w:rsid w:val="00272763"/>
    <w:rsid w:val="002727AF"/>
    <w:rsid w:val="002727D7"/>
    <w:rsid w:val="002728D7"/>
    <w:rsid w:val="002728E7"/>
    <w:rsid w:val="00272963"/>
    <w:rsid w:val="00272979"/>
    <w:rsid w:val="00272A3A"/>
    <w:rsid w:val="00272A69"/>
    <w:rsid w:val="00272AC8"/>
    <w:rsid w:val="00272B9D"/>
    <w:rsid w:val="00272C49"/>
    <w:rsid w:val="00272E26"/>
    <w:rsid w:val="00272E46"/>
    <w:rsid w:val="00272EE4"/>
    <w:rsid w:val="0027321A"/>
    <w:rsid w:val="0027334B"/>
    <w:rsid w:val="00273378"/>
    <w:rsid w:val="002735BA"/>
    <w:rsid w:val="002736BC"/>
    <w:rsid w:val="0027378D"/>
    <w:rsid w:val="002737E4"/>
    <w:rsid w:val="00273831"/>
    <w:rsid w:val="00273881"/>
    <w:rsid w:val="002738CA"/>
    <w:rsid w:val="002738D3"/>
    <w:rsid w:val="0027396E"/>
    <w:rsid w:val="00273B9B"/>
    <w:rsid w:val="00273C05"/>
    <w:rsid w:val="00273C7D"/>
    <w:rsid w:val="00273C82"/>
    <w:rsid w:val="00273CED"/>
    <w:rsid w:val="00273D77"/>
    <w:rsid w:val="00273E0A"/>
    <w:rsid w:val="00274021"/>
    <w:rsid w:val="002740A4"/>
    <w:rsid w:val="002740F9"/>
    <w:rsid w:val="002741FE"/>
    <w:rsid w:val="0027421E"/>
    <w:rsid w:val="0027441E"/>
    <w:rsid w:val="0027444F"/>
    <w:rsid w:val="00274590"/>
    <w:rsid w:val="002746CD"/>
    <w:rsid w:val="002746F2"/>
    <w:rsid w:val="00274721"/>
    <w:rsid w:val="00274805"/>
    <w:rsid w:val="0027480B"/>
    <w:rsid w:val="00274948"/>
    <w:rsid w:val="00274BD7"/>
    <w:rsid w:val="00274D7C"/>
    <w:rsid w:val="00274D8B"/>
    <w:rsid w:val="00274E13"/>
    <w:rsid w:val="00274E69"/>
    <w:rsid w:val="00274F44"/>
    <w:rsid w:val="0027501F"/>
    <w:rsid w:val="00275438"/>
    <w:rsid w:val="00275460"/>
    <w:rsid w:val="00275549"/>
    <w:rsid w:val="0027562E"/>
    <w:rsid w:val="00275749"/>
    <w:rsid w:val="00275861"/>
    <w:rsid w:val="0027598A"/>
    <w:rsid w:val="002759B9"/>
    <w:rsid w:val="002759E5"/>
    <w:rsid w:val="002759FB"/>
    <w:rsid w:val="00275A24"/>
    <w:rsid w:val="00275B62"/>
    <w:rsid w:val="00275C3E"/>
    <w:rsid w:val="00275DD8"/>
    <w:rsid w:val="00275F3C"/>
    <w:rsid w:val="00275FB0"/>
    <w:rsid w:val="002760E9"/>
    <w:rsid w:val="00276102"/>
    <w:rsid w:val="002761F7"/>
    <w:rsid w:val="0027627A"/>
    <w:rsid w:val="002762B8"/>
    <w:rsid w:val="00276344"/>
    <w:rsid w:val="00276372"/>
    <w:rsid w:val="00276384"/>
    <w:rsid w:val="00276448"/>
    <w:rsid w:val="002767F1"/>
    <w:rsid w:val="00276977"/>
    <w:rsid w:val="002769DB"/>
    <w:rsid w:val="00276A15"/>
    <w:rsid w:val="00276E23"/>
    <w:rsid w:val="00276EE1"/>
    <w:rsid w:val="00276F68"/>
    <w:rsid w:val="00276FF1"/>
    <w:rsid w:val="00276FF4"/>
    <w:rsid w:val="00277047"/>
    <w:rsid w:val="00277049"/>
    <w:rsid w:val="0027704D"/>
    <w:rsid w:val="00277074"/>
    <w:rsid w:val="002770D1"/>
    <w:rsid w:val="0027716F"/>
    <w:rsid w:val="00277355"/>
    <w:rsid w:val="0027745B"/>
    <w:rsid w:val="002774CC"/>
    <w:rsid w:val="002774EE"/>
    <w:rsid w:val="002775EE"/>
    <w:rsid w:val="00277694"/>
    <w:rsid w:val="002776DD"/>
    <w:rsid w:val="002777D8"/>
    <w:rsid w:val="002777E3"/>
    <w:rsid w:val="00277807"/>
    <w:rsid w:val="002778F9"/>
    <w:rsid w:val="0027790A"/>
    <w:rsid w:val="00277B6D"/>
    <w:rsid w:val="00277C40"/>
    <w:rsid w:val="00277DD9"/>
    <w:rsid w:val="00277E7F"/>
    <w:rsid w:val="00277F02"/>
    <w:rsid w:val="00277F89"/>
    <w:rsid w:val="00280281"/>
    <w:rsid w:val="002802A2"/>
    <w:rsid w:val="00280342"/>
    <w:rsid w:val="002803CE"/>
    <w:rsid w:val="0028043B"/>
    <w:rsid w:val="00280491"/>
    <w:rsid w:val="002806A2"/>
    <w:rsid w:val="002807A6"/>
    <w:rsid w:val="00280812"/>
    <w:rsid w:val="00280884"/>
    <w:rsid w:val="00280967"/>
    <w:rsid w:val="00280A6E"/>
    <w:rsid w:val="00280AC1"/>
    <w:rsid w:val="00280D13"/>
    <w:rsid w:val="00280D34"/>
    <w:rsid w:val="00280DAB"/>
    <w:rsid w:val="00280F01"/>
    <w:rsid w:val="0028105E"/>
    <w:rsid w:val="00281167"/>
    <w:rsid w:val="0028125F"/>
    <w:rsid w:val="00281324"/>
    <w:rsid w:val="002813B8"/>
    <w:rsid w:val="0028168B"/>
    <w:rsid w:val="002816D1"/>
    <w:rsid w:val="002816E2"/>
    <w:rsid w:val="00281751"/>
    <w:rsid w:val="002817DB"/>
    <w:rsid w:val="00281992"/>
    <w:rsid w:val="002819EB"/>
    <w:rsid w:val="00281AD6"/>
    <w:rsid w:val="00281B2E"/>
    <w:rsid w:val="00281C27"/>
    <w:rsid w:val="00281C85"/>
    <w:rsid w:val="00281D9D"/>
    <w:rsid w:val="00281DF1"/>
    <w:rsid w:val="00281EFB"/>
    <w:rsid w:val="00281F43"/>
    <w:rsid w:val="00281F71"/>
    <w:rsid w:val="00281F75"/>
    <w:rsid w:val="00282055"/>
    <w:rsid w:val="00282130"/>
    <w:rsid w:val="00282319"/>
    <w:rsid w:val="00282347"/>
    <w:rsid w:val="002823C7"/>
    <w:rsid w:val="002823E0"/>
    <w:rsid w:val="00282500"/>
    <w:rsid w:val="00282631"/>
    <w:rsid w:val="002826D0"/>
    <w:rsid w:val="00282831"/>
    <w:rsid w:val="00282951"/>
    <w:rsid w:val="0028297A"/>
    <w:rsid w:val="002829D9"/>
    <w:rsid w:val="002829FC"/>
    <w:rsid w:val="00282AE0"/>
    <w:rsid w:val="00282B1D"/>
    <w:rsid w:val="00282B73"/>
    <w:rsid w:val="00282F37"/>
    <w:rsid w:val="00282F8D"/>
    <w:rsid w:val="00283035"/>
    <w:rsid w:val="002830AA"/>
    <w:rsid w:val="0028313E"/>
    <w:rsid w:val="002831E1"/>
    <w:rsid w:val="0028329D"/>
    <w:rsid w:val="002832C3"/>
    <w:rsid w:val="002833E0"/>
    <w:rsid w:val="0028348D"/>
    <w:rsid w:val="002834EE"/>
    <w:rsid w:val="0028368C"/>
    <w:rsid w:val="0028373E"/>
    <w:rsid w:val="0028377C"/>
    <w:rsid w:val="00283850"/>
    <w:rsid w:val="0028385A"/>
    <w:rsid w:val="002838E1"/>
    <w:rsid w:val="002838F0"/>
    <w:rsid w:val="0028396C"/>
    <w:rsid w:val="00283984"/>
    <w:rsid w:val="002839B1"/>
    <w:rsid w:val="002839D6"/>
    <w:rsid w:val="00283BA8"/>
    <w:rsid w:val="00283BDF"/>
    <w:rsid w:val="00283C8D"/>
    <w:rsid w:val="00283CD8"/>
    <w:rsid w:val="00283CD9"/>
    <w:rsid w:val="00283DA4"/>
    <w:rsid w:val="00283DBC"/>
    <w:rsid w:val="00283EBE"/>
    <w:rsid w:val="00284086"/>
    <w:rsid w:val="00284203"/>
    <w:rsid w:val="002842EC"/>
    <w:rsid w:val="00284317"/>
    <w:rsid w:val="00284339"/>
    <w:rsid w:val="00284368"/>
    <w:rsid w:val="002843E1"/>
    <w:rsid w:val="002844D7"/>
    <w:rsid w:val="002845A6"/>
    <w:rsid w:val="00284730"/>
    <w:rsid w:val="00284773"/>
    <w:rsid w:val="002847AB"/>
    <w:rsid w:val="002847E4"/>
    <w:rsid w:val="00284840"/>
    <w:rsid w:val="0028484B"/>
    <w:rsid w:val="00284B70"/>
    <w:rsid w:val="00284C51"/>
    <w:rsid w:val="00284C52"/>
    <w:rsid w:val="00284C8E"/>
    <w:rsid w:val="00284CA7"/>
    <w:rsid w:val="00284E37"/>
    <w:rsid w:val="00284F04"/>
    <w:rsid w:val="00284FD2"/>
    <w:rsid w:val="00285467"/>
    <w:rsid w:val="0028546A"/>
    <w:rsid w:val="00285560"/>
    <w:rsid w:val="002855BC"/>
    <w:rsid w:val="0028563E"/>
    <w:rsid w:val="002856D3"/>
    <w:rsid w:val="00285873"/>
    <w:rsid w:val="00285880"/>
    <w:rsid w:val="002858B1"/>
    <w:rsid w:val="00285972"/>
    <w:rsid w:val="00285A8E"/>
    <w:rsid w:val="00285AFA"/>
    <w:rsid w:val="00285C41"/>
    <w:rsid w:val="00285CC1"/>
    <w:rsid w:val="00285CC5"/>
    <w:rsid w:val="00285D6A"/>
    <w:rsid w:val="00285D94"/>
    <w:rsid w:val="00285DF2"/>
    <w:rsid w:val="00285EFC"/>
    <w:rsid w:val="0028607B"/>
    <w:rsid w:val="00286441"/>
    <w:rsid w:val="00286621"/>
    <w:rsid w:val="002866BE"/>
    <w:rsid w:val="002867DD"/>
    <w:rsid w:val="00286C33"/>
    <w:rsid w:val="00286C64"/>
    <w:rsid w:val="00286CA5"/>
    <w:rsid w:val="00286EED"/>
    <w:rsid w:val="00286F05"/>
    <w:rsid w:val="00286F18"/>
    <w:rsid w:val="00286F54"/>
    <w:rsid w:val="00286FDE"/>
    <w:rsid w:val="00286FE3"/>
    <w:rsid w:val="002870D8"/>
    <w:rsid w:val="002870DB"/>
    <w:rsid w:val="00287101"/>
    <w:rsid w:val="00287127"/>
    <w:rsid w:val="002871B1"/>
    <w:rsid w:val="002871D5"/>
    <w:rsid w:val="00287243"/>
    <w:rsid w:val="002872CC"/>
    <w:rsid w:val="0028731A"/>
    <w:rsid w:val="002875CE"/>
    <w:rsid w:val="00287617"/>
    <w:rsid w:val="0028774B"/>
    <w:rsid w:val="002877BB"/>
    <w:rsid w:val="002877E1"/>
    <w:rsid w:val="00287836"/>
    <w:rsid w:val="0028784E"/>
    <w:rsid w:val="00287931"/>
    <w:rsid w:val="00287A22"/>
    <w:rsid w:val="00287A40"/>
    <w:rsid w:val="00287B5B"/>
    <w:rsid w:val="00287B74"/>
    <w:rsid w:val="00287D8D"/>
    <w:rsid w:val="00287E98"/>
    <w:rsid w:val="00287ECF"/>
    <w:rsid w:val="00290089"/>
    <w:rsid w:val="00290205"/>
    <w:rsid w:val="002904A7"/>
    <w:rsid w:val="002904BA"/>
    <w:rsid w:val="002904FA"/>
    <w:rsid w:val="0029064B"/>
    <w:rsid w:val="00290697"/>
    <w:rsid w:val="0029069A"/>
    <w:rsid w:val="002906DB"/>
    <w:rsid w:val="002906E0"/>
    <w:rsid w:val="00290719"/>
    <w:rsid w:val="00290767"/>
    <w:rsid w:val="00290792"/>
    <w:rsid w:val="00290887"/>
    <w:rsid w:val="002908E3"/>
    <w:rsid w:val="00290902"/>
    <w:rsid w:val="00290A96"/>
    <w:rsid w:val="00290BD8"/>
    <w:rsid w:val="00290CC4"/>
    <w:rsid w:val="00290DD5"/>
    <w:rsid w:val="00290DEA"/>
    <w:rsid w:val="002910B3"/>
    <w:rsid w:val="002911C1"/>
    <w:rsid w:val="002911DA"/>
    <w:rsid w:val="002912B2"/>
    <w:rsid w:val="00291353"/>
    <w:rsid w:val="0029137E"/>
    <w:rsid w:val="00291460"/>
    <w:rsid w:val="00291461"/>
    <w:rsid w:val="0029163A"/>
    <w:rsid w:val="00291660"/>
    <w:rsid w:val="0029173D"/>
    <w:rsid w:val="002917D1"/>
    <w:rsid w:val="002917DA"/>
    <w:rsid w:val="00291979"/>
    <w:rsid w:val="00291BEE"/>
    <w:rsid w:val="00291CB2"/>
    <w:rsid w:val="00291CB6"/>
    <w:rsid w:val="00291D33"/>
    <w:rsid w:val="00291E42"/>
    <w:rsid w:val="00292040"/>
    <w:rsid w:val="002921D7"/>
    <w:rsid w:val="002921F7"/>
    <w:rsid w:val="00292246"/>
    <w:rsid w:val="00292273"/>
    <w:rsid w:val="00292290"/>
    <w:rsid w:val="002922B9"/>
    <w:rsid w:val="0029242D"/>
    <w:rsid w:val="00292543"/>
    <w:rsid w:val="00292546"/>
    <w:rsid w:val="00292599"/>
    <w:rsid w:val="00292635"/>
    <w:rsid w:val="0029265D"/>
    <w:rsid w:val="0029284F"/>
    <w:rsid w:val="00292ABF"/>
    <w:rsid w:val="00292B3D"/>
    <w:rsid w:val="00292C09"/>
    <w:rsid w:val="00292DA1"/>
    <w:rsid w:val="00292DF9"/>
    <w:rsid w:val="00292DFC"/>
    <w:rsid w:val="00292EBA"/>
    <w:rsid w:val="00292F55"/>
    <w:rsid w:val="00292FED"/>
    <w:rsid w:val="00293040"/>
    <w:rsid w:val="00293099"/>
    <w:rsid w:val="002930F5"/>
    <w:rsid w:val="00293118"/>
    <w:rsid w:val="00293180"/>
    <w:rsid w:val="0029319A"/>
    <w:rsid w:val="002931E6"/>
    <w:rsid w:val="0029327B"/>
    <w:rsid w:val="00293371"/>
    <w:rsid w:val="00293402"/>
    <w:rsid w:val="0029353D"/>
    <w:rsid w:val="002935AB"/>
    <w:rsid w:val="002935F1"/>
    <w:rsid w:val="0029365A"/>
    <w:rsid w:val="00293857"/>
    <w:rsid w:val="00293914"/>
    <w:rsid w:val="0029393D"/>
    <w:rsid w:val="00293AE8"/>
    <w:rsid w:val="00293B7D"/>
    <w:rsid w:val="00293BB9"/>
    <w:rsid w:val="00293BC4"/>
    <w:rsid w:val="00293BDD"/>
    <w:rsid w:val="00293D23"/>
    <w:rsid w:val="00293E21"/>
    <w:rsid w:val="00293EDF"/>
    <w:rsid w:val="00293F2A"/>
    <w:rsid w:val="00293F8B"/>
    <w:rsid w:val="0029410D"/>
    <w:rsid w:val="002941EA"/>
    <w:rsid w:val="0029445A"/>
    <w:rsid w:val="00294548"/>
    <w:rsid w:val="002946A4"/>
    <w:rsid w:val="0029481D"/>
    <w:rsid w:val="00294955"/>
    <w:rsid w:val="00294A0E"/>
    <w:rsid w:val="00294CC2"/>
    <w:rsid w:val="00294D76"/>
    <w:rsid w:val="00294DBF"/>
    <w:rsid w:val="00294F15"/>
    <w:rsid w:val="00294F7C"/>
    <w:rsid w:val="002951EB"/>
    <w:rsid w:val="002953EA"/>
    <w:rsid w:val="002955E2"/>
    <w:rsid w:val="002956FC"/>
    <w:rsid w:val="002957EB"/>
    <w:rsid w:val="00295B5C"/>
    <w:rsid w:val="00295B66"/>
    <w:rsid w:val="00295BC4"/>
    <w:rsid w:val="00295C05"/>
    <w:rsid w:val="00295F32"/>
    <w:rsid w:val="0029604A"/>
    <w:rsid w:val="002961C2"/>
    <w:rsid w:val="00296414"/>
    <w:rsid w:val="002964B2"/>
    <w:rsid w:val="002966D0"/>
    <w:rsid w:val="002966DC"/>
    <w:rsid w:val="00296799"/>
    <w:rsid w:val="00296A63"/>
    <w:rsid w:val="00296A9B"/>
    <w:rsid w:val="00296C6C"/>
    <w:rsid w:val="00296C8D"/>
    <w:rsid w:val="00296CA0"/>
    <w:rsid w:val="00296D6F"/>
    <w:rsid w:val="00296DCB"/>
    <w:rsid w:val="00296DD7"/>
    <w:rsid w:val="00296E7F"/>
    <w:rsid w:val="00296E80"/>
    <w:rsid w:val="00296EEF"/>
    <w:rsid w:val="00296F0A"/>
    <w:rsid w:val="00296FCF"/>
    <w:rsid w:val="0029715E"/>
    <w:rsid w:val="002971C3"/>
    <w:rsid w:val="00297494"/>
    <w:rsid w:val="00297686"/>
    <w:rsid w:val="00297736"/>
    <w:rsid w:val="002977DA"/>
    <w:rsid w:val="00297B6C"/>
    <w:rsid w:val="00297C12"/>
    <w:rsid w:val="00297CC7"/>
    <w:rsid w:val="00297D4D"/>
    <w:rsid w:val="00297D6C"/>
    <w:rsid w:val="00297E70"/>
    <w:rsid w:val="00297F0B"/>
    <w:rsid w:val="00297F99"/>
    <w:rsid w:val="00297FD8"/>
    <w:rsid w:val="002A00BF"/>
    <w:rsid w:val="002A01A2"/>
    <w:rsid w:val="002A0249"/>
    <w:rsid w:val="002A029A"/>
    <w:rsid w:val="002A040B"/>
    <w:rsid w:val="002A051A"/>
    <w:rsid w:val="002A051C"/>
    <w:rsid w:val="002A0593"/>
    <w:rsid w:val="002A071A"/>
    <w:rsid w:val="002A080A"/>
    <w:rsid w:val="002A0939"/>
    <w:rsid w:val="002A09EB"/>
    <w:rsid w:val="002A0A08"/>
    <w:rsid w:val="002A0AB5"/>
    <w:rsid w:val="002A0D60"/>
    <w:rsid w:val="002A0E2A"/>
    <w:rsid w:val="002A0E5B"/>
    <w:rsid w:val="002A11D7"/>
    <w:rsid w:val="002A13F5"/>
    <w:rsid w:val="002A1567"/>
    <w:rsid w:val="002A15FE"/>
    <w:rsid w:val="002A16FC"/>
    <w:rsid w:val="002A18E9"/>
    <w:rsid w:val="002A194F"/>
    <w:rsid w:val="002A19E0"/>
    <w:rsid w:val="002A1F0E"/>
    <w:rsid w:val="002A1F31"/>
    <w:rsid w:val="002A2075"/>
    <w:rsid w:val="002A215D"/>
    <w:rsid w:val="002A21FC"/>
    <w:rsid w:val="002A2265"/>
    <w:rsid w:val="002A238D"/>
    <w:rsid w:val="002A24FE"/>
    <w:rsid w:val="002A25F4"/>
    <w:rsid w:val="002A2702"/>
    <w:rsid w:val="002A2994"/>
    <w:rsid w:val="002A2AE0"/>
    <w:rsid w:val="002A2B2A"/>
    <w:rsid w:val="002A2CA7"/>
    <w:rsid w:val="002A2CF5"/>
    <w:rsid w:val="002A2DFD"/>
    <w:rsid w:val="002A2EB0"/>
    <w:rsid w:val="002A2ED8"/>
    <w:rsid w:val="002A2F4E"/>
    <w:rsid w:val="002A2FFF"/>
    <w:rsid w:val="002A3021"/>
    <w:rsid w:val="002A304F"/>
    <w:rsid w:val="002A31CB"/>
    <w:rsid w:val="002A31FF"/>
    <w:rsid w:val="002A3256"/>
    <w:rsid w:val="002A337A"/>
    <w:rsid w:val="002A3404"/>
    <w:rsid w:val="002A35B4"/>
    <w:rsid w:val="002A35E4"/>
    <w:rsid w:val="002A363A"/>
    <w:rsid w:val="002A366F"/>
    <w:rsid w:val="002A36C9"/>
    <w:rsid w:val="002A373A"/>
    <w:rsid w:val="002A3753"/>
    <w:rsid w:val="002A38A0"/>
    <w:rsid w:val="002A38B2"/>
    <w:rsid w:val="002A39D3"/>
    <w:rsid w:val="002A39DD"/>
    <w:rsid w:val="002A3B06"/>
    <w:rsid w:val="002A3CD8"/>
    <w:rsid w:val="002A3DEE"/>
    <w:rsid w:val="002A3E74"/>
    <w:rsid w:val="002A3E85"/>
    <w:rsid w:val="002A3F7C"/>
    <w:rsid w:val="002A40CF"/>
    <w:rsid w:val="002A42A8"/>
    <w:rsid w:val="002A42D3"/>
    <w:rsid w:val="002A4331"/>
    <w:rsid w:val="002A4491"/>
    <w:rsid w:val="002A4567"/>
    <w:rsid w:val="002A49B2"/>
    <w:rsid w:val="002A4A01"/>
    <w:rsid w:val="002A4A27"/>
    <w:rsid w:val="002A4A75"/>
    <w:rsid w:val="002A4A7A"/>
    <w:rsid w:val="002A4A9F"/>
    <w:rsid w:val="002A4BD9"/>
    <w:rsid w:val="002A4C5E"/>
    <w:rsid w:val="002A4D6B"/>
    <w:rsid w:val="002A4DB9"/>
    <w:rsid w:val="002A4DE9"/>
    <w:rsid w:val="002A4E86"/>
    <w:rsid w:val="002A4EF9"/>
    <w:rsid w:val="002A4F79"/>
    <w:rsid w:val="002A4FE7"/>
    <w:rsid w:val="002A512A"/>
    <w:rsid w:val="002A51AC"/>
    <w:rsid w:val="002A51C4"/>
    <w:rsid w:val="002A537F"/>
    <w:rsid w:val="002A53D1"/>
    <w:rsid w:val="002A550C"/>
    <w:rsid w:val="002A5559"/>
    <w:rsid w:val="002A55BC"/>
    <w:rsid w:val="002A55DD"/>
    <w:rsid w:val="002A566A"/>
    <w:rsid w:val="002A5673"/>
    <w:rsid w:val="002A5804"/>
    <w:rsid w:val="002A580B"/>
    <w:rsid w:val="002A58E2"/>
    <w:rsid w:val="002A59B9"/>
    <w:rsid w:val="002A59D1"/>
    <w:rsid w:val="002A59E3"/>
    <w:rsid w:val="002A5B94"/>
    <w:rsid w:val="002A5BF3"/>
    <w:rsid w:val="002A5BFD"/>
    <w:rsid w:val="002A5D3B"/>
    <w:rsid w:val="002A5E37"/>
    <w:rsid w:val="002A5EF1"/>
    <w:rsid w:val="002A5F3D"/>
    <w:rsid w:val="002A5F55"/>
    <w:rsid w:val="002A5FF5"/>
    <w:rsid w:val="002A6066"/>
    <w:rsid w:val="002A61B7"/>
    <w:rsid w:val="002A61FB"/>
    <w:rsid w:val="002A6245"/>
    <w:rsid w:val="002A6252"/>
    <w:rsid w:val="002A630F"/>
    <w:rsid w:val="002A63A4"/>
    <w:rsid w:val="002A63A5"/>
    <w:rsid w:val="002A6511"/>
    <w:rsid w:val="002A6528"/>
    <w:rsid w:val="002A653D"/>
    <w:rsid w:val="002A6604"/>
    <w:rsid w:val="002A6719"/>
    <w:rsid w:val="002A68FD"/>
    <w:rsid w:val="002A6941"/>
    <w:rsid w:val="002A6B62"/>
    <w:rsid w:val="002A6B6D"/>
    <w:rsid w:val="002A6C7D"/>
    <w:rsid w:val="002A6CBA"/>
    <w:rsid w:val="002A6CF0"/>
    <w:rsid w:val="002A6D46"/>
    <w:rsid w:val="002A6EF2"/>
    <w:rsid w:val="002A6F5B"/>
    <w:rsid w:val="002A70FB"/>
    <w:rsid w:val="002A737C"/>
    <w:rsid w:val="002A742E"/>
    <w:rsid w:val="002A74A9"/>
    <w:rsid w:val="002A753A"/>
    <w:rsid w:val="002A754E"/>
    <w:rsid w:val="002A75A8"/>
    <w:rsid w:val="002A75AC"/>
    <w:rsid w:val="002A7749"/>
    <w:rsid w:val="002A77B6"/>
    <w:rsid w:val="002A780A"/>
    <w:rsid w:val="002A7949"/>
    <w:rsid w:val="002A79CC"/>
    <w:rsid w:val="002A7A01"/>
    <w:rsid w:val="002A7A05"/>
    <w:rsid w:val="002A7A71"/>
    <w:rsid w:val="002A7AEA"/>
    <w:rsid w:val="002A7C1D"/>
    <w:rsid w:val="002A7FB5"/>
    <w:rsid w:val="002B00D6"/>
    <w:rsid w:val="002B019D"/>
    <w:rsid w:val="002B02BA"/>
    <w:rsid w:val="002B037C"/>
    <w:rsid w:val="002B03A0"/>
    <w:rsid w:val="002B04A0"/>
    <w:rsid w:val="002B05C5"/>
    <w:rsid w:val="002B05EB"/>
    <w:rsid w:val="002B0699"/>
    <w:rsid w:val="002B08E1"/>
    <w:rsid w:val="002B0941"/>
    <w:rsid w:val="002B095C"/>
    <w:rsid w:val="002B09C5"/>
    <w:rsid w:val="002B0B44"/>
    <w:rsid w:val="002B0BC8"/>
    <w:rsid w:val="002B0C91"/>
    <w:rsid w:val="002B0E8F"/>
    <w:rsid w:val="002B0ECB"/>
    <w:rsid w:val="002B1125"/>
    <w:rsid w:val="002B127F"/>
    <w:rsid w:val="002B13A0"/>
    <w:rsid w:val="002B144F"/>
    <w:rsid w:val="002B1462"/>
    <w:rsid w:val="002B14C3"/>
    <w:rsid w:val="002B1587"/>
    <w:rsid w:val="002B15B8"/>
    <w:rsid w:val="002B187C"/>
    <w:rsid w:val="002B195A"/>
    <w:rsid w:val="002B19E0"/>
    <w:rsid w:val="002B1AEE"/>
    <w:rsid w:val="002B1C47"/>
    <w:rsid w:val="002B1C5F"/>
    <w:rsid w:val="002B1CCC"/>
    <w:rsid w:val="002B1CEB"/>
    <w:rsid w:val="002B1CEE"/>
    <w:rsid w:val="002B1E04"/>
    <w:rsid w:val="002B1FC7"/>
    <w:rsid w:val="002B2005"/>
    <w:rsid w:val="002B20A2"/>
    <w:rsid w:val="002B20B4"/>
    <w:rsid w:val="002B20BE"/>
    <w:rsid w:val="002B20FF"/>
    <w:rsid w:val="002B211E"/>
    <w:rsid w:val="002B2171"/>
    <w:rsid w:val="002B217D"/>
    <w:rsid w:val="002B21E4"/>
    <w:rsid w:val="002B25AA"/>
    <w:rsid w:val="002B282A"/>
    <w:rsid w:val="002B28BB"/>
    <w:rsid w:val="002B295C"/>
    <w:rsid w:val="002B29FD"/>
    <w:rsid w:val="002B2A64"/>
    <w:rsid w:val="002B2AE9"/>
    <w:rsid w:val="002B2B6E"/>
    <w:rsid w:val="002B2CF0"/>
    <w:rsid w:val="002B2D39"/>
    <w:rsid w:val="002B2DA3"/>
    <w:rsid w:val="002B2EDD"/>
    <w:rsid w:val="002B2F2D"/>
    <w:rsid w:val="002B3069"/>
    <w:rsid w:val="002B30AA"/>
    <w:rsid w:val="002B319F"/>
    <w:rsid w:val="002B32FB"/>
    <w:rsid w:val="002B3374"/>
    <w:rsid w:val="002B3403"/>
    <w:rsid w:val="002B3454"/>
    <w:rsid w:val="002B36D8"/>
    <w:rsid w:val="002B373F"/>
    <w:rsid w:val="002B3740"/>
    <w:rsid w:val="002B38D2"/>
    <w:rsid w:val="002B3948"/>
    <w:rsid w:val="002B3A5B"/>
    <w:rsid w:val="002B3AA2"/>
    <w:rsid w:val="002B3BB5"/>
    <w:rsid w:val="002B3C3C"/>
    <w:rsid w:val="002B3C9A"/>
    <w:rsid w:val="002B3D0D"/>
    <w:rsid w:val="002B3D7D"/>
    <w:rsid w:val="002B3DBD"/>
    <w:rsid w:val="002B3DF5"/>
    <w:rsid w:val="002B3FED"/>
    <w:rsid w:val="002B400F"/>
    <w:rsid w:val="002B40B5"/>
    <w:rsid w:val="002B40CA"/>
    <w:rsid w:val="002B41C0"/>
    <w:rsid w:val="002B434F"/>
    <w:rsid w:val="002B447F"/>
    <w:rsid w:val="002B44A6"/>
    <w:rsid w:val="002B4541"/>
    <w:rsid w:val="002B47DF"/>
    <w:rsid w:val="002B48FF"/>
    <w:rsid w:val="002B4B30"/>
    <w:rsid w:val="002B4B3F"/>
    <w:rsid w:val="002B4BE2"/>
    <w:rsid w:val="002B4DE3"/>
    <w:rsid w:val="002B4F61"/>
    <w:rsid w:val="002B4FBE"/>
    <w:rsid w:val="002B5096"/>
    <w:rsid w:val="002B511A"/>
    <w:rsid w:val="002B52C8"/>
    <w:rsid w:val="002B5321"/>
    <w:rsid w:val="002B5424"/>
    <w:rsid w:val="002B54D2"/>
    <w:rsid w:val="002B5531"/>
    <w:rsid w:val="002B55FB"/>
    <w:rsid w:val="002B5668"/>
    <w:rsid w:val="002B5692"/>
    <w:rsid w:val="002B57CA"/>
    <w:rsid w:val="002B5A76"/>
    <w:rsid w:val="002B6156"/>
    <w:rsid w:val="002B6222"/>
    <w:rsid w:val="002B63A1"/>
    <w:rsid w:val="002B63B5"/>
    <w:rsid w:val="002B63C6"/>
    <w:rsid w:val="002B654A"/>
    <w:rsid w:val="002B66CB"/>
    <w:rsid w:val="002B6804"/>
    <w:rsid w:val="002B680F"/>
    <w:rsid w:val="002B6AD6"/>
    <w:rsid w:val="002B6B5C"/>
    <w:rsid w:val="002B6B78"/>
    <w:rsid w:val="002B6C6E"/>
    <w:rsid w:val="002B6E2E"/>
    <w:rsid w:val="002B6E82"/>
    <w:rsid w:val="002B7120"/>
    <w:rsid w:val="002B7246"/>
    <w:rsid w:val="002B72D3"/>
    <w:rsid w:val="002B73BF"/>
    <w:rsid w:val="002B754C"/>
    <w:rsid w:val="002B76D3"/>
    <w:rsid w:val="002B7928"/>
    <w:rsid w:val="002B7B90"/>
    <w:rsid w:val="002B7D27"/>
    <w:rsid w:val="002B7D6F"/>
    <w:rsid w:val="002B7E39"/>
    <w:rsid w:val="002B7F43"/>
    <w:rsid w:val="002C002A"/>
    <w:rsid w:val="002C00EA"/>
    <w:rsid w:val="002C0296"/>
    <w:rsid w:val="002C02F5"/>
    <w:rsid w:val="002C0323"/>
    <w:rsid w:val="002C03FD"/>
    <w:rsid w:val="002C0443"/>
    <w:rsid w:val="002C0560"/>
    <w:rsid w:val="002C068F"/>
    <w:rsid w:val="002C069C"/>
    <w:rsid w:val="002C077D"/>
    <w:rsid w:val="002C085B"/>
    <w:rsid w:val="002C090E"/>
    <w:rsid w:val="002C0CFB"/>
    <w:rsid w:val="002C0DAB"/>
    <w:rsid w:val="002C0DFC"/>
    <w:rsid w:val="002C100E"/>
    <w:rsid w:val="002C1090"/>
    <w:rsid w:val="002C1248"/>
    <w:rsid w:val="002C125F"/>
    <w:rsid w:val="002C1285"/>
    <w:rsid w:val="002C129D"/>
    <w:rsid w:val="002C12B6"/>
    <w:rsid w:val="002C14D7"/>
    <w:rsid w:val="002C14DE"/>
    <w:rsid w:val="002C15B7"/>
    <w:rsid w:val="002C174B"/>
    <w:rsid w:val="002C17EF"/>
    <w:rsid w:val="002C18C2"/>
    <w:rsid w:val="002C1A7E"/>
    <w:rsid w:val="002C1C4A"/>
    <w:rsid w:val="002C1C64"/>
    <w:rsid w:val="002C1DC0"/>
    <w:rsid w:val="002C1E52"/>
    <w:rsid w:val="002C1EBF"/>
    <w:rsid w:val="002C1EFB"/>
    <w:rsid w:val="002C202D"/>
    <w:rsid w:val="002C2163"/>
    <w:rsid w:val="002C23F7"/>
    <w:rsid w:val="002C2507"/>
    <w:rsid w:val="002C25DD"/>
    <w:rsid w:val="002C25EE"/>
    <w:rsid w:val="002C27B7"/>
    <w:rsid w:val="002C2AC7"/>
    <w:rsid w:val="002C2AD5"/>
    <w:rsid w:val="002C2BDB"/>
    <w:rsid w:val="002C2CAB"/>
    <w:rsid w:val="002C2E80"/>
    <w:rsid w:val="002C2EE6"/>
    <w:rsid w:val="002C2F89"/>
    <w:rsid w:val="002C30CC"/>
    <w:rsid w:val="002C3137"/>
    <w:rsid w:val="002C3145"/>
    <w:rsid w:val="002C3153"/>
    <w:rsid w:val="002C3177"/>
    <w:rsid w:val="002C3216"/>
    <w:rsid w:val="002C3267"/>
    <w:rsid w:val="002C3489"/>
    <w:rsid w:val="002C34EC"/>
    <w:rsid w:val="002C35F3"/>
    <w:rsid w:val="002C3630"/>
    <w:rsid w:val="002C363C"/>
    <w:rsid w:val="002C3686"/>
    <w:rsid w:val="002C36FA"/>
    <w:rsid w:val="002C380A"/>
    <w:rsid w:val="002C39EE"/>
    <w:rsid w:val="002C3A55"/>
    <w:rsid w:val="002C3B18"/>
    <w:rsid w:val="002C3B19"/>
    <w:rsid w:val="002C3B64"/>
    <w:rsid w:val="002C3C0F"/>
    <w:rsid w:val="002C3C4A"/>
    <w:rsid w:val="002C3C6E"/>
    <w:rsid w:val="002C3D95"/>
    <w:rsid w:val="002C3DE4"/>
    <w:rsid w:val="002C3E4B"/>
    <w:rsid w:val="002C3F67"/>
    <w:rsid w:val="002C40E3"/>
    <w:rsid w:val="002C40E7"/>
    <w:rsid w:val="002C40FB"/>
    <w:rsid w:val="002C4221"/>
    <w:rsid w:val="002C4293"/>
    <w:rsid w:val="002C431D"/>
    <w:rsid w:val="002C43C2"/>
    <w:rsid w:val="002C43C7"/>
    <w:rsid w:val="002C4422"/>
    <w:rsid w:val="002C450D"/>
    <w:rsid w:val="002C459B"/>
    <w:rsid w:val="002C45BE"/>
    <w:rsid w:val="002C45E3"/>
    <w:rsid w:val="002C4680"/>
    <w:rsid w:val="002C4914"/>
    <w:rsid w:val="002C496E"/>
    <w:rsid w:val="002C4981"/>
    <w:rsid w:val="002C4A5F"/>
    <w:rsid w:val="002C4AFE"/>
    <w:rsid w:val="002C4C41"/>
    <w:rsid w:val="002C4D29"/>
    <w:rsid w:val="002C4DC0"/>
    <w:rsid w:val="002C4E8B"/>
    <w:rsid w:val="002C4EF1"/>
    <w:rsid w:val="002C5135"/>
    <w:rsid w:val="002C519F"/>
    <w:rsid w:val="002C5217"/>
    <w:rsid w:val="002C54D6"/>
    <w:rsid w:val="002C5622"/>
    <w:rsid w:val="002C5708"/>
    <w:rsid w:val="002C57D2"/>
    <w:rsid w:val="002C5868"/>
    <w:rsid w:val="002C589A"/>
    <w:rsid w:val="002C58FF"/>
    <w:rsid w:val="002C5A4A"/>
    <w:rsid w:val="002C5AC2"/>
    <w:rsid w:val="002C5AFA"/>
    <w:rsid w:val="002C5C8F"/>
    <w:rsid w:val="002C5CA5"/>
    <w:rsid w:val="002C5CFB"/>
    <w:rsid w:val="002C5E12"/>
    <w:rsid w:val="002C5E23"/>
    <w:rsid w:val="002C5F25"/>
    <w:rsid w:val="002C5FA7"/>
    <w:rsid w:val="002C600A"/>
    <w:rsid w:val="002C6049"/>
    <w:rsid w:val="002C60BA"/>
    <w:rsid w:val="002C60CD"/>
    <w:rsid w:val="002C618E"/>
    <w:rsid w:val="002C624A"/>
    <w:rsid w:val="002C627A"/>
    <w:rsid w:val="002C6402"/>
    <w:rsid w:val="002C6432"/>
    <w:rsid w:val="002C6494"/>
    <w:rsid w:val="002C672E"/>
    <w:rsid w:val="002C686A"/>
    <w:rsid w:val="002C6A0A"/>
    <w:rsid w:val="002C6AAE"/>
    <w:rsid w:val="002C6BF1"/>
    <w:rsid w:val="002C6C8B"/>
    <w:rsid w:val="002C6CC3"/>
    <w:rsid w:val="002C6D5F"/>
    <w:rsid w:val="002C6D89"/>
    <w:rsid w:val="002C6D97"/>
    <w:rsid w:val="002C6DB0"/>
    <w:rsid w:val="002C6E22"/>
    <w:rsid w:val="002C6E3A"/>
    <w:rsid w:val="002C6E3B"/>
    <w:rsid w:val="002C7027"/>
    <w:rsid w:val="002C70B8"/>
    <w:rsid w:val="002C735D"/>
    <w:rsid w:val="002C7394"/>
    <w:rsid w:val="002C7726"/>
    <w:rsid w:val="002C77E1"/>
    <w:rsid w:val="002C77F4"/>
    <w:rsid w:val="002C77F7"/>
    <w:rsid w:val="002C7826"/>
    <w:rsid w:val="002C782C"/>
    <w:rsid w:val="002C7917"/>
    <w:rsid w:val="002C791B"/>
    <w:rsid w:val="002C79FE"/>
    <w:rsid w:val="002C7A02"/>
    <w:rsid w:val="002C7BCD"/>
    <w:rsid w:val="002C7D1B"/>
    <w:rsid w:val="002C7D22"/>
    <w:rsid w:val="002C7E33"/>
    <w:rsid w:val="002C7E4B"/>
    <w:rsid w:val="002C7E5C"/>
    <w:rsid w:val="002C7F57"/>
    <w:rsid w:val="002D0165"/>
    <w:rsid w:val="002D0204"/>
    <w:rsid w:val="002D0346"/>
    <w:rsid w:val="002D0354"/>
    <w:rsid w:val="002D03BC"/>
    <w:rsid w:val="002D0452"/>
    <w:rsid w:val="002D052D"/>
    <w:rsid w:val="002D0646"/>
    <w:rsid w:val="002D0693"/>
    <w:rsid w:val="002D0866"/>
    <w:rsid w:val="002D08E1"/>
    <w:rsid w:val="002D092C"/>
    <w:rsid w:val="002D0A9C"/>
    <w:rsid w:val="002D0B32"/>
    <w:rsid w:val="002D0B45"/>
    <w:rsid w:val="002D0C1E"/>
    <w:rsid w:val="002D0C62"/>
    <w:rsid w:val="002D0CD6"/>
    <w:rsid w:val="002D0F7F"/>
    <w:rsid w:val="002D0FD8"/>
    <w:rsid w:val="002D105A"/>
    <w:rsid w:val="002D1236"/>
    <w:rsid w:val="002D14F7"/>
    <w:rsid w:val="002D1570"/>
    <w:rsid w:val="002D1794"/>
    <w:rsid w:val="002D19B1"/>
    <w:rsid w:val="002D1A7F"/>
    <w:rsid w:val="002D1CE4"/>
    <w:rsid w:val="002D1D65"/>
    <w:rsid w:val="002D1DB5"/>
    <w:rsid w:val="002D1DE7"/>
    <w:rsid w:val="002D1F04"/>
    <w:rsid w:val="002D1F0C"/>
    <w:rsid w:val="002D2066"/>
    <w:rsid w:val="002D20A7"/>
    <w:rsid w:val="002D234F"/>
    <w:rsid w:val="002D2428"/>
    <w:rsid w:val="002D25ED"/>
    <w:rsid w:val="002D265B"/>
    <w:rsid w:val="002D27B6"/>
    <w:rsid w:val="002D290C"/>
    <w:rsid w:val="002D2A4D"/>
    <w:rsid w:val="002D2AFB"/>
    <w:rsid w:val="002D2BAB"/>
    <w:rsid w:val="002D2BEF"/>
    <w:rsid w:val="002D2CE6"/>
    <w:rsid w:val="002D2CED"/>
    <w:rsid w:val="002D2ED2"/>
    <w:rsid w:val="002D3125"/>
    <w:rsid w:val="002D3147"/>
    <w:rsid w:val="002D31FD"/>
    <w:rsid w:val="002D3254"/>
    <w:rsid w:val="002D3421"/>
    <w:rsid w:val="002D350D"/>
    <w:rsid w:val="002D3665"/>
    <w:rsid w:val="002D36D6"/>
    <w:rsid w:val="002D3935"/>
    <w:rsid w:val="002D3A19"/>
    <w:rsid w:val="002D3A1C"/>
    <w:rsid w:val="002D3A88"/>
    <w:rsid w:val="002D3AA4"/>
    <w:rsid w:val="002D3ADE"/>
    <w:rsid w:val="002D3AEC"/>
    <w:rsid w:val="002D3BD3"/>
    <w:rsid w:val="002D3D28"/>
    <w:rsid w:val="002D3F9E"/>
    <w:rsid w:val="002D3FBF"/>
    <w:rsid w:val="002D402C"/>
    <w:rsid w:val="002D4059"/>
    <w:rsid w:val="002D40E8"/>
    <w:rsid w:val="002D414C"/>
    <w:rsid w:val="002D41EC"/>
    <w:rsid w:val="002D438A"/>
    <w:rsid w:val="002D43B1"/>
    <w:rsid w:val="002D4507"/>
    <w:rsid w:val="002D4516"/>
    <w:rsid w:val="002D45D3"/>
    <w:rsid w:val="002D4626"/>
    <w:rsid w:val="002D4696"/>
    <w:rsid w:val="002D472E"/>
    <w:rsid w:val="002D47D2"/>
    <w:rsid w:val="002D481D"/>
    <w:rsid w:val="002D488A"/>
    <w:rsid w:val="002D49D9"/>
    <w:rsid w:val="002D4B54"/>
    <w:rsid w:val="002D4C08"/>
    <w:rsid w:val="002D4D74"/>
    <w:rsid w:val="002D4D91"/>
    <w:rsid w:val="002D4DDD"/>
    <w:rsid w:val="002D4EAE"/>
    <w:rsid w:val="002D4F42"/>
    <w:rsid w:val="002D4FF2"/>
    <w:rsid w:val="002D510A"/>
    <w:rsid w:val="002D5115"/>
    <w:rsid w:val="002D513B"/>
    <w:rsid w:val="002D5245"/>
    <w:rsid w:val="002D52F1"/>
    <w:rsid w:val="002D558C"/>
    <w:rsid w:val="002D5689"/>
    <w:rsid w:val="002D56ED"/>
    <w:rsid w:val="002D5AA2"/>
    <w:rsid w:val="002D5CB4"/>
    <w:rsid w:val="002D5F95"/>
    <w:rsid w:val="002D60F7"/>
    <w:rsid w:val="002D624F"/>
    <w:rsid w:val="002D65DF"/>
    <w:rsid w:val="002D6629"/>
    <w:rsid w:val="002D6677"/>
    <w:rsid w:val="002D6752"/>
    <w:rsid w:val="002D6779"/>
    <w:rsid w:val="002D6988"/>
    <w:rsid w:val="002D6990"/>
    <w:rsid w:val="002D69A1"/>
    <w:rsid w:val="002D6B11"/>
    <w:rsid w:val="002D6B2B"/>
    <w:rsid w:val="002D6B61"/>
    <w:rsid w:val="002D6C6B"/>
    <w:rsid w:val="002D6CF6"/>
    <w:rsid w:val="002D6DEB"/>
    <w:rsid w:val="002D6EC3"/>
    <w:rsid w:val="002D6F83"/>
    <w:rsid w:val="002D7097"/>
    <w:rsid w:val="002D7188"/>
    <w:rsid w:val="002D71AD"/>
    <w:rsid w:val="002D7288"/>
    <w:rsid w:val="002D7389"/>
    <w:rsid w:val="002D7435"/>
    <w:rsid w:val="002D750A"/>
    <w:rsid w:val="002D780A"/>
    <w:rsid w:val="002D7871"/>
    <w:rsid w:val="002D78A7"/>
    <w:rsid w:val="002D78F2"/>
    <w:rsid w:val="002D7926"/>
    <w:rsid w:val="002D7946"/>
    <w:rsid w:val="002D7967"/>
    <w:rsid w:val="002D7B9C"/>
    <w:rsid w:val="002D7C9D"/>
    <w:rsid w:val="002D7CA2"/>
    <w:rsid w:val="002D7CF7"/>
    <w:rsid w:val="002D7D58"/>
    <w:rsid w:val="002D9AAC"/>
    <w:rsid w:val="002E00A1"/>
    <w:rsid w:val="002E013C"/>
    <w:rsid w:val="002E0443"/>
    <w:rsid w:val="002E04F8"/>
    <w:rsid w:val="002E0528"/>
    <w:rsid w:val="002E0577"/>
    <w:rsid w:val="002E0730"/>
    <w:rsid w:val="002E074C"/>
    <w:rsid w:val="002E081C"/>
    <w:rsid w:val="002E0892"/>
    <w:rsid w:val="002E0AC9"/>
    <w:rsid w:val="002E0AFF"/>
    <w:rsid w:val="002E0B3A"/>
    <w:rsid w:val="002E0D3A"/>
    <w:rsid w:val="002E0DD0"/>
    <w:rsid w:val="002E0EB4"/>
    <w:rsid w:val="002E1107"/>
    <w:rsid w:val="002E11CB"/>
    <w:rsid w:val="002E13AA"/>
    <w:rsid w:val="002E14A1"/>
    <w:rsid w:val="002E151A"/>
    <w:rsid w:val="002E157F"/>
    <w:rsid w:val="002E15A1"/>
    <w:rsid w:val="002E164B"/>
    <w:rsid w:val="002E1729"/>
    <w:rsid w:val="002E1743"/>
    <w:rsid w:val="002E1772"/>
    <w:rsid w:val="002E1911"/>
    <w:rsid w:val="002E193A"/>
    <w:rsid w:val="002E19E7"/>
    <w:rsid w:val="002E1AD8"/>
    <w:rsid w:val="002E1BF8"/>
    <w:rsid w:val="002E1DCA"/>
    <w:rsid w:val="002E1EDB"/>
    <w:rsid w:val="002E1F1D"/>
    <w:rsid w:val="002E1F4E"/>
    <w:rsid w:val="002E2033"/>
    <w:rsid w:val="002E2228"/>
    <w:rsid w:val="002E246A"/>
    <w:rsid w:val="002E2532"/>
    <w:rsid w:val="002E299F"/>
    <w:rsid w:val="002E2B4A"/>
    <w:rsid w:val="002E2BF9"/>
    <w:rsid w:val="002E2C59"/>
    <w:rsid w:val="002E2E56"/>
    <w:rsid w:val="002E305D"/>
    <w:rsid w:val="002E30D4"/>
    <w:rsid w:val="002E32D0"/>
    <w:rsid w:val="002E32D2"/>
    <w:rsid w:val="002E32D3"/>
    <w:rsid w:val="002E3408"/>
    <w:rsid w:val="002E3480"/>
    <w:rsid w:val="002E37C6"/>
    <w:rsid w:val="002E384E"/>
    <w:rsid w:val="002E389C"/>
    <w:rsid w:val="002E39D7"/>
    <w:rsid w:val="002E3A0D"/>
    <w:rsid w:val="002E3A6C"/>
    <w:rsid w:val="002E3B60"/>
    <w:rsid w:val="002E3B69"/>
    <w:rsid w:val="002E3B77"/>
    <w:rsid w:val="002E3B8A"/>
    <w:rsid w:val="002E3B99"/>
    <w:rsid w:val="002E3C20"/>
    <w:rsid w:val="002E3D0F"/>
    <w:rsid w:val="002E3E54"/>
    <w:rsid w:val="002E3EDA"/>
    <w:rsid w:val="002E4152"/>
    <w:rsid w:val="002E441F"/>
    <w:rsid w:val="002E4544"/>
    <w:rsid w:val="002E4578"/>
    <w:rsid w:val="002E459B"/>
    <w:rsid w:val="002E46C6"/>
    <w:rsid w:val="002E47D1"/>
    <w:rsid w:val="002E49C1"/>
    <w:rsid w:val="002E4A0C"/>
    <w:rsid w:val="002E4A85"/>
    <w:rsid w:val="002E4A95"/>
    <w:rsid w:val="002E4B90"/>
    <w:rsid w:val="002E4C19"/>
    <w:rsid w:val="002E4F85"/>
    <w:rsid w:val="002E5045"/>
    <w:rsid w:val="002E5066"/>
    <w:rsid w:val="002E5093"/>
    <w:rsid w:val="002E51DB"/>
    <w:rsid w:val="002E5301"/>
    <w:rsid w:val="002E5446"/>
    <w:rsid w:val="002E54BA"/>
    <w:rsid w:val="002E5528"/>
    <w:rsid w:val="002E56F5"/>
    <w:rsid w:val="002E5A33"/>
    <w:rsid w:val="002E5B72"/>
    <w:rsid w:val="002E5B95"/>
    <w:rsid w:val="002E5BF1"/>
    <w:rsid w:val="002E5C4A"/>
    <w:rsid w:val="002E5CE0"/>
    <w:rsid w:val="002E5E36"/>
    <w:rsid w:val="002E5E51"/>
    <w:rsid w:val="002E5FB6"/>
    <w:rsid w:val="002E61A4"/>
    <w:rsid w:val="002E6446"/>
    <w:rsid w:val="002E644F"/>
    <w:rsid w:val="002E648B"/>
    <w:rsid w:val="002E64D9"/>
    <w:rsid w:val="002E64DE"/>
    <w:rsid w:val="002E6508"/>
    <w:rsid w:val="002E6550"/>
    <w:rsid w:val="002E67C5"/>
    <w:rsid w:val="002E686C"/>
    <w:rsid w:val="002E6977"/>
    <w:rsid w:val="002E6A52"/>
    <w:rsid w:val="002E6D80"/>
    <w:rsid w:val="002E6E15"/>
    <w:rsid w:val="002E6ED5"/>
    <w:rsid w:val="002E6F84"/>
    <w:rsid w:val="002E704C"/>
    <w:rsid w:val="002E70D7"/>
    <w:rsid w:val="002E74C4"/>
    <w:rsid w:val="002E74F3"/>
    <w:rsid w:val="002E78A5"/>
    <w:rsid w:val="002E795A"/>
    <w:rsid w:val="002E7962"/>
    <w:rsid w:val="002E7A72"/>
    <w:rsid w:val="002E7BDF"/>
    <w:rsid w:val="002E7C01"/>
    <w:rsid w:val="002E7CB6"/>
    <w:rsid w:val="002F005B"/>
    <w:rsid w:val="002F00F1"/>
    <w:rsid w:val="002F0121"/>
    <w:rsid w:val="002F027F"/>
    <w:rsid w:val="002F0292"/>
    <w:rsid w:val="002F034F"/>
    <w:rsid w:val="002F061C"/>
    <w:rsid w:val="002F06C5"/>
    <w:rsid w:val="002F0788"/>
    <w:rsid w:val="002F097C"/>
    <w:rsid w:val="002F0A06"/>
    <w:rsid w:val="002F0B77"/>
    <w:rsid w:val="002F0DD8"/>
    <w:rsid w:val="002F0DDE"/>
    <w:rsid w:val="002F0EBF"/>
    <w:rsid w:val="002F0FB9"/>
    <w:rsid w:val="002F10B6"/>
    <w:rsid w:val="002F10D3"/>
    <w:rsid w:val="002F1171"/>
    <w:rsid w:val="002F1186"/>
    <w:rsid w:val="002F12D0"/>
    <w:rsid w:val="002F1369"/>
    <w:rsid w:val="002F13F4"/>
    <w:rsid w:val="002F1501"/>
    <w:rsid w:val="002F154F"/>
    <w:rsid w:val="002F1625"/>
    <w:rsid w:val="002F1656"/>
    <w:rsid w:val="002F1700"/>
    <w:rsid w:val="002F1A39"/>
    <w:rsid w:val="002F1A67"/>
    <w:rsid w:val="002F1AA6"/>
    <w:rsid w:val="002F1B68"/>
    <w:rsid w:val="002F1BD9"/>
    <w:rsid w:val="002F1D23"/>
    <w:rsid w:val="002F1E2F"/>
    <w:rsid w:val="002F1F04"/>
    <w:rsid w:val="002F2199"/>
    <w:rsid w:val="002F21E8"/>
    <w:rsid w:val="002F223C"/>
    <w:rsid w:val="002F2472"/>
    <w:rsid w:val="002F2541"/>
    <w:rsid w:val="002F2725"/>
    <w:rsid w:val="002F284A"/>
    <w:rsid w:val="002F2876"/>
    <w:rsid w:val="002F2A38"/>
    <w:rsid w:val="002F2C43"/>
    <w:rsid w:val="002F2C8C"/>
    <w:rsid w:val="002F2DD6"/>
    <w:rsid w:val="002F2E44"/>
    <w:rsid w:val="002F2EB7"/>
    <w:rsid w:val="002F2EDD"/>
    <w:rsid w:val="002F2F4F"/>
    <w:rsid w:val="002F302D"/>
    <w:rsid w:val="002F30AA"/>
    <w:rsid w:val="002F30FD"/>
    <w:rsid w:val="002F3112"/>
    <w:rsid w:val="002F3299"/>
    <w:rsid w:val="002F352A"/>
    <w:rsid w:val="002F371F"/>
    <w:rsid w:val="002F374B"/>
    <w:rsid w:val="002F3756"/>
    <w:rsid w:val="002F3839"/>
    <w:rsid w:val="002F3A8B"/>
    <w:rsid w:val="002F3C93"/>
    <w:rsid w:val="002F3D14"/>
    <w:rsid w:val="002F3E06"/>
    <w:rsid w:val="002F40DE"/>
    <w:rsid w:val="002F4216"/>
    <w:rsid w:val="002F43A0"/>
    <w:rsid w:val="002F43F5"/>
    <w:rsid w:val="002F4636"/>
    <w:rsid w:val="002F46AE"/>
    <w:rsid w:val="002F472E"/>
    <w:rsid w:val="002F4762"/>
    <w:rsid w:val="002F4781"/>
    <w:rsid w:val="002F4826"/>
    <w:rsid w:val="002F4974"/>
    <w:rsid w:val="002F49BD"/>
    <w:rsid w:val="002F4ADB"/>
    <w:rsid w:val="002F4E67"/>
    <w:rsid w:val="002F4E9B"/>
    <w:rsid w:val="002F4EB5"/>
    <w:rsid w:val="002F4FFA"/>
    <w:rsid w:val="002F51DD"/>
    <w:rsid w:val="002F544F"/>
    <w:rsid w:val="002F563B"/>
    <w:rsid w:val="002F57B1"/>
    <w:rsid w:val="002F58E5"/>
    <w:rsid w:val="002F596C"/>
    <w:rsid w:val="002F5980"/>
    <w:rsid w:val="002F5AB8"/>
    <w:rsid w:val="002F5CCC"/>
    <w:rsid w:val="002F5D00"/>
    <w:rsid w:val="002F5F47"/>
    <w:rsid w:val="002F5F4A"/>
    <w:rsid w:val="002F6084"/>
    <w:rsid w:val="002F60A2"/>
    <w:rsid w:val="002F60BC"/>
    <w:rsid w:val="002F61D7"/>
    <w:rsid w:val="002F6262"/>
    <w:rsid w:val="002F62B1"/>
    <w:rsid w:val="002F6316"/>
    <w:rsid w:val="002F6531"/>
    <w:rsid w:val="002F65E6"/>
    <w:rsid w:val="002F662C"/>
    <w:rsid w:val="002F6697"/>
    <w:rsid w:val="002F680F"/>
    <w:rsid w:val="002F6833"/>
    <w:rsid w:val="002F68F9"/>
    <w:rsid w:val="002F6967"/>
    <w:rsid w:val="002F6B6A"/>
    <w:rsid w:val="002F6C6A"/>
    <w:rsid w:val="002F6C7D"/>
    <w:rsid w:val="002F6F33"/>
    <w:rsid w:val="002F6F65"/>
    <w:rsid w:val="002F72D8"/>
    <w:rsid w:val="002F747A"/>
    <w:rsid w:val="002F75E9"/>
    <w:rsid w:val="002F75FF"/>
    <w:rsid w:val="002F775F"/>
    <w:rsid w:val="002F7762"/>
    <w:rsid w:val="002F7A43"/>
    <w:rsid w:val="002F7B41"/>
    <w:rsid w:val="002F7BD8"/>
    <w:rsid w:val="002F7DEA"/>
    <w:rsid w:val="002F7F60"/>
    <w:rsid w:val="003000CA"/>
    <w:rsid w:val="003000E4"/>
    <w:rsid w:val="0030011B"/>
    <w:rsid w:val="00300169"/>
    <w:rsid w:val="003001C9"/>
    <w:rsid w:val="00300205"/>
    <w:rsid w:val="00300407"/>
    <w:rsid w:val="00300529"/>
    <w:rsid w:val="003005B2"/>
    <w:rsid w:val="003007FF"/>
    <w:rsid w:val="0030080D"/>
    <w:rsid w:val="0030084C"/>
    <w:rsid w:val="00300A8B"/>
    <w:rsid w:val="00300A98"/>
    <w:rsid w:val="00300CC7"/>
    <w:rsid w:val="00300E37"/>
    <w:rsid w:val="00300EA0"/>
    <w:rsid w:val="00300EC8"/>
    <w:rsid w:val="003011BA"/>
    <w:rsid w:val="003011E4"/>
    <w:rsid w:val="003012EE"/>
    <w:rsid w:val="0030139C"/>
    <w:rsid w:val="003013E5"/>
    <w:rsid w:val="0030144F"/>
    <w:rsid w:val="00301507"/>
    <w:rsid w:val="00301520"/>
    <w:rsid w:val="003016FF"/>
    <w:rsid w:val="003017D3"/>
    <w:rsid w:val="00301841"/>
    <w:rsid w:val="00301A9F"/>
    <w:rsid w:val="00301B69"/>
    <w:rsid w:val="00301C81"/>
    <w:rsid w:val="00301C9F"/>
    <w:rsid w:val="00301EC4"/>
    <w:rsid w:val="00302097"/>
    <w:rsid w:val="003021FD"/>
    <w:rsid w:val="00302467"/>
    <w:rsid w:val="003026D6"/>
    <w:rsid w:val="00302813"/>
    <w:rsid w:val="00302939"/>
    <w:rsid w:val="0030295A"/>
    <w:rsid w:val="003029C3"/>
    <w:rsid w:val="00302A9B"/>
    <w:rsid w:val="00302AB1"/>
    <w:rsid w:val="00302D8F"/>
    <w:rsid w:val="00302F07"/>
    <w:rsid w:val="00302F17"/>
    <w:rsid w:val="003030BE"/>
    <w:rsid w:val="00303118"/>
    <w:rsid w:val="0030311A"/>
    <w:rsid w:val="0030311C"/>
    <w:rsid w:val="003031C7"/>
    <w:rsid w:val="0030324C"/>
    <w:rsid w:val="003034B4"/>
    <w:rsid w:val="0030352E"/>
    <w:rsid w:val="003037E4"/>
    <w:rsid w:val="0030381A"/>
    <w:rsid w:val="00303834"/>
    <w:rsid w:val="0030399A"/>
    <w:rsid w:val="003039D4"/>
    <w:rsid w:val="003039E1"/>
    <w:rsid w:val="00303DAE"/>
    <w:rsid w:val="00303F30"/>
    <w:rsid w:val="00303F5B"/>
    <w:rsid w:val="0030416D"/>
    <w:rsid w:val="0030446E"/>
    <w:rsid w:val="00304518"/>
    <w:rsid w:val="00304547"/>
    <w:rsid w:val="003045E7"/>
    <w:rsid w:val="00304673"/>
    <w:rsid w:val="003046AA"/>
    <w:rsid w:val="00304851"/>
    <w:rsid w:val="003049C6"/>
    <w:rsid w:val="00304A86"/>
    <w:rsid w:val="00304B26"/>
    <w:rsid w:val="00304C61"/>
    <w:rsid w:val="00304EF8"/>
    <w:rsid w:val="00305013"/>
    <w:rsid w:val="00305208"/>
    <w:rsid w:val="003052B8"/>
    <w:rsid w:val="0030531E"/>
    <w:rsid w:val="0030531F"/>
    <w:rsid w:val="00305324"/>
    <w:rsid w:val="003053E5"/>
    <w:rsid w:val="0030544E"/>
    <w:rsid w:val="003054A2"/>
    <w:rsid w:val="003055D2"/>
    <w:rsid w:val="00305632"/>
    <w:rsid w:val="003057AF"/>
    <w:rsid w:val="003057F1"/>
    <w:rsid w:val="003057FC"/>
    <w:rsid w:val="00305910"/>
    <w:rsid w:val="00305A17"/>
    <w:rsid w:val="00305AD6"/>
    <w:rsid w:val="00305D21"/>
    <w:rsid w:val="00305D8B"/>
    <w:rsid w:val="00305DD7"/>
    <w:rsid w:val="00305E9C"/>
    <w:rsid w:val="00305F04"/>
    <w:rsid w:val="003061C9"/>
    <w:rsid w:val="003063EC"/>
    <w:rsid w:val="0030643B"/>
    <w:rsid w:val="0030649F"/>
    <w:rsid w:val="0030657E"/>
    <w:rsid w:val="00306583"/>
    <w:rsid w:val="00306628"/>
    <w:rsid w:val="00306784"/>
    <w:rsid w:val="0030681E"/>
    <w:rsid w:val="00306941"/>
    <w:rsid w:val="00306998"/>
    <w:rsid w:val="00306A3A"/>
    <w:rsid w:val="00306BCD"/>
    <w:rsid w:val="00306BF0"/>
    <w:rsid w:val="00306DF6"/>
    <w:rsid w:val="00306E0B"/>
    <w:rsid w:val="00306F3F"/>
    <w:rsid w:val="0030701F"/>
    <w:rsid w:val="003070AE"/>
    <w:rsid w:val="00307155"/>
    <w:rsid w:val="00307264"/>
    <w:rsid w:val="00307277"/>
    <w:rsid w:val="00307601"/>
    <w:rsid w:val="0030770A"/>
    <w:rsid w:val="0030778B"/>
    <w:rsid w:val="003078C2"/>
    <w:rsid w:val="003079AF"/>
    <w:rsid w:val="003079D3"/>
    <w:rsid w:val="003079D6"/>
    <w:rsid w:val="00307ABF"/>
    <w:rsid w:val="00307AEE"/>
    <w:rsid w:val="00307C2A"/>
    <w:rsid w:val="00307DB4"/>
    <w:rsid w:val="00307F02"/>
    <w:rsid w:val="0031000D"/>
    <w:rsid w:val="00310032"/>
    <w:rsid w:val="0031010C"/>
    <w:rsid w:val="0031018A"/>
    <w:rsid w:val="0031021A"/>
    <w:rsid w:val="0031029B"/>
    <w:rsid w:val="00310326"/>
    <w:rsid w:val="0031041B"/>
    <w:rsid w:val="00310436"/>
    <w:rsid w:val="0031050A"/>
    <w:rsid w:val="00310525"/>
    <w:rsid w:val="00310527"/>
    <w:rsid w:val="003105AF"/>
    <w:rsid w:val="003105F2"/>
    <w:rsid w:val="003106B8"/>
    <w:rsid w:val="00310753"/>
    <w:rsid w:val="003107F9"/>
    <w:rsid w:val="00310936"/>
    <w:rsid w:val="00310970"/>
    <w:rsid w:val="00310A01"/>
    <w:rsid w:val="00310B1E"/>
    <w:rsid w:val="00310B67"/>
    <w:rsid w:val="00310D74"/>
    <w:rsid w:val="00310D98"/>
    <w:rsid w:val="0031117E"/>
    <w:rsid w:val="00311413"/>
    <w:rsid w:val="0031152A"/>
    <w:rsid w:val="00311624"/>
    <w:rsid w:val="00311644"/>
    <w:rsid w:val="0031173E"/>
    <w:rsid w:val="00311764"/>
    <w:rsid w:val="003118AB"/>
    <w:rsid w:val="003118B4"/>
    <w:rsid w:val="00311C31"/>
    <w:rsid w:val="00311CCD"/>
    <w:rsid w:val="00311EC8"/>
    <w:rsid w:val="00311FE8"/>
    <w:rsid w:val="003121DE"/>
    <w:rsid w:val="00312207"/>
    <w:rsid w:val="003122C5"/>
    <w:rsid w:val="0031233B"/>
    <w:rsid w:val="003123CD"/>
    <w:rsid w:val="00312434"/>
    <w:rsid w:val="003124FF"/>
    <w:rsid w:val="00312522"/>
    <w:rsid w:val="0031252A"/>
    <w:rsid w:val="00312782"/>
    <w:rsid w:val="003127DC"/>
    <w:rsid w:val="00312869"/>
    <w:rsid w:val="003129BA"/>
    <w:rsid w:val="00312BC0"/>
    <w:rsid w:val="00312CE2"/>
    <w:rsid w:val="00312E3C"/>
    <w:rsid w:val="00312E46"/>
    <w:rsid w:val="00312E6D"/>
    <w:rsid w:val="0031307F"/>
    <w:rsid w:val="0031309A"/>
    <w:rsid w:val="0031316C"/>
    <w:rsid w:val="0031346B"/>
    <w:rsid w:val="00313701"/>
    <w:rsid w:val="003137E1"/>
    <w:rsid w:val="00313854"/>
    <w:rsid w:val="00313885"/>
    <w:rsid w:val="003138DF"/>
    <w:rsid w:val="00313A0E"/>
    <w:rsid w:val="00313A57"/>
    <w:rsid w:val="00313AE6"/>
    <w:rsid w:val="00313B90"/>
    <w:rsid w:val="00313C4D"/>
    <w:rsid w:val="00313D57"/>
    <w:rsid w:val="00313D6B"/>
    <w:rsid w:val="00313D7B"/>
    <w:rsid w:val="00313DCD"/>
    <w:rsid w:val="00313E2D"/>
    <w:rsid w:val="00313EA6"/>
    <w:rsid w:val="00313F17"/>
    <w:rsid w:val="00313F19"/>
    <w:rsid w:val="00313F53"/>
    <w:rsid w:val="0031420E"/>
    <w:rsid w:val="00314268"/>
    <w:rsid w:val="00314391"/>
    <w:rsid w:val="003144FB"/>
    <w:rsid w:val="00314664"/>
    <w:rsid w:val="003147B3"/>
    <w:rsid w:val="003147D2"/>
    <w:rsid w:val="003147E4"/>
    <w:rsid w:val="003148D7"/>
    <w:rsid w:val="003148FC"/>
    <w:rsid w:val="0031491D"/>
    <w:rsid w:val="00314CA3"/>
    <w:rsid w:val="00314D48"/>
    <w:rsid w:val="00314E65"/>
    <w:rsid w:val="00314F22"/>
    <w:rsid w:val="00314FC6"/>
    <w:rsid w:val="00315089"/>
    <w:rsid w:val="003152CB"/>
    <w:rsid w:val="00315324"/>
    <w:rsid w:val="0031538C"/>
    <w:rsid w:val="00315408"/>
    <w:rsid w:val="0031557E"/>
    <w:rsid w:val="0031578B"/>
    <w:rsid w:val="00315956"/>
    <w:rsid w:val="003159D1"/>
    <w:rsid w:val="00315AB1"/>
    <w:rsid w:val="00315B7E"/>
    <w:rsid w:val="00315B83"/>
    <w:rsid w:val="00315D80"/>
    <w:rsid w:val="00315E84"/>
    <w:rsid w:val="003160A0"/>
    <w:rsid w:val="00316126"/>
    <w:rsid w:val="003161A3"/>
    <w:rsid w:val="003161AA"/>
    <w:rsid w:val="003161B6"/>
    <w:rsid w:val="003161B9"/>
    <w:rsid w:val="00316225"/>
    <w:rsid w:val="003162A0"/>
    <w:rsid w:val="00316334"/>
    <w:rsid w:val="00316465"/>
    <w:rsid w:val="003164E8"/>
    <w:rsid w:val="003164EC"/>
    <w:rsid w:val="003168E2"/>
    <w:rsid w:val="00316961"/>
    <w:rsid w:val="00316996"/>
    <w:rsid w:val="00316A9A"/>
    <w:rsid w:val="00316B15"/>
    <w:rsid w:val="00316B60"/>
    <w:rsid w:val="00316B8C"/>
    <w:rsid w:val="00316BD7"/>
    <w:rsid w:val="00316BFB"/>
    <w:rsid w:val="00316D94"/>
    <w:rsid w:val="00316E37"/>
    <w:rsid w:val="00316E90"/>
    <w:rsid w:val="00316F90"/>
    <w:rsid w:val="00316FE1"/>
    <w:rsid w:val="0031705A"/>
    <w:rsid w:val="0031708E"/>
    <w:rsid w:val="00317112"/>
    <w:rsid w:val="003171C0"/>
    <w:rsid w:val="00317218"/>
    <w:rsid w:val="00317370"/>
    <w:rsid w:val="003173B3"/>
    <w:rsid w:val="00317438"/>
    <w:rsid w:val="00317445"/>
    <w:rsid w:val="00317583"/>
    <w:rsid w:val="003175C0"/>
    <w:rsid w:val="003175D4"/>
    <w:rsid w:val="00317615"/>
    <w:rsid w:val="0031761F"/>
    <w:rsid w:val="00317710"/>
    <w:rsid w:val="00317911"/>
    <w:rsid w:val="00317B6A"/>
    <w:rsid w:val="00317C47"/>
    <w:rsid w:val="00317D6B"/>
    <w:rsid w:val="00317DB7"/>
    <w:rsid w:val="00317F1F"/>
    <w:rsid w:val="003200A2"/>
    <w:rsid w:val="00320137"/>
    <w:rsid w:val="00320207"/>
    <w:rsid w:val="003202A8"/>
    <w:rsid w:val="003202F6"/>
    <w:rsid w:val="00320306"/>
    <w:rsid w:val="00320329"/>
    <w:rsid w:val="003203B1"/>
    <w:rsid w:val="00320422"/>
    <w:rsid w:val="00320441"/>
    <w:rsid w:val="00320495"/>
    <w:rsid w:val="00320545"/>
    <w:rsid w:val="003205DA"/>
    <w:rsid w:val="0032068C"/>
    <w:rsid w:val="0032069F"/>
    <w:rsid w:val="003206D1"/>
    <w:rsid w:val="00320753"/>
    <w:rsid w:val="00320802"/>
    <w:rsid w:val="0032088E"/>
    <w:rsid w:val="003208F3"/>
    <w:rsid w:val="00320A1C"/>
    <w:rsid w:val="00320A75"/>
    <w:rsid w:val="00320ACF"/>
    <w:rsid w:val="00320AD9"/>
    <w:rsid w:val="00320B54"/>
    <w:rsid w:val="00320D17"/>
    <w:rsid w:val="00320DAC"/>
    <w:rsid w:val="00320DF3"/>
    <w:rsid w:val="003210B2"/>
    <w:rsid w:val="0032132E"/>
    <w:rsid w:val="0032133B"/>
    <w:rsid w:val="003213C7"/>
    <w:rsid w:val="003214DC"/>
    <w:rsid w:val="00321503"/>
    <w:rsid w:val="00321574"/>
    <w:rsid w:val="0032173C"/>
    <w:rsid w:val="00321740"/>
    <w:rsid w:val="00321A04"/>
    <w:rsid w:val="00321A08"/>
    <w:rsid w:val="00321B0F"/>
    <w:rsid w:val="00321B67"/>
    <w:rsid w:val="00321C15"/>
    <w:rsid w:val="00321E0E"/>
    <w:rsid w:val="00321E22"/>
    <w:rsid w:val="00321F70"/>
    <w:rsid w:val="00321FFD"/>
    <w:rsid w:val="00322122"/>
    <w:rsid w:val="00322171"/>
    <w:rsid w:val="00322174"/>
    <w:rsid w:val="003222B3"/>
    <w:rsid w:val="0032236B"/>
    <w:rsid w:val="00322391"/>
    <w:rsid w:val="003223E0"/>
    <w:rsid w:val="00322484"/>
    <w:rsid w:val="003224DE"/>
    <w:rsid w:val="00322692"/>
    <w:rsid w:val="0032286B"/>
    <w:rsid w:val="00322A06"/>
    <w:rsid w:val="00322A58"/>
    <w:rsid w:val="00322B78"/>
    <w:rsid w:val="00322B7C"/>
    <w:rsid w:val="00322B84"/>
    <w:rsid w:val="00322C10"/>
    <w:rsid w:val="00322C3A"/>
    <w:rsid w:val="00322C44"/>
    <w:rsid w:val="00322C82"/>
    <w:rsid w:val="00322D09"/>
    <w:rsid w:val="00322D34"/>
    <w:rsid w:val="00322F16"/>
    <w:rsid w:val="00322FE2"/>
    <w:rsid w:val="00323007"/>
    <w:rsid w:val="00323037"/>
    <w:rsid w:val="0032325D"/>
    <w:rsid w:val="00323278"/>
    <w:rsid w:val="003232ED"/>
    <w:rsid w:val="00323477"/>
    <w:rsid w:val="00323548"/>
    <w:rsid w:val="00323594"/>
    <w:rsid w:val="00323636"/>
    <w:rsid w:val="003236C3"/>
    <w:rsid w:val="003236E4"/>
    <w:rsid w:val="00323753"/>
    <w:rsid w:val="003239F0"/>
    <w:rsid w:val="00323A40"/>
    <w:rsid w:val="00323C6B"/>
    <w:rsid w:val="00323EAA"/>
    <w:rsid w:val="00323EC8"/>
    <w:rsid w:val="00323ECA"/>
    <w:rsid w:val="00323FCE"/>
    <w:rsid w:val="0032406D"/>
    <w:rsid w:val="003240FE"/>
    <w:rsid w:val="003241AC"/>
    <w:rsid w:val="003242A3"/>
    <w:rsid w:val="003244ED"/>
    <w:rsid w:val="00324556"/>
    <w:rsid w:val="0032463F"/>
    <w:rsid w:val="00324756"/>
    <w:rsid w:val="003247BD"/>
    <w:rsid w:val="0032480E"/>
    <w:rsid w:val="0032480F"/>
    <w:rsid w:val="0032490E"/>
    <w:rsid w:val="00324951"/>
    <w:rsid w:val="00324ADB"/>
    <w:rsid w:val="00324AF4"/>
    <w:rsid w:val="00324D99"/>
    <w:rsid w:val="00324E04"/>
    <w:rsid w:val="00324E17"/>
    <w:rsid w:val="00324E46"/>
    <w:rsid w:val="00325004"/>
    <w:rsid w:val="0032511B"/>
    <w:rsid w:val="0032513C"/>
    <w:rsid w:val="00325230"/>
    <w:rsid w:val="0032525F"/>
    <w:rsid w:val="00325321"/>
    <w:rsid w:val="0032549C"/>
    <w:rsid w:val="003254CC"/>
    <w:rsid w:val="00325507"/>
    <w:rsid w:val="00325555"/>
    <w:rsid w:val="003255EC"/>
    <w:rsid w:val="00325735"/>
    <w:rsid w:val="003257C7"/>
    <w:rsid w:val="003257C9"/>
    <w:rsid w:val="003257CA"/>
    <w:rsid w:val="0032581F"/>
    <w:rsid w:val="00325852"/>
    <w:rsid w:val="003258A4"/>
    <w:rsid w:val="003258E5"/>
    <w:rsid w:val="0032591D"/>
    <w:rsid w:val="003259DD"/>
    <w:rsid w:val="00325A32"/>
    <w:rsid w:val="00325A94"/>
    <w:rsid w:val="00325C2F"/>
    <w:rsid w:val="00325C6B"/>
    <w:rsid w:val="00325C8A"/>
    <w:rsid w:val="00325F66"/>
    <w:rsid w:val="00325FCC"/>
    <w:rsid w:val="00326082"/>
    <w:rsid w:val="003260CC"/>
    <w:rsid w:val="00326334"/>
    <w:rsid w:val="0032647D"/>
    <w:rsid w:val="0032647E"/>
    <w:rsid w:val="00326506"/>
    <w:rsid w:val="0032671B"/>
    <w:rsid w:val="0032688B"/>
    <w:rsid w:val="003268FF"/>
    <w:rsid w:val="003269A6"/>
    <w:rsid w:val="00326A30"/>
    <w:rsid w:val="00326AE9"/>
    <w:rsid w:val="00326B17"/>
    <w:rsid w:val="00326C16"/>
    <w:rsid w:val="00326D4A"/>
    <w:rsid w:val="00326D8E"/>
    <w:rsid w:val="00326ED6"/>
    <w:rsid w:val="00326F7D"/>
    <w:rsid w:val="0032714E"/>
    <w:rsid w:val="0032732C"/>
    <w:rsid w:val="00327531"/>
    <w:rsid w:val="003275C1"/>
    <w:rsid w:val="0032770E"/>
    <w:rsid w:val="0032775A"/>
    <w:rsid w:val="003277C7"/>
    <w:rsid w:val="00327823"/>
    <w:rsid w:val="00327859"/>
    <w:rsid w:val="0032785B"/>
    <w:rsid w:val="00327B5D"/>
    <w:rsid w:val="00327B7B"/>
    <w:rsid w:val="00327BD4"/>
    <w:rsid w:val="00327C34"/>
    <w:rsid w:val="00327CF7"/>
    <w:rsid w:val="00327ED9"/>
    <w:rsid w:val="00327F75"/>
    <w:rsid w:val="00327FF3"/>
    <w:rsid w:val="00330074"/>
    <w:rsid w:val="00330113"/>
    <w:rsid w:val="00330207"/>
    <w:rsid w:val="003303AC"/>
    <w:rsid w:val="00330532"/>
    <w:rsid w:val="0033063D"/>
    <w:rsid w:val="003307E6"/>
    <w:rsid w:val="00330820"/>
    <w:rsid w:val="00330957"/>
    <w:rsid w:val="003309D8"/>
    <w:rsid w:val="00330A1E"/>
    <w:rsid w:val="00330A7A"/>
    <w:rsid w:val="00330A86"/>
    <w:rsid w:val="00330A90"/>
    <w:rsid w:val="00330D5A"/>
    <w:rsid w:val="00330DF7"/>
    <w:rsid w:val="00330FAA"/>
    <w:rsid w:val="003311A4"/>
    <w:rsid w:val="003311A6"/>
    <w:rsid w:val="003313C6"/>
    <w:rsid w:val="003316B7"/>
    <w:rsid w:val="003317A0"/>
    <w:rsid w:val="003317AD"/>
    <w:rsid w:val="003317CA"/>
    <w:rsid w:val="00331B19"/>
    <w:rsid w:val="00331C4F"/>
    <w:rsid w:val="00331D1C"/>
    <w:rsid w:val="00331D7B"/>
    <w:rsid w:val="00331EFC"/>
    <w:rsid w:val="003320DC"/>
    <w:rsid w:val="0033233A"/>
    <w:rsid w:val="00332464"/>
    <w:rsid w:val="00332590"/>
    <w:rsid w:val="00332631"/>
    <w:rsid w:val="00332664"/>
    <w:rsid w:val="003326E6"/>
    <w:rsid w:val="00332767"/>
    <w:rsid w:val="003328B9"/>
    <w:rsid w:val="003328CE"/>
    <w:rsid w:val="003329CB"/>
    <w:rsid w:val="00332A13"/>
    <w:rsid w:val="00332B0F"/>
    <w:rsid w:val="00332BF4"/>
    <w:rsid w:val="00332C90"/>
    <w:rsid w:val="00332E6C"/>
    <w:rsid w:val="00332E72"/>
    <w:rsid w:val="00332EE3"/>
    <w:rsid w:val="00332EEF"/>
    <w:rsid w:val="00332F40"/>
    <w:rsid w:val="00332FE2"/>
    <w:rsid w:val="00333083"/>
    <w:rsid w:val="003330FA"/>
    <w:rsid w:val="0033310F"/>
    <w:rsid w:val="0033319B"/>
    <w:rsid w:val="003333D1"/>
    <w:rsid w:val="00333469"/>
    <w:rsid w:val="00333585"/>
    <w:rsid w:val="003337E6"/>
    <w:rsid w:val="00333812"/>
    <w:rsid w:val="0033384C"/>
    <w:rsid w:val="00333854"/>
    <w:rsid w:val="003338AC"/>
    <w:rsid w:val="003338B0"/>
    <w:rsid w:val="00333962"/>
    <w:rsid w:val="003339A4"/>
    <w:rsid w:val="00333A37"/>
    <w:rsid w:val="00333BAF"/>
    <w:rsid w:val="00333BB5"/>
    <w:rsid w:val="00333BEA"/>
    <w:rsid w:val="00333CC3"/>
    <w:rsid w:val="00333CF7"/>
    <w:rsid w:val="00333E06"/>
    <w:rsid w:val="00333E09"/>
    <w:rsid w:val="00333E11"/>
    <w:rsid w:val="00333E12"/>
    <w:rsid w:val="00334091"/>
    <w:rsid w:val="003340A4"/>
    <w:rsid w:val="003342D6"/>
    <w:rsid w:val="003342D8"/>
    <w:rsid w:val="003343B2"/>
    <w:rsid w:val="003343D2"/>
    <w:rsid w:val="003343DC"/>
    <w:rsid w:val="0033443B"/>
    <w:rsid w:val="003344F1"/>
    <w:rsid w:val="00334504"/>
    <w:rsid w:val="00334750"/>
    <w:rsid w:val="003347C8"/>
    <w:rsid w:val="003348B9"/>
    <w:rsid w:val="003348BD"/>
    <w:rsid w:val="00334A75"/>
    <w:rsid w:val="00334A8E"/>
    <w:rsid w:val="00334D25"/>
    <w:rsid w:val="00334D57"/>
    <w:rsid w:val="00334D6B"/>
    <w:rsid w:val="00334E31"/>
    <w:rsid w:val="00334E57"/>
    <w:rsid w:val="0033505A"/>
    <w:rsid w:val="0033508B"/>
    <w:rsid w:val="0033517A"/>
    <w:rsid w:val="00335255"/>
    <w:rsid w:val="003353B3"/>
    <w:rsid w:val="003354F3"/>
    <w:rsid w:val="0033564C"/>
    <w:rsid w:val="003356EA"/>
    <w:rsid w:val="00335712"/>
    <w:rsid w:val="003357FF"/>
    <w:rsid w:val="0033591D"/>
    <w:rsid w:val="003359AE"/>
    <w:rsid w:val="003359C0"/>
    <w:rsid w:val="003359EC"/>
    <w:rsid w:val="00335B6B"/>
    <w:rsid w:val="00335C17"/>
    <w:rsid w:val="00335C8E"/>
    <w:rsid w:val="00335CAD"/>
    <w:rsid w:val="00335CB2"/>
    <w:rsid w:val="00335CF3"/>
    <w:rsid w:val="00335D29"/>
    <w:rsid w:val="00335D81"/>
    <w:rsid w:val="00335E4E"/>
    <w:rsid w:val="00335F74"/>
    <w:rsid w:val="003360DA"/>
    <w:rsid w:val="0033642B"/>
    <w:rsid w:val="00336444"/>
    <w:rsid w:val="00336517"/>
    <w:rsid w:val="00336554"/>
    <w:rsid w:val="003365C5"/>
    <w:rsid w:val="003367C7"/>
    <w:rsid w:val="003367DE"/>
    <w:rsid w:val="003369A1"/>
    <w:rsid w:val="003369EB"/>
    <w:rsid w:val="00336A86"/>
    <w:rsid w:val="00336C5A"/>
    <w:rsid w:val="00336D29"/>
    <w:rsid w:val="00336E21"/>
    <w:rsid w:val="00336E53"/>
    <w:rsid w:val="00336ED1"/>
    <w:rsid w:val="00336F56"/>
    <w:rsid w:val="0033721C"/>
    <w:rsid w:val="0033725F"/>
    <w:rsid w:val="003372B8"/>
    <w:rsid w:val="00337405"/>
    <w:rsid w:val="00337421"/>
    <w:rsid w:val="00337764"/>
    <w:rsid w:val="003377A1"/>
    <w:rsid w:val="00337896"/>
    <w:rsid w:val="00337C2B"/>
    <w:rsid w:val="00337C45"/>
    <w:rsid w:val="00337CD2"/>
    <w:rsid w:val="00337E90"/>
    <w:rsid w:val="00340041"/>
    <w:rsid w:val="003401A1"/>
    <w:rsid w:val="00340713"/>
    <w:rsid w:val="0034073F"/>
    <w:rsid w:val="00340786"/>
    <w:rsid w:val="00340905"/>
    <w:rsid w:val="003409F9"/>
    <w:rsid w:val="00340B3C"/>
    <w:rsid w:val="00340C14"/>
    <w:rsid w:val="00340D96"/>
    <w:rsid w:val="00340EF9"/>
    <w:rsid w:val="00340F89"/>
    <w:rsid w:val="00341029"/>
    <w:rsid w:val="0034107F"/>
    <w:rsid w:val="00341311"/>
    <w:rsid w:val="003413D8"/>
    <w:rsid w:val="003414E4"/>
    <w:rsid w:val="00341574"/>
    <w:rsid w:val="003415E5"/>
    <w:rsid w:val="003415EF"/>
    <w:rsid w:val="0034160F"/>
    <w:rsid w:val="00341649"/>
    <w:rsid w:val="0034168A"/>
    <w:rsid w:val="00341786"/>
    <w:rsid w:val="003418E6"/>
    <w:rsid w:val="003419A0"/>
    <w:rsid w:val="00341C00"/>
    <w:rsid w:val="00341C79"/>
    <w:rsid w:val="00341CEE"/>
    <w:rsid w:val="00341D46"/>
    <w:rsid w:val="00341DA4"/>
    <w:rsid w:val="00342036"/>
    <w:rsid w:val="003420A4"/>
    <w:rsid w:val="00342156"/>
    <w:rsid w:val="00342324"/>
    <w:rsid w:val="0034234D"/>
    <w:rsid w:val="003423C4"/>
    <w:rsid w:val="003423DC"/>
    <w:rsid w:val="003424EA"/>
    <w:rsid w:val="00342504"/>
    <w:rsid w:val="003425E1"/>
    <w:rsid w:val="0034265E"/>
    <w:rsid w:val="003426A5"/>
    <w:rsid w:val="003426EB"/>
    <w:rsid w:val="0034289B"/>
    <w:rsid w:val="003429EE"/>
    <w:rsid w:val="00342A0E"/>
    <w:rsid w:val="00342C3B"/>
    <w:rsid w:val="00342CAF"/>
    <w:rsid w:val="00342CC7"/>
    <w:rsid w:val="00342D72"/>
    <w:rsid w:val="00342D77"/>
    <w:rsid w:val="00342E42"/>
    <w:rsid w:val="0034307F"/>
    <w:rsid w:val="00343116"/>
    <w:rsid w:val="00343292"/>
    <w:rsid w:val="00343554"/>
    <w:rsid w:val="00343564"/>
    <w:rsid w:val="00343583"/>
    <w:rsid w:val="00343746"/>
    <w:rsid w:val="003437C5"/>
    <w:rsid w:val="00343814"/>
    <w:rsid w:val="00343997"/>
    <w:rsid w:val="00343A0D"/>
    <w:rsid w:val="00343A5F"/>
    <w:rsid w:val="00343BB3"/>
    <w:rsid w:val="00343BFE"/>
    <w:rsid w:val="00343DBD"/>
    <w:rsid w:val="00343DCE"/>
    <w:rsid w:val="00343E3B"/>
    <w:rsid w:val="00343F59"/>
    <w:rsid w:val="003440F7"/>
    <w:rsid w:val="00344137"/>
    <w:rsid w:val="00344157"/>
    <w:rsid w:val="0034423B"/>
    <w:rsid w:val="003444DF"/>
    <w:rsid w:val="00344560"/>
    <w:rsid w:val="003445C6"/>
    <w:rsid w:val="0034462A"/>
    <w:rsid w:val="003446E0"/>
    <w:rsid w:val="003446FF"/>
    <w:rsid w:val="0034471A"/>
    <w:rsid w:val="003447A2"/>
    <w:rsid w:val="00344AE0"/>
    <w:rsid w:val="00344CD8"/>
    <w:rsid w:val="00344D5F"/>
    <w:rsid w:val="00345007"/>
    <w:rsid w:val="0034511F"/>
    <w:rsid w:val="0034513E"/>
    <w:rsid w:val="003451C3"/>
    <w:rsid w:val="00345247"/>
    <w:rsid w:val="00345326"/>
    <w:rsid w:val="003453A6"/>
    <w:rsid w:val="003453F5"/>
    <w:rsid w:val="0034544F"/>
    <w:rsid w:val="00345548"/>
    <w:rsid w:val="00345581"/>
    <w:rsid w:val="00345599"/>
    <w:rsid w:val="003456CE"/>
    <w:rsid w:val="003456D6"/>
    <w:rsid w:val="00345753"/>
    <w:rsid w:val="003457D5"/>
    <w:rsid w:val="0034581B"/>
    <w:rsid w:val="00345823"/>
    <w:rsid w:val="00345832"/>
    <w:rsid w:val="00345900"/>
    <w:rsid w:val="0034595B"/>
    <w:rsid w:val="00345AED"/>
    <w:rsid w:val="00345C48"/>
    <w:rsid w:val="00345D5E"/>
    <w:rsid w:val="00345D70"/>
    <w:rsid w:val="00345E2B"/>
    <w:rsid w:val="00345E8E"/>
    <w:rsid w:val="00345F47"/>
    <w:rsid w:val="0034616D"/>
    <w:rsid w:val="003462E3"/>
    <w:rsid w:val="003462FF"/>
    <w:rsid w:val="00346431"/>
    <w:rsid w:val="003464E8"/>
    <w:rsid w:val="003465C3"/>
    <w:rsid w:val="003465C8"/>
    <w:rsid w:val="003465DA"/>
    <w:rsid w:val="00346627"/>
    <w:rsid w:val="0034672F"/>
    <w:rsid w:val="003467F2"/>
    <w:rsid w:val="003469A5"/>
    <w:rsid w:val="003469E5"/>
    <w:rsid w:val="00346AB8"/>
    <w:rsid w:val="00346B48"/>
    <w:rsid w:val="00346B4B"/>
    <w:rsid w:val="00346B64"/>
    <w:rsid w:val="00346C03"/>
    <w:rsid w:val="00346C2C"/>
    <w:rsid w:val="00346CC9"/>
    <w:rsid w:val="00346E1E"/>
    <w:rsid w:val="00346FE9"/>
    <w:rsid w:val="00347187"/>
    <w:rsid w:val="003471B5"/>
    <w:rsid w:val="003472D6"/>
    <w:rsid w:val="003473EC"/>
    <w:rsid w:val="00347572"/>
    <w:rsid w:val="00347684"/>
    <w:rsid w:val="003476DA"/>
    <w:rsid w:val="0034798C"/>
    <w:rsid w:val="00347B45"/>
    <w:rsid w:val="00347BB2"/>
    <w:rsid w:val="00347D0E"/>
    <w:rsid w:val="00347D10"/>
    <w:rsid w:val="00347D11"/>
    <w:rsid w:val="00347D25"/>
    <w:rsid w:val="00347ECC"/>
    <w:rsid w:val="00347F0C"/>
    <w:rsid w:val="00347F0D"/>
    <w:rsid w:val="00347F3D"/>
    <w:rsid w:val="00347FA9"/>
    <w:rsid w:val="00347FAA"/>
    <w:rsid w:val="00350042"/>
    <w:rsid w:val="003500CE"/>
    <w:rsid w:val="00350279"/>
    <w:rsid w:val="00350280"/>
    <w:rsid w:val="00350352"/>
    <w:rsid w:val="00350436"/>
    <w:rsid w:val="00350522"/>
    <w:rsid w:val="00350545"/>
    <w:rsid w:val="00350736"/>
    <w:rsid w:val="00350749"/>
    <w:rsid w:val="00350777"/>
    <w:rsid w:val="003507F3"/>
    <w:rsid w:val="0035094D"/>
    <w:rsid w:val="00350AB7"/>
    <w:rsid w:val="00350BA0"/>
    <w:rsid w:val="00350C29"/>
    <w:rsid w:val="00350E12"/>
    <w:rsid w:val="00350E5F"/>
    <w:rsid w:val="00350EBE"/>
    <w:rsid w:val="00350F19"/>
    <w:rsid w:val="00350FD1"/>
    <w:rsid w:val="0035103A"/>
    <w:rsid w:val="003510FB"/>
    <w:rsid w:val="0035113B"/>
    <w:rsid w:val="0035115E"/>
    <w:rsid w:val="0035116D"/>
    <w:rsid w:val="00351171"/>
    <w:rsid w:val="0035124B"/>
    <w:rsid w:val="00351268"/>
    <w:rsid w:val="003514EF"/>
    <w:rsid w:val="00351593"/>
    <w:rsid w:val="00351681"/>
    <w:rsid w:val="00351748"/>
    <w:rsid w:val="003518E7"/>
    <w:rsid w:val="0035197B"/>
    <w:rsid w:val="003519ED"/>
    <w:rsid w:val="00351ADF"/>
    <w:rsid w:val="00351B46"/>
    <w:rsid w:val="00351D5E"/>
    <w:rsid w:val="00351F6E"/>
    <w:rsid w:val="00352028"/>
    <w:rsid w:val="00352128"/>
    <w:rsid w:val="0035213A"/>
    <w:rsid w:val="0035224C"/>
    <w:rsid w:val="0035224D"/>
    <w:rsid w:val="00352442"/>
    <w:rsid w:val="003524AE"/>
    <w:rsid w:val="0035261D"/>
    <w:rsid w:val="00352755"/>
    <w:rsid w:val="0035284A"/>
    <w:rsid w:val="00352A2F"/>
    <w:rsid w:val="00352BC1"/>
    <w:rsid w:val="00352D35"/>
    <w:rsid w:val="00352F4E"/>
    <w:rsid w:val="00353110"/>
    <w:rsid w:val="0035349A"/>
    <w:rsid w:val="00353557"/>
    <w:rsid w:val="00353674"/>
    <w:rsid w:val="003536CB"/>
    <w:rsid w:val="003537BA"/>
    <w:rsid w:val="003537FF"/>
    <w:rsid w:val="00353809"/>
    <w:rsid w:val="003538EE"/>
    <w:rsid w:val="00353946"/>
    <w:rsid w:val="00353AB8"/>
    <w:rsid w:val="00353B3B"/>
    <w:rsid w:val="00353BEB"/>
    <w:rsid w:val="00353CCB"/>
    <w:rsid w:val="00353DA1"/>
    <w:rsid w:val="00353EAC"/>
    <w:rsid w:val="00353FBA"/>
    <w:rsid w:val="0035407E"/>
    <w:rsid w:val="00354089"/>
    <w:rsid w:val="00354094"/>
    <w:rsid w:val="00354121"/>
    <w:rsid w:val="0035420F"/>
    <w:rsid w:val="00354372"/>
    <w:rsid w:val="003544D9"/>
    <w:rsid w:val="00354606"/>
    <w:rsid w:val="003547E3"/>
    <w:rsid w:val="00354885"/>
    <w:rsid w:val="0035488B"/>
    <w:rsid w:val="00354932"/>
    <w:rsid w:val="0035497B"/>
    <w:rsid w:val="0035498B"/>
    <w:rsid w:val="00354B0E"/>
    <w:rsid w:val="00354B31"/>
    <w:rsid w:val="00354F7E"/>
    <w:rsid w:val="00355044"/>
    <w:rsid w:val="00355195"/>
    <w:rsid w:val="0035535E"/>
    <w:rsid w:val="00355370"/>
    <w:rsid w:val="003554E5"/>
    <w:rsid w:val="00355763"/>
    <w:rsid w:val="003557AF"/>
    <w:rsid w:val="003558FC"/>
    <w:rsid w:val="00355AAD"/>
    <w:rsid w:val="00355B12"/>
    <w:rsid w:val="00355BB8"/>
    <w:rsid w:val="00355C29"/>
    <w:rsid w:val="00355CEE"/>
    <w:rsid w:val="00355CF6"/>
    <w:rsid w:val="00355EA6"/>
    <w:rsid w:val="00355F44"/>
    <w:rsid w:val="00356034"/>
    <w:rsid w:val="00356040"/>
    <w:rsid w:val="003560B2"/>
    <w:rsid w:val="00356240"/>
    <w:rsid w:val="003562B7"/>
    <w:rsid w:val="0035636A"/>
    <w:rsid w:val="00356515"/>
    <w:rsid w:val="00356568"/>
    <w:rsid w:val="00356613"/>
    <w:rsid w:val="00356677"/>
    <w:rsid w:val="0035667D"/>
    <w:rsid w:val="003567D5"/>
    <w:rsid w:val="00356851"/>
    <w:rsid w:val="0035689B"/>
    <w:rsid w:val="0035693C"/>
    <w:rsid w:val="00356AC7"/>
    <w:rsid w:val="00356B05"/>
    <w:rsid w:val="00356BBD"/>
    <w:rsid w:val="00356D05"/>
    <w:rsid w:val="00356DDF"/>
    <w:rsid w:val="00356EAE"/>
    <w:rsid w:val="00357068"/>
    <w:rsid w:val="003570A7"/>
    <w:rsid w:val="0035742E"/>
    <w:rsid w:val="003575C5"/>
    <w:rsid w:val="0035779B"/>
    <w:rsid w:val="0035797D"/>
    <w:rsid w:val="00357A45"/>
    <w:rsid w:val="00357BF6"/>
    <w:rsid w:val="00357E1C"/>
    <w:rsid w:val="00357F77"/>
    <w:rsid w:val="00360137"/>
    <w:rsid w:val="0036022C"/>
    <w:rsid w:val="00360247"/>
    <w:rsid w:val="00360445"/>
    <w:rsid w:val="00360572"/>
    <w:rsid w:val="003607C8"/>
    <w:rsid w:val="00360831"/>
    <w:rsid w:val="0036091E"/>
    <w:rsid w:val="00360CB8"/>
    <w:rsid w:val="00360CDE"/>
    <w:rsid w:val="00360D57"/>
    <w:rsid w:val="00360DE4"/>
    <w:rsid w:val="00360DF0"/>
    <w:rsid w:val="00360E50"/>
    <w:rsid w:val="00360E67"/>
    <w:rsid w:val="00360EC0"/>
    <w:rsid w:val="00360F11"/>
    <w:rsid w:val="00361076"/>
    <w:rsid w:val="00361123"/>
    <w:rsid w:val="003611D7"/>
    <w:rsid w:val="0036121E"/>
    <w:rsid w:val="0036122C"/>
    <w:rsid w:val="0036129B"/>
    <w:rsid w:val="003612FA"/>
    <w:rsid w:val="003613FB"/>
    <w:rsid w:val="00361423"/>
    <w:rsid w:val="003614E1"/>
    <w:rsid w:val="00361658"/>
    <w:rsid w:val="003617BD"/>
    <w:rsid w:val="003618CA"/>
    <w:rsid w:val="003618E7"/>
    <w:rsid w:val="00361A06"/>
    <w:rsid w:val="00361A5D"/>
    <w:rsid w:val="00361AF6"/>
    <w:rsid w:val="00361BC4"/>
    <w:rsid w:val="00361CB8"/>
    <w:rsid w:val="00361DA9"/>
    <w:rsid w:val="00361DE4"/>
    <w:rsid w:val="00361EC0"/>
    <w:rsid w:val="00361F98"/>
    <w:rsid w:val="00361FB9"/>
    <w:rsid w:val="00361FD7"/>
    <w:rsid w:val="0036201D"/>
    <w:rsid w:val="0036202E"/>
    <w:rsid w:val="003620BF"/>
    <w:rsid w:val="0036237C"/>
    <w:rsid w:val="00362475"/>
    <w:rsid w:val="0036247F"/>
    <w:rsid w:val="003624AB"/>
    <w:rsid w:val="00362836"/>
    <w:rsid w:val="003628A6"/>
    <w:rsid w:val="00362A30"/>
    <w:rsid w:val="00362A3A"/>
    <w:rsid w:val="00362BAC"/>
    <w:rsid w:val="00362C49"/>
    <w:rsid w:val="00362DCA"/>
    <w:rsid w:val="00362E3D"/>
    <w:rsid w:val="00362E5C"/>
    <w:rsid w:val="00362F66"/>
    <w:rsid w:val="00362FD3"/>
    <w:rsid w:val="0036308E"/>
    <w:rsid w:val="00363307"/>
    <w:rsid w:val="00363322"/>
    <w:rsid w:val="00363375"/>
    <w:rsid w:val="0036346D"/>
    <w:rsid w:val="003638DF"/>
    <w:rsid w:val="003638E9"/>
    <w:rsid w:val="00363B1A"/>
    <w:rsid w:val="00363B23"/>
    <w:rsid w:val="00363B8E"/>
    <w:rsid w:val="00363E75"/>
    <w:rsid w:val="00363E85"/>
    <w:rsid w:val="00363FEF"/>
    <w:rsid w:val="00364026"/>
    <w:rsid w:val="0036403E"/>
    <w:rsid w:val="00364058"/>
    <w:rsid w:val="00364253"/>
    <w:rsid w:val="0036435F"/>
    <w:rsid w:val="00364442"/>
    <w:rsid w:val="00364503"/>
    <w:rsid w:val="0036467F"/>
    <w:rsid w:val="003647B0"/>
    <w:rsid w:val="0036493C"/>
    <w:rsid w:val="0036495A"/>
    <w:rsid w:val="003649FA"/>
    <w:rsid w:val="00364A25"/>
    <w:rsid w:val="00364A49"/>
    <w:rsid w:val="00364A7E"/>
    <w:rsid w:val="00364B2D"/>
    <w:rsid w:val="00364B30"/>
    <w:rsid w:val="00364B32"/>
    <w:rsid w:val="00364BBB"/>
    <w:rsid w:val="00364BD0"/>
    <w:rsid w:val="00364BF6"/>
    <w:rsid w:val="00364C13"/>
    <w:rsid w:val="00364E66"/>
    <w:rsid w:val="00365177"/>
    <w:rsid w:val="00365235"/>
    <w:rsid w:val="00365240"/>
    <w:rsid w:val="00365259"/>
    <w:rsid w:val="003652A2"/>
    <w:rsid w:val="00365384"/>
    <w:rsid w:val="003653C0"/>
    <w:rsid w:val="00365410"/>
    <w:rsid w:val="003654D5"/>
    <w:rsid w:val="003657D1"/>
    <w:rsid w:val="00365801"/>
    <w:rsid w:val="0036599A"/>
    <w:rsid w:val="00365A9D"/>
    <w:rsid w:val="00365AE8"/>
    <w:rsid w:val="00365D12"/>
    <w:rsid w:val="00366160"/>
    <w:rsid w:val="003663D7"/>
    <w:rsid w:val="003664C2"/>
    <w:rsid w:val="0036664F"/>
    <w:rsid w:val="00366725"/>
    <w:rsid w:val="00366763"/>
    <w:rsid w:val="00366829"/>
    <w:rsid w:val="00366907"/>
    <w:rsid w:val="00366A22"/>
    <w:rsid w:val="00366B23"/>
    <w:rsid w:val="00366D78"/>
    <w:rsid w:val="00366D79"/>
    <w:rsid w:val="00366E44"/>
    <w:rsid w:val="00366E96"/>
    <w:rsid w:val="00366EEE"/>
    <w:rsid w:val="00366F88"/>
    <w:rsid w:val="00367056"/>
    <w:rsid w:val="003670C2"/>
    <w:rsid w:val="003671C3"/>
    <w:rsid w:val="0036722A"/>
    <w:rsid w:val="003672C1"/>
    <w:rsid w:val="00367379"/>
    <w:rsid w:val="003673CA"/>
    <w:rsid w:val="003674BD"/>
    <w:rsid w:val="00367549"/>
    <w:rsid w:val="003675AB"/>
    <w:rsid w:val="003676B9"/>
    <w:rsid w:val="003677CA"/>
    <w:rsid w:val="003677E0"/>
    <w:rsid w:val="00367829"/>
    <w:rsid w:val="0036782E"/>
    <w:rsid w:val="003678C5"/>
    <w:rsid w:val="003679BD"/>
    <w:rsid w:val="003679C7"/>
    <w:rsid w:val="00367B97"/>
    <w:rsid w:val="00367BED"/>
    <w:rsid w:val="00367D95"/>
    <w:rsid w:val="00367DFA"/>
    <w:rsid w:val="00367E43"/>
    <w:rsid w:val="00370055"/>
    <w:rsid w:val="0037007C"/>
    <w:rsid w:val="00370149"/>
    <w:rsid w:val="0037016B"/>
    <w:rsid w:val="003702AA"/>
    <w:rsid w:val="00370387"/>
    <w:rsid w:val="003704E3"/>
    <w:rsid w:val="00370501"/>
    <w:rsid w:val="00370725"/>
    <w:rsid w:val="00370770"/>
    <w:rsid w:val="00370905"/>
    <w:rsid w:val="00370A74"/>
    <w:rsid w:val="00370D96"/>
    <w:rsid w:val="00370D97"/>
    <w:rsid w:val="00370EA7"/>
    <w:rsid w:val="00370F00"/>
    <w:rsid w:val="00370F08"/>
    <w:rsid w:val="00370FC0"/>
    <w:rsid w:val="00371005"/>
    <w:rsid w:val="0037106E"/>
    <w:rsid w:val="00371071"/>
    <w:rsid w:val="0037117B"/>
    <w:rsid w:val="00371186"/>
    <w:rsid w:val="00371433"/>
    <w:rsid w:val="00371450"/>
    <w:rsid w:val="003714AE"/>
    <w:rsid w:val="003714B0"/>
    <w:rsid w:val="0037153B"/>
    <w:rsid w:val="0037176A"/>
    <w:rsid w:val="00371A18"/>
    <w:rsid w:val="00371A52"/>
    <w:rsid w:val="00371A90"/>
    <w:rsid w:val="00371BA2"/>
    <w:rsid w:val="00371BB8"/>
    <w:rsid w:val="00371D2F"/>
    <w:rsid w:val="00371DD7"/>
    <w:rsid w:val="00371E5A"/>
    <w:rsid w:val="00371FDF"/>
    <w:rsid w:val="0037201E"/>
    <w:rsid w:val="0037210A"/>
    <w:rsid w:val="00372113"/>
    <w:rsid w:val="00372221"/>
    <w:rsid w:val="003724C8"/>
    <w:rsid w:val="003726A7"/>
    <w:rsid w:val="00372801"/>
    <w:rsid w:val="00372830"/>
    <w:rsid w:val="00372BA9"/>
    <w:rsid w:val="00372D34"/>
    <w:rsid w:val="00372D4F"/>
    <w:rsid w:val="00372DC7"/>
    <w:rsid w:val="00372E35"/>
    <w:rsid w:val="00372EA4"/>
    <w:rsid w:val="00373139"/>
    <w:rsid w:val="00373206"/>
    <w:rsid w:val="00373354"/>
    <w:rsid w:val="0037349B"/>
    <w:rsid w:val="00373772"/>
    <w:rsid w:val="003737ED"/>
    <w:rsid w:val="003737F1"/>
    <w:rsid w:val="00373923"/>
    <w:rsid w:val="00373A3A"/>
    <w:rsid w:val="00373AB0"/>
    <w:rsid w:val="00373AD2"/>
    <w:rsid w:val="00373B0F"/>
    <w:rsid w:val="00373B18"/>
    <w:rsid w:val="00373B80"/>
    <w:rsid w:val="00373BB0"/>
    <w:rsid w:val="00373BCA"/>
    <w:rsid w:val="00373E0D"/>
    <w:rsid w:val="00373F2D"/>
    <w:rsid w:val="0037415B"/>
    <w:rsid w:val="00374161"/>
    <w:rsid w:val="003741B1"/>
    <w:rsid w:val="0037426F"/>
    <w:rsid w:val="00374315"/>
    <w:rsid w:val="00374434"/>
    <w:rsid w:val="003744E3"/>
    <w:rsid w:val="00374560"/>
    <w:rsid w:val="00374641"/>
    <w:rsid w:val="0037464B"/>
    <w:rsid w:val="003746B7"/>
    <w:rsid w:val="00374982"/>
    <w:rsid w:val="00374AC0"/>
    <w:rsid w:val="00374B4D"/>
    <w:rsid w:val="00374D69"/>
    <w:rsid w:val="00374D6F"/>
    <w:rsid w:val="00374E87"/>
    <w:rsid w:val="00374F20"/>
    <w:rsid w:val="00374F95"/>
    <w:rsid w:val="0037500B"/>
    <w:rsid w:val="00375027"/>
    <w:rsid w:val="00375098"/>
    <w:rsid w:val="003751AB"/>
    <w:rsid w:val="00375207"/>
    <w:rsid w:val="003752FC"/>
    <w:rsid w:val="00375304"/>
    <w:rsid w:val="00375374"/>
    <w:rsid w:val="00375379"/>
    <w:rsid w:val="003756D9"/>
    <w:rsid w:val="003757DC"/>
    <w:rsid w:val="003757E5"/>
    <w:rsid w:val="0037582C"/>
    <w:rsid w:val="00375A06"/>
    <w:rsid w:val="00375A69"/>
    <w:rsid w:val="00375A96"/>
    <w:rsid w:val="00375B80"/>
    <w:rsid w:val="00375BCC"/>
    <w:rsid w:val="00375E1F"/>
    <w:rsid w:val="00375EE0"/>
    <w:rsid w:val="00376003"/>
    <w:rsid w:val="00376104"/>
    <w:rsid w:val="00376207"/>
    <w:rsid w:val="00376266"/>
    <w:rsid w:val="003762E0"/>
    <w:rsid w:val="00376475"/>
    <w:rsid w:val="003764A5"/>
    <w:rsid w:val="003764D8"/>
    <w:rsid w:val="003764EC"/>
    <w:rsid w:val="00376567"/>
    <w:rsid w:val="00376599"/>
    <w:rsid w:val="003765DE"/>
    <w:rsid w:val="003766D7"/>
    <w:rsid w:val="00376767"/>
    <w:rsid w:val="0037685D"/>
    <w:rsid w:val="00376C2E"/>
    <w:rsid w:val="00376DC6"/>
    <w:rsid w:val="00376E30"/>
    <w:rsid w:val="00376F79"/>
    <w:rsid w:val="00376FB2"/>
    <w:rsid w:val="003770A7"/>
    <w:rsid w:val="003772E0"/>
    <w:rsid w:val="003772F2"/>
    <w:rsid w:val="00377352"/>
    <w:rsid w:val="003774A8"/>
    <w:rsid w:val="00377519"/>
    <w:rsid w:val="0037763A"/>
    <w:rsid w:val="0037777A"/>
    <w:rsid w:val="00377B50"/>
    <w:rsid w:val="00377C15"/>
    <w:rsid w:val="00377C2B"/>
    <w:rsid w:val="00377C46"/>
    <w:rsid w:val="0037C058"/>
    <w:rsid w:val="00380049"/>
    <w:rsid w:val="00380130"/>
    <w:rsid w:val="003801F9"/>
    <w:rsid w:val="0038021B"/>
    <w:rsid w:val="00380277"/>
    <w:rsid w:val="003802AD"/>
    <w:rsid w:val="00380316"/>
    <w:rsid w:val="003803FF"/>
    <w:rsid w:val="003804D5"/>
    <w:rsid w:val="00380514"/>
    <w:rsid w:val="00380599"/>
    <w:rsid w:val="00380714"/>
    <w:rsid w:val="00380726"/>
    <w:rsid w:val="003807C3"/>
    <w:rsid w:val="003809A1"/>
    <w:rsid w:val="00380BCB"/>
    <w:rsid w:val="00380D57"/>
    <w:rsid w:val="00380DBE"/>
    <w:rsid w:val="00380E80"/>
    <w:rsid w:val="003811F3"/>
    <w:rsid w:val="0038120D"/>
    <w:rsid w:val="00381421"/>
    <w:rsid w:val="0038147F"/>
    <w:rsid w:val="00381485"/>
    <w:rsid w:val="0038149C"/>
    <w:rsid w:val="0038174B"/>
    <w:rsid w:val="0038193D"/>
    <w:rsid w:val="003819EE"/>
    <w:rsid w:val="00381A77"/>
    <w:rsid w:val="00381F25"/>
    <w:rsid w:val="00382348"/>
    <w:rsid w:val="0038248F"/>
    <w:rsid w:val="003824C6"/>
    <w:rsid w:val="0038254D"/>
    <w:rsid w:val="00382625"/>
    <w:rsid w:val="00382694"/>
    <w:rsid w:val="003826B0"/>
    <w:rsid w:val="003826F7"/>
    <w:rsid w:val="00382712"/>
    <w:rsid w:val="003827DD"/>
    <w:rsid w:val="00382808"/>
    <w:rsid w:val="00382B54"/>
    <w:rsid w:val="00382BBC"/>
    <w:rsid w:val="00382C20"/>
    <w:rsid w:val="00382C24"/>
    <w:rsid w:val="00382CD7"/>
    <w:rsid w:val="00382D17"/>
    <w:rsid w:val="00382D98"/>
    <w:rsid w:val="00382DB1"/>
    <w:rsid w:val="00382DDC"/>
    <w:rsid w:val="00382E5E"/>
    <w:rsid w:val="00382EA5"/>
    <w:rsid w:val="00382EF9"/>
    <w:rsid w:val="00382F94"/>
    <w:rsid w:val="00383124"/>
    <w:rsid w:val="0038352B"/>
    <w:rsid w:val="00383583"/>
    <w:rsid w:val="00383799"/>
    <w:rsid w:val="0038379D"/>
    <w:rsid w:val="0038383D"/>
    <w:rsid w:val="003838EB"/>
    <w:rsid w:val="00383C64"/>
    <w:rsid w:val="00383C6C"/>
    <w:rsid w:val="00383CA2"/>
    <w:rsid w:val="00383D6D"/>
    <w:rsid w:val="00383E8D"/>
    <w:rsid w:val="00383FD1"/>
    <w:rsid w:val="0038400D"/>
    <w:rsid w:val="00384029"/>
    <w:rsid w:val="003841C6"/>
    <w:rsid w:val="00384552"/>
    <w:rsid w:val="00384710"/>
    <w:rsid w:val="00384882"/>
    <w:rsid w:val="00384892"/>
    <w:rsid w:val="0038491A"/>
    <w:rsid w:val="00384926"/>
    <w:rsid w:val="0038494A"/>
    <w:rsid w:val="00384952"/>
    <w:rsid w:val="00384A9A"/>
    <w:rsid w:val="00384B33"/>
    <w:rsid w:val="00384B61"/>
    <w:rsid w:val="00384BCF"/>
    <w:rsid w:val="00384BD6"/>
    <w:rsid w:val="00384D6C"/>
    <w:rsid w:val="00384DBD"/>
    <w:rsid w:val="00384E55"/>
    <w:rsid w:val="0038503A"/>
    <w:rsid w:val="003850FD"/>
    <w:rsid w:val="003851AD"/>
    <w:rsid w:val="0038526F"/>
    <w:rsid w:val="0038530B"/>
    <w:rsid w:val="003853EE"/>
    <w:rsid w:val="00385542"/>
    <w:rsid w:val="00385601"/>
    <w:rsid w:val="003856A9"/>
    <w:rsid w:val="00385819"/>
    <w:rsid w:val="00385C03"/>
    <w:rsid w:val="00385C58"/>
    <w:rsid w:val="00385CD3"/>
    <w:rsid w:val="00385CE4"/>
    <w:rsid w:val="00385D0E"/>
    <w:rsid w:val="00385D37"/>
    <w:rsid w:val="00385EA0"/>
    <w:rsid w:val="00385F2C"/>
    <w:rsid w:val="00385F47"/>
    <w:rsid w:val="00386125"/>
    <w:rsid w:val="003863BB"/>
    <w:rsid w:val="00386473"/>
    <w:rsid w:val="00386498"/>
    <w:rsid w:val="003864E6"/>
    <w:rsid w:val="00386511"/>
    <w:rsid w:val="00386595"/>
    <w:rsid w:val="003865E7"/>
    <w:rsid w:val="00386691"/>
    <w:rsid w:val="0038681F"/>
    <w:rsid w:val="00386824"/>
    <w:rsid w:val="0038689B"/>
    <w:rsid w:val="003869BC"/>
    <w:rsid w:val="00386AC1"/>
    <w:rsid w:val="00386DB9"/>
    <w:rsid w:val="00386DDD"/>
    <w:rsid w:val="00386E63"/>
    <w:rsid w:val="00386EB9"/>
    <w:rsid w:val="00386F90"/>
    <w:rsid w:val="0038700E"/>
    <w:rsid w:val="00387162"/>
    <w:rsid w:val="00387184"/>
    <w:rsid w:val="00387539"/>
    <w:rsid w:val="00387574"/>
    <w:rsid w:val="003875F5"/>
    <w:rsid w:val="0038762C"/>
    <w:rsid w:val="003876BC"/>
    <w:rsid w:val="0038772A"/>
    <w:rsid w:val="0038781F"/>
    <w:rsid w:val="003878DF"/>
    <w:rsid w:val="00387957"/>
    <w:rsid w:val="00387C5D"/>
    <w:rsid w:val="00387DA4"/>
    <w:rsid w:val="00387F75"/>
    <w:rsid w:val="00390171"/>
    <w:rsid w:val="0039019E"/>
    <w:rsid w:val="00390222"/>
    <w:rsid w:val="0039023E"/>
    <w:rsid w:val="00390260"/>
    <w:rsid w:val="003903A9"/>
    <w:rsid w:val="003903B1"/>
    <w:rsid w:val="00390577"/>
    <w:rsid w:val="003905F7"/>
    <w:rsid w:val="003905FC"/>
    <w:rsid w:val="00390676"/>
    <w:rsid w:val="003906E8"/>
    <w:rsid w:val="0039078D"/>
    <w:rsid w:val="003908CE"/>
    <w:rsid w:val="003909AE"/>
    <w:rsid w:val="00390B7D"/>
    <w:rsid w:val="00390C07"/>
    <w:rsid w:val="00390CEE"/>
    <w:rsid w:val="00390F07"/>
    <w:rsid w:val="00390F78"/>
    <w:rsid w:val="0039108C"/>
    <w:rsid w:val="003911B9"/>
    <w:rsid w:val="003911D0"/>
    <w:rsid w:val="00391272"/>
    <w:rsid w:val="003912F8"/>
    <w:rsid w:val="003915F8"/>
    <w:rsid w:val="003916EB"/>
    <w:rsid w:val="003918BD"/>
    <w:rsid w:val="003918C2"/>
    <w:rsid w:val="003918CB"/>
    <w:rsid w:val="0039190E"/>
    <w:rsid w:val="00391916"/>
    <w:rsid w:val="00391938"/>
    <w:rsid w:val="00391968"/>
    <w:rsid w:val="0039199A"/>
    <w:rsid w:val="003919B5"/>
    <w:rsid w:val="00391AC7"/>
    <w:rsid w:val="00391AE0"/>
    <w:rsid w:val="00391B01"/>
    <w:rsid w:val="00391B0E"/>
    <w:rsid w:val="00391B70"/>
    <w:rsid w:val="00391BA5"/>
    <w:rsid w:val="00391BEB"/>
    <w:rsid w:val="00391CBF"/>
    <w:rsid w:val="00391D95"/>
    <w:rsid w:val="00391E62"/>
    <w:rsid w:val="00391F43"/>
    <w:rsid w:val="00392032"/>
    <w:rsid w:val="00392067"/>
    <w:rsid w:val="003921A2"/>
    <w:rsid w:val="00392399"/>
    <w:rsid w:val="003923AF"/>
    <w:rsid w:val="0039242A"/>
    <w:rsid w:val="003924B7"/>
    <w:rsid w:val="003924E8"/>
    <w:rsid w:val="0039256D"/>
    <w:rsid w:val="003927E4"/>
    <w:rsid w:val="0039281A"/>
    <w:rsid w:val="003929E8"/>
    <w:rsid w:val="00392A90"/>
    <w:rsid w:val="00392BD8"/>
    <w:rsid w:val="00392D1F"/>
    <w:rsid w:val="00392F36"/>
    <w:rsid w:val="00393060"/>
    <w:rsid w:val="0039313A"/>
    <w:rsid w:val="0039322B"/>
    <w:rsid w:val="003932CB"/>
    <w:rsid w:val="00393588"/>
    <w:rsid w:val="00393691"/>
    <w:rsid w:val="003937B7"/>
    <w:rsid w:val="003938BF"/>
    <w:rsid w:val="0039399F"/>
    <w:rsid w:val="00393A76"/>
    <w:rsid w:val="00393AFE"/>
    <w:rsid w:val="00393C2A"/>
    <w:rsid w:val="00393C76"/>
    <w:rsid w:val="00393D4E"/>
    <w:rsid w:val="00393D4F"/>
    <w:rsid w:val="00394062"/>
    <w:rsid w:val="003940F1"/>
    <w:rsid w:val="00394114"/>
    <w:rsid w:val="00394140"/>
    <w:rsid w:val="0039430E"/>
    <w:rsid w:val="0039471E"/>
    <w:rsid w:val="00394722"/>
    <w:rsid w:val="00394724"/>
    <w:rsid w:val="0039472D"/>
    <w:rsid w:val="00394774"/>
    <w:rsid w:val="003947A8"/>
    <w:rsid w:val="00394887"/>
    <w:rsid w:val="003948CE"/>
    <w:rsid w:val="00394A10"/>
    <w:rsid w:val="00394A2B"/>
    <w:rsid w:val="00394BB3"/>
    <w:rsid w:val="00394F05"/>
    <w:rsid w:val="00394F23"/>
    <w:rsid w:val="00395019"/>
    <w:rsid w:val="0039503F"/>
    <w:rsid w:val="0039515E"/>
    <w:rsid w:val="003952F3"/>
    <w:rsid w:val="00395348"/>
    <w:rsid w:val="0039538D"/>
    <w:rsid w:val="0039541F"/>
    <w:rsid w:val="00395508"/>
    <w:rsid w:val="00395600"/>
    <w:rsid w:val="00395637"/>
    <w:rsid w:val="0039565D"/>
    <w:rsid w:val="0039567C"/>
    <w:rsid w:val="0039569B"/>
    <w:rsid w:val="003956A7"/>
    <w:rsid w:val="00395791"/>
    <w:rsid w:val="003957E2"/>
    <w:rsid w:val="0039591B"/>
    <w:rsid w:val="00395BAE"/>
    <w:rsid w:val="00395D7A"/>
    <w:rsid w:val="00395FA4"/>
    <w:rsid w:val="00395FFA"/>
    <w:rsid w:val="0039606F"/>
    <w:rsid w:val="00396101"/>
    <w:rsid w:val="00396125"/>
    <w:rsid w:val="00396176"/>
    <w:rsid w:val="0039628E"/>
    <w:rsid w:val="00396387"/>
    <w:rsid w:val="00396432"/>
    <w:rsid w:val="003965BA"/>
    <w:rsid w:val="003965E3"/>
    <w:rsid w:val="0039660C"/>
    <w:rsid w:val="00396619"/>
    <w:rsid w:val="00396627"/>
    <w:rsid w:val="003967A2"/>
    <w:rsid w:val="003967F2"/>
    <w:rsid w:val="00396D19"/>
    <w:rsid w:val="00396DDD"/>
    <w:rsid w:val="00396DFE"/>
    <w:rsid w:val="00396FC7"/>
    <w:rsid w:val="00396FD6"/>
    <w:rsid w:val="0039719A"/>
    <w:rsid w:val="0039721A"/>
    <w:rsid w:val="0039733C"/>
    <w:rsid w:val="003973C5"/>
    <w:rsid w:val="003973D7"/>
    <w:rsid w:val="003974C0"/>
    <w:rsid w:val="0039779B"/>
    <w:rsid w:val="00397853"/>
    <w:rsid w:val="00397A04"/>
    <w:rsid w:val="00397A0C"/>
    <w:rsid w:val="00397B08"/>
    <w:rsid w:val="00397B50"/>
    <w:rsid w:val="00397BA2"/>
    <w:rsid w:val="00397D74"/>
    <w:rsid w:val="00397E6B"/>
    <w:rsid w:val="00397E9B"/>
    <w:rsid w:val="00397EEE"/>
    <w:rsid w:val="00397FD8"/>
    <w:rsid w:val="003A0045"/>
    <w:rsid w:val="003A013A"/>
    <w:rsid w:val="003A0162"/>
    <w:rsid w:val="003A017A"/>
    <w:rsid w:val="003A0280"/>
    <w:rsid w:val="003A053F"/>
    <w:rsid w:val="003A06E8"/>
    <w:rsid w:val="003A0729"/>
    <w:rsid w:val="003A0838"/>
    <w:rsid w:val="003A0894"/>
    <w:rsid w:val="003A0904"/>
    <w:rsid w:val="003A0975"/>
    <w:rsid w:val="003A09BF"/>
    <w:rsid w:val="003A0AE1"/>
    <w:rsid w:val="003A0C59"/>
    <w:rsid w:val="003A0C71"/>
    <w:rsid w:val="003A0CB4"/>
    <w:rsid w:val="003A0EAA"/>
    <w:rsid w:val="003A0EAD"/>
    <w:rsid w:val="003A1032"/>
    <w:rsid w:val="003A1058"/>
    <w:rsid w:val="003A10DA"/>
    <w:rsid w:val="003A10EF"/>
    <w:rsid w:val="003A11A7"/>
    <w:rsid w:val="003A11D9"/>
    <w:rsid w:val="003A123F"/>
    <w:rsid w:val="003A12C8"/>
    <w:rsid w:val="003A1339"/>
    <w:rsid w:val="003A1488"/>
    <w:rsid w:val="003A14C8"/>
    <w:rsid w:val="003A166F"/>
    <w:rsid w:val="003A1721"/>
    <w:rsid w:val="003A1744"/>
    <w:rsid w:val="003A1884"/>
    <w:rsid w:val="003A18D7"/>
    <w:rsid w:val="003A1A5C"/>
    <w:rsid w:val="003A1AB4"/>
    <w:rsid w:val="003A1C34"/>
    <w:rsid w:val="003A1C76"/>
    <w:rsid w:val="003A1D58"/>
    <w:rsid w:val="003A1ECD"/>
    <w:rsid w:val="003A1FAC"/>
    <w:rsid w:val="003A208F"/>
    <w:rsid w:val="003A2095"/>
    <w:rsid w:val="003A20E7"/>
    <w:rsid w:val="003A2128"/>
    <w:rsid w:val="003A214B"/>
    <w:rsid w:val="003A217D"/>
    <w:rsid w:val="003A24CC"/>
    <w:rsid w:val="003A257D"/>
    <w:rsid w:val="003A25B1"/>
    <w:rsid w:val="003A26AA"/>
    <w:rsid w:val="003A280F"/>
    <w:rsid w:val="003A283D"/>
    <w:rsid w:val="003A2907"/>
    <w:rsid w:val="003A2959"/>
    <w:rsid w:val="003A295D"/>
    <w:rsid w:val="003A2960"/>
    <w:rsid w:val="003A2968"/>
    <w:rsid w:val="003A29FD"/>
    <w:rsid w:val="003A2AAD"/>
    <w:rsid w:val="003A2AC1"/>
    <w:rsid w:val="003A2BB9"/>
    <w:rsid w:val="003A2D9A"/>
    <w:rsid w:val="003A2D9B"/>
    <w:rsid w:val="003A2F9A"/>
    <w:rsid w:val="003A337C"/>
    <w:rsid w:val="003A35D9"/>
    <w:rsid w:val="003A3653"/>
    <w:rsid w:val="003A372E"/>
    <w:rsid w:val="003A375C"/>
    <w:rsid w:val="003A39DA"/>
    <w:rsid w:val="003A3A62"/>
    <w:rsid w:val="003A3BB3"/>
    <w:rsid w:val="003A3BB7"/>
    <w:rsid w:val="003A3DF9"/>
    <w:rsid w:val="003A3EC5"/>
    <w:rsid w:val="003A40AA"/>
    <w:rsid w:val="003A4119"/>
    <w:rsid w:val="003A4151"/>
    <w:rsid w:val="003A43F4"/>
    <w:rsid w:val="003A443F"/>
    <w:rsid w:val="003A446F"/>
    <w:rsid w:val="003A448C"/>
    <w:rsid w:val="003A4495"/>
    <w:rsid w:val="003A4610"/>
    <w:rsid w:val="003A4626"/>
    <w:rsid w:val="003A4790"/>
    <w:rsid w:val="003A479D"/>
    <w:rsid w:val="003A4816"/>
    <w:rsid w:val="003A49AC"/>
    <w:rsid w:val="003A4A7E"/>
    <w:rsid w:val="003A4BC5"/>
    <w:rsid w:val="003A4CB5"/>
    <w:rsid w:val="003A4CFD"/>
    <w:rsid w:val="003A4EFA"/>
    <w:rsid w:val="003A5076"/>
    <w:rsid w:val="003A5185"/>
    <w:rsid w:val="003A54A6"/>
    <w:rsid w:val="003A54BF"/>
    <w:rsid w:val="003A551B"/>
    <w:rsid w:val="003A55B4"/>
    <w:rsid w:val="003A5628"/>
    <w:rsid w:val="003A5722"/>
    <w:rsid w:val="003A579E"/>
    <w:rsid w:val="003A5885"/>
    <w:rsid w:val="003A58E8"/>
    <w:rsid w:val="003A58EF"/>
    <w:rsid w:val="003A59F5"/>
    <w:rsid w:val="003A5B63"/>
    <w:rsid w:val="003A5C9B"/>
    <w:rsid w:val="003A5CAB"/>
    <w:rsid w:val="003A5D4E"/>
    <w:rsid w:val="003A5D7E"/>
    <w:rsid w:val="003A5F2C"/>
    <w:rsid w:val="003A5F92"/>
    <w:rsid w:val="003A6036"/>
    <w:rsid w:val="003A60E8"/>
    <w:rsid w:val="003A61D1"/>
    <w:rsid w:val="003A628D"/>
    <w:rsid w:val="003A62EA"/>
    <w:rsid w:val="003A648E"/>
    <w:rsid w:val="003A6791"/>
    <w:rsid w:val="003A6869"/>
    <w:rsid w:val="003A6877"/>
    <w:rsid w:val="003A68AE"/>
    <w:rsid w:val="003A68BE"/>
    <w:rsid w:val="003A6A33"/>
    <w:rsid w:val="003A6FFE"/>
    <w:rsid w:val="003A7082"/>
    <w:rsid w:val="003A70F7"/>
    <w:rsid w:val="003A7197"/>
    <w:rsid w:val="003A726F"/>
    <w:rsid w:val="003A72E7"/>
    <w:rsid w:val="003A7329"/>
    <w:rsid w:val="003A732F"/>
    <w:rsid w:val="003A7374"/>
    <w:rsid w:val="003A73DD"/>
    <w:rsid w:val="003A7435"/>
    <w:rsid w:val="003A7479"/>
    <w:rsid w:val="003A7695"/>
    <w:rsid w:val="003A76BC"/>
    <w:rsid w:val="003A780D"/>
    <w:rsid w:val="003A7867"/>
    <w:rsid w:val="003A7936"/>
    <w:rsid w:val="003A79AF"/>
    <w:rsid w:val="003A7B4A"/>
    <w:rsid w:val="003A7CBC"/>
    <w:rsid w:val="003A7E3B"/>
    <w:rsid w:val="003A7F41"/>
    <w:rsid w:val="003A7F77"/>
    <w:rsid w:val="003B0001"/>
    <w:rsid w:val="003B0049"/>
    <w:rsid w:val="003B0063"/>
    <w:rsid w:val="003B00D8"/>
    <w:rsid w:val="003B0172"/>
    <w:rsid w:val="003B017D"/>
    <w:rsid w:val="003B01BE"/>
    <w:rsid w:val="003B02DA"/>
    <w:rsid w:val="003B0370"/>
    <w:rsid w:val="003B041A"/>
    <w:rsid w:val="003B04F0"/>
    <w:rsid w:val="003B0689"/>
    <w:rsid w:val="003B078F"/>
    <w:rsid w:val="003B09F8"/>
    <w:rsid w:val="003B0F32"/>
    <w:rsid w:val="003B0FCE"/>
    <w:rsid w:val="003B12D3"/>
    <w:rsid w:val="003B13C2"/>
    <w:rsid w:val="003B13CF"/>
    <w:rsid w:val="003B14EB"/>
    <w:rsid w:val="003B14FD"/>
    <w:rsid w:val="003B153F"/>
    <w:rsid w:val="003B1674"/>
    <w:rsid w:val="003B16C1"/>
    <w:rsid w:val="003B176D"/>
    <w:rsid w:val="003B1C18"/>
    <w:rsid w:val="003B1D05"/>
    <w:rsid w:val="003B1FB8"/>
    <w:rsid w:val="003B2030"/>
    <w:rsid w:val="003B21B1"/>
    <w:rsid w:val="003B21CC"/>
    <w:rsid w:val="003B21ED"/>
    <w:rsid w:val="003B24A1"/>
    <w:rsid w:val="003B2525"/>
    <w:rsid w:val="003B2535"/>
    <w:rsid w:val="003B25AF"/>
    <w:rsid w:val="003B25DA"/>
    <w:rsid w:val="003B2644"/>
    <w:rsid w:val="003B2776"/>
    <w:rsid w:val="003B280B"/>
    <w:rsid w:val="003B28E3"/>
    <w:rsid w:val="003B299D"/>
    <w:rsid w:val="003B2A06"/>
    <w:rsid w:val="003B2AF7"/>
    <w:rsid w:val="003B2D44"/>
    <w:rsid w:val="003B3054"/>
    <w:rsid w:val="003B30E8"/>
    <w:rsid w:val="003B3160"/>
    <w:rsid w:val="003B3172"/>
    <w:rsid w:val="003B33F3"/>
    <w:rsid w:val="003B34A8"/>
    <w:rsid w:val="003B3539"/>
    <w:rsid w:val="003B366D"/>
    <w:rsid w:val="003B36C4"/>
    <w:rsid w:val="003B37F6"/>
    <w:rsid w:val="003B39CE"/>
    <w:rsid w:val="003B3A23"/>
    <w:rsid w:val="003B3C17"/>
    <w:rsid w:val="003B3C6E"/>
    <w:rsid w:val="003B3D18"/>
    <w:rsid w:val="003B3DF3"/>
    <w:rsid w:val="003B3E8E"/>
    <w:rsid w:val="003B4071"/>
    <w:rsid w:val="003B4190"/>
    <w:rsid w:val="003B42FF"/>
    <w:rsid w:val="003B430E"/>
    <w:rsid w:val="003B4347"/>
    <w:rsid w:val="003B43ED"/>
    <w:rsid w:val="003B447D"/>
    <w:rsid w:val="003B4537"/>
    <w:rsid w:val="003B458B"/>
    <w:rsid w:val="003B465F"/>
    <w:rsid w:val="003B47C9"/>
    <w:rsid w:val="003B482D"/>
    <w:rsid w:val="003B490A"/>
    <w:rsid w:val="003B4A43"/>
    <w:rsid w:val="003B4B66"/>
    <w:rsid w:val="003B4C29"/>
    <w:rsid w:val="003B4CB9"/>
    <w:rsid w:val="003B4DCC"/>
    <w:rsid w:val="003B4F1C"/>
    <w:rsid w:val="003B5026"/>
    <w:rsid w:val="003B50E0"/>
    <w:rsid w:val="003B50FD"/>
    <w:rsid w:val="003B5380"/>
    <w:rsid w:val="003B54B4"/>
    <w:rsid w:val="003B567E"/>
    <w:rsid w:val="003B5747"/>
    <w:rsid w:val="003B584E"/>
    <w:rsid w:val="003B590A"/>
    <w:rsid w:val="003B5A75"/>
    <w:rsid w:val="003B5C77"/>
    <w:rsid w:val="003B5D4C"/>
    <w:rsid w:val="003B5FBB"/>
    <w:rsid w:val="003B605F"/>
    <w:rsid w:val="003B607F"/>
    <w:rsid w:val="003B635C"/>
    <w:rsid w:val="003B6378"/>
    <w:rsid w:val="003B63C3"/>
    <w:rsid w:val="003B6592"/>
    <w:rsid w:val="003B6746"/>
    <w:rsid w:val="003B674D"/>
    <w:rsid w:val="003B67F6"/>
    <w:rsid w:val="003B68E7"/>
    <w:rsid w:val="003B6B2C"/>
    <w:rsid w:val="003B6F43"/>
    <w:rsid w:val="003B6FD2"/>
    <w:rsid w:val="003B705E"/>
    <w:rsid w:val="003B7061"/>
    <w:rsid w:val="003B711F"/>
    <w:rsid w:val="003B729D"/>
    <w:rsid w:val="003B72E3"/>
    <w:rsid w:val="003B72E5"/>
    <w:rsid w:val="003B7331"/>
    <w:rsid w:val="003B7334"/>
    <w:rsid w:val="003B735B"/>
    <w:rsid w:val="003B7376"/>
    <w:rsid w:val="003B737D"/>
    <w:rsid w:val="003B73A2"/>
    <w:rsid w:val="003B7430"/>
    <w:rsid w:val="003B744F"/>
    <w:rsid w:val="003B745D"/>
    <w:rsid w:val="003B7481"/>
    <w:rsid w:val="003B7548"/>
    <w:rsid w:val="003B75FA"/>
    <w:rsid w:val="003B7637"/>
    <w:rsid w:val="003B7698"/>
    <w:rsid w:val="003B77A9"/>
    <w:rsid w:val="003B7888"/>
    <w:rsid w:val="003B7D5B"/>
    <w:rsid w:val="003B7E9E"/>
    <w:rsid w:val="003B7EC8"/>
    <w:rsid w:val="003B7EEC"/>
    <w:rsid w:val="003B7F69"/>
    <w:rsid w:val="003C0000"/>
    <w:rsid w:val="003C0101"/>
    <w:rsid w:val="003C01D0"/>
    <w:rsid w:val="003C02E2"/>
    <w:rsid w:val="003C02FE"/>
    <w:rsid w:val="003C03E6"/>
    <w:rsid w:val="003C0598"/>
    <w:rsid w:val="003C0721"/>
    <w:rsid w:val="003C078E"/>
    <w:rsid w:val="003C07F1"/>
    <w:rsid w:val="003C07FE"/>
    <w:rsid w:val="003C0AE7"/>
    <w:rsid w:val="003C0D4F"/>
    <w:rsid w:val="003C0DAE"/>
    <w:rsid w:val="003C1092"/>
    <w:rsid w:val="003C10FB"/>
    <w:rsid w:val="003C12D1"/>
    <w:rsid w:val="003C12DC"/>
    <w:rsid w:val="003C1373"/>
    <w:rsid w:val="003C145C"/>
    <w:rsid w:val="003C164C"/>
    <w:rsid w:val="003C192D"/>
    <w:rsid w:val="003C19F8"/>
    <w:rsid w:val="003C1A65"/>
    <w:rsid w:val="003C1AE0"/>
    <w:rsid w:val="003C1AFA"/>
    <w:rsid w:val="003C1BA3"/>
    <w:rsid w:val="003C1BF9"/>
    <w:rsid w:val="003C1CB6"/>
    <w:rsid w:val="003C1CE8"/>
    <w:rsid w:val="003C1E3E"/>
    <w:rsid w:val="003C1E5A"/>
    <w:rsid w:val="003C1E5C"/>
    <w:rsid w:val="003C1E88"/>
    <w:rsid w:val="003C1ED9"/>
    <w:rsid w:val="003C20BE"/>
    <w:rsid w:val="003C2142"/>
    <w:rsid w:val="003C222E"/>
    <w:rsid w:val="003C22CD"/>
    <w:rsid w:val="003C2394"/>
    <w:rsid w:val="003C2456"/>
    <w:rsid w:val="003C24E5"/>
    <w:rsid w:val="003C26C7"/>
    <w:rsid w:val="003C27CA"/>
    <w:rsid w:val="003C27E1"/>
    <w:rsid w:val="003C2A2F"/>
    <w:rsid w:val="003C2AA1"/>
    <w:rsid w:val="003C2BD5"/>
    <w:rsid w:val="003C2BF6"/>
    <w:rsid w:val="003C2C32"/>
    <w:rsid w:val="003C2CAC"/>
    <w:rsid w:val="003C2D03"/>
    <w:rsid w:val="003C2D0C"/>
    <w:rsid w:val="003C2E88"/>
    <w:rsid w:val="003C2EAB"/>
    <w:rsid w:val="003C2EFD"/>
    <w:rsid w:val="003C2FF4"/>
    <w:rsid w:val="003C3005"/>
    <w:rsid w:val="003C323D"/>
    <w:rsid w:val="003C33C6"/>
    <w:rsid w:val="003C346C"/>
    <w:rsid w:val="003C35EB"/>
    <w:rsid w:val="003C3640"/>
    <w:rsid w:val="003C3694"/>
    <w:rsid w:val="003C36B0"/>
    <w:rsid w:val="003C3704"/>
    <w:rsid w:val="003C3714"/>
    <w:rsid w:val="003C3717"/>
    <w:rsid w:val="003C3811"/>
    <w:rsid w:val="003C38DA"/>
    <w:rsid w:val="003C3924"/>
    <w:rsid w:val="003C3B3E"/>
    <w:rsid w:val="003C3B97"/>
    <w:rsid w:val="003C3D22"/>
    <w:rsid w:val="003C3D36"/>
    <w:rsid w:val="003C3E34"/>
    <w:rsid w:val="003C3EEE"/>
    <w:rsid w:val="003C40CE"/>
    <w:rsid w:val="003C41D6"/>
    <w:rsid w:val="003C41EB"/>
    <w:rsid w:val="003C41EF"/>
    <w:rsid w:val="003C41FE"/>
    <w:rsid w:val="003C4252"/>
    <w:rsid w:val="003C440A"/>
    <w:rsid w:val="003C457E"/>
    <w:rsid w:val="003C4671"/>
    <w:rsid w:val="003C4783"/>
    <w:rsid w:val="003C4798"/>
    <w:rsid w:val="003C48D1"/>
    <w:rsid w:val="003C48DD"/>
    <w:rsid w:val="003C48F4"/>
    <w:rsid w:val="003C4902"/>
    <w:rsid w:val="003C492F"/>
    <w:rsid w:val="003C495B"/>
    <w:rsid w:val="003C4963"/>
    <w:rsid w:val="003C49AD"/>
    <w:rsid w:val="003C4A65"/>
    <w:rsid w:val="003C4AFD"/>
    <w:rsid w:val="003C4C05"/>
    <w:rsid w:val="003C4E65"/>
    <w:rsid w:val="003C4EA5"/>
    <w:rsid w:val="003C5071"/>
    <w:rsid w:val="003C5239"/>
    <w:rsid w:val="003C527C"/>
    <w:rsid w:val="003C53F0"/>
    <w:rsid w:val="003C54AB"/>
    <w:rsid w:val="003C54B7"/>
    <w:rsid w:val="003C5527"/>
    <w:rsid w:val="003C5679"/>
    <w:rsid w:val="003C5745"/>
    <w:rsid w:val="003C581D"/>
    <w:rsid w:val="003C58EA"/>
    <w:rsid w:val="003C5BD6"/>
    <w:rsid w:val="003C5CA0"/>
    <w:rsid w:val="003C5CF0"/>
    <w:rsid w:val="003C5CFE"/>
    <w:rsid w:val="003C5D98"/>
    <w:rsid w:val="003C5E16"/>
    <w:rsid w:val="003C5E87"/>
    <w:rsid w:val="003C5FA3"/>
    <w:rsid w:val="003C6037"/>
    <w:rsid w:val="003C60AD"/>
    <w:rsid w:val="003C60DB"/>
    <w:rsid w:val="003C6347"/>
    <w:rsid w:val="003C63DB"/>
    <w:rsid w:val="003C6509"/>
    <w:rsid w:val="003C657C"/>
    <w:rsid w:val="003C65DE"/>
    <w:rsid w:val="003C6644"/>
    <w:rsid w:val="003C664F"/>
    <w:rsid w:val="003C6915"/>
    <w:rsid w:val="003C695D"/>
    <w:rsid w:val="003C6C2D"/>
    <w:rsid w:val="003C6C78"/>
    <w:rsid w:val="003C6D20"/>
    <w:rsid w:val="003C6D49"/>
    <w:rsid w:val="003C6D5C"/>
    <w:rsid w:val="003C6E0E"/>
    <w:rsid w:val="003C6E28"/>
    <w:rsid w:val="003C6FFA"/>
    <w:rsid w:val="003C7002"/>
    <w:rsid w:val="003C70DB"/>
    <w:rsid w:val="003C710B"/>
    <w:rsid w:val="003C71D3"/>
    <w:rsid w:val="003C7357"/>
    <w:rsid w:val="003C771A"/>
    <w:rsid w:val="003C772C"/>
    <w:rsid w:val="003C7804"/>
    <w:rsid w:val="003C7A62"/>
    <w:rsid w:val="003C7A64"/>
    <w:rsid w:val="003C7ADD"/>
    <w:rsid w:val="003C7E71"/>
    <w:rsid w:val="003C7E7A"/>
    <w:rsid w:val="003D017C"/>
    <w:rsid w:val="003D02D3"/>
    <w:rsid w:val="003D032C"/>
    <w:rsid w:val="003D0537"/>
    <w:rsid w:val="003D057C"/>
    <w:rsid w:val="003D067F"/>
    <w:rsid w:val="003D069A"/>
    <w:rsid w:val="003D0722"/>
    <w:rsid w:val="003D07AF"/>
    <w:rsid w:val="003D07E2"/>
    <w:rsid w:val="003D0AED"/>
    <w:rsid w:val="003D0BF9"/>
    <w:rsid w:val="003D0C5C"/>
    <w:rsid w:val="003D0D5B"/>
    <w:rsid w:val="003D0DFA"/>
    <w:rsid w:val="003D0E1C"/>
    <w:rsid w:val="003D1016"/>
    <w:rsid w:val="003D1106"/>
    <w:rsid w:val="003D116D"/>
    <w:rsid w:val="003D1197"/>
    <w:rsid w:val="003D1201"/>
    <w:rsid w:val="003D138A"/>
    <w:rsid w:val="003D147D"/>
    <w:rsid w:val="003D17EC"/>
    <w:rsid w:val="003D196D"/>
    <w:rsid w:val="003D1BCA"/>
    <w:rsid w:val="003D1C0D"/>
    <w:rsid w:val="003D1CE1"/>
    <w:rsid w:val="003D1DB3"/>
    <w:rsid w:val="003D1E17"/>
    <w:rsid w:val="003D1E81"/>
    <w:rsid w:val="003D1F05"/>
    <w:rsid w:val="003D1F88"/>
    <w:rsid w:val="003D1FD7"/>
    <w:rsid w:val="003D203A"/>
    <w:rsid w:val="003D20E8"/>
    <w:rsid w:val="003D2237"/>
    <w:rsid w:val="003D24B6"/>
    <w:rsid w:val="003D26CC"/>
    <w:rsid w:val="003D27C0"/>
    <w:rsid w:val="003D288A"/>
    <w:rsid w:val="003D28DE"/>
    <w:rsid w:val="003D28FD"/>
    <w:rsid w:val="003D2A0C"/>
    <w:rsid w:val="003D2B95"/>
    <w:rsid w:val="003D2D62"/>
    <w:rsid w:val="003D2D63"/>
    <w:rsid w:val="003D2E4C"/>
    <w:rsid w:val="003D2EDC"/>
    <w:rsid w:val="003D304D"/>
    <w:rsid w:val="003D30C7"/>
    <w:rsid w:val="003D31F2"/>
    <w:rsid w:val="003D3205"/>
    <w:rsid w:val="003D3246"/>
    <w:rsid w:val="003D3345"/>
    <w:rsid w:val="003D33E9"/>
    <w:rsid w:val="003D3401"/>
    <w:rsid w:val="003D3441"/>
    <w:rsid w:val="003D347A"/>
    <w:rsid w:val="003D3568"/>
    <w:rsid w:val="003D362C"/>
    <w:rsid w:val="003D3731"/>
    <w:rsid w:val="003D389F"/>
    <w:rsid w:val="003D3915"/>
    <w:rsid w:val="003D39BE"/>
    <w:rsid w:val="003D3A48"/>
    <w:rsid w:val="003D3A7C"/>
    <w:rsid w:val="003D3B22"/>
    <w:rsid w:val="003D3BFB"/>
    <w:rsid w:val="003D3C05"/>
    <w:rsid w:val="003D3C0A"/>
    <w:rsid w:val="003D3C23"/>
    <w:rsid w:val="003D3CA5"/>
    <w:rsid w:val="003D3D48"/>
    <w:rsid w:val="003D40A2"/>
    <w:rsid w:val="003D40F8"/>
    <w:rsid w:val="003D41C4"/>
    <w:rsid w:val="003D41D6"/>
    <w:rsid w:val="003D41DB"/>
    <w:rsid w:val="003D42AB"/>
    <w:rsid w:val="003D4688"/>
    <w:rsid w:val="003D47CE"/>
    <w:rsid w:val="003D4A0D"/>
    <w:rsid w:val="003D4AA4"/>
    <w:rsid w:val="003D4ADE"/>
    <w:rsid w:val="003D4C09"/>
    <w:rsid w:val="003D4C43"/>
    <w:rsid w:val="003D4C6A"/>
    <w:rsid w:val="003D4D1D"/>
    <w:rsid w:val="003D4FB2"/>
    <w:rsid w:val="003D509C"/>
    <w:rsid w:val="003D51EF"/>
    <w:rsid w:val="003D5517"/>
    <w:rsid w:val="003D59FC"/>
    <w:rsid w:val="003D5CA8"/>
    <w:rsid w:val="003D5CE3"/>
    <w:rsid w:val="003D5D07"/>
    <w:rsid w:val="003D5DE5"/>
    <w:rsid w:val="003D5F8D"/>
    <w:rsid w:val="003D61B4"/>
    <w:rsid w:val="003D6555"/>
    <w:rsid w:val="003D65FD"/>
    <w:rsid w:val="003D662F"/>
    <w:rsid w:val="003D68AC"/>
    <w:rsid w:val="003D6902"/>
    <w:rsid w:val="003D69FC"/>
    <w:rsid w:val="003D6A6D"/>
    <w:rsid w:val="003D6AC7"/>
    <w:rsid w:val="003D6C73"/>
    <w:rsid w:val="003D6DBD"/>
    <w:rsid w:val="003D6DC6"/>
    <w:rsid w:val="003D6F21"/>
    <w:rsid w:val="003D6FA1"/>
    <w:rsid w:val="003D7037"/>
    <w:rsid w:val="003D7145"/>
    <w:rsid w:val="003D716B"/>
    <w:rsid w:val="003D736D"/>
    <w:rsid w:val="003D7430"/>
    <w:rsid w:val="003D74C9"/>
    <w:rsid w:val="003D76AE"/>
    <w:rsid w:val="003D76ED"/>
    <w:rsid w:val="003D775E"/>
    <w:rsid w:val="003D77C5"/>
    <w:rsid w:val="003D7A43"/>
    <w:rsid w:val="003D7B1B"/>
    <w:rsid w:val="003D7D0F"/>
    <w:rsid w:val="003D7DD6"/>
    <w:rsid w:val="003D7E8C"/>
    <w:rsid w:val="003D7F2C"/>
    <w:rsid w:val="003D7FB9"/>
    <w:rsid w:val="003E0114"/>
    <w:rsid w:val="003E0717"/>
    <w:rsid w:val="003E0730"/>
    <w:rsid w:val="003E0787"/>
    <w:rsid w:val="003E07C7"/>
    <w:rsid w:val="003E082A"/>
    <w:rsid w:val="003E087F"/>
    <w:rsid w:val="003E0A37"/>
    <w:rsid w:val="003E0A41"/>
    <w:rsid w:val="003E0BDE"/>
    <w:rsid w:val="003E0BE9"/>
    <w:rsid w:val="003E0D28"/>
    <w:rsid w:val="003E0D3F"/>
    <w:rsid w:val="003E0DBC"/>
    <w:rsid w:val="003E0FBF"/>
    <w:rsid w:val="003E1005"/>
    <w:rsid w:val="003E10D7"/>
    <w:rsid w:val="003E1193"/>
    <w:rsid w:val="003E11B0"/>
    <w:rsid w:val="003E12FC"/>
    <w:rsid w:val="003E1558"/>
    <w:rsid w:val="003E160D"/>
    <w:rsid w:val="003E16C6"/>
    <w:rsid w:val="003E1899"/>
    <w:rsid w:val="003E19A4"/>
    <w:rsid w:val="003E1AF0"/>
    <w:rsid w:val="003E1CA9"/>
    <w:rsid w:val="003E1EA8"/>
    <w:rsid w:val="003E2003"/>
    <w:rsid w:val="003E2134"/>
    <w:rsid w:val="003E21CE"/>
    <w:rsid w:val="003E23AA"/>
    <w:rsid w:val="003E2426"/>
    <w:rsid w:val="003E2452"/>
    <w:rsid w:val="003E2493"/>
    <w:rsid w:val="003E24B2"/>
    <w:rsid w:val="003E24CD"/>
    <w:rsid w:val="003E26DF"/>
    <w:rsid w:val="003E295A"/>
    <w:rsid w:val="003E2BCF"/>
    <w:rsid w:val="003E2CB4"/>
    <w:rsid w:val="003E2DA5"/>
    <w:rsid w:val="003E2DBE"/>
    <w:rsid w:val="003E2DC6"/>
    <w:rsid w:val="003E2E54"/>
    <w:rsid w:val="003E2E9E"/>
    <w:rsid w:val="003E2ED2"/>
    <w:rsid w:val="003E2FB3"/>
    <w:rsid w:val="003E3047"/>
    <w:rsid w:val="003E30B8"/>
    <w:rsid w:val="003E30C4"/>
    <w:rsid w:val="003E32DB"/>
    <w:rsid w:val="003E3494"/>
    <w:rsid w:val="003E3511"/>
    <w:rsid w:val="003E3576"/>
    <w:rsid w:val="003E358D"/>
    <w:rsid w:val="003E372C"/>
    <w:rsid w:val="003E3739"/>
    <w:rsid w:val="003E3782"/>
    <w:rsid w:val="003E3904"/>
    <w:rsid w:val="003E3A17"/>
    <w:rsid w:val="003E3A52"/>
    <w:rsid w:val="003E3DD5"/>
    <w:rsid w:val="003E3E48"/>
    <w:rsid w:val="003E3E55"/>
    <w:rsid w:val="003E3F44"/>
    <w:rsid w:val="003E3F7B"/>
    <w:rsid w:val="003E41D8"/>
    <w:rsid w:val="003E4233"/>
    <w:rsid w:val="003E43D8"/>
    <w:rsid w:val="003E453F"/>
    <w:rsid w:val="003E4696"/>
    <w:rsid w:val="003E476A"/>
    <w:rsid w:val="003E47CC"/>
    <w:rsid w:val="003E47D7"/>
    <w:rsid w:val="003E47E8"/>
    <w:rsid w:val="003E4835"/>
    <w:rsid w:val="003E4901"/>
    <w:rsid w:val="003E492E"/>
    <w:rsid w:val="003E49E1"/>
    <w:rsid w:val="003E4A6B"/>
    <w:rsid w:val="003E4AC2"/>
    <w:rsid w:val="003E4B88"/>
    <w:rsid w:val="003E4C28"/>
    <w:rsid w:val="003E4C90"/>
    <w:rsid w:val="003E4D1C"/>
    <w:rsid w:val="003E4E61"/>
    <w:rsid w:val="003E4F02"/>
    <w:rsid w:val="003E4F5E"/>
    <w:rsid w:val="003E506C"/>
    <w:rsid w:val="003E51CB"/>
    <w:rsid w:val="003E529B"/>
    <w:rsid w:val="003E546E"/>
    <w:rsid w:val="003E54E4"/>
    <w:rsid w:val="003E578B"/>
    <w:rsid w:val="003E57E0"/>
    <w:rsid w:val="003E5901"/>
    <w:rsid w:val="003E5943"/>
    <w:rsid w:val="003E5981"/>
    <w:rsid w:val="003E59F4"/>
    <w:rsid w:val="003E5A0F"/>
    <w:rsid w:val="003E5B5C"/>
    <w:rsid w:val="003E5CD5"/>
    <w:rsid w:val="003E5DA7"/>
    <w:rsid w:val="003E5E00"/>
    <w:rsid w:val="003E5E94"/>
    <w:rsid w:val="003E6015"/>
    <w:rsid w:val="003E60C7"/>
    <w:rsid w:val="003E60E1"/>
    <w:rsid w:val="003E6132"/>
    <w:rsid w:val="003E6189"/>
    <w:rsid w:val="003E628D"/>
    <w:rsid w:val="003E62F4"/>
    <w:rsid w:val="003E63C4"/>
    <w:rsid w:val="003E6575"/>
    <w:rsid w:val="003E676C"/>
    <w:rsid w:val="003E6908"/>
    <w:rsid w:val="003E6913"/>
    <w:rsid w:val="003E694D"/>
    <w:rsid w:val="003E694E"/>
    <w:rsid w:val="003E6A2D"/>
    <w:rsid w:val="003E6B21"/>
    <w:rsid w:val="003E6C71"/>
    <w:rsid w:val="003E6D16"/>
    <w:rsid w:val="003E6DD8"/>
    <w:rsid w:val="003E6E28"/>
    <w:rsid w:val="003E6ECE"/>
    <w:rsid w:val="003E6F32"/>
    <w:rsid w:val="003E7114"/>
    <w:rsid w:val="003E7145"/>
    <w:rsid w:val="003E71C3"/>
    <w:rsid w:val="003E7225"/>
    <w:rsid w:val="003E7378"/>
    <w:rsid w:val="003E73A6"/>
    <w:rsid w:val="003E768A"/>
    <w:rsid w:val="003E7788"/>
    <w:rsid w:val="003E77CC"/>
    <w:rsid w:val="003E7985"/>
    <w:rsid w:val="003E7A4E"/>
    <w:rsid w:val="003E7AAB"/>
    <w:rsid w:val="003E7AB2"/>
    <w:rsid w:val="003E7B66"/>
    <w:rsid w:val="003E7BEB"/>
    <w:rsid w:val="003E7CB4"/>
    <w:rsid w:val="003E7D36"/>
    <w:rsid w:val="003E7DF2"/>
    <w:rsid w:val="003E7E47"/>
    <w:rsid w:val="003E7E8F"/>
    <w:rsid w:val="003E7F01"/>
    <w:rsid w:val="003E7F07"/>
    <w:rsid w:val="003E7F60"/>
    <w:rsid w:val="003E7F8A"/>
    <w:rsid w:val="003E7F97"/>
    <w:rsid w:val="003F0106"/>
    <w:rsid w:val="003F0117"/>
    <w:rsid w:val="003F021A"/>
    <w:rsid w:val="003F0257"/>
    <w:rsid w:val="003F02D3"/>
    <w:rsid w:val="003F03DB"/>
    <w:rsid w:val="003F05F8"/>
    <w:rsid w:val="003F0761"/>
    <w:rsid w:val="003F07A0"/>
    <w:rsid w:val="003F07C6"/>
    <w:rsid w:val="003F0825"/>
    <w:rsid w:val="003F08C0"/>
    <w:rsid w:val="003F0933"/>
    <w:rsid w:val="003F0C09"/>
    <w:rsid w:val="003F0C20"/>
    <w:rsid w:val="003F0CCC"/>
    <w:rsid w:val="003F0D9D"/>
    <w:rsid w:val="003F0DEE"/>
    <w:rsid w:val="003F0EC3"/>
    <w:rsid w:val="003F0F7C"/>
    <w:rsid w:val="003F1016"/>
    <w:rsid w:val="003F1078"/>
    <w:rsid w:val="003F114A"/>
    <w:rsid w:val="003F11BE"/>
    <w:rsid w:val="003F1292"/>
    <w:rsid w:val="003F1452"/>
    <w:rsid w:val="003F14D6"/>
    <w:rsid w:val="003F1504"/>
    <w:rsid w:val="003F15C3"/>
    <w:rsid w:val="003F169F"/>
    <w:rsid w:val="003F1740"/>
    <w:rsid w:val="003F177E"/>
    <w:rsid w:val="003F18D2"/>
    <w:rsid w:val="003F18F0"/>
    <w:rsid w:val="003F198E"/>
    <w:rsid w:val="003F1A5F"/>
    <w:rsid w:val="003F1A7E"/>
    <w:rsid w:val="003F1AE2"/>
    <w:rsid w:val="003F1BB8"/>
    <w:rsid w:val="003F1CBD"/>
    <w:rsid w:val="003F1CE1"/>
    <w:rsid w:val="003F1DFD"/>
    <w:rsid w:val="003F1E99"/>
    <w:rsid w:val="003F1EC4"/>
    <w:rsid w:val="003F2089"/>
    <w:rsid w:val="003F2121"/>
    <w:rsid w:val="003F2147"/>
    <w:rsid w:val="003F22F2"/>
    <w:rsid w:val="003F24A6"/>
    <w:rsid w:val="003F256B"/>
    <w:rsid w:val="003F2876"/>
    <w:rsid w:val="003F2A65"/>
    <w:rsid w:val="003F2B4F"/>
    <w:rsid w:val="003F2B58"/>
    <w:rsid w:val="003F2B86"/>
    <w:rsid w:val="003F2C1C"/>
    <w:rsid w:val="003F2CFC"/>
    <w:rsid w:val="003F2D1B"/>
    <w:rsid w:val="003F2D7F"/>
    <w:rsid w:val="003F2DA5"/>
    <w:rsid w:val="003F2E1E"/>
    <w:rsid w:val="003F2FC1"/>
    <w:rsid w:val="003F30AB"/>
    <w:rsid w:val="003F30E2"/>
    <w:rsid w:val="003F3120"/>
    <w:rsid w:val="003F3196"/>
    <w:rsid w:val="003F31D3"/>
    <w:rsid w:val="003F31E7"/>
    <w:rsid w:val="003F3208"/>
    <w:rsid w:val="003F327E"/>
    <w:rsid w:val="003F32E2"/>
    <w:rsid w:val="003F3432"/>
    <w:rsid w:val="003F34C4"/>
    <w:rsid w:val="003F35B4"/>
    <w:rsid w:val="003F3952"/>
    <w:rsid w:val="003F3953"/>
    <w:rsid w:val="003F3AE8"/>
    <w:rsid w:val="003F3C59"/>
    <w:rsid w:val="003F3D5A"/>
    <w:rsid w:val="003F3EAA"/>
    <w:rsid w:val="003F3FDC"/>
    <w:rsid w:val="003F4229"/>
    <w:rsid w:val="003F42B8"/>
    <w:rsid w:val="003F4483"/>
    <w:rsid w:val="003F44AA"/>
    <w:rsid w:val="003F4589"/>
    <w:rsid w:val="003F45DF"/>
    <w:rsid w:val="003F45E4"/>
    <w:rsid w:val="003F4607"/>
    <w:rsid w:val="003F4676"/>
    <w:rsid w:val="003F4701"/>
    <w:rsid w:val="003F475E"/>
    <w:rsid w:val="003F4764"/>
    <w:rsid w:val="003F47F1"/>
    <w:rsid w:val="003F4A20"/>
    <w:rsid w:val="003F4A43"/>
    <w:rsid w:val="003F4CB4"/>
    <w:rsid w:val="003F4DA9"/>
    <w:rsid w:val="003F4E70"/>
    <w:rsid w:val="003F4E77"/>
    <w:rsid w:val="003F501D"/>
    <w:rsid w:val="003F504D"/>
    <w:rsid w:val="003F506C"/>
    <w:rsid w:val="003F517A"/>
    <w:rsid w:val="003F51B6"/>
    <w:rsid w:val="003F520A"/>
    <w:rsid w:val="003F5268"/>
    <w:rsid w:val="003F52E0"/>
    <w:rsid w:val="003F548C"/>
    <w:rsid w:val="003F55BA"/>
    <w:rsid w:val="003F56EF"/>
    <w:rsid w:val="003F5704"/>
    <w:rsid w:val="003F577E"/>
    <w:rsid w:val="003F579D"/>
    <w:rsid w:val="003F5836"/>
    <w:rsid w:val="003F5848"/>
    <w:rsid w:val="003F5872"/>
    <w:rsid w:val="003F587D"/>
    <w:rsid w:val="003F5886"/>
    <w:rsid w:val="003F599E"/>
    <w:rsid w:val="003F5B3E"/>
    <w:rsid w:val="003F5BA6"/>
    <w:rsid w:val="003F5BD5"/>
    <w:rsid w:val="003F5D1A"/>
    <w:rsid w:val="003F5D49"/>
    <w:rsid w:val="003F5DD7"/>
    <w:rsid w:val="003F5E2E"/>
    <w:rsid w:val="003F5E6D"/>
    <w:rsid w:val="003F5F58"/>
    <w:rsid w:val="003F60C8"/>
    <w:rsid w:val="003F60F8"/>
    <w:rsid w:val="003F627A"/>
    <w:rsid w:val="003F62D8"/>
    <w:rsid w:val="003F6373"/>
    <w:rsid w:val="003F63D7"/>
    <w:rsid w:val="003F63E8"/>
    <w:rsid w:val="003F6486"/>
    <w:rsid w:val="003F64EF"/>
    <w:rsid w:val="003F654A"/>
    <w:rsid w:val="003F6716"/>
    <w:rsid w:val="003F687F"/>
    <w:rsid w:val="003F68F0"/>
    <w:rsid w:val="003F6917"/>
    <w:rsid w:val="003F6A37"/>
    <w:rsid w:val="003F6EFF"/>
    <w:rsid w:val="003F719B"/>
    <w:rsid w:val="003F71AD"/>
    <w:rsid w:val="003F71D5"/>
    <w:rsid w:val="003F72CB"/>
    <w:rsid w:val="003F73CB"/>
    <w:rsid w:val="003F73D8"/>
    <w:rsid w:val="003F748F"/>
    <w:rsid w:val="003F74F7"/>
    <w:rsid w:val="003F7507"/>
    <w:rsid w:val="003F7621"/>
    <w:rsid w:val="003F76A7"/>
    <w:rsid w:val="003F776B"/>
    <w:rsid w:val="003F785C"/>
    <w:rsid w:val="003F79E7"/>
    <w:rsid w:val="003F7C3A"/>
    <w:rsid w:val="003F7C65"/>
    <w:rsid w:val="003F7D15"/>
    <w:rsid w:val="003F7E5C"/>
    <w:rsid w:val="003F7E61"/>
    <w:rsid w:val="003F7ECB"/>
    <w:rsid w:val="003F7EEC"/>
    <w:rsid w:val="004001E4"/>
    <w:rsid w:val="00400209"/>
    <w:rsid w:val="0040020C"/>
    <w:rsid w:val="00400238"/>
    <w:rsid w:val="004005D8"/>
    <w:rsid w:val="004008C1"/>
    <w:rsid w:val="00400991"/>
    <w:rsid w:val="00400D4A"/>
    <w:rsid w:val="00400D95"/>
    <w:rsid w:val="00400EAE"/>
    <w:rsid w:val="00400F29"/>
    <w:rsid w:val="00400FC3"/>
    <w:rsid w:val="0040102F"/>
    <w:rsid w:val="00401321"/>
    <w:rsid w:val="004013D9"/>
    <w:rsid w:val="00401417"/>
    <w:rsid w:val="00401523"/>
    <w:rsid w:val="0040152B"/>
    <w:rsid w:val="004015E2"/>
    <w:rsid w:val="004018AA"/>
    <w:rsid w:val="00401AC3"/>
    <w:rsid w:val="00401C13"/>
    <w:rsid w:val="00401CA0"/>
    <w:rsid w:val="00401D45"/>
    <w:rsid w:val="00401F7D"/>
    <w:rsid w:val="00402076"/>
    <w:rsid w:val="0040217F"/>
    <w:rsid w:val="004022D8"/>
    <w:rsid w:val="004023A5"/>
    <w:rsid w:val="00402675"/>
    <w:rsid w:val="004026E0"/>
    <w:rsid w:val="0040270D"/>
    <w:rsid w:val="0040297B"/>
    <w:rsid w:val="00402B1C"/>
    <w:rsid w:val="00402B5E"/>
    <w:rsid w:val="00402E49"/>
    <w:rsid w:val="00403031"/>
    <w:rsid w:val="00403094"/>
    <w:rsid w:val="004032A2"/>
    <w:rsid w:val="004032DC"/>
    <w:rsid w:val="0040331C"/>
    <w:rsid w:val="00403460"/>
    <w:rsid w:val="004034CB"/>
    <w:rsid w:val="004035D3"/>
    <w:rsid w:val="004036E5"/>
    <w:rsid w:val="00403AAD"/>
    <w:rsid w:val="00403B89"/>
    <w:rsid w:val="00403C22"/>
    <w:rsid w:val="00403C3E"/>
    <w:rsid w:val="00403CF4"/>
    <w:rsid w:val="00403D65"/>
    <w:rsid w:val="00403E8A"/>
    <w:rsid w:val="00403F46"/>
    <w:rsid w:val="0040404A"/>
    <w:rsid w:val="0040405D"/>
    <w:rsid w:val="004040D9"/>
    <w:rsid w:val="00404109"/>
    <w:rsid w:val="00404167"/>
    <w:rsid w:val="0040416D"/>
    <w:rsid w:val="004041D0"/>
    <w:rsid w:val="004041D5"/>
    <w:rsid w:val="00404466"/>
    <w:rsid w:val="00404487"/>
    <w:rsid w:val="004044F1"/>
    <w:rsid w:val="00404501"/>
    <w:rsid w:val="004045E0"/>
    <w:rsid w:val="0040489D"/>
    <w:rsid w:val="00404B0E"/>
    <w:rsid w:val="00404B3D"/>
    <w:rsid w:val="00404C7F"/>
    <w:rsid w:val="00404D56"/>
    <w:rsid w:val="00404D84"/>
    <w:rsid w:val="00404D96"/>
    <w:rsid w:val="00404FBB"/>
    <w:rsid w:val="00404FC2"/>
    <w:rsid w:val="0040500F"/>
    <w:rsid w:val="00405140"/>
    <w:rsid w:val="0040521C"/>
    <w:rsid w:val="004053E9"/>
    <w:rsid w:val="00405405"/>
    <w:rsid w:val="004054D6"/>
    <w:rsid w:val="00405697"/>
    <w:rsid w:val="004056C9"/>
    <w:rsid w:val="0040580D"/>
    <w:rsid w:val="00405840"/>
    <w:rsid w:val="00405893"/>
    <w:rsid w:val="00405B05"/>
    <w:rsid w:val="00405C81"/>
    <w:rsid w:val="00405D38"/>
    <w:rsid w:val="00405E21"/>
    <w:rsid w:val="00405E24"/>
    <w:rsid w:val="00405ED0"/>
    <w:rsid w:val="00405EDB"/>
    <w:rsid w:val="00405F5A"/>
    <w:rsid w:val="0040621F"/>
    <w:rsid w:val="004062F6"/>
    <w:rsid w:val="0040635B"/>
    <w:rsid w:val="00406414"/>
    <w:rsid w:val="00406444"/>
    <w:rsid w:val="00406675"/>
    <w:rsid w:val="004066D4"/>
    <w:rsid w:val="00406730"/>
    <w:rsid w:val="00406794"/>
    <w:rsid w:val="004069F1"/>
    <w:rsid w:val="004069FB"/>
    <w:rsid w:val="00406B19"/>
    <w:rsid w:val="00406BB9"/>
    <w:rsid w:val="00406C59"/>
    <w:rsid w:val="00406E01"/>
    <w:rsid w:val="00406F0F"/>
    <w:rsid w:val="00406F88"/>
    <w:rsid w:val="0040700B"/>
    <w:rsid w:val="004070FA"/>
    <w:rsid w:val="00407186"/>
    <w:rsid w:val="004071A1"/>
    <w:rsid w:val="00407254"/>
    <w:rsid w:val="00407291"/>
    <w:rsid w:val="004072A9"/>
    <w:rsid w:val="004073E1"/>
    <w:rsid w:val="004074AE"/>
    <w:rsid w:val="00407766"/>
    <w:rsid w:val="00407860"/>
    <w:rsid w:val="0040788C"/>
    <w:rsid w:val="0040798A"/>
    <w:rsid w:val="00407D9E"/>
    <w:rsid w:val="00407EF8"/>
    <w:rsid w:val="00407F06"/>
    <w:rsid w:val="00407F54"/>
    <w:rsid w:val="004100CC"/>
    <w:rsid w:val="00410112"/>
    <w:rsid w:val="00410187"/>
    <w:rsid w:val="004101FB"/>
    <w:rsid w:val="00410273"/>
    <w:rsid w:val="00410360"/>
    <w:rsid w:val="0041043C"/>
    <w:rsid w:val="00410501"/>
    <w:rsid w:val="00410520"/>
    <w:rsid w:val="004106EF"/>
    <w:rsid w:val="00410953"/>
    <w:rsid w:val="00410A43"/>
    <w:rsid w:val="00410B28"/>
    <w:rsid w:val="00410F4C"/>
    <w:rsid w:val="00410F70"/>
    <w:rsid w:val="00411341"/>
    <w:rsid w:val="0041140B"/>
    <w:rsid w:val="0041144F"/>
    <w:rsid w:val="0041153C"/>
    <w:rsid w:val="00411578"/>
    <w:rsid w:val="00411671"/>
    <w:rsid w:val="004116BC"/>
    <w:rsid w:val="00411832"/>
    <w:rsid w:val="004119B7"/>
    <w:rsid w:val="004119BE"/>
    <w:rsid w:val="00411A77"/>
    <w:rsid w:val="00411B35"/>
    <w:rsid w:val="00411BC9"/>
    <w:rsid w:val="00411D54"/>
    <w:rsid w:val="00411E01"/>
    <w:rsid w:val="00411E52"/>
    <w:rsid w:val="00412192"/>
    <w:rsid w:val="00412281"/>
    <w:rsid w:val="004122CF"/>
    <w:rsid w:val="004123B8"/>
    <w:rsid w:val="00412402"/>
    <w:rsid w:val="0041242C"/>
    <w:rsid w:val="004124E4"/>
    <w:rsid w:val="00412590"/>
    <w:rsid w:val="00412596"/>
    <w:rsid w:val="00412639"/>
    <w:rsid w:val="0041267B"/>
    <w:rsid w:val="0041268E"/>
    <w:rsid w:val="004127B0"/>
    <w:rsid w:val="004127E6"/>
    <w:rsid w:val="004128DE"/>
    <w:rsid w:val="0041293A"/>
    <w:rsid w:val="00412C9E"/>
    <w:rsid w:val="00412DAD"/>
    <w:rsid w:val="00412FA2"/>
    <w:rsid w:val="00412FD3"/>
    <w:rsid w:val="004130FD"/>
    <w:rsid w:val="0041312D"/>
    <w:rsid w:val="00413280"/>
    <w:rsid w:val="0041338B"/>
    <w:rsid w:val="004133D8"/>
    <w:rsid w:val="00413598"/>
    <w:rsid w:val="0041372F"/>
    <w:rsid w:val="00413732"/>
    <w:rsid w:val="0041376C"/>
    <w:rsid w:val="004137E9"/>
    <w:rsid w:val="00413912"/>
    <w:rsid w:val="00413933"/>
    <w:rsid w:val="0041393C"/>
    <w:rsid w:val="00413966"/>
    <w:rsid w:val="00413985"/>
    <w:rsid w:val="004139A8"/>
    <w:rsid w:val="00413A24"/>
    <w:rsid w:val="00413C32"/>
    <w:rsid w:val="00413F06"/>
    <w:rsid w:val="00413F99"/>
    <w:rsid w:val="0041404D"/>
    <w:rsid w:val="00414098"/>
    <w:rsid w:val="0041445F"/>
    <w:rsid w:val="00414467"/>
    <w:rsid w:val="00414494"/>
    <w:rsid w:val="004144BC"/>
    <w:rsid w:val="00414543"/>
    <w:rsid w:val="0041459A"/>
    <w:rsid w:val="00414671"/>
    <w:rsid w:val="00414693"/>
    <w:rsid w:val="00414841"/>
    <w:rsid w:val="004148FB"/>
    <w:rsid w:val="00414A2C"/>
    <w:rsid w:val="00414A47"/>
    <w:rsid w:val="00414AB9"/>
    <w:rsid w:val="00414B77"/>
    <w:rsid w:val="00414C0D"/>
    <w:rsid w:val="00414C16"/>
    <w:rsid w:val="00414D6D"/>
    <w:rsid w:val="00414D78"/>
    <w:rsid w:val="00414DF4"/>
    <w:rsid w:val="00414F4D"/>
    <w:rsid w:val="00414FBE"/>
    <w:rsid w:val="00415015"/>
    <w:rsid w:val="004151FD"/>
    <w:rsid w:val="004152B0"/>
    <w:rsid w:val="0041539C"/>
    <w:rsid w:val="004153D2"/>
    <w:rsid w:val="004155CD"/>
    <w:rsid w:val="0041589E"/>
    <w:rsid w:val="00415948"/>
    <w:rsid w:val="00415A1D"/>
    <w:rsid w:val="00415B82"/>
    <w:rsid w:val="00415C41"/>
    <w:rsid w:val="00415C43"/>
    <w:rsid w:val="00415C50"/>
    <w:rsid w:val="00415C7E"/>
    <w:rsid w:val="00415CDB"/>
    <w:rsid w:val="00415DB9"/>
    <w:rsid w:val="00415E32"/>
    <w:rsid w:val="00415E3B"/>
    <w:rsid w:val="00416101"/>
    <w:rsid w:val="00416228"/>
    <w:rsid w:val="004164FD"/>
    <w:rsid w:val="00416532"/>
    <w:rsid w:val="0041673A"/>
    <w:rsid w:val="00416AF9"/>
    <w:rsid w:val="00416B9F"/>
    <w:rsid w:val="00416CF2"/>
    <w:rsid w:val="00416D16"/>
    <w:rsid w:val="00416E6C"/>
    <w:rsid w:val="00416E7B"/>
    <w:rsid w:val="00416FB5"/>
    <w:rsid w:val="00417030"/>
    <w:rsid w:val="0041703D"/>
    <w:rsid w:val="004170AF"/>
    <w:rsid w:val="0041731B"/>
    <w:rsid w:val="0041745B"/>
    <w:rsid w:val="004174B8"/>
    <w:rsid w:val="004174BB"/>
    <w:rsid w:val="0041751F"/>
    <w:rsid w:val="00417680"/>
    <w:rsid w:val="0041778D"/>
    <w:rsid w:val="00417802"/>
    <w:rsid w:val="004178A8"/>
    <w:rsid w:val="004179A2"/>
    <w:rsid w:val="00417A20"/>
    <w:rsid w:val="00417A4B"/>
    <w:rsid w:val="00417CB9"/>
    <w:rsid w:val="00417D78"/>
    <w:rsid w:val="00417E03"/>
    <w:rsid w:val="0041EBB2"/>
    <w:rsid w:val="004200B9"/>
    <w:rsid w:val="0042016E"/>
    <w:rsid w:val="004201C1"/>
    <w:rsid w:val="004201F7"/>
    <w:rsid w:val="0042029B"/>
    <w:rsid w:val="00420385"/>
    <w:rsid w:val="0042042F"/>
    <w:rsid w:val="0042067F"/>
    <w:rsid w:val="00420754"/>
    <w:rsid w:val="00420839"/>
    <w:rsid w:val="00420897"/>
    <w:rsid w:val="00420925"/>
    <w:rsid w:val="004209D1"/>
    <w:rsid w:val="004209D5"/>
    <w:rsid w:val="00420A5E"/>
    <w:rsid w:val="00420B9B"/>
    <w:rsid w:val="00420C6D"/>
    <w:rsid w:val="00420C99"/>
    <w:rsid w:val="00420D27"/>
    <w:rsid w:val="00420D31"/>
    <w:rsid w:val="00420DC0"/>
    <w:rsid w:val="00420DC6"/>
    <w:rsid w:val="00420DDF"/>
    <w:rsid w:val="00420E18"/>
    <w:rsid w:val="00420EB3"/>
    <w:rsid w:val="00420EBE"/>
    <w:rsid w:val="0042107B"/>
    <w:rsid w:val="0042116B"/>
    <w:rsid w:val="004211DA"/>
    <w:rsid w:val="00421225"/>
    <w:rsid w:val="004212A3"/>
    <w:rsid w:val="004213D8"/>
    <w:rsid w:val="00421596"/>
    <w:rsid w:val="00421638"/>
    <w:rsid w:val="004216E8"/>
    <w:rsid w:val="00421770"/>
    <w:rsid w:val="004217D3"/>
    <w:rsid w:val="0042191D"/>
    <w:rsid w:val="00421997"/>
    <w:rsid w:val="00421B36"/>
    <w:rsid w:val="00421B91"/>
    <w:rsid w:val="00421BA0"/>
    <w:rsid w:val="00421D04"/>
    <w:rsid w:val="00421E23"/>
    <w:rsid w:val="00421E26"/>
    <w:rsid w:val="00421FC8"/>
    <w:rsid w:val="00422067"/>
    <w:rsid w:val="004221DF"/>
    <w:rsid w:val="004221E8"/>
    <w:rsid w:val="0042232C"/>
    <w:rsid w:val="0042236E"/>
    <w:rsid w:val="004224FD"/>
    <w:rsid w:val="0042271A"/>
    <w:rsid w:val="0042274D"/>
    <w:rsid w:val="00422830"/>
    <w:rsid w:val="00422A89"/>
    <w:rsid w:val="00422B93"/>
    <w:rsid w:val="00422BAE"/>
    <w:rsid w:val="00422BB4"/>
    <w:rsid w:val="00422BDB"/>
    <w:rsid w:val="00422C02"/>
    <w:rsid w:val="00422C85"/>
    <w:rsid w:val="00422DFA"/>
    <w:rsid w:val="00422E5A"/>
    <w:rsid w:val="00422E6E"/>
    <w:rsid w:val="00422E92"/>
    <w:rsid w:val="00423054"/>
    <w:rsid w:val="00423197"/>
    <w:rsid w:val="004231DC"/>
    <w:rsid w:val="0042324F"/>
    <w:rsid w:val="004233C3"/>
    <w:rsid w:val="004233CD"/>
    <w:rsid w:val="004234F0"/>
    <w:rsid w:val="00423502"/>
    <w:rsid w:val="0042356D"/>
    <w:rsid w:val="00423643"/>
    <w:rsid w:val="00423650"/>
    <w:rsid w:val="004236A4"/>
    <w:rsid w:val="004236F4"/>
    <w:rsid w:val="0042374F"/>
    <w:rsid w:val="00423856"/>
    <w:rsid w:val="00423893"/>
    <w:rsid w:val="00423973"/>
    <w:rsid w:val="004239AC"/>
    <w:rsid w:val="004239BB"/>
    <w:rsid w:val="00423A14"/>
    <w:rsid w:val="00423B3C"/>
    <w:rsid w:val="00423B72"/>
    <w:rsid w:val="00423BA1"/>
    <w:rsid w:val="00423C59"/>
    <w:rsid w:val="00423CD7"/>
    <w:rsid w:val="00423D6D"/>
    <w:rsid w:val="00423D71"/>
    <w:rsid w:val="00423E3C"/>
    <w:rsid w:val="00423F9F"/>
    <w:rsid w:val="00424020"/>
    <w:rsid w:val="0042402B"/>
    <w:rsid w:val="0042429E"/>
    <w:rsid w:val="00424343"/>
    <w:rsid w:val="0042434A"/>
    <w:rsid w:val="004243BD"/>
    <w:rsid w:val="004243E1"/>
    <w:rsid w:val="004243E6"/>
    <w:rsid w:val="0042441A"/>
    <w:rsid w:val="0042445E"/>
    <w:rsid w:val="0042448F"/>
    <w:rsid w:val="004244E9"/>
    <w:rsid w:val="0042452F"/>
    <w:rsid w:val="00424585"/>
    <w:rsid w:val="0042463B"/>
    <w:rsid w:val="0042475B"/>
    <w:rsid w:val="0042478B"/>
    <w:rsid w:val="0042495F"/>
    <w:rsid w:val="00424B32"/>
    <w:rsid w:val="00424B5E"/>
    <w:rsid w:val="00424BDE"/>
    <w:rsid w:val="00424C3B"/>
    <w:rsid w:val="00424C78"/>
    <w:rsid w:val="00424D6B"/>
    <w:rsid w:val="00424D85"/>
    <w:rsid w:val="00424D9C"/>
    <w:rsid w:val="00424F05"/>
    <w:rsid w:val="00424FE2"/>
    <w:rsid w:val="004251C5"/>
    <w:rsid w:val="004251CF"/>
    <w:rsid w:val="004251D6"/>
    <w:rsid w:val="00425265"/>
    <w:rsid w:val="004253E2"/>
    <w:rsid w:val="0042551E"/>
    <w:rsid w:val="0042563A"/>
    <w:rsid w:val="00425745"/>
    <w:rsid w:val="00425772"/>
    <w:rsid w:val="00425884"/>
    <w:rsid w:val="00425895"/>
    <w:rsid w:val="00425904"/>
    <w:rsid w:val="0042592F"/>
    <w:rsid w:val="00425961"/>
    <w:rsid w:val="00425978"/>
    <w:rsid w:val="004259A4"/>
    <w:rsid w:val="004259C5"/>
    <w:rsid w:val="004259DA"/>
    <w:rsid w:val="00425A1B"/>
    <w:rsid w:val="00425A23"/>
    <w:rsid w:val="00425A6F"/>
    <w:rsid w:val="00425BD9"/>
    <w:rsid w:val="00425C16"/>
    <w:rsid w:val="00425CA8"/>
    <w:rsid w:val="00425CB6"/>
    <w:rsid w:val="00425CF5"/>
    <w:rsid w:val="00425DA6"/>
    <w:rsid w:val="00425F58"/>
    <w:rsid w:val="00425F5E"/>
    <w:rsid w:val="00426084"/>
    <w:rsid w:val="00426140"/>
    <w:rsid w:val="004263A0"/>
    <w:rsid w:val="0042643D"/>
    <w:rsid w:val="0042651D"/>
    <w:rsid w:val="0042658E"/>
    <w:rsid w:val="004265E5"/>
    <w:rsid w:val="004266A9"/>
    <w:rsid w:val="004266AE"/>
    <w:rsid w:val="00426743"/>
    <w:rsid w:val="00426781"/>
    <w:rsid w:val="0042688C"/>
    <w:rsid w:val="00426949"/>
    <w:rsid w:val="00426ABD"/>
    <w:rsid w:val="00426B18"/>
    <w:rsid w:val="00426BD7"/>
    <w:rsid w:val="00426BDD"/>
    <w:rsid w:val="00426C42"/>
    <w:rsid w:val="00426C55"/>
    <w:rsid w:val="00426C70"/>
    <w:rsid w:val="00426D3C"/>
    <w:rsid w:val="00426D96"/>
    <w:rsid w:val="00426E4A"/>
    <w:rsid w:val="00426E6E"/>
    <w:rsid w:val="00426EE6"/>
    <w:rsid w:val="004270BB"/>
    <w:rsid w:val="00427152"/>
    <w:rsid w:val="00427177"/>
    <w:rsid w:val="004271B8"/>
    <w:rsid w:val="0042725E"/>
    <w:rsid w:val="004272DA"/>
    <w:rsid w:val="004272EA"/>
    <w:rsid w:val="004274BA"/>
    <w:rsid w:val="0042751E"/>
    <w:rsid w:val="00427589"/>
    <w:rsid w:val="0042769A"/>
    <w:rsid w:val="004276A9"/>
    <w:rsid w:val="004276B1"/>
    <w:rsid w:val="0042778D"/>
    <w:rsid w:val="00427886"/>
    <w:rsid w:val="00427A03"/>
    <w:rsid w:val="00427AAF"/>
    <w:rsid w:val="00427AFC"/>
    <w:rsid w:val="00427BE4"/>
    <w:rsid w:val="00427C5A"/>
    <w:rsid w:val="00427C7A"/>
    <w:rsid w:val="00427CE9"/>
    <w:rsid w:val="00427D8F"/>
    <w:rsid w:val="00427D9A"/>
    <w:rsid w:val="00427D9E"/>
    <w:rsid w:val="00427F0D"/>
    <w:rsid w:val="00430042"/>
    <w:rsid w:val="0043015B"/>
    <w:rsid w:val="00430202"/>
    <w:rsid w:val="00430302"/>
    <w:rsid w:val="004303E9"/>
    <w:rsid w:val="00430461"/>
    <w:rsid w:val="0043052A"/>
    <w:rsid w:val="004306B6"/>
    <w:rsid w:val="004307D0"/>
    <w:rsid w:val="004307DB"/>
    <w:rsid w:val="004308A6"/>
    <w:rsid w:val="004308DA"/>
    <w:rsid w:val="0043095D"/>
    <w:rsid w:val="004309A7"/>
    <w:rsid w:val="00430B89"/>
    <w:rsid w:val="00430D2C"/>
    <w:rsid w:val="00430E63"/>
    <w:rsid w:val="00430F90"/>
    <w:rsid w:val="00431100"/>
    <w:rsid w:val="00431345"/>
    <w:rsid w:val="0043139A"/>
    <w:rsid w:val="004313CA"/>
    <w:rsid w:val="004313F2"/>
    <w:rsid w:val="0043141A"/>
    <w:rsid w:val="00431524"/>
    <w:rsid w:val="004315A9"/>
    <w:rsid w:val="004315B7"/>
    <w:rsid w:val="004316C1"/>
    <w:rsid w:val="004316ED"/>
    <w:rsid w:val="00431711"/>
    <w:rsid w:val="004317C8"/>
    <w:rsid w:val="00431943"/>
    <w:rsid w:val="004319A5"/>
    <w:rsid w:val="004319BD"/>
    <w:rsid w:val="00431A30"/>
    <w:rsid w:val="00431AA9"/>
    <w:rsid w:val="00431AD0"/>
    <w:rsid w:val="00431AFB"/>
    <w:rsid w:val="00431B62"/>
    <w:rsid w:val="00431BB8"/>
    <w:rsid w:val="00431BDA"/>
    <w:rsid w:val="00431CE6"/>
    <w:rsid w:val="00431E54"/>
    <w:rsid w:val="00431F45"/>
    <w:rsid w:val="0043203F"/>
    <w:rsid w:val="0043210C"/>
    <w:rsid w:val="004321A3"/>
    <w:rsid w:val="0043221D"/>
    <w:rsid w:val="004322A4"/>
    <w:rsid w:val="004322BB"/>
    <w:rsid w:val="004323A9"/>
    <w:rsid w:val="00432437"/>
    <w:rsid w:val="0043273F"/>
    <w:rsid w:val="00432762"/>
    <w:rsid w:val="004327B4"/>
    <w:rsid w:val="004327E8"/>
    <w:rsid w:val="00432806"/>
    <w:rsid w:val="004329B6"/>
    <w:rsid w:val="004329DC"/>
    <w:rsid w:val="00432B22"/>
    <w:rsid w:val="00432B6F"/>
    <w:rsid w:val="00432C90"/>
    <w:rsid w:val="00432DA1"/>
    <w:rsid w:val="00432DBE"/>
    <w:rsid w:val="00432DD9"/>
    <w:rsid w:val="00432EA9"/>
    <w:rsid w:val="0043326B"/>
    <w:rsid w:val="00433381"/>
    <w:rsid w:val="004334E2"/>
    <w:rsid w:val="00433505"/>
    <w:rsid w:val="004335CA"/>
    <w:rsid w:val="004336B5"/>
    <w:rsid w:val="00433731"/>
    <w:rsid w:val="004337A8"/>
    <w:rsid w:val="00433AD8"/>
    <w:rsid w:val="00433B09"/>
    <w:rsid w:val="00433B44"/>
    <w:rsid w:val="00433D34"/>
    <w:rsid w:val="00433D50"/>
    <w:rsid w:val="0043401C"/>
    <w:rsid w:val="00434063"/>
    <w:rsid w:val="00434093"/>
    <w:rsid w:val="004340C4"/>
    <w:rsid w:val="00434494"/>
    <w:rsid w:val="004344A4"/>
    <w:rsid w:val="004344B4"/>
    <w:rsid w:val="004345C4"/>
    <w:rsid w:val="004345D1"/>
    <w:rsid w:val="00434606"/>
    <w:rsid w:val="0043481B"/>
    <w:rsid w:val="00434B82"/>
    <w:rsid w:val="00434CA6"/>
    <w:rsid w:val="00434CEE"/>
    <w:rsid w:val="00434E4F"/>
    <w:rsid w:val="0043510A"/>
    <w:rsid w:val="00435361"/>
    <w:rsid w:val="00435416"/>
    <w:rsid w:val="00435482"/>
    <w:rsid w:val="00435523"/>
    <w:rsid w:val="0043552C"/>
    <w:rsid w:val="004355E3"/>
    <w:rsid w:val="0043576D"/>
    <w:rsid w:val="004357CA"/>
    <w:rsid w:val="0043589C"/>
    <w:rsid w:val="004359DE"/>
    <w:rsid w:val="00435A34"/>
    <w:rsid w:val="00435A85"/>
    <w:rsid w:val="00435AE3"/>
    <w:rsid w:val="00435AFE"/>
    <w:rsid w:val="00435B62"/>
    <w:rsid w:val="00435BC7"/>
    <w:rsid w:val="00435C9E"/>
    <w:rsid w:val="00435D04"/>
    <w:rsid w:val="00435E1F"/>
    <w:rsid w:val="00436002"/>
    <w:rsid w:val="0043613F"/>
    <w:rsid w:val="00436140"/>
    <w:rsid w:val="00436214"/>
    <w:rsid w:val="00436289"/>
    <w:rsid w:val="00436296"/>
    <w:rsid w:val="00436307"/>
    <w:rsid w:val="00436392"/>
    <w:rsid w:val="004363BC"/>
    <w:rsid w:val="00436400"/>
    <w:rsid w:val="0043655A"/>
    <w:rsid w:val="0043660F"/>
    <w:rsid w:val="00436643"/>
    <w:rsid w:val="00436681"/>
    <w:rsid w:val="0043674B"/>
    <w:rsid w:val="004367AE"/>
    <w:rsid w:val="004368C0"/>
    <w:rsid w:val="0043693D"/>
    <w:rsid w:val="00436A7F"/>
    <w:rsid w:val="00436B0B"/>
    <w:rsid w:val="00436B1B"/>
    <w:rsid w:val="00436B1C"/>
    <w:rsid w:val="00436C16"/>
    <w:rsid w:val="0043716B"/>
    <w:rsid w:val="004372B2"/>
    <w:rsid w:val="00437408"/>
    <w:rsid w:val="00437485"/>
    <w:rsid w:val="0043773B"/>
    <w:rsid w:val="0043774A"/>
    <w:rsid w:val="0043784A"/>
    <w:rsid w:val="004378B3"/>
    <w:rsid w:val="00437A53"/>
    <w:rsid w:val="00437A65"/>
    <w:rsid w:val="00437A85"/>
    <w:rsid w:val="00437ADE"/>
    <w:rsid w:val="00437B4B"/>
    <w:rsid w:val="00437C85"/>
    <w:rsid w:val="00437CC0"/>
    <w:rsid w:val="00437D72"/>
    <w:rsid w:val="00437F87"/>
    <w:rsid w:val="00437FD5"/>
    <w:rsid w:val="0044004A"/>
    <w:rsid w:val="004400AB"/>
    <w:rsid w:val="004400B3"/>
    <w:rsid w:val="004401D0"/>
    <w:rsid w:val="00440205"/>
    <w:rsid w:val="004403A2"/>
    <w:rsid w:val="00440452"/>
    <w:rsid w:val="00440467"/>
    <w:rsid w:val="004404AC"/>
    <w:rsid w:val="00440610"/>
    <w:rsid w:val="0044085D"/>
    <w:rsid w:val="0044093D"/>
    <w:rsid w:val="00440959"/>
    <w:rsid w:val="00440A49"/>
    <w:rsid w:val="00440A53"/>
    <w:rsid w:val="00440B6B"/>
    <w:rsid w:val="00440C16"/>
    <w:rsid w:val="00440D89"/>
    <w:rsid w:val="00440F63"/>
    <w:rsid w:val="0044106F"/>
    <w:rsid w:val="00441387"/>
    <w:rsid w:val="0044139D"/>
    <w:rsid w:val="00441404"/>
    <w:rsid w:val="004414F2"/>
    <w:rsid w:val="0044164E"/>
    <w:rsid w:val="0044175F"/>
    <w:rsid w:val="004417BD"/>
    <w:rsid w:val="004418EE"/>
    <w:rsid w:val="00441999"/>
    <w:rsid w:val="00441A33"/>
    <w:rsid w:val="00441A5E"/>
    <w:rsid w:val="00441B39"/>
    <w:rsid w:val="00441B4F"/>
    <w:rsid w:val="00441B61"/>
    <w:rsid w:val="00441CAA"/>
    <w:rsid w:val="00441D32"/>
    <w:rsid w:val="00441D90"/>
    <w:rsid w:val="00441DCA"/>
    <w:rsid w:val="00441E11"/>
    <w:rsid w:val="00441FCD"/>
    <w:rsid w:val="00442176"/>
    <w:rsid w:val="0044219E"/>
    <w:rsid w:val="004421A4"/>
    <w:rsid w:val="004423CC"/>
    <w:rsid w:val="0044248D"/>
    <w:rsid w:val="004424BE"/>
    <w:rsid w:val="00442536"/>
    <w:rsid w:val="004425C8"/>
    <w:rsid w:val="0044266B"/>
    <w:rsid w:val="00442A78"/>
    <w:rsid w:val="00442AAB"/>
    <w:rsid w:val="00442AF6"/>
    <w:rsid w:val="00442B12"/>
    <w:rsid w:val="00442BBB"/>
    <w:rsid w:val="00442D12"/>
    <w:rsid w:val="00442F99"/>
    <w:rsid w:val="0044305A"/>
    <w:rsid w:val="00443064"/>
    <w:rsid w:val="0044322A"/>
    <w:rsid w:val="00443249"/>
    <w:rsid w:val="00443296"/>
    <w:rsid w:val="0044343E"/>
    <w:rsid w:val="0044366E"/>
    <w:rsid w:val="004439C6"/>
    <w:rsid w:val="00443B80"/>
    <w:rsid w:val="00443CC5"/>
    <w:rsid w:val="00443CE1"/>
    <w:rsid w:val="00443D25"/>
    <w:rsid w:val="00443D4C"/>
    <w:rsid w:val="00443E64"/>
    <w:rsid w:val="00443F5A"/>
    <w:rsid w:val="00443FAE"/>
    <w:rsid w:val="00444004"/>
    <w:rsid w:val="00444226"/>
    <w:rsid w:val="00444331"/>
    <w:rsid w:val="004443C6"/>
    <w:rsid w:val="0044443F"/>
    <w:rsid w:val="004444D7"/>
    <w:rsid w:val="004444FC"/>
    <w:rsid w:val="004445D3"/>
    <w:rsid w:val="0044460D"/>
    <w:rsid w:val="00444789"/>
    <w:rsid w:val="004447CA"/>
    <w:rsid w:val="004447CE"/>
    <w:rsid w:val="004447DE"/>
    <w:rsid w:val="004447EE"/>
    <w:rsid w:val="00444817"/>
    <w:rsid w:val="00444821"/>
    <w:rsid w:val="0044485B"/>
    <w:rsid w:val="0044488F"/>
    <w:rsid w:val="00444977"/>
    <w:rsid w:val="004449F7"/>
    <w:rsid w:val="004449FD"/>
    <w:rsid w:val="00444B4F"/>
    <w:rsid w:val="00444BFF"/>
    <w:rsid w:val="00444C2E"/>
    <w:rsid w:val="00444C91"/>
    <w:rsid w:val="00444C9B"/>
    <w:rsid w:val="00444CA7"/>
    <w:rsid w:val="0044504D"/>
    <w:rsid w:val="004450AF"/>
    <w:rsid w:val="00445259"/>
    <w:rsid w:val="004452F0"/>
    <w:rsid w:val="004452FB"/>
    <w:rsid w:val="0044537B"/>
    <w:rsid w:val="004454E3"/>
    <w:rsid w:val="004454F4"/>
    <w:rsid w:val="00445618"/>
    <w:rsid w:val="00445A3D"/>
    <w:rsid w:val="00445A6E"/>
    <w:rsid w:val="00445B0D"/>
    <w:rsid w:val="00445B9A"/>
    <w:rsid w:val="00445C66"/>
    <w:rsid w:val="00445DA3"/>
    <w:rsid w:val="00445EFF"/>
    <w:rsid w:val="004460A2"/>
    <w:rsid w:val="004460A9"/>
    <w:rsid w:val="00446184"/>
    <w:rsid w:val="004461A7"/>
    <w:rsid w:val="004461A9"/>
    <w:rsid w:val="004461F1"/>
    <w:rsid w:val="0044636B"/>
    <w:rsid w:val="004463F2"/>
    <w:rsid w:val="004463F8"/>
    <w:rsid w:val="0044652D"/>
    <w:rsid w:val="00446632"/>
    <w:rsid w:val="004466BF"/>
    <w:rsid w:val="00446889"/>
    <w:rsid w:val="00446910"/>
    <w:rsid w:val="00446A66"/>
    <w:rsid w:val="00446C0E"/>
    <w:rsid w:val="00446C26"/>
    <w:rsid w:val="00446DD3"/>
    <w:rsid w:val="00446DE6"/>
    <w:rsid w:val="00446E08"/>
    <w:rsid w:val="00446E5A"/>
    <w:rsid w:val="00446E5D"/>
    <w:rsid w:val="004470F3"/>
    <w:rsid w:val="004472A5"/>
    <w:rsid w:val="004472E8"/>
    <w:rsid w:val="0044735A"/>
    <w:rsid w:val="00447457"/>
    <w:rsid w:val="0044764A"/>
    <w:rsid w:val="0044765A"/>
    <w:rsid w:val="004476C2"/>
    <w:rsid w:val="00447744"/>
    <w:rsid w:val="00447786"/>
    <w:rsid w:val="00447A99"/>
    <w:rsid w:val="00447C7D"/>
    <w:rsid w:val="00447E3F"/>
    <w:rsid w:val="00447F33"/>
    <w:rsid w:val="004500D7"/>
    <w:rsid w:val="00450157"/>
    <w:rsid w:val="004501DF"/>
    <w:rsid w:val="004503C5"/>
    <w:rsid w:val="0045058B"/>
    <w:rsid w:val="00450616"/>
    <w:rsid w:val="004506E7"/>
    <w:rsid w:val="00450794"/>
    <w:rsid w:val="004507FB"/>
    <w:rsid w:val="00450A0F"/>
    <w:rsid w:val="00450AD3"/>
    <w:rsid w:val="00450B11"/>
    <w:rsid w:val="00450B37"/>
    <w:rsid w:val="00450B55"/>
    <w:rsid w:val="00450CA8"/>
    <w:rsid w:val="00450CCB"/>
    <w:rsid w:val="00450D0D"/>
    <w:rsid w:val="00450DD2"/>
    <w:rsid w:val="00450F21"/>
    <w:rsid w:val="00450FC3"/>
    <w:rsid w:val="0045114D"/>
    <w:rsid w:val="004511A8"/>
    <w:rsid w:val="0045122E"/>
    <w:rsid w:val="00451383"/>
    <w:rsid w:val="004514AB"/>
    <w:rsid w:val="0045157A"/>
    <w:rsid w:val="00451679"/>
    <w:rsid w:val="004516F4"/>
    <w:rsid w:val="004518DD"/>
    <w:rsid w:val="00451987"/>
    <w:rsid w:val="00451B46"/>
    <w:rsid w:val="00451BC5"/>
    <w:rsid w:val="00451D04"/>
    <w:rsid w:val="00451F18"/>
    <w:rsid w:val="00451F49"/>
    <w:rsid w:val="00452100"/>
    <w:rsid w:val="00452102"/>
    <w:rsid w:val="00452151"/>
    <w:rsid w:val="004521E2"/>
    <w:rsid w:val="0045253A"/>
    <w:rsid w:val="0045256B"/>
    <w:rsid w:val="00452A2F"/>
    <w:rsid w:val="00452A65"/>
    <w:rsid w:val="00452B09"/>
    <w:rsid w:val="00452C85"/>
    <w:rsid w:val="00452CA4"/>
    <w:rsid w:val="00452D42"/>
    <w:rsid w:val="00452E21"/>
    <w:rsid w:val="00452E56"/>
    <w:rsid w:val="00452EA7"/>
    <w:rsid w:val="00452ED4"/>
    <w:rsid w:val="00453055"/>
    <w:rsid w:val="00453091"/>
    <w:rsid w:val="004530C0"/>
    <w:rsid w:val="00453173"/>
    <w:rsid w:val="004531B3"/>
    <w:rsid w:val="00453227"/>
    <w:rsid w:val="00453480"/>
    <w:rsid w:val="004535BE"/>
    <w:rsid w:val="0045371F"/>
    <w:rsid w:val="0045378A"/>
    <w:rsid w:val="004537DC"/>
    <w:rsid w:val="00453898"/>
    <w:rsid w:val="00453B6C"/>
    <w:rsid w:val="00453C66"/>
    <w:rsid w:val="00453C7E"/>
    <w:rsid w:val="00453E15"/>
    <w:rsid w:val="00453EC7"/>
    <w:rsid w:val="00453ECB"/>
    <w:rsid w:val="00453FAA"/>
    <w:rsid w:val="0045405E"/>
    <w:rsid w:val="00454229"/>
    <w:rsid w:val="004542DE"/>
    <w:rsid w:val="00454318"/>
    <w:rsid w:val="004543E1"/>
    <w:rsid w:val="004543F1"/>
    <w:rsid w:val="004545A7"/>
    <w:rsid w:val="00454760"/>
    <w:rsid w:val="0045478A"/>
    <w:rsid w:val="00454A5D"/>
    <w:rsid w:val="00454B3E"/>
    <w:rsid w:val="00454BBF"/>
    <w:rsid w:val="00454C46"/>
    <w:rsid w:val="00454D2D"/>
    <w:rsid w:val="00454F30"/>
    <w:rsid w:val="00454FA9"/>
    <w:rsid w:val="00454FD5"/>
    <w:rsid w:val="00455049"/>
    <w:rsid w:val="0045520E"/>
    <w:rsid w:val="004552A0"/>
    <w:rsid w:val="004552A6"/>
    <w:rsid w:val="004552CF"/>
    <w:rsid w:val="0045535B"/>
    <w:rsid w:val="004553CE"/>
    <w:rsid w:val="0045565A"/>
    <w:rsid w:val="004556B6"/>
    <w:rsid w:val="00455760"/>
    <w:rsid w:val="00455830"/>
    <w:rsid w:val="004558B7"/>
    <w:rsid w:val="004558CC"/>
    <w:rsid w:val="0045598B"/>
    <w:rsid w:val="00455B60"/>
    <w:rsid w:val="00455C29"/>
    <w:rsid w:val="00455CB5"/>
    <w:rsid w:val="00455D0E"/>
    <w:rsid w:val="00455D58"/>
    <w:rsid w:val="00455E2B"/>
    <w:rsid w:val="00455F83"/>
    <w:rsid w:val="00455F9C"/>
    <w:rsid w:val="00456081"/>
    <w:rsid w:val="004560CC"/>
    <w:rsid w:val="0045618C"/>
    <w:rsid w:val="00456283"/>
    <w:rsid w:val="0045644C"/>
    <w:rsid w:val="0045656B"/>
    <w:rsid w:val="00456727"/>
    <w:rsid w:val="0045682E"/>
    <w:rsid w:val="004568AC"/>
    <w:rsid w:val="00456A1C"/>
    <w:rsid w:val="00456BCA"/>
    <w:rsid w:val="00456BE0"/>
    <w:rsid w:val="00456CA1"/>
    <w:rsid w:val="00456CA6"/>
    <w:rsid w:val="00456DAE"/>
    <w:rsid w:val="0045707C"/>
    <w:rsid w:val="004570BD"/>
    <w:rsid w:val="004570CA"/>
    <w:rsid w:val="00457129"/>
    <w:rsid w:val="00457155"/>
    <w:rsid w:val="00457194"/>
    <w:rsid w:val="0045719B"/>
    <w:rsid w:val="004572C9"/>
    <w:rsid w:val="004572D4"/>
    <w:rsid w:val="0045735D"/>
    <w:rsid w:val="004573D0"/>
    <w:rsid w:val="00457427"/>
    <w:rsid w:val="00457555"/>
    <w:rsid w:val="004576B4"/>
    <w:rsid w:val="0045771B"/>
    <w:rsid w:val="004578A3"/>
    <w:rsid w:val="00457B55"/>
    <w:rsid w:val="00457B8C"/>
    <w:rsid w:val="00457C24"/>
    <w:rsid w:val="00457D12"/>
    <w:rsid w:val="00457D3B"/>
    <w:rsid w:val="00457E34"/>
    <w:rsid w:val="00457F0A"/>
    <w:rsid w:val="00457F58"/>
    <w:rsid w:val="00460070"/>
    <w:rsid w:val="004600F2"/>
    <w:rsid w:val="00460180"/>
    <w:rsid w:val="004602A8"/>
    <w:rsid w:val="00460361"/>
    <w:rsid w:val="00460435"/>
    <w:rsid w:val="004604FC"/>
    <w:rsid w:val="004606C7"/>
    <w:rsid w:val="0046071D"/>
    <w:rsid w:val="004607DA"/>
    <w:rsid w:val="004607DD"/>
    <w:rsid w:val="004607DE"/>
    <w:rsid w:val="004607E4"/>
    <w:rsid w:val="0046087A"/>
    <w:rsid w:val="004608B2"/>
    <w:rsid w:val="00460935"/>
    <w:rsid w:val="004609B1"/>
    <w:rsid w:val="00460A83"/>
    <w:rsid w:val="00460B3F"/>
    <w:rsid w:val="00460CCF"/>
    <w:rsid w:val="00460D61"/>
    <w:rsid w:val="00460DBC"/>
    <w:rsid w:val="00460E44"/>
    <w:rsid w:val="00460FE9"/>
    <w:rsid w:val="00460FFA"/>
    <w:rsid w:val="00461067"/>
    <w:rsid w:val="0046113B"/>
    <w:rsid w:val="0046123F"/>
    <w:rsid w:val="00461446"/>
    <w:rsid w:val="004614E3"/>
    <w:rsid w:val="0046164A"/>
    <w:rsid w:val="004617B2"/>
    <w:rsid w:val="004617F5"/>
    <w:rsid w:val="0046184B"/>
    <w:rsid w:val="00461A39"/>
    <w:rsid w:val="00461B3F"/>
    <w:rsid w:val="00461C38"/>
    <w:rsid w:val="00461CB8"/>
    <w:rsid w:val="00461DA4"/>
    <w:rsid w:val="00461DA8"/>
    <w:rsid w:val="00461EE7"/>
    <w:rsid w:val="00462092"/>
    <w:rsid w:val="00462144"/>
    <w:rsid w:val="00462154"/>
    <w:rsid w:val="0046225A"/>
    <w:rsid w:val="004622A6"/>
    <w:rsid w:val="00462442"/>
    <w:rsid w:val="004625DC"/>
    <w:rsid w:val="0046262E"/>
    <w:rsid w:val="0046268E"/>
    <w:rsid w:val="0046298C"/>
    <w:rsid w:val="00462BF9"/>
    <w:rsid w:val="00462C17"/>
    <w:rsid w:val="00462FBE"/>
    <w:rsid w:val="0046302B"/>
    <w:rsid w:val="004630CA"/>
    <w:rsid w:val="004630CE"/>
    <w:rsid w:val="00463132"/>
    <w:rsid w:val="0046326D"/>
    <w:rsid w:val="004632B0"/>
    <w:rsid w:val="004633B2"/>
    <w:rsid w:val="004633CE"/>
    <w:rsid w:val="004633E7"/>
    <w:rsid w:val="0046341E"/>
    <w:rsid w:val="00463491"/>
    <w:rsid w:val="004634FD"/>
    <w:rsid w:val="00463592"/>
    <w:rsid w:val="004636BA"/>
    <w:rsid w:val="00463728"/>
    <w:rsid w:val="00463742"/>
    <w:rsid w:val="00463743"/>
    <w:rsid w:val="004638A6"/>
    <w:rsid w:val="004638B7"/>
    <w:rsid w:val="00463950"/>
    <w:rsid w:val="004639CE"/>
    <w:rsid w:val="00463DCC"/>
    <w:rsid w:val="00463E4C"/>
    <w:rsid w:val="00463EDC"/>
    <w:rsid w:val="00463EF5"/>
    <w:rsid w:val="00463EFB"/>
    <w:rsid w:val="004642D6"/>
    <w:rsid w:val="004642F1"/>
    <w:rsid w:val="00464349"/>
    <w:rsid w:val="004643B8"/>
    <w:rsid w:val="004643F9"/>
    <w:rsid w:val="004644C0"/>
    <w:rsid w:val="0046451A"/>
    <w:rsid w:val="004646BF"/>
    <w:rsid w:val="00464752"/>
    <w:rsid w:val="004647EA"/>
    <w:rsid w:val="00464837"/>
    <w:rsid w:val="00464923"/>
    <w:rsid w:val="004649C4"/>
    <w:rsid w:val="004649CD"/>
    <w:rsid w:val="00464A12"/>
    <w:rsid w:val="00464A80"/>
    <w:rsid w:val="00464B85"/>
    <w:rsid w:val="00464DCB"/>
    <w:rsid w:val="00464DD7"/>
    <w:rsid w:val="00464DF2"/>
    <w:rsid w:val="00464E04"/>
    <w:rsid w:val="00464EFB"/>
    <w:rsid w:val="00464FA3"/>
    <w:rsid w:val="0046513E"/>
    <w:rsid w:val="00465152"/>
    <w:rsid w:val="004651AB"/>
    <w:rsid w:val="004651E9"/>
    <w:rsid w:val="004651FF"/>
    <w:rsid w:val="00465235"/>
    <w:rsid w:val="004652A3"/>
    <w:rsid w:val="00465444"/>
    <w:rsid w:val="0046544F"/>
    <w:rsid w:val="00465474"/>
    <w:rsid w:val="0046560A"/>
    <w:rsid w:val="0046568F"/>
    <w:rsid w:val="0046569B"/>
    <w:rsid w:val="00465819"/>
    <w:rsid w:val="00465A9E"/>
    <w:rsid w:val="00465BA7"/>
    <w:rsid w:val="00465E7A"/>
    <w:rsid w:val="00465EF0"/>
    <w:rsid w:val="00465F37"/>
    <w:rsid w:val="00465F4A"/>
    <w:rsid w:val="00465F70"/>
    <w:rsid w:val="00466012"/>
    <w:rsid w:val="00466028"/>
    <w:rsid w:val="00466084"/>
    <w:rsid w:val="004660AE"/>
    <w:rsid w:val="004662EB"/>
    <w:rsid w:val="004664A5"/>
    <w:rsid w:val="00466629"/>
    <w:rsid w:val="00466690"/>
    <w:rsid w:val="00466706"/>
    <w:rsid w:val="004669A6"/>
    <w:rsid w:val="00466AAA"/>
    <w:rsid w:val="00466AFF"/>
    <w:rsid w:val="00466B55"/>
    <w:rsid w:val="00466C05"/>
    <w:rsid w:val="00466C6F"/>
    <w:rsid w:val="00466D66"/>
    <w:rsid w:val="00466EE1"/>
    <w:rsid w:val="00466EEA"/>
    <w:rsid w:val="00467001"/>
    <w:rsid w:val="00467046"/>
    <w:rsid w:val="0046704F"/>
    <w:rsid w:val="0046715C"/>
    <w:rsid w:val="0046717D"/>
    <w:rsid w:val="0046726D"/>
    <w:rsid w:val="00467523"/>
    <w:rsid w:val="00467532"/>
    <w:rsid w:val="004676B6"/>
    <w:rsid w:val="0046774B"/>
    <w:rsid w:val="0046777E"/>
    <w:rsid w:val="004677C3"/>
    <w:rsid w:val="0046786F"/>
    <w:rsid w:val="004678EF"/>
    <w:rsid w:val="0046790E"/>
    <w:rsid w:val="00467939"/>
    <w:rsid w:val="00467954"/>
    <w:rsid w:val="00467A74"/>
    <w:rsid w:val="00467C9A"/>
    <w:rsid w:val="00467CE1"/>
    <w:rsid w:val="00467D3C"/>
    <w:rsid w:val="00467D51"/>
    <w:rsid w:val="00467DA1"/>
    <w:rsid w:val="00467DEE"/>
    <w:rsid w:val="0047004D"/>
    <w:rsid w:val="004701CB"/>
    <w:rsid w:val="0047029F"/>
    <w:rsid w:val="00470340"/>
    <w:rsid w:val="00470348"/>
    <w:rsid w:val="00470452"/>
    <w:rsid w:val="00470567"/>
    <w:rsid w:val="004705AB"/>
    <w:rsid w:val="0047062C"/>
    <w:rsid w:val="0047084D"/>
    <w:rsid w:val="00470885"/>
    <w:rsid w:val="004708B8"/>
    <w:rsid w:val="00470BFB"/>
    <w:rsid w:val="00470D0A"/>
    <w:rsid w:val="00470D15"/>
    <w:rsid w:val="00470D56"/>
    <w:rsid w:val="00470D6C"/>
    <w:rsid w:val="00470E7A"/>
    <w:rsid w:val="00470F64"/>
    <w:rsid w:val="0047122F"/>
    <w:rsid w:val="00471256"/>
    <w:rsid w:val="004713AC"/>
    <w:rsid w:val="004713F5"/>
    <w:rsid w:val="004714AE"/>
    <w:rsid w:val="00471542"/>
    <w:rsid w:val="0047159D"/>
    <w:rsid w:val="00471648"/>
    <w:rsid w:val="004716D8"/>
    <w:rsid w:val="0047173E"/>
    <w:rsid w:val="004717CB"/>
    <w:rsid w:val="00471825"/>
    <w:rsid w:val="004719E6"/>
    <w:rsid w:val="00471B51"/>
    <w:rsid w:val="00471C2C"/>
    <w:rsid w:val="00471CA2"/>
    <w:rsid w:val="00471D86"/>
    <w:rsid w:val="00471EB0"/>
    <w:rsid w:val="00471FC6"/>
    <w:rsid w:val="0047204F"/>
    <w:rsid w:val="00472102"/>
    <w:rsid w:val="00472213"/>
    <w:rsid w:val="004722EF"/>
    <w:rsid w:val="004723FD"/>
    <w:rsid w:val="00472428"/>
    <w:rsid w:val="0047246D"/>
    <w:rsid w:val="0047253C"/>
    <w:rsid w:val="00472642"/>
    <w:rsid w:val="00472704"/>
    <w:rsid w:val="00472778"/>
    <w:rsid w:val="00472788"/>
    <w:rsid w:val="004728B9"/>
    <w:rsid w:val="004729D6"/>
    <w:rsid w:val="00472A1E"/>
    <w:rsid w:val="00472A55"/>
    <w:rsid w:val="00472C3C"/>
    <w:rsid w:val="00472C77"/>
    <w:rsid w:val="00472F63"/>
    <w:rsid w:val="004730F9"/>
    <w:rsid w:val="00473194"/>
    <w:rsid w:val="004731FE"/>
    <w:rsid w:val="0047335A"/>
    <w:rsid w:val="00473411"/>
    <w:rsid w:val="00473505"/>
    <w:rsid w:val="00473579"/>
    <w:rsid w:val="004736B9"/>
    <w:rsid w:val="004736C5"/>
    <w:rsid w:val="004739C5"/>
    <w:rsid w:val="00473A66"/>
    <w:rsid w:val="00473A88"/>
    <w:rsid w:val="00473DEC"/>
    <w:rsid w:val="00473F4F"/>
    <w:rsid w:val="0047404C"/>
    <w:rsid w:val="00474062"/>
    <w:rsid w:val="00474080"/>
    <w:rsid w:val="00474101"/>
    <w:rsid w:val="0047411B"/>
    <w:rsid w:val="004741E4"/>
    <w:rsid w:val="004742DD"/>
    <w:rsid w:val="004743A2"/>
    <w:rsid w:val="0047442D"/>
    <w:rsid w:val="0047443A"/>
    <w:rsid w:val="004744F0"/>
    <w:rsid w:val="00474678"/>
    <w:rsid w:val="004746BA"/>
    <w:rsid w:val="004746BC"/>
    <w:rsid w:val="00474899"/>
    <w:rsid w:val="0047495D"/>
    <w:rsid w:val="00474C66"/>
    <w:rsid w:val="00474FA5"/>
    <w:rsid w:val="00474FF6"/>
    <w:rsid w:val="0047516E"/>
    <w:rsid w:val="00475180"/>
    <w:rsid w:val="004751CB"/>
    <w:rsid w:val="004751E9"/>
    <w:rsid w:val="004752A5"/>
    <w:rsid w:val="004752AD"/>
    <w:rsid w:val="0047541A"/>
    <w:rsid w:val="0047541F"/>
    <w:rsid w:val="004755AE"/>
    <w:rsid w:val="004757A2"/>
    <w:rsid w:val="004757E1"/>
    <w:rsid w:val="004759B3"/>
    <w:rsid w:val="004759FD"/>
    <w:rsid w:val="00475AA4"/>
    <w:rsid w:val="00475C8E"/>
    <w:rsid w:val="00475C95"/>
    <w:rsid w:val="00475CAC"/>
    <w:rsid w:val="00475CCB"/>
    <w:rsid w:val="00475CDE"/>
    <w:rsid w:val="00475F11"/>
    <w:rsid w:val="00475F44"/>
    <w:rsid w:val="00476068"/>
    <w:rsid w:val="004760F7"/>
    <w:rsid w:val="00476101"/>
    <w:rsid w:val="00476113"/>
    <w:rsid w:val="00476343"/>
    <w:rsid w:val="004763B3"/>
    <w:rsid w:val="004763C2"/>
    <w:rsid w:val="00476487"/>
    <w:rsid w:val="004764F3"/>
    <w:rsid w:val="00476541"/>
    <w:rsid w:val="0047654B"/>
    <w:rsid w:val="00476650"/>
    <w:rsid w:val="004767DC"/>
    <w:rsid w:val="00476913"/>
    <w:rsid w:val="0047693D"/>
    <w:rsid w:val="00476961"/>
    <w:rsid w:val="00476A78"/>
    <w:rsid w:val="00476AA2"/>
    <w:rsid w:val="00476AFA"/>
    <w:rsid w:val="00476B64"/>
    <w:rsid w:val="00476C7E"/>
    <w:rsid w:val="00476CE0"/>
    <w:rsid w:val="00476D4E"/>
    <w:rsid w:val="00476D70"/>
    <w:rsid w:val="00476E1A"/>
    <w:rsid w:val="00476E60"/>
    <w:rsid w:val="004771D1"/>
    <w:rsid w:val="00477337"/>
    <w:rsid w:val="0047734A"/>
    <w:rsid w:val="00477541"/>
    <w:rsid w:val="00477619"/>
    <w:rsid w:val="00477650"/>
    <w:rsid w:val="00477667"/>
    <w:rsid w:val="004776C9"/>
    <w:rsid w:val="00477718"/>
    <w:rsid w:val="00477807"/>
    <w:rsid w:val="00477932"/>
    <w:rsid w:val="00477978"/>
    <w:rsid w:val="004779F8"/>
    <w:rsid w:val="00477A6A"/>
    <w:rsid w:val="00477A98"/>
    <w:rsid w:val="00477BFE"/>
    <w:rsid w:val="00477C65"/>
    <w:rsid w:val="00477C9A"/>
    <w:rsid w:val="00477CD1"/>
    <w:rsid w:val="00477CF7"/>
    <w:rsid w:val="00477D1C"/>
    <w:rsid w:val="00477D79"/>
    <w:rsid w:val="004800AE"/>
    <w:rsid w:val="004800B5"/>
    <w:rsid w:val="0048010C"/>
    <w:rsid w:val="00480155"/>
    <w:rsid w:val="0048015A"/>
    <w:rsid w:val="0048028D"/>
    <w:rsid w:val="004804E3"/>
    <w:rsid w:val="00480715"/>
    <w:rsid w:val="00480837"/>
    <w:rsid w:val="004808CD"/>
    <w:rsid w:val="00480A17"/>
    <w:rsid w:val="00480BC4"/>
    <w:rsid w:val="00480D12"/>
    <w:rsid w:val="00480DAD"/>
    <w:rsid w:val="00480E26"/>
    <w:rsid w:val="00480E49"/>
    <w:rsid w:val="00480E96"/>
    <w:rsid w:val="00480F47"/>
    <w:rsid w:val="00481198"/>
    <w:rsid w:val="0048129D"/>
    <w:rsid w:val="00481428"/>
    <w:rsid w:val="004814BD"/>
    <w:rsid w:val="0048155E"/>
    <w:rsid w:val="004815AC"/>
    <w:rsid w:val="00481669"/>
    <w:rsid w:val="0048166D"/>
    <w:rsid w:val="00481731"/>
    <w:rsid w:val="004818BA"/>
    <w:rsid w:val="00481916"/>
    <w:rsid w:val="00481955"/>
    <w:rsid w:val="00481A8A"/>
    <w:rsid w:val="00481CE9"/>
    <w:rsid w:val="00481DED"/>
    <w:rsid w:val="00481F16"/>
    <w:rsid w:val="00482021"/>
    <w:rsid w:val="00482268"/>
    <w:rsid w:val="0048238A"/>
    <w:rsid w:val="00482496"/>
    <w:rsid w:val="004824F6"/>
    <w:rsid w:val="00482582"/>
    <w:rsid w:val="0048269B"/>
    <w:rsid w:val="004827FB"/>
    <w:rsid w:val="0048283A"/>
    <w:rsid w:val="00482880"/>
    <w:rsid w:val="00482888"/>
    <w:rsid w:val="004829C5"/>
    <w:rsid w:val="00482A04"/>
    <w:rsid w:val="00482A17"/>
    <w:rsid w:val="00482C59"/>
    <w:rsid w:val="00482C64"/>
    <w:rsid w:val="00482C7F"/>
    <w:rsid w:val="00482C87"/>
    <w:rsid w:val="00482D21"/>
    <w:rsid w:val="00483024"/>
    <w:rsid w:val="0048303E"/>
    <w:rsid w:val="00483197"/>
    <w:rsid w:val="0048334E"/>
    <w:rsid w:val="004834B0"/>
    <w:rsid w:val="00483502"/>
    <w:rsid w:val="00483658"/>
    <w:rsid w:val="00483788"/>
    <w:rsid w:val="00483805"/>
    <w:rsid w:val="004838B2"/>
    <w:rsid w:val="004839A2"/>
    <w:rsid w:val="004839D8"/>
    <w:rsid w:val="004839DE"/>
    <w:rsid w:val="004839EC"/>
    <w:rsid w:val="00483A4B"/>
    <w:rsid w:val="00483A54"/>
    <w:rsid w:val="00483A6D"/>
    <w:rsid w:val="00483B56"/>
    <w:rsid w:val="00483C1C"/>
    <w:rsid w:val="00483CD0"/>
    <w:rsid w:val="00483D2A"/>
    <w:rsid w:val="00483E70"/>
    <w:rsid w:val="0048407E"/>
    <w:rsid w:val="00484304"/>
    <w:rsid w:val="004843AC"/>
    <w:rsid w:val="004844D5"/>
    <w:rsid w:val="004844FC"/>
    <w:rsid w:val="00484881"/>
    <w:rsid w:val="004848F0"/>
    <w:rsid w:val="00484990"/>
    <w:rsid w:val="004849F1"/>
    <w:rsid w:val="00484A5C"/>
    <w:rsid w:val="00484BF0"/>
    <w:rsid w:val="00484EFC"/>
    <w:rsid w:val="00484FC4"/>
    <w:rsid w:val="00485237"/>
    <w:rsid w:val="0048524F"/>
    <w:rsid w:val="0048535E"/>
    <w:rsid w:val="00485537"/>
    <w:rsid w:val="00485A05"/>
    <w:rsid w:val="00485CC6"/>
    <w:rsid w:val="00485D9A"/>
    <w:rsid w:val="00485E26"/>
    <w:rsid w:val="00485E61"/>
    <w:rsid w:val="00485E79"/>
    <w:rsid w:val="00486088"/>
    <w:rsid w:val="004860B1"/>
    <w:rsid w:val="004861CA"/>
    <w:rsid w:val="00486240"/>
    <w:rsid w:val="00486259"/>
    <w:rsid w:val="00486365"/>
    <w:rsid w:val="004864DB"/>
    <w:rsid w:val="004866BE"/>
    <w:rsid w:val="004866D3"/>
    <w:rsid w:val="00486760"/>
    <w:rsid w:val="00486902"/>
    <w:rsid w:val="00486A37"/>
    <w:rsid w:val="00486A78"/>
    <w:rsid w:val="00486AA7"/>
    <w:rsid w:val="00486AE0"/>
    <w:rsid w:val="00486B68"/>
    <w:rsid w:val="00486D05"/>
    <w:rsid w:val="00486DE5"/>
    <w:rsid w:val="00486E6E"/>
    <w:rsid w:val="0048708E"/>
    <w:rsid w:val="004870BE"/>
    <w:rsid w:val="004871CA"/>
    <w:rsid w:val="00487282"/>
    <w:rsid w:val="00487563"/>
    <w:rsid w:val="00487566"/>
    <w:rsid w:val="004875DF"/>
    <w:rsid w:val="0048774C"/>
    <w:rsid w:val="00487839"/>
    <w:rsid w:val="0048784F"/>
    <w:rsid w:val="00487A0A"/>
    <w:rsid w:val="00487C1D"/>
    <w:rsid w:val="00487C50"/>
    <w:rsid w:val="00487D5B"/>
    <w:rsid w:val="00487D75"/>
    <w:rsid w:val="00487E58"/>
    <w:rsid w:val="00487F2B"/>
    <w:rsid w:val="00487F7D"/>
    <w:rsid w:val="00490036"/>
    <w:rsid w:val="0049017A"/>
    <w:rsid w:val="0049021B"/>
    <w:rsid w:val="00490321"/>
    <w:rsid w:val="00490385"/>
    <w:rsid w:val="004903AF"/>
    <w:rsid w:val="00490590"/>
    <w:rsid w:val="00490698"/>
    <w:rsid w:val="004907BA"/>
    <w:rsid w:val="004907C8"/>
    <w:rsid w:val="00490897"/>
    <w:rsid w:val="004908A2"/>
    <w:rsid w:val="004908B9"/>
    <w:rsid w:val="00490956"/>
    <w:rsid w:val="00490AF8"/>
    <w:rsid w:val="00490C4E"/>
    <w:rsid w:val="00490C4F"/>
    <w:rsid w:val="00490C5C"/>
    <w:rsid w:val="00490F65"/>
    <w:rsid w:val="004910C6"/>
    <w:rsid w:val="004910CC"/>
    <w:rsid w:val="00491130"/>
    <w:rsid w:val="0049128C"/>
    <w:rsid w:val="004913F4"/>
    <w:rsid w:val="004913FE"/>
    <w:rsid w:val="004916C9"/>
    <w:rsid w:val="004918EA"/>
    <w:rsid w:val="0049199B"/>
    <w:rsid w:val="004919AB"/>
    <w:rsid w:val="004919C1"/>
    <w:rsid w:val="00491C66"/>
    <w:rsid w:val="00491CA9"/>
    <w:rsid w:val="00491CC6"/>
    <w:rsid w:val="00491CDD"/>
    <w:rsid w:val="00491ED7"/>
    <w:rsid w:val="00491F8C"/>
    <w:rsid w:val="00492025"/>
    <w:rsid w:val="00492026"/>
    <w:rsid w:val="00492114"/>
    <w:rsid w:val="00492337"/>
    <w:rsid w:val="0049234D"/>
    <w:rsid w:val="0049256C"/>
    <w:rsid w:val="0049290B"/>
    <w:rsid w:val="00492A19"/>
    <w:rsid w:val="00492A70"/>
    <w:rsid w:val="00492C28"/>
    <w:rsid w:val="00492C4E"/>
    <w:rsid w:val="00492CE1"/>
    <w:rsid w:val="00492E13"/>
    <w:rsid w:val="00492EB4"/>
    <w:rsid w:val="00492F8E"/>
    <w:rsid w:val="0049306D"/>
    <w:rsid w:val="00493155"/>
    <w:rsid w:val="0049318D"/>
    <w:rsid w:val="00493257"/>
    <w:rsid w:val="0049340D"/>
    <w:rsid w:val="00493572"/>
    <w:rsid w:val="004935D5"/>
    <w:rsid w:val="00493818"/>
    <w:rsid w:val="004938EC"/>
    <w:rsid w:val="00493938"/>
    <w:rsid w:val="00493942"/>
    <w:rsid w:val="00493959"/>
    <w:rsid w:val="00493B84"/>
    <w:rsid w:val="00493C40"/>
    <w:rsid w:val="00493CAE"/>
    <w:rsid w:val="00493CC2"/>
    <w:rsid w:val="00493D8D"/>
    <w:rsid w:val="0049400C"/>
    <w:rsid w:val="00494014"/>
    <w:rsid w:val="0049405E"/>
    <w:rsid w:val="00494202"/>
    <w:rsid w:val="004942A0"/>
    <w:rsid w:val="00494438"/>
    <w:rsid w:val="0049446C"/>
    <w:rsid w:val="0049456C"/>
    <w:rsid w:val="004946FF"/>
    <w:rsid w:val="004948BF"/>
    <w:rsid w:val="00494AC7"/>
    <w:rsid w:val="00494AF1"/>
    <w:rsid w:val="00494C6F"/>
    <w:rsid w:val="004950D6"/>
    <w:rsid w:val="0049515B"/>
    <w:rsid w:val="0049524B"/>
    <w:rsid w:val="0049536F"/>
    <w:rsid w:val="0049545D"/>
    <w:rsid w:val="004958D4"/>
    <w:rsid w:val="004958D7"/>
    <w:rsid w:val="00495BF6"/>
    <w:rsid w:val="00495C25"/>
    <w:rsid w:val="00495C33"/>
    <w:rsid w:val="00495F0D"/>
    <w:rsid w:val="00495F1A"/>
    <w:rsid w:val="00495FB6"/>
    <w:rsid w:val="00495FC4"/>
    <w:rsid w:val="00495FDC"/>
    <w:rsid w:val="00496019"/>
    <w:rsid w:val="0049605C"/>
    <w:rsid w:val="00496061"/>
    <w:rsid w:val="004960B6"/>
    <w:rsid w:val="004960CB"/>
    <w:rsid w:val="0049612D"/>
    <w:rsid w:val="00496327"/>
    <w:rsid w:val="0049635C"/>
    <w:rsid w:val="004963B0"/>
    <w:rsid w:val="0049651C"/>
    <w:rsid w:val="004965C2"/>
    <w:rsid w:val="004967F1"/>
    <w:rsid w:val="004968E1"/>
    <w:rsid w:val="00496AF2"/>
    <w:rsid w:val="00496B3D"/>
    <w:rsid w:val="00496CE4"/>
    <w:rsid w:val="00496D60"/>
    <w:rsid w:val="00496E7A"/>
    <w:rsid w:val="0049703A"/>
    <w:rsid w:val="00497097"/>
    <w:rsid w:val="00497306"/>
    <w:rsid w:val="00497309"/>
    <w:rsid w:val="00497328"/>
    <w:rsid w:val="00497331"/>
    <w:rsid w:val="00497493"/>
    <w:rsid w:val="0049754A"/>
    <w:rsid w:val="004975AA"/>
    <w:rsid w:val="004977E1"/>
    <w:rsid w:val="00497826"/>
    <w:rsid w:val="004978DA"/>
    <w:rsid w:val="00497943"/>
    <w:rsid w:val="0049796B"/>
    <w:rsid w:val="004979A5"/>
    <w:rsid w:val="004979C4"/>
    <w:rsid w:val="00497A61"/>
    <w:rsid w:val="00497ADB"/>
    <w:rsid w:val="00497B3C"/>
    <w:rsid w:val="00497BC3"/>
    <w:rsid w:val="00497BE3"/>
    <w:rsid w:val="00497C3D"/>
    <w:rsid w:val="00497C4D"/>
    <w:rsid w:val="00497D40"/>
    <w:rsid w:val="00497D57"/>
    <w:rsid w:val="00497EBC"/>
    <w:rsid w:val="00497ECC"/>
    <w:rsid w:val="00497EDD"/>
    <w:rsid w:val="004A0080"/>
    <w:rsid w:val="004A00C0"/>
    <w:rsid w:val="004A00F6"/>
    <w:rsid w:val="004A0212"/>
    <w:rsid w:val="004A0369"/>
    <w:rsid w:val="004A0427"/>
    <w:rsid w:val="004A0498"/>
    <w:rsid w:val="004A074D"/>
    <w:rsid w:val="004A07AE"/>
    <w:rsid w:val="004A080F"/>
    <w:rsid w:val="004A09DC"/>
    <w:rsid w:val="004A0AE0"/>
    <w:rsid w:val="004A0B9F"/>
    <w:rsid w:val="004A0C21"/>
    <w:rsid w:val="004A0C33"/>
    <w:rsid w:val="004A0DB4"/>
    <w:rsid w:val="004A0DB5"/>
    <w:rsid w:val="004A0F63"/>
    <w:rsid w:val="004A105D"/>
    <w:rsid w:val="004A10BB"/>
    <w:rsid w:val="004A10C1"/>
    <w:rsid w:val="004A11F7"/>
    <w:rsid w:val="004A1269"/>
    <w:rsid w:val="004A12F1"/>
    <w:rsid w:val="004A13E8"/>
    <w:rsid w:val="004A1595"/>
    <w:rsid w:val="004A1625"/>
    <w:rsid w:val="004A1644"/>
    <w:rsid w:val="004A1743"/>
    <w:rsid w:val="004A1771"/>
    <w:rsid w:val="004A188C"/>
    <w:rsid w:val="004A18BC"/>
    <w:rsid w:val="004A1A0D"/>
    <w:rsid w:val="004A1A19"/>
    <w:rsid w:val="004A1A8C"/>
    <w:rsid w:val="004A1AA7"/>
    <w:rsid w:val="004A1B48"/>
    <w:rsid w:val="004A1BC7"/>
    <w:rsid w:val="004A1C5D"/>
    <w:rsid w:val="004A1DAF"/>
    <w:rsid w:val="004A1DC7"/>
    <w:rsid w:val="004A1E50"/>
    <w:rsid w:val="004A2157"/>
    <w:rsid w:val="004A258B"/>
    <w:rsid w:val="004A26A5"/>
    <w:rsid w:val="004A2735"/>
    <w:rsid w:val="004A277B"/>
    <w:rsid w:val="004A28A3"/>
    <w:rsid w:val="004A29A5"/>
    <w:rsid w:val="004A2A94"/>
    <w:rsid w:val="004A2B46"/>
    <w:rsid w:val="004A2B66"/>
    <w:rsid w:val="004A2CEC"/>
    <w:rsid w:val="004A2D1E"/>
    <w:rsid w:val="004A2E03"/>
    <w:rsid w:val="004A2ED8"/>
    <w:rsid w:val="004A2F05"/>
    <w:rsid w:val="004A30C7"/>
    <w:rsid w:val="004A30F3"/>
    <w:rsid w:val="004A3254"/>
    <w:rsid w:val="004A3290"/>
    <w:rsid w:val="004A32AC"/>
    <w:rsid w:val="004A32E8"/>
    <w:rsid w:val="004A3401"/>
    <w:rsid w:val="004A3456"/>
    <w:rsid w:val="004A345E"/>
    <w:rsid w:val="004A3475"/>
    <w:rsid w:val="004A34B3"/>
    <w:rsid w:val="004A34E4"/>
    <w:rsid w:val="004A3549"/>
    <w:rsid w:val="004A35D9"/>
    <w:rsid w:val="004A3688"/>
    <w:rsid w:val="004A37DA"/>
    <w:rsid w:val="004A390A"/>
    <w:rsid w:val="004A3B4A"/>
    <w:rsid w:val="004A3C82"/>
    <w:rsid w:val="004A3D9A"/>
    <w:rsid w:val="004A3DAA"/>
    <w:rsid w:val="004A3DFB"/>
    <w:rsid w:val="004A3E94"/>
    <w:rsid w:val="004A4020"/>
    <w:rsid w:val="004A40FD"/>
    <w:rsid w:val="004A425C"/>
    <w:rsid w:val="004A430C"/>
    <w:rsid w:val="004A434B"/>
    <w:rsid w:val="004A43CD"/>
    <w:rsid w:val="004A43FF"/>
    <w:rsid w:val="004A4454"/>
    <w:rsid w:val="004A4636"/>
    <w:rsid w:val="004A4645"/>
    <w:rsid w:val="004A4856"/>
    <w:rsid w:val="004A4919"/>
    <w:rsid w:val="004A4926"/>
    <w:rsid w:val="004A49D5"/>
    <w:rsid w:val="004A4A78"/>
    <w:rsid w:val="004A4B77"/>
    <w:rsid w:val="004A4B81"/>
    <w:rsid w:val="004A4CB0"/>
    <w:rsid w:val="004A4F49"/>
    <w:rsid w:val="004A5063"/>
    <w:rsid w:val="004A52DF"/>
    <w:rsid w:val="004A5330"/>
    <w:rsid w:val="004A5373"/>
    <w:rsid w:val="004A54DC"/>
    <w:rsid w:val="004A5607"/>
    <w:rsid w:val="004A5651"/>
    <w:rsid w:val="004A5667"/>
    <w:rsid w:val="004A5704"/>
    <w:rsid w:val="004A57FC"/>
    <w:rsid w:val="004A5818"/>
    <w:rsid w:val="004A5823"/>
    <w:rsid w:val="004A58BF"/>
    <w:rsid w:val="004A5964"/>
    <w:rsid w:val="004A59EC"/>
    <w:rsid w:val="004A5A7D"/>
    <w:rsid w:val="004A5B6F"/>
    <w:rsid w:val="004A5C36"/>
    <w:rsid w:val="004A5C6A"/>
    <w:rsid w:val="004A5CD9"/>
    <w:rsid w:val="004A5D11"/>
    <w:rsid w:val="004A5E1B"/>
    <w:rsid w:val="004A5EBC"/>
    <w:rsid w:val="004A5F33"/>
    <w:rsid w:val="004A5FA4"/>
    <w:rsid w:val="004A607F"/>
    <w:rsid w:val="004A61DC"/>
    <w:rsid w:val="004A6251"/>
    <w:rsid w:val="004A6264"/>
    <w:rsid w:val="004A631C"/>
    <w:rsid w:val="004A6350"/>
    <w:rsid w:val="004A6465"/>
    <w:rsid w:val="004A6584"/>
    <w:rsid w:val="004A658E"/>
    <w:rsid w:val="004A697B"/>
    <w:rsid w:val="004A6A83"/>
    <w:rsid w:val="004A6BF3"/>
    <w:rsid w:val="004A6D33"/>
    <w:rsid w:val="004A6D73"/>
    <w:rsid w:val="004A6E1C"/>
    <w:rsid w:val="004A6E3B"/>
    <w:rsid w:val="004A6E6F"/>
    <w:rsid w:val="004A7002"/>
    <w:rsid w:val="004A7315"/>
    <w:rsid w:val="004A735D"/>
    <w:rsid w:val="004A7841"/>
    <w:rsid w:val="004A7961"/>
    <w:rsid w:val="004A7A62"/>
    <w:rsid w:val="004A7AAB"/>
    <w:rsid w:val="004A7AEC"/>
    <w:rsid w:val="004A7C52"/>
    <w:rsid w:val="004A7C56"/>
    <w:rsid w:val="004A7C8F"/>
    <w:rsid w:val="004A7DF6"/>
    <w:rsid w:val="004A7E3C"/>
    <w:rsid w:val="004A7E82"/>
    <w:rsid w:val="004A7EC5"/>
    <w:rsid w:val="004A7EEF"/>
    <w:rsid w:val="004B0057"/>
    <w:rsid w:val="004B0070"/>
    <w:rsid w:val="004B00DB"/>
    <w:rsid w:val="004B0229"/>
    <w:rsid w:val="004B033A"/>
    <w:rsid w:val="004B03A4"/>
    <w:rsid w:val="004B0422"/>
    <w:rsid w:val="004B0647"/>
    <w:rsid w:val="004B07BC"/>
    <w:rsid w:val="004B087F"/>
    <w:rsid w:val="004B0986"/>
    <w:rsid w:val="004B0AAF"/>
    <w:rsid w:val="004B0B4C"/>
    <w:rsid w:val="004B0B66"/>
    <w:rsid w:val="004B0D5F"/>
    <w:rsid w:val="004B0D98"/>
    <w:rsid w:val="004B0FB7"/>
    <w:rsid w:val="004B0FDC"/>
    <w:rsid w:val="004B1058"/>
    <w:rsid w:val="004B11AB"/>
    <w:rsid w:val="004B12F3"/>
    <w:rsid w:val="004B13AB"/>
    <w:rsid w:val="004B13E2"/>
    <w:rsid w:val="004B1452"/>
    <w:rsid w:val="004B1464"/>
    <w:rsid w:val="004B14A0"/>
    <w:rsid w:val="004B1624"/>
    <w:rsid w:val="004B18CC"/>
    <w:rsid w:val="004B19DA"/>
    <w:rsid w:val="004B1A3D"/>
    <w:rsid w:val="004B1C62"/>
    <w:rsid w:val="004B1CF7"/>
    <w:rsid w:val="004B1D58"/>
    <w:rsid w:val="004B1D9F"/>
    <w:rsid w:val="004B1F7C"/>
    <w:rsid w:val="004B20D9"/>
    <w:rsid w:val="004B214C"/>
    <w:rsid w:val="004B21C4"/>
    <w:rsid w:val="004B2225"/>
    <w:rsid w:val="004B2324"/>
    <w:rsid w:val="004B237E"/>
    <w:rsid w:val="004B2412"/>
    <w:rsid w:val="004B25EE"/>
    <w:rsid w:val="004B263A"/>
    <w:rsid w:val="004B2687"/>
    <w:rsid w:val="004B2714"/>
    <w:rsid w:val="004B2763"/>
    <w:rsid w:val="004B279E"/>
    <w:rsid w:val="004B27F5"/>
    <w:rsid w:val="004B29F4"/>
    <w:rsid w:val="004B2B84"/>
    <w:rsid w:val="004B2C65"/>
    <w:rsid w:val="004B2D5C"/>
    <w:rsid w:val="004B2D69"/>
    <w:rsid w:val="004B2DDA"/>
    <w:rsid w:val="004B2DFE"/>
    <w:rsid w:val="004B2EF9"/>
    <w:rsid w:val="004B2F32"/>
    <w:rsid w:val="004B2FD6"/>
    <w:rsid w:val="004B314A"/>
    <w:rsid w:val="004B3200"/>
    <w:rsid w:val="004B3233"/>
    <w:rsid w:val="004B33A3"/>
    <w:rsid w:val="004B370F"/>
    <w:rsid w:val="004B374F"/>
    <w:rsid w:val="004B3903"/>
    <w:rsid w:val="004B3924"/>
    <w:rsid w:val="004B3961"/>
    <w:rsid w:val="004B3AA4"/>
    <w:rsid w:val="004B3AFB"/>
    <w:rsid w:val="004B3B0A"/>
    <w:rsid w:val="004B3BAD"/>
    <w:rsid w:val="004B3C4C"/>
    <w:rsid w:val="004B3D8B"/>
    <w:rsid w:val="004B3E3D"/>
    <w:rsid w:val="004B3F95"/>
    <w:rsid w:val="004B3FD7"/>
    <w:rsid w:val="004B4157"/>
    <w:rsid w:val="004B41D3"/>
    <w:rsid w:val="004B433E"/>
    <w:rsid w:val="004B455A"/>
    <w:rsid w:val="004B45E0"/>
    <w:rsid w:val="004B4851"/>
    <w:rsid w:val="004B485F"/>
    <w:rsid w:val="004B48CB"/>
    <w:rsid w:val="004B4A2A"/>
    <w:rsid w:val="004B4A5C"/>
    <w:rsid w:val="004B4AA5"/>
    <w:rsid w:val="004B4BDA"/>
    <w:rsid w:val="004B4D7E"/>
    <w:rsid w:val="004B4E39"/>
    <w:rsid w:val="004B4E75"/>
    <w:rsid w:val="004B4EA1"/>
    <w:rsid w:val="004B518B"/>
    <w:rsid w:val="004B539A"/>
    <w:rsid w:val="004B53DB"/>
    <w:rsid w:val="004B5418"/>
    <w:rsid w:val="004B5463"/>
    <w:rsid w:val="004B5498"/>
    <w:rsid w:val="004B56B4"/>
    <w:rsid w:val="004B56DC"/>
    <w:rsid w:val="004B572E"/>
    <w:rsid w:val="004B5774"/>
    <w:rsid w:val="004B578E"/>
    <w:rsid w:val="004B5807"/>
    <w:rsid w:val="004B5A1C"/>
    <w:rsid w:val="004B5ABD"/>
    <w:rsid w:val="004B5B0F"/>
    <w:rsid w:val="004B5BE6"/>
    <w:rsid w:val="004B5C46"/>
    <w:rsid w:val="004B5C8C"/>
    <w:rsid w:val="004B5E3C"/>
    <w:rsid w:val="004B607B"/>
    <w:rsid w:val="004B631C"/>
    <w:rsid w:val="004B6369"/>
    <w:rsid w:val="004B6448"/>
    <w:rsid w:val="004B646C"/>
    <w:rsid w:val="004B652C"/>
    <w:rsid w:val="004B6580"/>
    <w:rsid w:val="004B674A"/>
    <w:rsid w:val="004B68E2"/>
    <w:rsid w:val="004B6903"/>
    <w:rsid w:val="004B6941"/>
    <w:rsid w:val="004B69C7"/>
    <w:rsid w:val="004B6ACF"/>
    <w:rsid w:val="004B6AD4"/>
    <w:rsid w:val="004B6BB4"/>
    <w:rsid w:val="004B6C62"/>
    <w:rsid w:val="004B6C8F"/>
    <w:rsid w:val="004B6D18"/>
    <w:rsid w:val="004B6D5C"/>
    <w:rsid w:val="004B6DC8"/>
    <w:rsid w:val="004B6FAC"/>
    <w:rsid w:val="004B6FE5"/>
    <w:rsid w:val="004B703A"/>
    <w:rsid w:val="004B710D"/>
    <w:rsid w:val="004B716A"/>
    <w:rsid w:val="004B71FE"/>
    <w:rsid w:val="004B728C"/>
    <w:rsid w:val="004B734A"/>
    <w:rsid w:val="004B74B0"/>
    <w:rsid w:val="004B74BD"/>
    <w:rsid w:val="004B74D2"/>
    <w:rsid w:val="004B76A4"/>
    <w:rsid w:val="004B78E2"/>
    <w:rsid w:val="004B78EE"/>
    <w:rsid w:val="004B79FB"/>
    <w:rsid w:val="004B7A62"/>
    <w:rsid w:val="004B7C33"/>
    <w:rsid w:val="004B7C43"/>
    <w:rsid w:val="004B7DA0"/>
    <w:rsid w:val="004B7DAA"/>
    <w:rsid w:val="004B7DAE"/>
    <w:rsid w:val="004B7EB8"/>
    <w:rsid w:val="004B7ED5"/>
    <w:rsid w:val="004C01C2"/>
    <w:rsid w:val="004C02A3"/>
    <w:rsid w:val="004C03A4"/>
    <w:rsid w:val="004C0455"/>
    <w:rsid w:val="004C04D1"/>
    <w:rsid w:val="004C04D4"/>
    <w:rsid w:val="004C04F6"/>
    <w:rsid w:val="004C057E"/>
    <w:rsid w:val="004C05A8"/>
    <w:rsid w:val="004C064E"/>
    <w:rsid w:val="004C0A11"/>
    <w:rsid w:val="004C0C24"/>
    <w:rsid w:val="004C0CF8"/>
    <w:rsid w:val="004C0E76"/>
    <w:rsid w:val="004C0EEA"/>
    <w:rsid w:val="004C106C"/>
    <w:rsid w:val="004C1167"/>
    <w:rsid w:val="004C120C"/>
    <w:rsid w:val="004C1345"/>
    <w:rsid w:val="004C1395"/>
    <w:rsid w:val="004C13D2"/>
    <w:rsid w:val="004C1410"/>
    <w:rsid w:val="004C14D7"/>
    <w:rsid w:val="004C1554"/>
    <w:rsid w:val="004C160F"/>
    <w:rsid w:val="004C1725"/>
    <w:rsid w:val="004C1848"/>
    <w:rsid w:val="004C18AB"/>
    <w:rsid w:val="004C19AA"/>
    <w:rsid w:val="004C19CE"/>
    <w:rsid w:val="004C1B77"/>
    <w:rsid w:val="004C1D16"/>
    <w:rsid w:val="004C1DC5"/>
    <w:rsid w:val="004C1E4D"/>
    <w:rsid w:val="004C1F95"/>
    <w:rsid w:val="004C1FE3"/>
    <w:rsid w:val="004C20BA"/>
    <w:rsid w:val="004C20DA"/>
    <w:rsid w:val="004C241B"/>
    <w:rsid w:val="004C2447"/>
    <w:rsid w:val="004C2472"/>
    <w:rsid w:val="004C24F2"/>
    <w:rsid w:val="004C2579"/>
    <w:rsid w:val="004C2612"/>
    <w:rsid w:val="004C26DF"/>
    <w:rsid w:val="004C2713"/>
    <w:rsid w:val="004C2806"/>
    <w:rsid w:val="004C28AB"/>
    <w:rsid w:val="004C28B7"/>
    <w:rsid w:val="004C29A2"/>
    <w:rsid w:val="004C2B1A"/>
    <w:rsid w:val="004C2B57"/>
    <w:rsid w:val="004C2C78"/>
    <w:rsid w:val="004C3023"/>
    <w:rsid w:val="004C3091"/>
    <w:rsid w:val="004C30A2"/>
    <w:rsid w:val="004C311B"/>
    <w:rsid w:val="004C314C"/>
    <w:rsid w:val="004C32DD"/>
    <w:rsid w:val="004C34CC"/>
    <w:rsid w:val="004C3520"/>
    <w:rsid w:val="004C3532"/>
    <w:rsid w:val="004C35AA"/>
    <w:rsid w:val="004C36F8"/>
    <w:rsid w:val="004C3757"/>
    <w:rsid w:val="004C375F"/>
    <w:rsid w:val="004C3795"/>
    <w:rsid w:val="004C38ED"/>
    <w:rsid w:val="004C3995"/>
    <w:rsid w:val="004C39E9"/>
    <w:rsid w:val="004C39F2"/>
    <w:rsid w:val="004C3C3D"/>
    <w:rsid w:val="004C3C60"/>
    <w:rsid w:val="004C3CE5"/>
    <w:rsid w:val="004C3DAA"/>
    <w:rsid w:val="004C3DFE"/>
    <w:rsid w:val="004C3FFC"/>
    <w:rsid w:val="004C42C5"/>
    <w:rsid w:val="004C42E2"/>
    <w:rsid w:val="004C4487"/>
    <w:rsid w:val="004C47F2"/>
    <w:rsid w:val="004C4826"/>
    <w:rsid w:val="004C4A26"/>
    <w:rsid w:val="004C4AE6"/>
    <w:rsid w:val="004C4B0D"/>
    <w:rsid w:val="004C4BF7"/>
    <w:rsid w:val="004C4C06"/>
    <w:rsid w:val="004C4C97"/>
    <w:rsid w:val="004C4DDD"/>
    <w:rsid w:val="004C5071"/>
    <w:rsid w:val="004C50CD"/>
    <w:rsid w:val="004C510B"/>
    <w:rsid w:val="004C5284"/>
    <w:rsid w:val="004C5324"/>
    <w:rsid w:val="004C5365"/>
    <w:rsid w:val="004C5367"/>
    <w:rsid w:val="004C5382"/>
    <w:rsid w:val="004C5427"/>
    <w:rsid w:val="004C5450"/>
    <w:rsid w:val="004C55F9"/>
    <w:rsid w:val="004C57E3"/>
    <w:rsid w:val="004C5B7E"/>
    <w:rsid w:val="004C5C29"/>
    <w:rsid w:val="004C5DCF"/>
    <w:rsid w:val="004C5DEA"/>
    <w:rsid w:val="004C5E60"/>
    <w:rsid w:val="004C5F39"/>
    <w:rsid w:val="004C5F40"/>
    <w:rsid w:val="004C5F45"/>
    <w:rsid w:val="004C6041"/>
    <w:rsid w:val="004C62F5"/>
    <w:rsid w:val="004C635E"/>
    <w:rsid w:val="004C63A5"/>
    <w:rsid w:val="004C646D"/>
    <w:rsid w:val="004C655C"/>
    <w:rsid w:val="004C6567"/>
    <w:rsid w:val="004C65E9"/>
    <w:rsid w:val="004C66A5"/>
    <w:rsid w:val="004C6773"/>
    <w:rsid w:val="004C6892"/>
    <w:rsid w:val="004C68C3"/>
    <w:rsid w:val="004C6953"/>
    <w:rsid w:val="004C6956"/>
    <w:rsid w:val="004C6A34"/>
    <w:rsid w:val="004C6ABD"/>
    <w:rsid w:val="004C6BB3"/>
    <w:rsid w:val="004C6C77"/>
    <w:rsid w:val="004C6D05"/>
    <w:rsid w:val="004C6DAD"/>
    <w:rsid w:val="004C6EB0"/>
    <w:rsid w:val="004C6ED0"/>
    <w:rsid w:val="004C6F4F"/>
    <w:rsid w:val="004C6F96"/>
    <w:rsid w:val="004C6FCA"/>
    <w:rsid w:val="004C7001"/>
    <w:rsid w:val="004C7009"/>
    <w:rsid w:val="004C7073"/>
    <w:rsid w:val="004C7244"/>
    <w:rsid w:val="004C7256"/>
    <w:rsid w:val="004C7286"/>
    <w:rsid w:val="004C73A1"/>
    <w:rsid w:val="004C7470"/>
    <w:rsid w:val="004C748E"/>
    <w:rsid w:val="004C76C3"/>
    <w:rsid w:val="004C7899"/>
    <w:rsid w:val="004C78C5"/>
    <w:rsid w:val="004C7A9F"/>
    <w:rsid w:val="004C7C22"/>
    <w:rsid w:val="004C7D51"/>
    <w:rsid w:val="004C7FC5"/>
    <w:rsid w:val="004D0249"/>
    <w:rsid w:val="004D0380"/>
    <w:rsid w:val="004D03D0"/>
    <w:rsid w:val="004D0639"/>
    <w:rsid w:val="004D0668"/>
    <w:rsid w:val="004D06F8"/>
    <w:rsid w:val="004D0903"/>
    <w:rsid w:val="004D0905"/>
    <w:rsid w:val="004D099E"/>
    <w:rsid w:val="004D0B69"/>
    <w:rsid w:val="004D0BCD"/>
    <w:rsid w:val="004D0BDE"/>
    <w:rsid w:val="004D0DAE"/>
    <w:rsid w:val="004D0EAD"/>
    <w:rsid w:val="004D0EF6"/>
    <w:rsid w:val="004D0F91"/>
    <w:rsid w:val="004D1005"/>
    <w:rsid w:val="004D101C"/>
    <w:rsid w:val="004D1030"/>
    <w:rsid w:val="004D1061"/>
    <w:rsid w:val="004D10E8"/>
    <w:rsid w:val="004D110A"/>
    <w:rsid w:val="004D11C7"/>
    <w:rsid w:val="004D1276"/>
    <w:rsid w:val="004D12CB"/>
    <w:rsid w:val="004D12F8"/>
    <w:rsid w:val="004D13AD"/>
    <w:rsid w:val="004D1458"/>
    <w:rsid w:val="004D14C2"/>
    <w:rsid w:val="004D150B"/>
    <w:rsid w:val="004D16D6"/>
    <w:rsid w:val="004D1706"/>
    <w:rsid w:val="004D1717"/>
    <w:rsid w:val="004D1738"/>
    <w:rsid w:val="004D19A2"/>
    <w:rsid w:val="004D1B27"/>
    <w:rsid w:val="004D1DE3"/>
    <w:rsid w:val="004D1E03"/>
    <w:rsid w:val="004D1E1D"/>
    <w:rsid w:val="004D1EA6"/>
    <w:rsid w:val="004D1EB6"/>
    <w:rsid w:val="004D1EC6"/>
    <w:rsid w:val="004D1FD0"/>
    <w:rsid w:val="004D214E"/>
    <w:rsid w:val="004D2263"/>
    <w:rsid w:val="004D234A"/>
    <w:rsid w:val="004D23D7"/>
    <w:rsid w:val="004D23EE"/>
    <w:rsid w:val="004D243F"/>
    <w:rsid w:val="004D2483"/>
    <w:rsid w:val="004D25C5"/>
    <w:rsid w:val="004D263D"/>
    <w:rsid w:val="004D26D1"/>
    <w:rsid w:val="004D271A"/>
    <w:rsid w:val="004D27E0"/>
    <w:rsid w:val="004D27F0"/>
    <w:rsid w:val="004D28DF"/>
    <w:rsid w:val="004D28E7"/>
    <w:rsid w:val="004D291D"/>
    <w:rsid w:val="004D2964"/>
    <w:rsid w:val="004D2976"/>
    <w:rsid w:val="004D2A9A"/>
    <w:rsid w:val="004D2AB0"/>
    <w:rsid w:val="004D2AB3"/>
    <w:rsid w:val="004D2B9D"/>
    <w:rsid w:val="004D2BA3"/>
    <w:rsid w:val="004D2C17"/>
    <w:rsid w:val="004D2C37"/>
    <w:rsid w:val="004D2C6E"/>
    <w:rsid w:val="004D2CAD"/>
    <w:rsid w:val="004D2D11"/>
    <w:rsid w:val="004D2E72"/>
    <w:rsid w:val="004D30D5"/>
    <w:rsid w:val="004D3239"/>
    <w:rsid w:val="004D3323"/>
    <w:rsid w:val="004D34F6"/>
    <w:rsid w:val="004D3521"/>
    <w:rsid w:val="004D3597"/>
    <w:rsid w:val="004D35D5"/>
    <w:rsid w:val="004D3650"/>
    <w:rsid w:val="004D36A5"/>
    <w:rsid w:val="004D37B9"/>
    <w:rsid w:val="004D384E"/>
    <w:rsid w:val="004D3868"/>
    <w:rsid w:val="004D3955"/>
    <w:rsid w:val="004D3AB3"/>
    <w:rsid w:val="004D3AC2"/>
    <w:rsid w:val="004D3B0D"/>
    <w:rsid w:val="004D3C2D"/>
    <w:rsid w:val="004D3C3C"/>
    <w:rsid w:val="004D3C96"/>
    <w:rsid w:val="004D3C9F"/>
    <w:rsid w:val="004D3DB2"/>
    <w:rsid w:val="004D3E2C"/>
    <w:rsid w:val="004D3EF3"/>
    <w:rsid w:val="004D3F7C"/>
    <w:rsid w:val="004D4185"/>
    <w:rsid w:val="004D435D"/>
    <w:rsid w:val="004D464C"/>
    <w:rsid w:val="004D473F"/>
    <w:rsid w:val="004D4AA6"/>
    <w:rsid w:val="004D4AEE"/>
    <w:rsid w:val="004D4CA7"/>
    <w:rsid w:val="004D4D1D"/>
    <w:rsid w:val="004D4D24"/>
    <w:rsid w:val="004D4D55"/>
    <w:rsid w:val="004D4D66"/>
    <w:rsid w:val="004D4DAC"/>
    <w:rsid w:val="004D4DCF"/>
    <w:rsid w:val="004D4E69"/>
    <w:rsid w:val="004D4E72"/>
    <w:rsid w:val="004D4E7D"/>
    <w:rsid w:val="004D4EB2"/>
    <w:rsid w:val="004D4EF9"/>
    <w:rsid w:val="004D50B2"/>
    <w:rsid w:val="004D510F"/>
    <w:rsid w:val="004D51B2"/>
    <w:rsid w:val="004D5338"/>
    <w:rsid w:val="004D53A5"/>
    <w:rsid w:val="004D53CF"/>
    <w:rsid w:val="004D551D"/>
    <w:rsid w:val="004D5745"/>
    <w:rsid w:val="004D5966"/>
    <w:rsid w:val="004D5968"/>
    <w:rsid w:val="004D59DB"/>
    <w:rsid w:val="004D5A01"/>
    <w:rsid w:val="004D5A0E"/>
    <w:rsid w:val="004D5A3E"/>
    <w:rsid w:val="004D5A41"/>
    <w:rsid w:val="004D5CD8"/>
    <w:rsid w:val="004D5CF5"/>
    <w:rsid w:val="004D5FE8"/>
    <w:rsid w:val="004D60A6"/>
    <w:rsid w:val="004D60F7"/>
    <w:rsid w:val="004D6116"/>
    <w:rsid w:val="004D6181"/>
    <w:rsid w:val="004D61E3"/>
    <w:rsid w:val="004D6254"/>
    <w:rsid w:val="004D6419"/>
    <w:rsid w:val="004D64CA"/>
    <w:rsid w:val="004D6582"/>
    <w:rsid w:val="004D6649"/>
    <w:rsid w:val="004D6B01"/>
    <w:rsid w:val="004D6B2E"/>
    <w:rsid w:val="004D6B40"/>
    <w:rsid w:val="004D6B60"/>
    <w:rsid w:val="004D6C2D"/>
    <w:rsid w:val="004D6C9F"/>
    <w:rsid w:val="004D6D48"/>
    <w:rsid w:val="004D6D9E"/>
    <w:rsid w:val="004D6E8F"/>
    <w:rsid w:val="004D6FEF"/>
    <w:rsid w:val="004D708D"/>
    <w:rsid w:val="004D70FD"/>
    <w:rsid w:val="004D7121"/>
    <w:rsid w:val="004D72EE"/>
    <w:rsid w:val="004D7361"/>
    <w:rsid w:val="004D7395"/>
    <w:rsid w:val="004D7473"/>
    <w:rsid w:val="004D74C0"/>
    <w:rsid w:val="004D7620"/>
    <w:rsid w:val="004D7722"/>
    <w:rsid w:val="004D78A1"/>
    <w:rsid w:val="004D790C"/>
    <w:rsid w:val="004D792D"/>
    <w:rsid w:val="004D7A12"/>
    <w:rsid w:val="004D7AED"/>
    <w:rsid w:val="004D7D07"/>
    <w:rsid w:val="004D7E17"/>
    <w:rsid w:val="004D7EF3"/>
    <w:rsid w:val="004E0050"/>
    <w:rsid w:val="004E00F6"/>
    <w:rsid w:val="004E0136"/>
    <w:rsid w:val="004E0281"/>
    <w:rsid w:val="004E03EC"/>
    <w:rsid w:val="004E045E"/>
    <w:rsid w:val="004E0492"/>
    <w:rsid w:val="004E0493"/>
    <w:rsid w:val="004E05B4"/>
    <w:rsid w:val="004E05E7"/>
    <w:rsid w:val="004E05ED"/>
    <w:rsid w:val="004E064D"/>
    <w:rsid w:val="004E0661"/>
    <w:rsid w:val="004E0832"/>
    <w:rsid w:val="004E093E"/>
    <w:rsid w:val="004E0BB1"/>
    <w:rsid w:val="004E0C22"/>
    <w:rsid w:val="004E0C52"/>
    <w:rsid w:val="004E0C54"/>
    <w:rsid w:val="004E0C85"/>
    <w:rsid w:val="004E0D54"/>
    <w:rsid w:val="004E0DD3"/>
    <w:rsid w:val="004E0FA6"/>
    <w:rsid w:val="004E11DB"/>
    <w:rsid w:val="004E1407"/>
    <w:rsid w:val="004E165C"/>
    <w:rsid w:val="004E1763"/>
    <w:rsid w:val="004E19DB"/>
    <w:rsid w:val="004E1A79"/>
    <w:rsid w:val="004E1D8B"/>
    <w:rsid w:val="004E1DE8"/>
    <w:rsid w:val="004E1F4D"/>
    <w:rsid w:val="004E203F"/>
    <w:rsid w:val="004E220E"/>
    <w:rsid w:val="004E2273"/>
    <w:rsid w:val="004E22D2"/>
    <w:rsid w:val="004E237C"/>
    <w:rsid w:val="004E24AC"/>
    <w:rsid w:val="004E2582"/>
    <w:rsid w:val="004E268A"/>
    <w:rsid w:val="004E26B1"/>
    <w:rsid w:val="004E2842"/>
    <w:rsid w:val="004E2983"/>
    <w:rsid w:val="004E29B0"/>
    <w:rsid w:val="004E2BBB"/>
    <w:rsid w:val="004E2C21"/>
    <w:rsid w:val="004E2C73"/>
    <w:rsid w:val="004E2EC4"/>
    <w:rsid w:val="004E2FB5"/>
    <w:rsid w:val="004E332B"/>
    <w:rsid w:val="004E3384"/>
    <w:rsid w:val="004E33AA"/>
    <w:rsid w:val="004E33DC"/>
    <w:rsid w:val="004E3489"/>
    <w:rsid w:val="004E358C"/>
    <w:rsid w:val="004E3683"/>
    <w:rsid w:val="004E36B5"/>
    <w:rsid w:val="004E36E9"/>
    <w:rsid w:val="004E3781"/>
    <w:rsid w:val="004E378E"/>
    <w:rsid w:val="004E38C4"/>
    <w:rsid w:val="004E38EB"/>
    <w:rsid w:val="004E3BBF"/>
    <w:rsid w:val="004E3D23"/>
    <w:rsid w:val="004E3DCE"/>
    <w:rsid w:val="004E3F30"/>
    <w:rsid w:val="004E3F9C"/>
    <w:rsid w:val="004E405A"/>
    <w:rsid w:val="004E4097"/>
    <w:rsid w:val="004E4144"/>
    <w:rsid w:val="004E4496"/>
    <w:rsid w:val="004E44A4"/>
    <w:rsid w:val="004E44FB"/>
    <w:rsid w:val="004E4520"/>
    <w:rsid w:val="004E4756"/>
    <w:rsid w:val="004E4ADD"/>
    <w:rsid w:val="004E4AF5"/>
    <w:rsid w:val="004E4B6F"/>
    <w:rsid w:val="004E4D58"/>
    <w:rsid w:val="004E4E33"/>
    <w:rsid w:val="004E4FB4"/>
    <w:rsid w:val="004E52BB"/>
    <w:rsid w:val="004E52D7"/>
    <w:rsid w:val="004E53F0"/>
    <w:rsid w:val="004E559A"/>
    <w:rsid w:val="004E56D9"/>
    <w:rsid w:val="004E5705"/>
    <w:rsid w:val="004E574C"/>
    <w:rsid w:val="004E5A36"/>
    <w:rsid w:val="004E5A85"/>
    <w:rsid w:val="004E5BE3"/>
    <w:rsid w:val="004E5C67"/>
    <w:rsid w:val="004E5C9D"/>
    <w:rsid w:val="004E5CAB"/>
    <w:rsid w:val="004E5D06"/>
    <w:rsid w:val="004E5D26"/>
    <w:rsid w:val="004E5DDA"/>
    <w:rsid w:val="004E5F24"/>
    <w:rsid w:val="004E60AE"/>
    <w:rsid w:val="004E6118"/>
    <w:rsid w:val="004E61BD"/>
    <w:rsid w:val="004E6308"/>
    <w:rsid w:val="004E6330"/>
    <w:rsid w:val="004E6399"/>
    <w:rsid w:val="004E63EF"/>
    <w:rsid w:val="004E674D"/>
    <w:rsid w:val="004E6793"/>
    <w:rsid w:val="004E683B"/>
    <w:rsid w:val="004E694A"/>
    <w:rsid w:val="004E6993"/>
    <w:rsid w:val="004E699F"/>
    <w:rsid w:val="004E6B67"/>
    <w:rsid w:val="004E6B6A"/>
    <w:rsid w:val="004E6BED"/>
    <w:rsid w:val="004E6C81"/>
    <w:rsid w:val="004E6CDF"/>
    <w:rsid w:val="004E6F1C"/>
    <w:rsid w:val="004E7043"/>
    <w:rsid w:val="004E714B"/>
    <w:rsid w:val="004E7262"/>
    <w:rsid w:val="004E736B"/>
    <w:rsid w:val="004E73CE"/>
    <w:rsid w:val="004E746B"/>
    <w:rsid w:val="004E7584"/>
    <w:rsid w:val="004E7594"/>
    <w:rsid w:val="004E7775"/>
    <w:rsid w:val="004E7E2F"/>
    <w:rsid w:val="004E7ECE"/>
    <w:rsid w:val="004E7FA8"/>
    <w:rsid w:val="004F003B"/>
    <w:rsid w:val="004F00E5"/>
    <w:rsid w:val="004F012D"/>
    <w:rsid w:val="004F013A"/>
    <w:rsid w:val="004F0198"/>
    <w:rsid w:val="004F01D8"/>
    <w:rsid w:val="004F021B"/>
    <w:rsid w:val="004F032F"/>
    <w:rsid w:val="004F04DD"/>
    <w:rsid w:val="004F0515"/>
    <w:rsid w:val="004F05DC"/>
    <w:rsid w:val="004F062C"/>
    <w:rsid w:val="004F0670"/>
    <w:rsid w:val="004F07B9"/>
    <w:rsid w:val="004F080E"/>
    <w:rsid w:val="004F083C"/>
    <w:rsid w:val="004F08FF"/>
    <w:rsid w:val="004F0B4F"/>
    <w:rsid w:val="004F0BD0"/>
    <w:rsid w:val="004F0D11"/>
    <w:rsid w:val="004F0D7B"/>
    <w:rsid w:val="004F0DBB"/>
    <w:rsid w:val="004F0E4A"/>
    <w:rsid w:val="004F0E94"/>
    <w:rsid w:val="004F0F76"/>
    <w:rsid w:val="004F1052"/>
    <w:rsid w:val="004F1065"/>
    <w:rsid w:val="004F11E8"/>
    <w:rsid w:val="004F1223"/>
    <w:rsid w:val="004F127F"/>
    <w:rsid w:val="004F129D"/>
    <w:rsid w:val="004F12FE"/>
    <w:rsid w:val="004F136F"/>
    <w:rsid w:val="004F1370"/>
    <w:rsid w:val="004F13E1"/>
    <w:rsid w:val="004F153D"/>
    <w:rsid w:val="004F155D"/>
    <w:rsid w:val="004F158D"/>
    <w:rsid w:val="004F16EA"/>
    <w:rsid w:val="004F17CC"/>
    <w:rsid w:val="004F18DF"/>
    <w:rsid w:val="004F18E6"/>
    <w:rsid w:val="004F1A08"/>
    <w:rsid w:val="004F1A8A"/>
    <w:rsid w:val="004F1B3B"/>
    <w:rsid w:val="004F1B7C"/>
    <w:rsid w:val="004F1C8B"/>
    <w:rsid w:val="004F1E1C"/>
    <w:rsid w:val="004F1E5A"/>
    <w:rsid w:val="004F1EB1"/>
    <w:rsid w:val="004F20AF"/>
    <w:rsid w:val="004F20B8"/>
    <w:rsid w:val="004F2324"/>
    <w:rsid w:val="004F2448"/>
    <w:rsid w:val="004F249D"/>
    <w:rsid w:val="004F2609"/>
    <w:rsid w:val="004F2716"/>
    <w:rsid w:val="004F276A"/>
    <w:rsid w:val="004F276B"/>
    <w:rsid w:val="004F27AD"/>
    <w:rsid w:val="004F2827"/>
    <w:rsid w:val="004F2878"/>
    <w:rsid w:val="004F2968"/>
    <w:rsid w:val="004F2C65"/>
    <w:rsid w:val="004F2C6E"/>
    <w:rsid w:val="004F2D16"/>
    <w:rsid w:val="004F2D3A"/>
    <w:rsid w:val="004F2D41"/>
    <w:rsid w:val="004F2D48"/>
    <w:rsid w:val="004F2D55"/>
    <w:rsid w:val="004F2D64"/>
    <w:rsid w:val="004F2DDD"/>
    <w:rsid w:val="004F2E39"/>
    <w:rsid w:val="004F2E4C"/>
    <w:rsid w:val="004F2E8A"/>
    <w:rsid w:val="004F2ED7"/>
    <w:rsid w:val="004F2FA5"/>
    <w:rsid w:val="004F3036"/>
    <w:rsid w:val="004F31C2"/>
    <w:rsid w:val="004F337A"/>
    <w:rsid w:val="004F343C"/>
    <w:rsid w:val="004F347E"/>
    <w:rsid w:val="004F34B2"/>
    <w:rsid w:val="004F34B4"/>
    <w:rsid w:val="004F369C"/>
    <w:rsid w:val="004F370A"/>
    <w:rsid w:val="004F3772"/>
    <w:rsid w:val="004F38C3"/>
    <w:rsid w:val="004F3921"/>
    <w:rsid w:val="004F39E3"/>
    <w:rsid w:val="004F3A9D"/>
    <w:rsid w:val="004F3ADD"/>
    <w:rsid w:val="004F3C76"/>
    <w:rsid w:val="004F3C82"/>
    <w:rsid w:val="004F3D37"/>
    <w:rsid w:val="004F3E13"/>
    <w:rsid w:val="004F3F36"/>
    <w:rsid w:val="004F3F99"/>
    <w:rsid w:val="004F3FA9"/>
    <w:rsid w:val="004F422A"/>
    <w:rsid w:val="004F4284"/>
    <w:rsid w:val="004F42B2"/>
    <w:rsid w:val="004F4376"/>
    <w:rsid w:val="004F43A3"/>
    <w:rsid w:val="004F4442"/>
    <w:rsid w:val="004F44FF"/>
    <w:rsid w:val="004F45FD"/>
    <w:rsid w:val="004F488A"/>
    <w:rsid w:val="004F4895"/>
    <w:rsid w:val="004F4B37"/>
    <w:rsid w:val="004F4D26"/>
    <w:rsid w:val="004F4D3E"/>
    <w:rsid w:val="004F4F03"/>
    <w:rsid w:val="004F4F56"/>
    <w:rsid w:val="004F500D"/>
    <w:rsid w:val="004F5033"/>
    <w:rsid w:val="004F50C0"/>
    <w:rsid w:val="004F50D7"/>
    <w:rsid w:val="004F5209"/>
    <w:rsid w:val="004F52A4"/>
    <w:rsid w:val="004F53E7"/>
    <w:rsid w:val="004F55E1"/>
    <w:rsid w:val="004F572A"/>
    <w:rsid w:val="004F589F"/>
    <w:rsid w:val="004F5A3E"/>
    <w:rsid w:val="004F5A4F"/>
    <w:rsid w:val="004F5C83"/>
    <w:rsid w:val="004F5C95"/>
    <w:rsid w:val="004F5E72"/>
    <w:rsid w:val="004F6079"/>
    <w:rsid w:val="004F61E2"/>
    <w:rsid w:val="004F6233"/>
    <w:rsid w:val="004F6579"/>
    <w:rsid w:val="004F65AA"/>
    <w:rsid w:val="004F65F0"/>
    <w:rsid w:val="004F6667"/>
    <w:rsid w:val="004F6844"/>
    <w:rsid w:val="004F696B"/>
    <w:rsid w:val="004F69C8"/>
    <w:rsid w:val="004F6BC3"/>
    <w:rsid w:val="004F6C67"/>
    <w:rsid w:val="004F6D17"/>
    <w:rsid w:val="004F6DD2"/>
    <w:rsid w:val="004F6DFD"/>
    <w:rsid w:val="004F6EFE"/>
    <w:rsid w:val="004F6F9E"/>
    <w:rsid w:val="004F71F7"/>
    <w:rsid w:val="004F7268"/>
    <w:rsid w:val="004F73E1"/>
    <w:rsid w:val="004F7586"/>
    <w:rsid w:val="004F7594"/>
    <w:rsid w:val="004F77BF"/>
    <w:rsid w:val="004F79DB"/>
    <w:rsid w:val="004F7ABA"/>
    <w:rsid w:val="004F7C0C"/>
    <w:rsid w:val="004F7CC7"/>
    <w:rsid w:val="004F7CCA"/>
    <w:rsid w:val="004F7D4E"/>
    <w:rsid w:val="004F7D7C"/>
    <w:rsid w:val="004F7D8C"/>
    <w:rsid w:val="004F7EA4"/>
    <w:rsid w:val="004F7F6F"/>
    <w:rsid w:val="004F7FDA"/>
    <w:rsid w:val="00500004"/>
    <w:rsid w:val="00500016"/>
    <w:rsid w:val="00500071"/>
    <w:rsid w:val="005000EB"/>
    <w:rsid w:val="00500145"/>
    <w:rsid w:val="0050016F"/>
    <w:rsid w:val="00500172"/>
    <w:rsid w:val="0050019C"/>
    <w:rsid w:val="005003AF"/>
    <w:rsid w:val="00500413"/>
    <w:rsid w:val="00500471"/>
    <w:rsid w:val="005004A3"/>
    <w:rsid w:val="005005D3"/>
    <w:rsid w:val="005005E1"/>
    <w:rsid w:val="0050064B"/>
    <w:rsid w:val="00500675"/>
    <w:rsid w:val="00500747"/>
    <w:rsid w:val="005007EB"/>
    <w:rsid w:val="00500980"/>
    <w:rsid w:val="00500A85"/>
    <w:rsid w:val="00500B48"/>
    <w:rsid w:val="00500CB1"/>
    <w:rsid w:val="00500EE9"/>
    <w:rsid w:val="00500EF7"/>
    <w:rsid w:val="00500F34"/>
    <w:rsid w:val="00500FF1"/>
    <w:rsid w:val="0050111E"/>
    <w:rsid w:val="005011BE"/>
    <w:rsid w:val="00501241"/>
    <w:rsid w:val="005012B9"/>
    <w:rsid w:val="0050147C"/>
    <w:rsid w:val="005014D9"/>
    <w:rsid w:val="00501572"/>
    <w:rsid w:val="0050159E"/>
    <w:rsid w:val="0050189C"/>
    <w:rsid w:val="0050190B"/>
    <w:rsid w:val="0050194D"/>
    <w:rsid w:val="0050197E"/>
    <w:rsid w:val="005019A0"/>
    <w:rsid w:val="00501C4B"/>
    <w:rsid w:val="00501CA3"/>
    <w:rsid w:val="0050203E"/>
    <w:rsid w:val="00502055"/>
    <w:rsid w:val="0050207E"/>
    <w:rsid w:val="005020C4"/>
    <w:rsid w:val="00502126"/>
    <w:rsid w:val="005021E4"/>
    <w:rsid w:val="005021F7"/>
    <w:rsid w:val="00502273"/>
    <w:rsid w:val="00502512"/>
    <w:rsid w:val="00502556"/>
    <w:rsid w:val="005025A0"/>
    <w:rsid w:val="005025FF"/>
    <w:rsid w:val="005028A7"/>
    <w:rsid w:val="005028E0"/>
    <w:rsid w:val="00502A3B"/>
    <w:rsid w:val="00502A7B"/>
    <w:rsid w:val="00502A8E"/>
    <w:rsid w:val="00502B6A"/>
    <w:rsid w:val="00502CF8"/>
    <w:rsid w:val="00502DF7"/>
    <w:rsid w:val="00502EAF"/>
    <w:rsid w:val="00502F51"/>
    <w:rsid w:val="0050301B"/>
    <w:rsid w:val="005030E6"/>
    <w:rsid w:val="0050318E"/>
    <w:rsid w:val="00503206"/>
    <w:rsid w:val="005033F4"/>
    <w:rsid w:val="0050357A"/>
    <w:rsid w:val="00503643"/>
    <w:rsid w:val="00503693"/>
    <w:rsid w:val="00503865"/>
    <w:rsid w:val="00503884"/>
    <w:rsid w:val="00503951"/>
    <w:rsid w:val="00503C1D"/>
    <w:rsid w:val="00503CC7"/>
    <w:rsid w:val="00503D68"/>
    <w:rsid w:val="00503DBD"/>
    <w:rsid w:val="00503DC6"/>
    <w:rsid w:val="00503DC8"/>
    <w:rsid w:val="00503F42"/>
    <w:rsid w:val="00503FA2"/>
    <w:rsid w:val="00503FA8"/>
    <w:rsid w:val="0050404A"/>
    <w:rsid w:val="00504153"/>
    <w:rsid w:val="00504170"/>
    <w:rsid w:val="0050417F"/>
    <w:rsid w:val="00504407"/>
    <w:rsid w:val="0050452F"/>
    <w:rsid w:val="0050454B"/>
    <w:rsid w:val="005045D9"/>
    <w:rsid w:val="00504680"/>
    <w:rsid w:val="005046FC"/>
    <w:rsid w:val="0050487C"/>
    <w:rsid w:val="005048A8"/>
    <w:rsid w:val="005048FE"/>
    <w:rsid w:val="00504925"/>
    <w:rsid w:val="00504C39"/>
    <w:rsid w:val="00505068"/>
    <w:rsid w:val="005050AE"/>
    <w:rsid w:val="00505158"/>
    <w:rsid w:val="005054F0"/>
    <w:rsid w:val="0050559B"/>
    <w:rsid w:val="00505642"/>
    <w:rsid w:val="00505669"/>
    <w:rsid w:val="005057C3"/>
    <w:rsid w:val="005058ED"/>
    <w:rsid w:val="00505AD2"/>
    <w:rsid w:val="00505D3E"/>
    <w:rsid w:val="00505DD6"/>
    <w:rsid w:val="00505DE2"/>
    <w:rsid w:val="00505DED"/>
    <w:rsid w:val="00505DF4"/>
    <w:rsid w:val="00505E5C"/>
    <w:rsid w:val="00505EE4"/>
    <w:rsid w:val="00505F16"/>
    <w:rsid w:val="00505FC8"/>
    <w:rsid w:val="00506063"/>
    <w:rsid w:val="0050606F"/>
    <w:rsid w:val="0050617C"/>
    <w:rsid w:val="005061C9"/>
    <w:rsid w:val="00506283"/>
    <w:rsid w:val="005062B0"/>
    <w:rsid w:val="00506382"/>
    <w:rsid w:val="005063D1"/>
    <w:rsid w:val="00506441"/>
    <w:rsid w:val="0050646F"/>
    <w:rsid w:val="00506543"/>
    <w:rsid w:val="00506556"/>
    <w:rsid w:val="0050666D"/>
    <w:rsid w:val="0050667D"/>
    <w:rsid w:val="005066A1"/>
    <w:rsid w:val="005067B2"/>
    <w:rsid w:val="00506878"/>
    <w:rsid w:val="00506A6E"/>
    <w:rsid w:val="00506ACA"/>
    <w:rsid w:val="00506B37"/>
    <w:rsid w:val="00506C04"/>
    <w:rsid w:val="00506C95"/>
    <w:rsid w:val="00506CAF"/>
    <w:rsid w:val="00506D87"/>
    <w:rsid w:val="00506E6C"/>
    <w:rsid w:val="005073BF"/>
    <w:rsid w:val="005074E0"/>
    <w:rsid w:val="00507570"/>
    <w:rsid w:val="005075FE"/>
    <w:rsid w:val="00507628"/>
    <w:rsid w:val="0050770C"/>
    <w:rsid w:val="00507749"/>
    <w:rsid w:val="00507752"/>
    <w:rsid w:val="005078B7"/>
    <w:rsid w:val="005078D4"/>
    <w:rsid w:val="0050793A"/>
    <w:rsid w:val="00507975"/>
    <w:rsid w:val="005079E0"/>
    <w:rsid w:val="00507A28"/>
    <w:rsid w:val="00507AC6"/>
    <w:rsid w:val="00507AE2"/>
    <w:rsid w:val="00507B30"/>
    <w:rsid w:val="00507C7F"/>
    <w:rsid w:val="00507DC8"/>
    <w:rsid w:val="00507F92"/>
    <w:rsid w:val="00507FE4"/>
    <w:rsid w:val="0051004B"/>
    <w:rsid w:val="0051017D"/>
    <w:rsid w:val="0051022D"/>
    <w:rsid w:val="0051022E"/>
    <w:rsid w:val="0051035E"/>
    <w:rsid w:val="005104CA"/>
    <w:rsid w:val="00510518"/>
    <w:rsid w:val="0051051C"/>
    <w:rsid w:val="00510533"/>
    <w:rsid w:val="005105C7"/>
    <w:rsid w:val="005107CE"/>
    <w:rsid w:val="00510815"/>
    <w:rsid w:val="005108D0"/>
    <w:rsid w:val="00510A81"/>
    <w:rsid w:val="00510A92"/>
    <w:rsid w:val="00510AF2"/>
    <w:rsid w:val="00510B87"/>
    <w:rsid w:val="00510D5C"/>
    <w:rsid w:val="00510D73"/>
    <w:rsid w:val="00510DB3"/>
    <w:rsid w:val="00510E17"/>
    <w:rsid w:val="00510E89"/>
    <w:rsid w:val="00510EA1"/>
    <w:rsid w:val="00511137"/>
    <w:rsid w:val="005111A5"/>
    <w:rsid w:val="00511233"/>
    <w:rsid w:val="00511314"/>
    <w:rsid w:val="0051148A"/>
    <w:rsid w:val="005114D2"/>
    <w:rsid w:val="005115B8"/>
    <w:rsid w:val="005115E2"/>
    <w:rsid w:val="005115F3"/>
    <w:rsid w:val="00511626"/>
    <w:rsid w:val="005116AD"/>
    <w:rsid w:val="00511747"/>
    <w:rsid w:val="00511767"/>
    <w:rsid w:val="005118CB"/>
    <w:rsid w:val="0051198A"/>
    <w:rsid w:val="005119FE"/>
    <w:rsid w:val="00511A12"/>
    <w:rsid w:val="00511A1D"/>
    <w:rsid w:val="00511A65"/>
    <w:rsid w:val="00511B54"/>
    <w:rsid w:val="00511E31"/>
    <w:rsid w:val="00511EA2"/>
    <w:rsid w:val="00511ED8"/>
    <w:rsid w:val="00511F55"/>
    <w:rsid w:val="005120A8"/>
    <w:rsid w:val="005120E0"/>
    <w:rsid w:val="0051219F"/>
    <w:rsid w:val="005123FD"/>
    <w:rsid w:val="00512463"/>
    <w:rsid w:val="00512473"/>
    <w:rsid w:val="005124E7"/>
    <w:rsid w:val="005126E2"/>
    <w:rsid w:val="00512748"/>
    <w:rsid w:val="00512770"/>
    <w:rsid w:val="005127C8"/>
    <w:rsid w:val="005127ED"/>
    <w:rsid w:val="00512929"/>
    <w:rsid w:val="00512995"/>
    <w:rsid w:val="005129BB"/>
    <w:rsid w:val="00512ACB"/>
    <w:rsid w:val="00512B95"/>
    <w:rsid w:val="00513248"/>
    <w:rsid w:val="00513424"/>
    <w:rsid w:val="0051342B"/>
    <w:rsid w:val="005134C5"/>
    <w:rsid w:val="00513523"/>
    <w:rsid w:val="005136BB"/>
    <w:rsid w:val="00513747"/>
    <w:rsid w:val="0051377D"/>
    <w:rsid w:val="0051385E"/>
    <w:rsid w:val="00513883"/>
    <w:rsid w:val="005138F8"/>
    <w:rsid w:val="005139BF"/>
    <w:rsid w:val="005139C7"/>
    <w:rsid w:val="005139D5"/>
    <w:rsid w:val="00513A8A"/>
    <w:rsid w:val="00513AC0"/>
    <w:rsid w:val="00513AFC"/>
    <w:rsid w:val="00513B82"/>
    <w:rsid w:val="00513B88"/>
    <w:rsid w:val="00513BE8"/>
    <w:rsid w:val="00513C8D"/>
    <w:rsid w:val="00513CF9"/>
    <w:rsid w:val="00513D8D"/>
    <w:rsid w:val="00513E03"/>
    <w:rsid w:val="00513E90"/>
    <w:rsid w:val="00514046"/>
    <w:rsid w:val="0051408E"/>
    <w:rsid w:val="005141B3"/>
    <w:rsid w:val="005141F8"/>
    <w:rsid w:val="0051423F"/>
    <w:rsid w:val="00514268"/>
    <w:rsid w:val="00514286"/>
    <w:rsid w:val="00514386"/>
    <w:rsid w:val="005143DE"/>
    <w:rsid w:val="005145EF"/>
    <w:rsid w:val="0051464E"/>
    <w:rsid w:val="00514752"/>
    <w:rsid w:val="0051484D"/>
    <w:rsid w:val="0051490F"/>
    <w:rsid w:val="00514A9D"/>
    <w:rsid w:val="00514B33"/>
    <w:rsid w:val="00514B6E"/>
    <w:rsid w:val="00514CDD"/>
    <w:rsid w:val="00514E35"/>
    <w:rsid w:val="00514EB3"/>
    <w:rsid w:val="00514EEE"/>
    <w:rsid w:val="00514F99"/>
    <w:rsid w:val="00515028"/>
    <w:rsid w:val="0051509E"/>
    <w:rsid w:val="00515112"/>
    <w:rsid w:val="00515196"/>
    <w:rsid w:val="005151E4"/>
    <w:rsid w:val="0051526C"/>
    <w:rsid w:val="00515364"/>
    <w:rsid w:val="005153CF"/>
    <w:rsid w:val="005153E9"/>
    <w:rsid w:val="0051559B"/>
    <w:rsid w:val="00515627"/>
    <w:rsid w:val="0051572D"/>
    <w:rsid w:val="00515775"/>
    <w:rsid w:val="0051584F"/>
    <w:rsid w:val="00515865"/>
    <w:rsid w:val="005158B2"/>
    <w:rsid w:val="00515A18"/>
    <w:rsid w:val="00515A73"/>
    <w:rsid w:val="00515B32"/>
    <w:rsid w:val="00515CA3"/>
    <w:rsid w:val="00515CCA"/>
    <w:rsid w:val="00515CD1"/>
    <w:rsid w:val="00515D42"/>
    <w:rsid w:val="00515D9C"/>
    <w:rsid w:val="00515F03"/>
    <w:rsid w:val="00515FA7"/>
    <w:rsid w:val="005160EE"/>
    <w:rsid w:val="005162C4"/>
    <w:rsid w:val="0051642D"/>
    <w:rsid w:val="00516567"/>
    <w:rsid w:val="005166EA"/>
    <w:rsid w:val="0051679F"/>
    <w:rsid w:val="00516946"/>
    <w:rsid w:val="0051694C"/>
    <w:rsid w:val="00516A40"/>
    <w:rsid w:val="00516AD7"/>
    <w:rsid w:val="00516C2A"/>
    <w:rsid w:val="00516D36"/>
    <w:rsid w:val="00516D3F"/>
    <w:rsid w:val="00516D67"/>
    <w:rsid w:val="00516E1F"/>
    <w:rsid w:val="00516E78"/>
    <w:rsid w:val="00516EEB"/>
    <w:rsid w:val="00516EEF"/>
    <w:rsid w:val="00516F6E"/>
    <w:rsid w:val="00516F82"/>
    <w:rsid w:val="00517095"/>
    <w:rsid w:val="005171F8"/>
    <w:rsid w:val="00517251"/>
    <w:rsid w:val="0051732E"/>
    <w:rsid w:val="005173DB"/>
    <w:rsid w:val="00517509"/>
    <w:rsid w:val="00517528"/>
    <w:rsid w:val="00517592"/>
    <w:rsid w:val="005175C7"/>
    <w:rsid w:val="005176B8"/>
    <w:rsid w:val="005176C6"/>
    <w:rsid w:val="00517709"/>
    <w:rsid w:val="00517730"/>
    <w:rsid w:val="005179C3"/>
    <w:rsid w:val="00517AA1"/>
    <w:rsid w:val="00517B0A"/>
    <w:rsid w:val="00517B9D"/>
    <w:rsid w:val="00517BB1"/>
    <w:rsid w:val="00517CA5"/>
    <w:rsid w:val="00517E4C"/>
    <w:rsid w:val="00517E8C"/>
    <w:rsid w:val="00520268"/>
    <w:rsid w:val="00520381"/>
    <w:rsid w:val="005203B8"/>
    <w:rsid w:val="005203C1"/>
    <w:rsid w:val="005203D3"/>
    <w:rsid w:val="005204B5"/>
    <w:rsid w:val="00520581"/>
    <w:rsid w:val="005205A7"/>
    <w:rsid w:val="005206A5"/>
    <w:rsid w:val="005207E8"/>
    <w:rsid w:val="0052080B"/>
    <w:rsid w:val="0052094D"/>
    <w:rsid w:val="005209E5"/>
    <w:rsid w:val="00520AE1"/>
    <w:rsid w:val="00520C10"/>
    <w:rsid w:val="00520D0C"/>
    <w:rsid w:val="00520D4E"/>
    <w:rsid w:val="00520E6B"/>
    <w:rsid w:val="00520F12"/>
    <w:rsid w:val="00520F24"/>
    <w:rsid w:val="00520FC4"/>
    <w:rsid w:val="00521091"/>
    <w:rsid w:val="00521102"/>
    <w:rsid w:val="00521244"/>
    <w:rsid w:val="00521290"/>
    <w:rsid w:val="00521347"/>
    <w:rsid w:val="0052145A"/>
    <w:rsid w:val="00521487"/>
    <w:rsid w:val="005215F2"/>
    <w:rsid w:val="00521692"/>
    <w:rsid w:val="005216AC"/>
    <w:rsid w:val="00521776"/>
    <w:rsid w:val="005219D0"/>
    <w:rsid w:val="00521AF6"/>
    <w:rsid w:val="00521BB9"/>
    <w:rsid w:val="00521C50"/>
    <w:rsid w:val="00521E60"/>
    <w:rsid w:val="00521E7B"/>
    <w:rsid w:val="00521F6D"/>
    <w:rsid w:val="00521FB7"/>
    <w:rsid w:val="0052216D"/>
    <w:rsid w:val="00522471"/>
    <w:rsid w:val="00522635"/>
    <w:rsid w:val="00522685"/>
    <w:rsid w:val="00522693"/>
    <w:rsid w:val="005226B2"/>
    <w:rsid w:val="00522836"/>
    <w:rsid w:val="00522A22"/>
    <w:rsid w:val="00522A36"/>
    <w:rsid w:val="00522A66"/>
    <w:rsid w:val="00522B40"/>
    <w:rsid w:val="00522CE6"/>
    <w:rsid w:val="00522E4D"/>
    <w:rsid w:val="00522FC6"/>
    <w:rsid w:val="00522FDF"/>
    <w:rsid w:val="00522FEE"/>
    <w:rsid w:val="00523187"/>
    <w:rsid w:val="00523419"/>
    <w:rsid w:val="00523617"/>
    <w:rsid w:val="00523739"/>
    <w:rsid w:val="00523812"/>
    <w:rsid w:val="00523856"/>
    <w:rsid w:val="005238DF"/>
    <w:rsid w:val="005238E2"/>
    <w:rsid w:val="0052396D"/>
    <w:rsid w:val="005239BB"/>
    <w:rsid w:val="00523B81"/>
    <w:rsid w:val="00523F8E"/>
    <w:rsid w:val="0052402A"/>
    <w:rsid w:val="00524039"/>
    <w:rsid w:val="005243CA"/>
    <w:rsid w:val="00524401"/>
    <w:rsid w:val="0052445E"/>
    <w:rsid w:val="00524517"/>
    <w:rsid w:val="005248F8"/>
    <w:rsid w:val="00524951"/>
    <w:rsid w:val="00524A6F"/>
    <w:rsid w:val="00524A94"/>
    <w:rsid w:val="00524B4B"/>
    <w:rsid w:val="0052510F"/>
    <w:rsid w:val="00525212"/>
    <w:rsid w:val="0052523D"/>
    <w:rsid w:val="005252A8"/>
    <w:rsid w:val="00525343"/>
    <w:rsid w:val="0052540C"/>
    <w:rsid w:val="0052543C"/>
    <w:rsid w:val="0052553E"/>
    <w:rsid w:val="0052553F"/>
    <w:rsid w:val="0052569F"/>
    <w:rsid w:val="0052574F"/>
    <w:rsid w:val="005258FC"/>
    <w:rsid w:val="0052593A"/>
    <w:rsid w:val="00525AAC"/>
    <w:rsid w:val="00525AFA"/>
    <w:rsid w:val="00525B03"/>
    <w:rsid w:val="00525B0F"/>
    <w:rsid w:val="00525C9E"/>
    <w:rsid w:val="00525CAE"/>
    <w:rsid w:val="00525CBE"/>
    <w:rsid w:val="00525D1A"/>
    <w:rsid w:val="00525D20"/>
    <w:rsid w:val="00525D67"/>
    <w:rsid w:val="00525E38"/>
    <w:rsid w:val="00525ECD"/>
    <w:rsid w:val="00525EFD"/>
    <w:rsid w:val="00525F00"/>
    <w:rsid w:val="00526115"/>
    <w:rsid w:val="00526131"/>
    <w:rsid w:val="00526172"/>
    <w:rsid w:val="0052627B"/>
    <w:rsid w:val="00526473"/>
    <w:rsid w:val="00526556"/>
    <w:rsid w:val="00526776"/>
    <w:rsid w:val="005267F1"/>
    <w:rsid w:val="00526850"/>
    <w:rsid w:val="00526A21"/>
    <w:rsid w:val="00526BE8"/>
    <w:rsid w:val="00526C21"/>
    <w:rsid w:val="00526CE1"/>
    <w:rsid w:val="00526D11"/>
    <w:rsid w:val="00526E52"/>
    <w:rsid w:val="00526ED1"/>
    <w:rsid w:val="00527047"/>
    <w:rsid w:val="005270F7"/>
    <w:rsid w:val="00527101"/>
    <w:rsid w:val="0052713E"/>
    <w:rsid w:val="005272F0"/>
    <w:rsid w:val="005273AC"/>
    <w:rsid w:val="005273EB"/>
    <w:rsid w:val="005274B2"/>
    <w:rsid w:val="00527608"/>
    <w:rsid w:val="0052775F"/>
    <w:rsid w:val="00527792"/>
    <w:rsid w:val="005278DB"/>
    <w:rsid w:val="005279BE"/>
    <w:rsid w:val="005279CA"/>
    <w:rsid w:val="00527C93"/>
    <w:rsid w:val="00527D04"/>
    <w:rsid w:val="00527DC6"/>
    <w:rsid w:val="00527E3B"/>
    <w:rsid w:val="00527EF6"/>
    <w:rsid w:val="00527FEE"/>
    <w:rsid w:val="00530040"/>
    <w:rsid w:val="0053009C"/>
    <w:rsid w:val="005300FD"/>
    <w:rsid w:val="0053016E"/>
    <w:rsid w:val="005302E0"/>
    <w:rsid w:val="0053059D"/>
    <w:rsid w:val="0053061B"/>
    <w:rsid w:val="00530762"/>
    <w:rsid w:val="005307FF"/>
    <w:rsid w:val="00530997"/>
    <w:rsid w:val="00530A16"/>
    <w:rsid w:val="00530A49"/>
    <w:rsid w:val="00530B46"/>
    <w:rsid w:val="00530C01"/>
    <w:rsid w:val="00530C14"/>
    <w:rsid w:val="00530C78"/>
    <w:rsid w:val="00530C96"/>
    <w:rsid w:val="00530C97"/>
    <w:rsid w:val="00530D2D"/>
    <w:rsid w:val="00530D38"/>
    <w:rsid w:val="00530D5E"/>
    <w:rsid w:val="00530E02"/>
    <w:rsid w:val="00530E94"/>
    <w:rsid w:val="00530ED5"/>
    <w:rsid w:val="00530FE5"/>
    <w:rsid w:val="0053100C"/>
    <w:rsid w:val="0053129D"/>
    <w:rsid w:val="005313B8"/>
    <w:rsid w:val="005313FE"/>
    <w:rsid w:val="005314F1"/>
    <w:rsid w:val="005315A9"/>
    <w:rsid w:val="0053161C"/>
    <w:rsid w:val="005317FB"/>
    <w:rsid w:val="00531823"/>
    <w:rsid w:val="005318BD"/>
    <w:rsid w:val="005319C1"/>
    <w:rsid w:val="00531C91"/>
    <w:rsid w:val="00531D6D"/>
    <w:rsid w:val="00531EA2"/>
    <w:rsid w:val="00531FD2"/>
    <w:rsid w:val="00532044"/>
    <w:rsid w:val="00532212"/>
    <w:rsid w:val="00532444"/>
    <w:rsid w:val="00532523"/>
    <w:rsid w:val="0053252F"/>
    <w:rsid w:val="00532567"/>
    <w:rsid w:val="00532586"/>
    <w:rsid w:val="005326AC"/>
    <w:rsid w:val="0053270B"/>
    <w:rsid w:val="005327C3"/>
    <w:rsid w:val="005327ED"/>
    <w:rsid w:val="00532861"/>
    <w:rsid w:val="00532BFE"/>
    <w:rsid w:val="00532C17"/>
    <w:rsid w:val="00532C6D"/>
    <w:rsid w:val="00532C98"/>
    <w:rsid w:val="00532CAF"/>
    <w:rsid w:val="00532D04"/>
    <w:rsid w:val="00532D76"/>
    <w:rsid w:val="00532D81"/>
    <w:rsid w:val="00532F0D"/>
    <w:rsid w:val="00532F69"/>
    <w:rsid w:val="00532F9E"/>
    <w:rsid w:val="00532FE7"/>
    <w:rsid w:val="00533104"/>
    <w:rsid w:val="005334DC"/>
    <w:rsid w:val="005334F1"/>
    <w:rsid w:val="00533574"/>
    <w:rsid w:val="005336AE"/>
    <w:rsid w:val="005336B8"/>
    <w:rsid w:val="00533799"/>
    <w:rsid w:val="005337F6"/>
    <w:rsid w:val="00533955"/>
    <w:rsid w:val="00533996"/>
    <w:rsid w:val="00533A4F"/>
    <w:rsid w:val="00533A68"/>
    <w:rsid w:val="00533B89"/>
    <w:rsid w:val="00533FA5"/>
    <w:rsid w:val="00533FAF"/>
    <w:rsid w:val="005341EB"/>
    <w:rsid w:val="00534259"/>
    <w:rsid w:val="005342B6"/>
    <w:rsid w:val="00534352"/>
    <w:rsid w:val="005343C9"/>
    <w:rsid w:val="005346A7"/>
    <w:rsid w:val="005347DC"/>
    <w:rsid w:val="0053484B"/>
    <w:rsid w:val="00534915"/>
    <w:rsid w:val="00534A1D"/>
    <w:rsid w:val="00534A83"/>
    <w:rsid w:val="00534C5F"/>
    <w:rsid w:val="00534CE0"/>
    <w:rsid w:val="00534CEB"/>
    <w:rsid w:val="00534D1B"/>
    <w:rsid w:val="00534EA2"/>
    <w:rsid w:val="00534F5C"/>
    <w:rsid w:val="00534F7F"/>
    <w:rsid w:val="00535315"/>
    <w:rsid w:val="00535359"/>
    <w:rsid w:val="0053543D"/>
    <w:rsid w:val="005354BE"/>
    <w:rsid w:val="005355EF"/>
    <w:rsid w:val="00535610"/>
    <w:rsid w:val="00535717"/>
    <w:rsid w:val="00535787"/>
    <w:rsid w:val="00535793"/>
    <w:rsid w:val="005357F0"/>
    <w:rsid w:val="00535889"/>
    <w:rsid w:val="0053588B"/>
    <w:rsid w:val="00535900"/>
    <w:rsid w:val="005359FF"/>
    <w:rsid w:val="00535A44"/>
    <w:rsid w:val="00535A87"/>
    <w:rsid w:val="00535B4A"/>
    <w:rsid w:val="00535C24"/>
    <w:rsid w:val="00535C47"/>
    <w:rsid w:val="00535CD5"/>
    <w:rsid w:val="00535E37"/>
    <w:rsid w:val="00535FDD"/>
    <w:rsid w:val="0053604E"/>
    <w:rsid w:val="0053607A"/>
    <w:rsid w:val="00536107"/>
    <w:rsid w:val="00536165"/>
    <w:rsid w:val="0053624E"/>
    <w:rsid w:val="00536276"/>
    <w:rsid w:val="005363D4"/>
    <w:rsid w:val="005366B6"/>
    <w:rsid w:val="00536873"/>
    <w:rsid w:val="00536929"/>
    <w:rsid w:val="005369E0"/>
    <w:rsid w:val="00536B3D"/>
    <w:rsid w:val="00536C9C"/>
    <w:rsid w:val="00536E67"/>
    <w:rsid w:val="00536E9D"/>
    <w:rsid w:val="00536EAC"/>
    <w:rsid w:val="00536F65"/>
    <w:rsid w:val="00537101"/>
    <w:rsid w:val="005372F3"/>
    <w:rsid w:val="00537389"/>
    <w:rsid w:val="0053742C"/>
    <w:rsid w:val="00537464"/>
    <w:rsid w:val="00537615"/>
    <w:rsid w:val="00537705"/>
    <w:rsid w:val="00537832"/>
    <w:rsid w:val="00537B8A"/>
    <w:rsid w:val="00537C75"/>
    <w:rsid w:val="00537EFC"/>
    <w:rsid w:val="00540065"/>
    <w:rsid w:val="005401C2"/>
    <w:rsid w:val="00540238"/>
    <w:rsid w:val="005402AF"/>
    <w:rsid w:val="005402F4"/>
    <w:rsid w:val="00540394"/>
    <w:rsid w:val="005405F9"/>
    <w:rsid w:val="005407A9"/>
    <w:rsid w:val="00540846"/>
    <w:rsid w:val="00540847"/>
    <w:rsid w:val="005409AE"/>
    <w:rsid w:val="00540C4B"/>
    <w:rsid w:val="00540CBD"/>
    <w:rsid w:val="00540D56"/>
    <w:rsid w:val="00540D6D"/>
    <w:rsid w:val="00540E64"/>
    <w:rsid w:val="005410BF"/>
    <w:rsid w:val="005412AD"/>
    <w:rsid w:val="005413DB"/>
    <w:rsid w:val="005413DE"/>
    <w:rsid w:val="005413F0"/>
    <w:rsid w:val="005413F8"/>
    <w:rsid w:val="00541412"/>
    <w:rsid w:val="0054147B"/>
    <w:rsid w:val="0054156D"/>
    <w:rsid w:val="0054159F"/>
    <w:rsid w:val="005415A8"/>
    <w:rsid w:val="0054161E"/>
    <w:rsid w:val="005416D9"/>
    <w:rsid w:val="00541737"/>
    <w:rsid w:val="005417E5"/>
    <w:rsid w:val="00541820"/>
    <w:rsid w:val="00541977"/>
    <w:rsid w:val="00541AA5"/>
    <w:rsid w:val="00541C4A"/>
    <w:rsid w:val="00541C7E"/>
    <w:rsid w:val="00541C90"/>
    <w:rsid w:val="00541D9D"/>
    <w:rsid w:val="00541E34"/>
    <w:rsid w:val="00541E4E"/>
    <w:rsid w:val="00541EA8"/>
    <w:rsid w:val="00541EC6"/>
    <w:rsid w:val="00541F35"/>
    <w:rsid w:val="00542040"/>
    <w:rsid w:val="00542175"/>
    <w:rsid w:val="005421A2"/>
    <w:rsid w:val="005421FA"/>
    <w:rsid w:val="005421FC"/>
    <w:rsid w:val="00542202"/>
    <w:rsid w:val="00542250"/>
    <w:rsid w:val="005423E8"/>
    <w:rsid w:val="0054243B"/>
    <w:rsid w:val="0054247A"/>
    <w:rsid w:val="005426E8"/>
    <w:rsid w:val="005427DE"/>
    <w:rsid w:val="005428EE"/>
    <w:rsid w:val="005429A0"/>
    <w:rsid w:val="005429B5"/>
    <w:rsid w:val="005429C7"/>
    <w:rsid w:val="00542A03"/>
    <w:rsid w:val="00542A2D"/>
    <w:rsid w:val="00542B49"/>
    <w:rsid w:val="00542C29"/>
    <w:rsid w:val="00542C99"/>
    <w:rsid w:val="00542D28"/>
    <w:rsid w:val="00542E47"/>
    <w:rsid w:val="00542E77"/>
    <w:rsid w:val="00542E92"/>
    <w:rsid w:val="00542EDB"/>
    <w:rsid w:val="005430CD"/>
    <w:rsid w:val="005430FA"/>
    <w:rsid w:val="00543230"/>
    <w:rsid w:val="00543308"/>
    <w:rsid w:val="0054338A"/>
    <w:rsid w:val="00543421"/>
    <w:rsid w:val="0054347B"/>
    <w:rsid w:val="0054355E"/>
    <w:rsid w:val="005435A3"/>
    <w:rsid w:val="005435B7"/>
    <w:rsid w:val="00543619"/>
    <w:rsid w:val="0054362B"/>
    <w:rsid w:val="0054365C"/>
    <w:rsid w:val="0054375D"/>
    <w:rsid w:val="005437BF"/>
    <w:rsid w:val="005437FE"/>
    <w:rsid w:val="005438A6"/>
    <w:rsid w:val="005439F1"/>
    <w:rsid w:val="00543A65"/>
    <w:rsid w:val="00543B2E"/>
    <w:rsid w:val="00543BA1"/>
    <w:rsid w:val="00543BA4"/>
    <w:rsid w:val="00543C97"/>
    <w:rsid w:val="00543D12"/>
    <w:rsid w:val="00543D51"/>
    <w:rsid w:val="00543E64"/>
    <w:rsid w:val="00543EE2"/>
    <w:rsid w:val="00543FFF"/>
    <w:rsid w:val="00544088"/>
    <w:rsid w:val="005440A3"/>
    <w:rsid w:val="00544143"/>
    <w:rsid w:val="005443B5"/>
    <w:rsid w:val="005443E9"/>
    <w:rsid w:val="00544668"/>
    <w:rsid w:val="00544769"/>
    <w:rsid w:val="005448E7"/>
    <w:rsid w:val="005449A9"/>
    <w:rsid w:val="00544AC2"/>
    <w:rsid w:val="00544B01"/>
    <w:rsid w:val="00544C09"/>
    <w:rsid w:val="00544C1E"/>
    <w:rsid w:val="00544D60"/>
    <w:rsid w:val="00544F5A"/>
    <w:rsid w:val="00544F6E"/>
    <w:rsid w:val="00545005"/>
    <w:rsid w:val="005452DD"/>
    <w:rsid w:val="0054532F"/>
    <w:rsid w:val="00545432"/>
    <w:rsid w:val="00545547"/>
    <w:rsid w:val="00545617"/>
    <w:rsid w:val="005456B4"/>
    <w:rsid w:val="005456E7"/>
    <w:rsid w:val="0054570A"/>
    <w:rsid w:val="00545861"/>
    <w:rsid w:val="00545945"/>
    <w:rsid w:val="00545960"/>
    <w:rsid w:val="00545A31"/>
    <w:rsid w:val="00545A36"/>
    <w:rsid w:val="00545BA6"/>
    <w:rsid w:val="00545C63"/>
    <w:rsid w:val="00545CE1"/>
    <w:rsid w:val="00545D23"/>
    <w:rsid w:val="00545D30"/>
    <w:rsid w:val="00545D81"/>
    <w:rsid w:val="00545DA7"/>
    <w:rsid w:val="00546021"/>
    <w:rsid w:val="0054608E"/>
    <w:rsid w:val="0054609E"/>
    <w:rsid w:val="005461C6"/>
    <w:rsid w:val="005462FC"/>
    <w:rsid w:val="00546377"/>
    <w:rsid w:val="00546776"/>
    <w:rsid w:val="00546997"/>
    <w:rsid w:val="00546A0F"/>
    <w:rsid w:val="00546A2A"/>
    <w:rsid w:val="00546A37"/>
    <w:rsid w:val="00546A4A"/>
    <w:rsid w:val="00546B38"/>
    <w:rsid w:val="00546BEC"/>
    <w:rsid w:val="00546C23"/>
    <w:rsid w:val="00546D2F"/>
    <w:rsid w:val="00546D56"/>
    <w:rsid w:val="00546F00"/>
    <w:rsid w:val="00546F27"/>
    <w:rsid w:val="0054709D"/>
    <w:rsid w:val="005470F5"/>
    <w:rsid w:val="00547138"/>
    <w:rsid w:val="005472B9"/>
    <w:rsid w:val="005474D9"/>
    <w:rsid w:val="005475EC"/>
    <w:rsid w:val="005476EE"/>
    <w:rsid w:val="0054771E"/>
    <w:rsid w:val="005477BB"/>
    <w:rsid w:val="00547847"/>
    <w:rsid w:val="0054787A"/>
    <w:rsid w:val="005478CD"/>
    <w:rsid w:val="005478F5"/>
    <w:rsid w:val="00547AD6"/>
    <w:rsid w:val="00547BD3"/>
    <w:rsid w:val="00547C26"/>
    <w:rsid w:val="00547C66"/>
    <w:rsid w:val="00547D52"/>
    <w:rsid w:val="00547E05"/>
    <w:rsid w:val="00547E44"/>
    <w:rsid w:val="00547F0F"/>
    <w:rsid w:val="00547F5B"/>
    <w:rsid w:val="00547F71"/>
    <w:rsid w:val="00550066"/>
    <w:rsid w:val="005500F0"/>
    <w:rsid w:val="00550362"/>
    <w:rsid w:val="005503B5"/>
    <w:rsid w:val="00550553"/>
    <w:rsid w:val="0055061C"/>
    <w:rsid w:val="00550739"/>
    <w:rsid w:val="00550785"/>
    <w:rsid w:val="0055078C"/>
    <w:rsid w:val="005509F8"/>
    <w:rsid w:val="00550A65"/>
    <w:rsid w:val="00550AB5"/>
    <w:rsid w:val="00550AE1"/>
    <w:rsid w:val="00550B38"/>
    <w:rsid w:val="00550BE6"/>
    <w:rsid w:val="00550C01"/>
    <w:rsid w:val="00550D10"/>
    <w:rsid w:val="00550D14"/>
    <w:rsid w:val="00550D7A"/>
    <w:rsid w:val="00550DC7"/>
    <w:rsid w:val="00550EAD"/>
    <w:rsid w:val="00550EB4"/>
    <w:rsid w:val="00550F46"/>
    <w:rsid w:val="00550F73"/>
    <w:rsid w:val="00550F86"/>
    <w:rsid w:val="00550FBB"/>
    <w:rsid w:val="00551095"/>
    <w:rsid w:val="00551153"/>
    <w:rsid w:val="00551177"/>
    <w:rsid w:val="00551255"/>
    <w:rsid w:val="005512B2"/>
    <w:rsid w:val="005513AB"/>
    <w:rsid w:val="005513C7"/>
    <w:rsid w:val="00551417"/>
    <w:rsid w:val="00551623"/>
    <w:rsid w:val="005518A0"/>
    <w:rsid w:val="005518AA"/>
    <w:rsid w:val="00551B21"/>
    <w:rsid w:val="00551B3D"/>
    <w:rsid w:val="00551B66"/>
    <w:rsid w:val="00551B85"/>
    <w:rsid w:val="00551DCE"/>
    <w:rsid w:val="00551E5C"/>
    <w:rsid w:val="00551EE9"/>
    <w:rsid w:val="00551F27"/>
    <w:rsid w:val="00552023"/>
    <w:rsid w:val="00552257"/>
    <w:rsid w:val="0055225E"/>
    <w:rsid w:val="0055230B"/>
    <w:rsid w:val="00552336"/>
    <w:rsid w:val="005523F7"/>
    <w:rsid w:val="00552461"/>
    <w:rsid w:val="00552471"/>
    <w:rsid w:val="005524C5"/>
    <w:rsid w:val="00552561"/>
    <w:rsid w:val="0055270D"/>
    <w:rsid w:val="005527A5"/>
    <w:rsid w:val="005527D5"/>
    <w:rsid w:val="00552BDC"/>
    <w:rsid w:val="00552CA2"/>
    <w:rsid w:val="00552D4F"/>
    <w:rsid w:val="00552D7E"/>
    <w:rsid w:val="00552D8B"/>
    <w:rsid w:val="00552FD0"/>
    <w:rsid w:val="0055301A"/>
    <w:rsid w:val="0055310B"/>
    <w:rsid w:val="00553235"/>
    <w:rsid w:val="00553425"/>
    <w:rsid w:val="00553523"/>
    <w:rsid w:val="00553868"/>
    <w:rsid w:val="00553991"/>
    <w:rsid w:val="00553AA3"/>
    <w:rsid w:val="00553E4B"/>
    <w:rsid w:val="00553F72"/>
    <w:rsid w:val="00553F9B"/>
    <w:rsid w:val="00554023"/>
    <w:rsid w:val="005540C8"/>
    <w:rsid w:val="00554154"/>
    <w:rsid w:val="005541C8"/>
    <w:rsid w:val="005541E0"/>
    <w:rsid w:val="00554250"/>
    <w:rsid w:val="00554368"/>
    <w:rsid w:val="005543DE"/>
    <w:rsid w:val="00554407"/>
    <w:rsid w:val="00554421"/>
    <w:rsid w:val="00554422"/>
    <w:rsid w:val="005546C4"/>
    <w:rsid w:val="00554ABE"/>
    <w:rsid w:val="00554B01"/>
    <w:rsid w:val="00554B45"/>
    <w:rsid w:val="00554BCD"/>
    <w:rsid w:val="00554C5F"/>
    <w:rsid w:val="00554D9E"/>
    <w:rsid w:val="00554DCA"/>
    <w:rsid w:val="00554F3E"/>
    <w:rsid w:val="00554FA5"/>
    <w:rsid w:val="00554FEF"/>
    <w:rsid w:val="00555016"/>
    <w:rsid w:val="005552C0"/>
    <w:rsid w:val="005552ED"/>
    <w:rsid w:val="00555354"/>
    <w:rsid w:val="005553CB"/>
    <w:rsid w:val="00555488"/>
    <w:rsid w:val="0055558F"/>
    <w:rsid w:val="00555662"/>
    <w:rsid w:val="0055567D"/>
    <w:rsid w:val="00555746"/>
    <w:rsid w:val="005559E9"/>
    <w:rsid w:val="00555AF2"/>
    <w:rsid w:val="00555C06"/>
    <w:rsid w:val="00555C94"/>
    <w:rsid w:val="00555C9F"/>
    <w:rsid w:val="00555DA7"/>
    <w:rsid w:val="00555F49"/>
    <w:rsid w:val="00555F60"/>
    <w:rsid w:val="0055600B"/>
    <w:rsid w:val="005561CE"/>
    <w:rsid w:val="005562C0"/>
    <w:rsid w:val="005562FB"/>
    <w:rsid w:val="0055637E"/>
    <w:rsid w:val="005563AE"/>
    <w:rsid w:val="00556493"/>
    <w:rsid w:val="005564B4"/>
    <w:rsid w:val="005566B8"/>
    <w:rsid w:val="00556716"/>
    <w:rsid w:val="0055676D"/>
    <w:rsid w:val="0055682E"/>
    <w:rsid w:val="00556834"/>
    <w:rsid w:val="00556929"/>
    <w:rsid w:val="005569BA"/>
    <w:rsid w:val="005569E4"/>
    <w:rsid w:val="00556A0E"/>
    <w:rsid w:val="00556A41"/>
    <w:rsid w:val="00556B2F"/>
    <w:rsid w:val="00556B44"/>
    <w:rsid w:val="00556C23"/>
    <w:rsid w:val="00556D6C"/>
    <w:rsid w:val="00556D9A"/>
    <w:rsid w:val="00556E2A"/>
    <w:rsid w:val="00556EB3"/>
    <w:rsid w:val="00557042"/>
    <w:rsid w:val="005570E4"/>
    <w:rsid w:val="00557277"/>
    <w:rsid w:val="005572DC"/>
    <w:rsid w:val="005573B8"/>
    <w:rsid w:val="005573C4"/>
    <w:rsid w:val="0055757A"/>
    <w:rsid w:val="005575FF"/>
    <w:rsid w:val="00557776"/>
    <w:rsid w:val="00557807"/>
    <w:rsid w:val="0055794F"/>
    <w:rsid w:val="00557A55"/>
    <w:rsid w:val="00557AB4"/>
    <w:rsid w:val="00557AB7"/>
    <w:rsid w:val="00557B18"/>
    <w:rsid w:val="00557B59"/>
    <w:rsid w:val="00557E92"/>
    <w:rsid w:val="00557EE9"/>
    <w:rsid w:val="00557F27"/>
    <w:rsid w:val="005601A4"/>
    <w:rsid w:val="00560346"/>
    <w:rsid w:val="005603C2"/>
    <w:rsid w:val="005603F2"/>
    <w:rsid w:val="0056043D"/>
    <w:rsid w:val="0056046B"/>
    <w:rsid w:val="005604AD"/>
    <w:rsid w:val="00560500"/>
    <w:rsid w:val="00560589"/>
    <w:rsid w:val="005605A5"/>
    <w:rsid w:val="00560655"/>
    <w:rsid w:val="00560685"/>
    <w:rsid w:val="00560750"/>
    <w:rsid w:val="0056083B"/>
    <w:rsid w:val="00560901"/>
    <w:rsid w:val="00560B3C"/>
    <w:rsid w:val="00560B6A"/>
    <w:rsid w:val="00560BD2"/>
    <w:rsid w:val="00560BE0"/>
    <w:rsid w:val="00560BFC"/>
    <w:rsid w:val="00560C74"/>
    <w:rsid w:val="00560CAF"/>
    <w:rsid w:val="00560D1D"/>
    <w:rsid w:val="00561053"/>
    <w:rsid w:val="005610A8"/>
    <w:rsid w:val="005610AE"/>
    <w:rsid w:val="005610FF"/>
    <w:rsid w:val="0056127D"/>
    <w:rsid w:val="005612F6"/>
    <w:rsid w:val="00561530"/>
    <w:rsid w:val="005615D5"/>
    <w:rsid w:val="00561619"/>
    <w:rsid w:val="005616D0"/>
    <w:rsid w:val="00561895"/>
    <w:rsid w:val="005618C2"/>
    <w:rsid w:val="005619C2"/>
    <w:rsid w:val="00561A97"/>
    <w:rsid w:val="00561CD5"/>
    <w:rsid w:val="00561E89"/>
    <w:rsid w:val="00561F6C"/>
    <w:rsid w:val="00561F7F"/>
    <w:rsid w:val="00561FAE"/>
    <w:rsid w:val="00562082"/>
    <w:rsid w:val="00562111"/>
    <w:rsid w:val="005621F1"/>
    <w:rsid w:val="005623BD"/>
    <w:rsid w:val="00562441"/>
    <w:rsid w:val="00562447"/>
    <w:rsid w:val="00562471"/>
    <w:rsid w:val="00562625"/>
    <w:rsid w:val="005626B8"/>
    <w:rsid w:val="00562701"/>
    <w:rsid w:val="005628C1"/>
    <w:rsid w:val="00562963"/>
    <w:rsid w:val="005629CC"/>
    <w:rsid w:val="005629E9"/>
    <w:rsid w:val="00562BAD"/>
    <w:rsid w:val="00562C22"/>
    <w:rsid w:val="00562DA0"/>
    <w:rsid w:val="00563077"/>
    <w:rsid w:val="005630CF"/>
    <w:rsid w:val="005630EB"/>
    <w:rsid w:val="00563293"/>
    <w:rsid w:val="0056344E"/>
    <w:rsid w:val="00563652"/>
    <w:rsid w:val="00563662"/>
    <w:rsid w:val="005636F5"/>
    <w:rsid w:val="00563A0C"/>
    <w:rsid w:val="00563B4D"/>
    <w:rsid w:val="00563B87"/>
    <w:rsid w:val="00563BFB"/>
    <w:rsid w:val="00563C69"/>
    <w:rsid w:val="00563CD9"/>
    <w:rsid w:val="00563DAC"/>
    <w:rsid w:val="00563E2B"/>
    <w:rsid w:val="00563EE9"/>
    <w:rsid w:val="00563F7E"/>
    <w:rsid w:val="00563FC0"/>
    <w:rsid w:val="00563FF2"/>
    <w:rsid w:val="0056411B"/>
    <w:rsid w:val="0056421C"/>
    <w:rsid w:val="005644A8"/>
    <w:rsid w:val="00564509"/>
    <w:rsid w:val="0056450A"/>
    <w:rsid w:val="00564580"/>
    <w:rsid w:val="005645C9"/>
    <w:rsid w:val="00564623"/>
    <w:rsid w:val="0056463C"/>
    <w:rsid w:val="00564824"/>
    <w:rsid w:val="00564851"/>
    <w:rsid w:val="005649E3"/>
    <w:rsid w:val="00564AD5"/>
    <w:rsid w:val="00564AEF"/>
    <w:rsid w:val="00564B98"/>
    <w:rsid w:val="00564C62"/>
    <w:rsid w:val="00564F9B"/>
    <w:rsid w:val="00565039"/>
    <w:rsid w:val="00565050"/>
    <w:rsid w:val="00565068"/>
    <w:rsid w:val="005650F7"/>
    <w:rsid w:val="00565126"/>
    <w:rsid w:val="00565175"/>
    <w:rsid w:val="0056525C"/>
    <w:rsid w:val="005652B7"/>
    <w:rsid w:val="005652FA"/>
    <w:rsid w:val="0056531C"/>
    <w:rsid w:val="005653DE"/>
    <w:rsid w:val="0056540D"/>
    <w:rsid w:val="00565565"/>
    <w:rsid w:val="005655C1"/>
    <w:rsid w:val="00565605"/>
    <w:rsid w:val="0056566D"/>
    <w:rsid w:val="005656F8"/>
    <w:rsid w:val="00565883"/>
    <w:rsid w:val="0056589E"/>
    <w:rsid w:val="005658AE"/>
    <w:rsid w:val="00565A22"/>
    <w:rsid w:val="00565CC2"/>
    <w:rsid w:val="00565D88"/>
    <w:rsid w:val="00565DBB"/>
    <w:rsid w:val="00565E6B"/>
    <w:rsid w:val="00565E87"/>
    <w:rsid w:val="00565F70"/>
    <w:rsid w:val="00565F93"/>
    <w:rsid w:val="005660AA"/>
    <w:rsid w:val="00566165"/>
    <w:rsid w:val="005662BF"/>
    <w:rsid w:val="00566323"/>
    <w:rsid w:val="0056637B"/>
    <w:rsid w:val="0056675C"/>
    <w:rsid w:val="005667A6"/>
    <w:rsid w:val="0056682E"/>
    <w:rsid w:val="00566925"/>
    <w:rsid w:val="005669CD"/>
    <w:rsid w:val="00566A00"/>
    <w:rsid w:val="00566A28"/>
    <w:rsid w:val="00566A32"/>
    <w:rsid w:val="00566BAC"/>
    <w:rsid w:val="00566CC4"/>
    <w:rsid w:val="00566D2A"/>
    <w:rsid w:val="00566D3A"/>
    <w:rsid w:val="00566E4E"/>
    <w:rsid w:val="00566F10"/>
    <w:rsid w:val="00566F6A"/>
    <w:rsid w:val="00566FEF"/>
    <w:rsid w:val="00567221"/>
    <w:rsid w:val="005672B4"/>
    <w:rsid w:val="00567329"/>
    <w:rsid w:val="00567546"/>
    <w:rsid w:val="00567547"/>
    <w:rsid w:val="005675A9"/>
    <w:rsid w:val="005675D0"/>
    <w:rsid w:val="005675E0"/>
    <w:rsid w:val="00567694"/>
    <w:rsid w:val="0056776B"/>
    <w:rsid w:val="00567A61"/>
    <w:rsid w:val="00567BB3"/>
    <w:rsid w:val="00567BB8"/>
    <w:rsid w:val="00567DF0"/>
    <w:rsid w:val="00567EAB"/>
    <w:rsid w:val="0057009F"/>
    <w:rsid w:val="0057010B"/>
    <w:rsid w:val="00570276"/>
    <w:rsid w:val="0057029D"/>
    <w:rsid w:val="005703C6"/>
    <w:rsid w:val="00570423"/>
    <w:rsid w:val="0057056C"/>
    <w:rsid w:val="00570835"/>
    <w:rsid w:val="005708B0"/>
    <w:rsid w:val="00570950"/>
    <w:rsid w:val="0057097C"/>
    <w:rsid w:val="00570A10"/>
    <w:rsid w:val="00570A3B"/>
    <w:rsid w:val="00570A71"/>
    <w:rsid w:val="00570C00"/>
    <w:rsid w:val="00570D49"/>
    <w:rsid w:val="00570E01"/>
    <w:rsid w:val="00570F38"/>
    <w:rsid w:val="00570F57"/>
    <w:rsid w:val="0057105A"/>
    <w:rsid w:val="00571294"/>
    <w:rsid w:val="005713CE"/>
    <w:rsid w:val="00571404"/>
    <w:rsid w:val="00571515"/>
    <w:rsid w:val="00571526"/>
    <w:rsid w:val="005715C1"/>
    <w:rsid w:val="005715EE"/>
    <w:rsid w:val="005718E4"/>
    <w:rsid w:val="00571A44"/>
    <w:rsid w:val="00571B92"/>
    <w:rsid w:val="00571C31"/>
    <w:rsid w:val="00571C41"/>
    <w:rsid w:val="00571C7C"/>
    <w:rsid w:val="00571E94"/>
    <w:rsid w:val="00571F37"/>
    <w:rsid w:val="0057202F"/>
    <w:rsid w:val="00572047"/>
    <w:rsid w:val="00572098"/>
    <w:rsid w:val="005720A2"/>
    <w:rsid w:val="0057227A"/>
    <w:rsid w:val="00572296"/>
    <w:rsid w:val="00572341"/>
    <w:rsid w:val="005723C6"/>
    <w:rsid w:val="00572409"/>
    <w:rsid w:val="00572422"/>
    <w:rsid w:val="00572489"/>
    <w:rsid w:val="00572506"/>
    <w:rsid w:val="00572598"/>
    <w:rsid w:val="00572824"/>
    <w:rsid w:val="00572846"/>
    <w:rsid w:val="005728B7"/>
    <w:rsid w:val="00572939"/>
    <w:rsid w:val="00572AA1"/>
    <w:rsid w:val="00572ABB"/>
    <w:rsid w:val="00572B25"/>
    <w:rsid w:val="00572C33"/>
    <w:rsid w:val="00572D01"/>
    <w:rsid w:val="00572E42"/>
    <w:rsid w:val="00572E84"/>
    <w:rsid w:val="00572F71"/>
    <w:rsid w:val="005730CE"/>
    <w:rsid w:val="0057310B"/>
    <w:rsid w:val="005731C6"/>
    <w:rsid w:val="005732F0"/>
    <w:rsid w:val="0057335E"/>
    <w:rsid w:val="00573408"/>
    <w:rsid w:val="005734A0"/>
    <w:rsid w:val="005734C9"/>
    <w:rsid w:val="0057352D"/>
    <w:rsid w:val="005735C9"/>
    <w:rsid w:val="005738FD"/>
    <w:rsid w:val="0057391B"/>
    <w:rsid w:val="00573A34"/>
    <w:rsid w:val="00573A3F"/>
    <w:rsid w:val="00573AA0"/>
    <w:rsid w:val="00573B66"/>
    <w:rsid w:val="00573BE9"/>
    <w:rsid w:val="00573C70"/>
    <w:rsid w:val="00573D35"/>
    <w:rsid w:val="00573DB3"/>
    <w:rsid w:val="00573DBD"/>
    <w:rsid w:val="0057429B"/>
    <w:rsid w:val="0057438B"/>
    <w:rsid w:val="005743AF"/>
    <w:rsid w:val="005743BA"/>
    <w:rsid w:val="00574429"/>
    <w:rsid w:val="0057455C"/>
    <w:rsid w:val="00574730"/>
    <w:rsid w:val="0057475F"/>
    <w:rsid w:val="00574783"/>
    <w:rsid w:val="00574808"/>
    <w:rsid w:val="005748A2"/>
    <w:rsid w:val="005749B6"/>
    <w:rsid w:val="005749C1"/>
    <w:rsid w:val="00574B9C"/>
    <w:rsid w:val="00574BF9"/>
    <w:rsid w:val="00574BFB"/>
    <w:rsid w:val="00574BFC"/>
    <w:rsid w:val="00574C68"/>
    <w:rsid w:val="00574C7A"/>
    <w:rsid w:val="00574DB1"/>
    <w:rsid w:val="00574DC5"/>
    <w:rsid w:val="00574DFE"/>
    <w:rsid w:val="00575098"/>
    <w:rsid w:val="005750DB"/>
    <w:rsid w:val="005751C1"/>
    <w:rsid w:val="00575244"/>
    <w:rsid w:val="00575264"/>
    <w:rsid w:val="005752DF"/>
    <w:rsid w:val="005752F0"/>
    <w:rsid w:val="0057530E"/>
    <w:rsid w:val="00575334"/>
    <w:rsid w:val="0057553D"/>
    <w:rsid w:val="0057570C"/>
    <w:rsid w:val="00575787"/>
    <w:rsid w:val="00575A5D"/>
    <w:rsid w:val="00575A78"/>
    <w:rsid w:val="00575C36"/>
    <w:rsid w:val="00575CEF"/>
    <w:rsid w:val="00575D49"/>
    <w:rsid w:val="00575DC3"/>
    <w:rsid w:val="00575EDE"/>
    <w:rsid w:val="00575F59"/>
    <w:rsid w:val="00575FB0"/>
    <w:rsid w:val="005761CB"/>
    <w:rsid w:val="00576242"/>
    <w:rsid w:val="00576315"/>
    <w:rsid w:val="00576331"/>
    <w:rsid w:val="005764D0"/>
    <w:rsid w:val="005764DD"/>
    <w:rsid w:val="00576552"/>
    <w:rsid w:val="0057658E"/>
    <w:rsid w:val="005766ED"/>
    <w:rsid w:val="00576A05"/>
    <w:rsid w:val="00576A2E"/>
    <w:rsid w:val="00576A8A"/>
    <w:rsid w:val="00576A8B"/>
    <w:rsid w:val="00576AAA"/>
    <w:rsid w:val="00576B32"/>
    <w:rsid w:val="00576B34"/>
    <w:rsid w:val="00576BE8"/>
    <w:rsid w:val="00576C46"/>
    <w:rsid w:val="00576D6E"/>
    <w:rsid w:val="00576E92"/>
    <w:rsid w:val="00576F1C"/>
    <w:rsid w:val="00577012"/>
    <w:rsid w:val="00577040"/>
    <w:rsid w:val="005770A3"/>
    <w:rsid w:val="005770D6"/>
    <w:rsid w:val="00577119"/>
    <w:rsid w:val="00577143"/>
    <w:rsid w:val="005772E7"/>
    <w:rsid w:val="005772F3"/>
    <w:rsid w:val="005773B8"/>
    <w:rsid w:val="00577546"/>
    <w:rsid w:val="005775DA"/>
    <w:rsid w:val="005776D7"/>
    <w:rsid w:val="005777CB"/>
    <w:rsid w:val="005778F9"/>
    <w:rsid w:val="00577B04"/>
    <w:rsid w:val="00577B57"/>
    <w:rsid w:val="00577BDB"/>
    <w:rsid w:val="00577DDC"/>
    <w:rsid w:val="00577E27"/>
    <w:rsid w:val="00577F1C"/>
    <w:rsid w:val="0058008A"/>
    <w:rsid w:val="0058015C"/>
    <w:rsid w:val="00580167"/>
    <w:rsid w:val="0058025A"/>
    <w:rsid w:val="00580539"/>
    <w:rsid w:val="00580546"/>
    <w:rsid w:val="0058058F"/>
    <w:rsid w:val="00580658"/>
    <w:rsid w:val="0058069B"/>
    <w:rsid w:val="00580754"/>
    <w:rsid w:val="00580910"/>
    <w:rsid w:val="00580A21"/>
    <w:rsid w:val="00580B3F"/>
    <w:rsid w:val="00580B89"/>
    <w:rsid w:val="00580BCA"/>
    <w:rsid w:val="00580BEE"/>
    <w:rsid w:val="00580CB0"/>
    <w:rsid w:val="00580CEA"/>
    <w:rsid w:val="00580E3D"/>
    <w:rsid w:val="00580EDA"/>
    <w:rsid w:val="00580FC8"/>
    <w:rsid w:val="00580FF6"/>
    <w:rsid w:val="00581040"/>
    <w:rsid w:val="00581095"/>
    <w:rsid w:val="0058114A"/>
    <w:rsid w:val="0058114F"/>
    <w:rsid w:val="0058127E"/>
    <w:rsid w:val="005812A5"/>
    <w:rsid w:val="005814E6"/>
    <w:rsid w:val="00581536"/>
    <w:rsid w:val="0058156B"/>
    <w:rsid w:val="005815CC"/>
    <w:rsid w:val="005816E7"/>
    <w:rsid w:val="00581832"/>
    <w:rsid w:val="0058187C"/>
    <w:rsid w:val="0058189F"/>
    <w:rsid w:val="005818D0"/>
    <w:rsid w:val="00581904"/>
    <w:rsid w:val="00581AA0"/>
    <w:rsid w:val="00581B48"/>
    <w:rsid w:val="00581B8D"/>
    <w:rsid w:val="00581C34"/>
    <w:rsid w:val="00581D17"/>
    <w:rsid w:val="00581D4A"/>
    <w:rsid w:val="00581EE6"/>
    <w:rsid w:val="00581F4B"/>
    <w:rsid w:val="00581F5D"/>
    <w:rsid w:val="00581FC0"/>
    <w:rsid w:val="00581FE8"/>
    <w:rsid w:val="0058206B"/>
    <w:rsid w:val="005820F9"/>
    <w:rsid w:val="00582130"/>
    <w:rsid w:val="00582261"/>
    <w:rsid w:val="0058229C"/>
    <w:rsid w:val="005822FD"/>
    <w:rsid w:val="00582395"/>
    <w:rsid w:val="00582471"/>
    <w:rsid w:val="0058263D"/>
    <w:rsid w:val="00582657"/>
    <w:rsid w:val="005826CD"/>
    <w:rsid w:val="00582835"/>
    <w:rsid w:val="005828E4"/>
    <w:rsid w:val="00582942"/>
    <w:rsid w:val="005829B1"/>
    <w:rsid w:val="00582A0E"/>
    <w:rsid w:val="00582A14"/>
    <w:rsid w:val="00582F90"/>
    <w:rsid w:val="00582FA4"/>
    <w:rsid w:val="005830E0"/>
    <w:rsid w:val="00583192"/>
    <w:rsid w:val="00583332"/>
    <w:rsid w:val="00583355"/>
    <w:rsid w:val="0058338C"/>
    <w:rsid w:val="005833E2"/>
    <w:rsid w:val="00583493"/>
    <w:rsid w:val="00583518"/>
    <w:rsid w:val="00583570"/>
    <w:rsid w:val="005835C1"/>
    <w:rsid w:val="00583909"/>
    <w:rsid w:val="0058397E"/>
    <w:rsid w:val="00583A08"/>
    <w:rsid w:val="00583BAB"/>
    <w:rsid w:val="00583D45"/>
    <w:rsid w:val="00583F19"/>
    <w:rsid w:val="00583F1D"/>
    <w:rsid w:val="00583F52"/>
    <w:rsid w:val="00583FBC"/>
    <w:rsid w:val="00584310"/>
    <w:rsid w:val="005843C2"/>
    <w:rsid w:val="00584542"/>
    <w:rsid w:val="005845BE"/>
    <w:rsid w:val="00584640"/>
    <w:rsid w:val="005846F5"/>
    <w:rsid w:val="0058477D"/>
    <w:rsid w:val="005849BD"/>
    <w:rsid w:val="00584C30"/>
    <w:rsid w:val="00584D4D"/>
    <w:rsid w:val="00584D54"/>
    <w:rsid w:val="00584E09"/>
    <w:rsid w:val="00584E57"/>
    <w:rsid w:val="00584EC4"/>
    <w:rsid w:val="00584F60"/>
    <w:rsid w:val="00585004"/>
    <w:rsid w:val="0058503C"/>
    <w:rsid w:val="005852C6"/>
    <w:rsid w:val="005853D4"/>
    <w:rsid w:val="005853D8"/>
    <w:rsid w:val="00585431"/>
    <w:rsid w:val="00585604"/>
    <w:rsid w:val="00585657"/>
    <w:rsid w:val="00585690"/>
    <w:rsid w:val="00585777"/>
    <w:rsid w:val="00585825"/>
    <w:rsid w:val="00585892"/>
    <w:rsid w:val="005858C8"/>
    <w:rsid w:val="00585AEF"/>
    <w:rsid w:val="00585C06"/>
    <w:rsid w:val="00585C8D"/>
    <w:rsid w:val="00585D84"/>
    <w:rsid w:val="0058609E"/>
    <w:rsid w:val="005860C0"/>
    <w:rsid w:val="00586157"/>
    <w:rsid w:val="00586286"/>
    <w:rsid w:val="005862F8"/>
    <w:rsid w:val="00586316"/>
    <w:rsid w:val="00586456"/>
    <w:rsid w:val="005864F8"/>
    <w:rsid w:val="0058689D"/>
    <w:rsid w:val="0058689E"/>
    <w:rsid w:val="00586A22"/>
    <w:rsid w:val="00586B14"/>
    <w:rsid w:val="00586B4B"/>
    <w:rsid w:val="00586C7E"/>
    <w:rsid w:val="00586E31"/>
    <w:rsid w:val="00586F1C"/>
    <w:rsid w:val="005871A0"/>
    <w:rsid w:val="005871A8"/>
    <w:rsid w:val="005873C8"/>
    <w:rsid w:val="00587440"/>
    <w:rsid w:val="00587479"/>
    <w:rsid w:val="005875F5"/>
    <w:rsid w:val="0058761D"/>
    <w:rsid w:val="005876BF"/>
    <w:rsid w:val="005876F5"/>
    <w:rsid w:val="005877FF"/>
    <w:rsid w:val="005878D0"/>
    <w:rsid w:val="0058790C"/>
    <w:rsid w:val="00587A37"/>
    <w:rsid w:val="00587A3C"/>
    <w:rsid w:val="00587A47"/>
    <w:rsid w:val="00587A6B"/>
    <w:rsid w:val="00587BC2"/>
    <w:rsid w:val="00587C18"/>
    <w:rsid w:val="00587C47"/>
    <w:rsid w:val="00587E7A"/>
    <w:rsid w:val="00587E9C"/>
    <w:rsid w:val="00587EAB"/>
    <w:rsid w:val="00587F84"/>
    <w:rsid w:val="0058D5CF"/>
    <w:rsid w:val="00590015"/>
    <w:rsid w:val="0059003A"/>
    <w:rsid w:val="00590050"/>
    <w:rsid w:val="00590087"/>
    <w:rsid w:val="00590313"/>
    <w:rsid w:val="005903F7"/>
    <w:rsid w:val="005904EE"/>
    <w:rsid w:val="0059063F"/>
    <w:rsid w:val="005906A6"/>
    <w:rsid w:val="0059070E"/>
    <w:rsid w:val="0059079B"/>
    <w:rsid w:val="005907FC"/>
    <w:rsid w:val="00590868"/>
    <w:rsid w:val="00590894"/>
    <w:rsid w:val="005909FF"/>
    <w:rsid w:val="00590A73"/>
    <w:rsid w:val="00590A7D"/>
    <w:rsid w:val="00590C8D"/>
    <w:rsid w:val="00590CB3"/>
    <w:rsid w:val="00590CC7"/>
    <w:rsid w:val="00590E4D"/>
    <w:rsid w:val="00590E4E"/>
    <w:rsid w:val="005910A9"/>
    <w:rsid w:val="00591189"/>
    <w:rsid w:val="005911A5"/>
    <w:rsid w:val="005912C1"/>
    <w:rsid w:val="0059148D"/>
    <w:rsid w:val="005914D7"/>
    <w:rsid w:val="00591582"/>
    <w:rsid w:val="005915BE"/>
    <w:rsid w:val="00591703"/>
    <w:rsid w:val="005917EF"/>
    <w:rsid w:val="00591968"/>
    <w:rsid w:val="00591BC2"/>
    <w:rsid w:val="00591BDC"/>
    <w:rsid w:val="00591BE4"/>
    <w:rsid w:val="00591D12"/>
    <w:rsid w:val="00591D57"/>
    <w:rsid w:val="00591DE1"/>
    <w:rsid w:val="00591EE1"/>
    <w:rsid w:val="00591F43"/>
    <w:rsid w:val="00591F5F"/>
    <w:rsid w:val="00591FD0"/>
    <w:rsid w:val="00592059"/>
    <w:rsid w:val="00592229"/>
    <w:rsid w:val="00592291"/>
    <w:rsid w:val="00592346"/>
    <w:rsid w:val="0059238C"/>
    <w:rsid w:val="005923B5"/>
    <w:rsid w:val="005924AA"/>
    <w:rsid w:val="0059253B"/>
    <w:rsid w:val="0059255D"/>
    <w:rsid w:val="0059263C"/>
    <w:rsid w:val="005928C2"/>
    <w:rsid w:val="005929BE"/>
    <w:rsid w:val="00592AD6"/>
    <w:rsid w:val="00592AE6"/>
    <w:rsid w:val="00592D39"/>
    <w:rsid w:val="00592D7C"/>
    <w:rsid w:val="00592DA3"/>
    <w:rsid w:val="00592F99"/>
    <w:rsid w:val="005931AB"/>
    <w:rsid w:val="005932D3"/>
    <w:rsid w:val="00593381"/>
    <w:rsid w:val="0059351E"/>
    <w:rsid w:val="0059356A"/>
    <w:rsid w:val="00593664"/>
    <w:rsid w:val="0059371D"/>
    <w:rsid w:val="00593766"/>
    <w:rsid w:val="0059391C"/>
    <w:rsid w:val="0059397C"/>
    <w:rsid w:val="00593B8C"/>
    <w:rsid w:val="00593B93"/>
    <w:rsid w:val="00593BC2"/>
    <w:rsid w:val="00593C87"/>
    <w:rsid w:val="00593D91"/>
    <w:rsid w:val="00593DCE"/>
    <w:rsid w:val="00593EFC"/>
    <w:rsid w:val="005940A7"/>
    <w:rsid w:val="005942A6"/>
    <w:rsid w:val="00594458"/>
    <w:rsid w:val="005944A9"/>
    <w:rsid w:val="00594575"/>
    <w:rsid w:val="005945F8"/>
    <w:rsid w:val="00594839"/>
    <w:rsid w:val="00594843"/>
    <w:rsid w:val="0059490A"/>
    <w:rsid w:val="00594922"/>
    <w:rsid w:val="005949C2"/>
    <w:rsid w:val="00594AAA"/>
    <w:rsid w:val="00594C8A"/>
    <w:rsid w:val="00594CAC"/>
    <w:rsid w:val="00594E6F"/>
    <w:rsid w:val="00594ECD"/>
    <w:rsid w:val="00594F8A"/>
    <w:rsid w:val="00595041"/>
    <w:rsid w:val="005952D0"/>
    <w:rsid w:val="00595308"/>
    <w:rsid w:val="0059540B"/>
    <w:rsid w:val="00595649"/>
    <w:rsid w:val="00595675"/>
    <w:rsid w:val="005956CA"/>
    <w:rsid w:val="005956FB"/>
    <w:rsid w:val="00595729"/>
    <w:rsid w:val="00595765"/>
    <w:rsid w:val="00595857"/>
    <w:rsid w:val="005958B5"/>
    <w:rsid w:val="00595977"/>
    <w:rsid w:val="00595993"/>
    <w:rsid w:val="005959F5"/>
    <w:rsid w:val="00595A7A"/>
    <w:rsid w:val="00595AF3"/>
    <w:rsid w:val="00595B33"/>
    <w:rsid w:val="00595BEF"/>
    <w:rsid w:val="00595E11"/>
    <w:rsid w:val="00595E82"/>
    <w:rsid w:val="00595EA3"/>
    <w:rsid w:val="00596008"/>
    <w:rsid w:val="00596057"/>
    <w:rsid w:val="0059631C"/>
    <w:rsid w:val="00596328"/>
    <w:rsid w:val="0059639A"/>
    <w:rsid w:val="005963C5"/>
    <w:rsid w:val="005965C4"/>
    <w:rsid w:val="0059662F"/>
    <w:rsid w:val="005966D4"/>
    <w:rsid w:val="0059686E"/>
    <w:rsid w:val="00596B4C"/>
    <w:rsid w:val="00596BA0"/>
    <w:rsid w:val="00596BFC"/>
    <w:rsid w:val="00596CC3"/>
    <w:rsid w:val="00596DA9"/>
    <w:rsid w:val="00596E99"/>
    <w:rsid w:val="00596FBC"/>
    <w:rsid w:val="00596FC6"/>
    <w:rsid w:val="00597039"/>
    <w:rsid w:val="00597202"/>
    <w:rsid w:val="005973B0"/>
    <w:rsid w:val="005973C7"/>
    <w:rsid w:val="005974D3"/>
    <w:rsid w:val="005974FB"/>
    <w:rsid w:val="00597559"/>
    <w:rsid w:val="005975B4"/>
    <w:rsid w:val="0059771E"/>
    <w:rsid w:val="00597865"/>
    <w:rsid w:val="0059793D"/>
    <w:rsid w:val="00597B2E"/>
    <w:rsid w:val="00597CF7"/>
    <w:rsid w:val="00597DF5"/>
    <w:rsid w:val="00597F45"/>
    <w:rsid w:val="0059D863"/>
    <w:rsid w:val="005A04C4"/>
    <w:rsid w:val="005A0555"/>
    <w:rsid w:val="005A0580"/>
    <w:rsid w:val="005A06B3"/>
    <w:rsid w:val="005A0747"/>
    <w:rsid w:val="005A0829"/>
    <w:rsid w:val="005A08AD"/>
    <w:rsid w:val="005A0AAB"/>
    <w:rsid w:val="005A0B32"/>
    <w:rsid w:val="005A0B70"/>
    <w:rsid w:val="005A0BF8"/>
    <w:rsid w:val="005A0C6C"/>
    <w:rsid w:val="005A0CDC"/>
    <w:rsid w:val="005A0DC5"/>
    <w:rsid w:val="005A0F09"/>
    <w:rsid w:val="005A0F0F"/>
    <w:rsid w:val="005A103C"/>
    <w:rsid w:val="005A1199"/>
    <w:rsid w:val="005A11DF"/>
    <w:rsid w:val="005A1261"/>
    <w:rsid w:val="005A14FC"/>
    <w:rsid w:val="005A1502"/>
    <w:rsid w:val="005A151D"/>
    <w:rsid w:val="005A1599"/>
    <w:rsid w:val="005A159F"/>
    <w:rsid w:val="005A1675"/>
    <w:rsid w:val="005A179B"/>
    <w:rsid w:val="005A1881"/>
    <w:rsid w:val="005A18AC"/>
    <w:rsid w:val="005A1A56"/>
    <w:rsid w:val="005A1BB2"/>
    <w:rsid w:val="005A1BFE"/>
    <w:rsid w:val="005A1C9A"/>
    <w:rsid w:val="005A1EF7"/>
    <w:rsid w:val="005A208C"/>
    <w:rsid w:val="005A21EA"/>
    <w:rsid w:val="005A21ED"/>
    <w:rsid w:val="005A2491"/>
    <w:rsid w:val="005A2549"/>
    <w:rsid w:val="005A2551"/>
    <w:rsid w:val="005A25A0"/>
    <w:rsid w:val="005A25CF"/>
    <w:rsid w:val="005A2788"/>
    <w:rsid w:val="005A27D3"/>
    <w:rsid w:val="005A280B"/>
    <w:rsid w:val="005A28E2"/>
    <w:rsid w:val="005A2934"/>
    <w:rsid w:val="005A2936"/>
    <w:rsid w:val="005A29AB"/>
    <w:rsid w:val="005A2B43"/>
    <w:rsid w:val="005A2B51"/>
    <w:rsid w:val="005A2CD4"/>
    <w:rsid w:val="005A2E3B"/>
    <w:rsid w:val="005A2F59"/>
    <w:rsid w:val="005A2FF1"/>
    <w:rsid w:val="005A306F"/>
    <w:rsid w:val="005A308D"/>
    <w:rsid w:val="005A3116"/>
    <w:rsid w:val="005A31BF"/>
    <w:rsid w:val="005A32B1"/>
    <w:rsid w:val="005A3320"/>
    <w:rsid w:val="005A3366"/>
    <w:rsid w:val="005A3398"/>
    <w:rsid w:val="005A3482"/>
    <w:rsid w:val="005A34AC"/>
    <w:rsid w:val="005A34BC"/>
    <w:rsid w:val="005A34DC"/>
    <w:rsid w:val="005A35EE"/>
    <w:rsid w:val="005A37B6"/>
    <w:rsid w:val="005A3864"/>
    <w:rsid w:val="005A3C26"/>
    <w:rsid w:val="005A3CEA"/>
    <w:rsid w:val="005A3E9C"/>
    <w:rsid w:val="005A406C"/>
    <w:rsid w:val="005A411D"/>
    <w:rsid w:val="005A424A"/>
    <w:rsid w:val="005A42E8"/>
    <w:rsid w:val="005A43C9"/>
    <w:rsid w:val="005A4434"/>
    <w:rsid w:val="005A465A"/>
    <w:rsid w:val="005A46E2"/>
    <w:rsid w:val="005A4803"/>
    <w:rsid w:val="005A4898"/>
    <w:rsid w:val="005A48D3"/>
    <w:rsid w:val="005A4A21"/>
    <w:rsid w:val="005A4A22"/>
    <w:rsid w:val="005A4AF6"/>
    <w:rsid w:val="005A4D03"/>
    <w:rsid w:val="005A4D1D"/>
    <w:rsid w:val="005A4D59"/>
    <w:rsid w:val="005A4D60"/>
    <w:rsid w:val="005A4FC2"/>
    <w:rsid w:val="005A50EA"/>
    <w:rsid w:val="005A50F2"/>
    <w:rsid w:val="005A5134"/>
    <w:rsid w:val="005A514D"/>
    <w:rsid w:val="005A5189"/>
    <w:rsid w:val="005A5347"/>
    <w:rsid w:val="005A55AC"/>
    <w:rsid w:val="005A55E8"/>
    <w:rsid w:val="005A5618"/>
    <w:rsid w:val="005A562F"/>
    <w:rsid w:val="005A5632"/>
    <w:rsid w:val="005A569B"/>
    <w:rsid w:val="005A56CE"/>
    <w:rsid w:val="005A5962"/>
    <w:rsid w:val="005A59C4"/>
    <w:rsid w:val="005A5AD1"/>
    <w:rsid w:val="005A5B19"/>
    <w:rsid w:val="005A5D5F"/>
    <w:rsid w:val="005A5DFF"/>
    <w:rsid w:val="005A5E4B"/>
    <w:rsid w:val="005A5E88"/>
    <w:rsid w:val="005A5FCC"/>
    <w:rsid w:val="005A62E0"/>
    <w:rsid w:val="005A6494"/>
    <w:rsid w:val="005A6641"/>
    <w:rsid w:val="005A6840"/>
    <w:rsid w:val="005A69FF"/>
    <w:rsid w:val="005A6A36"/>
    <w:rsid w:val="005A6AE7"/>
    <w:rsid w:val="005A6C73"/>
    <w:rsid w:val="005A6D66"/>
    <w:rsid w:val="005A6D9D"/>
    <w:rsid w:val="005A6ED6"/>
    <w:rsid w:val="005A6EFE"/>
    <w:rsid w:val="005A7132"/>
    <w:rsid w:val="005A7231"/>
    <w:rsid w:val="005A72A3"/>
    <w:rsid w:val="005A72FD"/>
    <w:rsid w:val="005A7344"/>
    <w:rsid w:val="005A7387"/>
    <w:rsid w:val="005A74A0"/>
    <w:rsid w:val="005A74A1"/>
    <w:rsid w:val="005A74D6"/>
    <w:rsid w:val="005A7552"/>
    <w:rsid w:val="005A765C"/>
    <w:rsid w:val="005A76D0"/>
    <w:rsid w:val="005A7769"/>
    <w:rsid w:val="005A77AE"/>
    <w:rsid w:val="005A77CE"/>
    <w:rsid w:val="005A7918"/>
    <w:rsid w:val="005A7A3E"/>
    <w:rsid w:val="005A7A92"/>
    <w:rsid w:val="005A7B12"/>
    <w:rsid w:val="005A7BAD"/>
    <w:rsid w:val="005A7CB4"/>
    <w:rsid w:val="005A7D30"/>
    <w:rsid w:val="005A7F11"/>
    <w:rsid w:val="005A7F98"/>
    <w:rsid w:val="005A7FB6"/>
    <w:rsid w:val="005B0000"/>
    <w:rsid w:val="005B00FB"/>
    <w:rsid w:val="005B0296"/>
    <w:rsid w:val="005B03EE"/>
    <w:rsid w:val="005B041B"/>
    <w:rsid w:val="005B0484"/>
    <w:rsid w:val="005B06A0"/>
    <w:rsid w:val="005B07A1"/>
    <w:rsid w:val="005B0803"/>
    <w:rsid w:val="005B087D"/>
    <w:rsid w:val="005B09B9"/>
    <w:rsid w:val="005B09DB"/>
    <w:rsid w:val="005B0CC0"/>
    <w:rsid w:val="005B0D03"/>
    <w:rsid w:val="005B0EFE"/>
    <w:rsid w:val="005B0F0D"/>
    <w:rsid w:val="005B0F6F"/>
    <w:rsid w:val="005B1132"/>
    <w:rsid w:val="005B117E"/>
    <w:rsid w:val="005B11EE"/>
    <w:rsid w:val="005B1229"/>
    <w:rsid w:val="005B12D0"/>
    <w:rsid w:val="005B12E8"/>
    <w:rsid w:val="005B12F9"/>
    <w:rsid w:val="005B1570"/>
    <w:rsid w:val="005B1584"/>
    <w:rsid w:val="005B1629"/>
    <w:rsid w:val="005B1641"/>
    <w:rsid w:val="005B17BB"/>
    <w:rsid w:val="005B18A7"/>
    <w:rsid w:val="005B1B00"/>
    <w:rsid w:val="005B1B5C"/>
    <w:rsid w:val="005B1C67"/>
    <w:rsid w:val="005B1CD9"/>
    <w:rsid w:val="005B1DBF"/>
    <w:rsid w:val="005B1E4A"/>
    <w:rsid w:val="005B1E91"/>
    <w:rsid w:val="005B1F24"/>
    <w:rsid w:val="005B1F94"/>
    <w:rsid w:val="005B206E"/>
    <w:rsid w:val="005B21B4"/>
    <w:rsid w:val="005B223C"/>
    <w:rsid w:val="005B2265"/>
    <w:rsid w:val="005B226C"/>
    <w:rsid w:val="005B22CF"/>
    <w:rsid w:val="005B22DB"/>
    <w:rsid w:val="005B24B2"/>
    <w:rsid w:val="005B24CD"/>
    <w:rsid w:val="005B25DC"/>
    <w:rsid w:val="005B26C4"/>
    <w:rsid w:val="005B2711"/>
    <w:rsid w:val="005B2827"/>
    <w:rsid w:val="005B283A"/>
    <w:rsid w:val="005B29C7"/>
    <w:rsid w:val="005B2ACF"/>
    <w:rsid w:val="005B2B36"/>
    <w:rsid w:val="005B2B92"/>
    <w:rsid w:val="005B2C32"/>
    <w:rsid w:val="005B2C3C"/>
    <w:rsid w:val="005B2C53"/>
    <w:rsid w:val="005B2C88"/>
    <w:rsid w:val="005B2D73"/>
    <w:rsid w:val="005B2D99"/>
    <w:rsid w:val="005B2E2D"/>
    <w:rsid w:val="005B2E87"/>
    <w:rsid w:val="005B2F48"/>
    <w:rsid w:val="005B2F84"/>
    <w:rsid w:val="005B30EF"/>
    <w:rsid w:val="005B31E8"/>
    <w:rsid w:val="005B3295"/>
    <w:rsid w:val="005B33E3"/>
    <w:rsid w:val="005B3422"/>
    <w:rsid w:val="005B3652"/>
    <w:rsid w:val="005B3796"/>
    <w:rsid w:val="005B37C6"/>
    <w:rsid w:val="005B38C7"/>
    <w:rsid w:val="005B3943"/>
    <w:rsid w:val="005B3963"/>
    <w:rsid w:val="005B3A28"/>
    <w:rsid w:val="005B3D72"/>
    <w:rsid w:val="005B4008"/>
    <w:rsid w:val="005B40C4"/>
    <w:rsid w:val="005B40CE"/>
    <w:rsid w:val="005B40DB"/>
    <w:rsid w:val="005B410B"/>
    <w:rsid w:val="005B4243"/>
    <w:rsid w:val="005B42B2"/>
    <w:rsid w:val="005B42F0"/>
    <w:rsid w:val="005B44F2"/>
    <w:rsid w:val="005B45AC"/>
    <w:rsid w:val="005B4747"/>
    <w:rsid w:val="005B477C"/>
    <w:rsid w:val="005B47F6"/>
    <w:rsid w:val="005B49A5"/>
    <w:rsid w:val="005B4A2C"/>
    <w:rsid w:val="005B4B2E"/>
    <w:rsid w:val="005B4BCE"/>
    <w:rsid w:val="005B4D34"/>
    <w:rsid w:val="005B4E23"/>
    <w:rsid w:val="005B4EF0"/>
    <w:rsid w:val="005B4F14"/>
    <w:rsid w:val="005B4F38"/>
    <w:rsid w:val="005B500D"/>
    <w:rsid w:val="005B50D2"/>
    <w:rsid w:val="005B5158"/>
    <w:rsid w:val="005B5229"/>
    <w:rsid w:val="005B527D"/>
    <w:rsid w:val="005B5357"/>
    <w:rsid w:val="005B5444"/>
    <w:rsid w:val="005B547C"/>
    <w:rsid w:val="005B54FF"/>
    <w:rsid w:val="005B5782"/>
    <w:rsid w:val="005B5790"/>
    <w:rsid w:val="005B584F"/>
    <w:rsid w:val="005B58E4"/>
    <w:rsid w:val="005B5939"/>
    <w:rsid w:val="005B5976"/>
    <w:rsid w:val="005B59CB"/>
    <w:rsid w:val="005B5AB6"/>
    <w:rsid w:val="005B5B96"/>
    <w:rsid w:val="005B5C3D"/>
    <w:rsid w:val="005B5C6E"/>
    <w:rsid w:val="005B5EFA"/>
    <w:rsid w:val="005B5F0B"/>
    <w:rsid w:val="005B5F9D"/>
    <w:rsid w:val="005B6132"/>
    <w:rsid w:val="005B6307"/>
    <w:rsid w:val="005B63AF"/>
    <w:rsid w:val="005B65AE"/>
    <w:rsid w:val="005B6676"/>
    <w:rsid w:val="005B68B8"/>
    <w:rsid w:val="005B69FE"/>
    <w:rsid w:val="005B6ABC"/>
    <w:rsid w:val="005B6B6A"/>
    <w:rsid w:val="005B6D27"/>
    <w:rsid w:val="005B6DAA"/>
    <w:rsid w:val="005B6DC0"/>
    <w:rsid w:val="005B6EBF"/>
    <w:rsid w:val="005B6F70"/>
    <w:rsid w:val="005B7136"/>
    <w:rsid w:val="005B7144"/>
    <w:rsid w:val="005B715B"/>
    <w:rsid w:val="005B71CA"/>
    <w:rsid w:val="005B71E5"/>
    <w:rsid w:val="005B7254"/>
    <w:rsid w:val="005B732A"/>
    <w:rsid w:val="005B747F"/>
    <w:rsid w:val="005B7646"/>
    <w:rsid w:val="005B7828"/>
    <w:rsid w:val="005B78DD"/>
    <w:rsid w:val="005B7B2D"/>
    <w:rsid w:val="005B7C67"/>
    <w:rsid w:val="005B7D15"/>
    <w:rsid w:val="005B7DE6"/>
    <w:rsid w:val="005B7E5E"/>
    <w:rsid w:val="005B7EBE"/>
    <w:rsid w:val="005C0057"/>
    <w:rsid w:val="005C00B5"/>
    <w:rsid w:val="005C02D7"/>
    <w:rsid w:val="005C02FC"/>
    <w:rsid w:val="005C04F6"/>
    <w:rsid w:val="005C06BB"/>
    <w:rsid w:val="005C0864"/>
    <w:rsid w:val="005C08DD"/>
    <w:rsid w:val="005C0ABA"/>
    <w:rsid w:val="005C0B02"/>
    <w:rsid w:val="005C0B7A"/>
    <w:rsid w:val="005C0BC1"/>
    <w:rsid w:val="005C0D0A"/>
    <w:rsid w:val="005C0D99"/>
    <w:rsid w:val="005C0FD3"/>
    <w:rsid w:val="005C1081"/>
    <w:rsid w:val="005C1135"/>
    <w:rsid w:val="005C1140"/>
    <w:rsid w:val="005C11C1"/>
    <w:rsid w:val="005C1205"/>
    <w:rsid w:val="005C12EA"/>
    <w:rsid w:val="005C13D4"/>
    <w:rsid w:val="005C1401"/>
    <w:rsid w:val="005C14BA"/>
    <w:rsid w:val="005C14BC"/>
    <w:rsid w:val="005C14E1"/>
    <w:rsid w:val="005C1596"/>
    <w:rsid w:val="005C1730"/>
    <w:rsid w:val="005C1933"/>
    <w:rsid w:val="005C1A3E"/>
    <w:rsid w:val="005C1A4E"/>
    <w:rsid w:val="005C1B48"/>
    <w:rsid w:val="005C1BEA"/>
    <w:rsid w:val="005C1D15"/>
    <w:rsid w:val="005C1D51"/>
    <w:rsid w:val="005C1E43"/>
    <w:rsid w:val="005C1F04"/>
    <w:rsid w:val="005C1F55"/>
    <w:rsid w:val="005C1F9A"/>
    <w:rsid w:val="005C2000"/>
    <w:rsid w:val="005C2115"/>
    <w:rsid w:val="005C226A"/>
    <w:rsid w:val="005C2372"/>
    <w:rsid w:val="005C2400"/>
    <w:rsid w:val="005C258D"/>
    <w:rsid w:val="005C273C"/>
    <w:rsid w:val="005C2849"/>
    <w:rsid w:val="005C290B"/>
    <w:rsid w:val="005C299A"/>
    <w:rsid w:val="005C29D1"/>
    <w:rsid w:val="005C2ACD"/>
    <w:rsid w:val="005C2B60"/>
    <w:rsid w:val="005C2BA6"/>
    <w:rsid w:val="005C2BEE"/>
    <w:rsid w:val="005C2CBA"/>
    <w:rsid w:val="005C2CF2"/>
    <w:rsid w:val="005C2DB4"/>
    <w:rsid w:val="005C2DE9"/>
    <w:rsid w:val="005C30BD"/>
    <w:rsid w:val="005C3115"/>
    <w:rsid w:val="005C3343"/>
    <w:rsid w:val="005C33CB"/>
    <w:rsid w:val="005C33E5"/>
    <w:rsid w:val="005C342E"/>
    <w:rsid w:val="005C3455"/>
    <w:rsid w:val="005C35C9"/>
    <w:rsid w:val="005C35E1"/>
    <w:rsid w:val="005C36E5"/>
    <w:rsid w:val="005C37E2"/>
    <w:rsid w:val="005C3872"/>
    <w:rsid w:val="005C3994"/>
    <w:rsid w:val="005C3A54"/>
    <w:rsid w:val="005C3A99"/>
    <w:rsid w:val="005C3D49"/>
    <w:rsid w:val="005C3E3C"/>
    <w:rsid w:val="005C3EDE"/>
    <w:rsid w:val="005C3F4E"/>
    <w:rsid w:val="005C4170"/>
    <w:rsid w:val="005C422F"/>
    <w:rsid w:val="005C4286"/>
    <w:rsid w:val="005C43E3"/>
    <w:rsid w:val="005C44CB"/>
    <w:rsid w:val="005C44E6"/>
    <w:rsid w:val="005C456D"/>
    <w:rsid w:val="005C4746"/>
    <w:rsid w:val="005C4750"/>
    <w:rsid w:val="005C4751"/>
    <w:rsid w:val="005C4BD2"/>
    <w:rsid w:val="005C4C07"/>
    <w:rsid w:val="005C4CA8"/>
    <w:rsid w:val="005C4CB6"/>
    <w:rsid w:val="005C4D30"/>
    <w:rsid w:val="005C4E57"/>
    <w:rsid w:val="005C4E73"/>
    <w:rsid w:val="005C4F4F"/>
    <w:rsid w:val="005C5069"/>
    <w:rsid w:val="005C5165"/>
    <w:rsid w:val="005C525B"/>
    <w:rsid w:val="005C52B3"/>
    <w:rsid w:val="005C52CC"/>
    <w:rsid w:val="005C52DB"/>
    <w:rsid w:val="005C5547"/>
    <w:rsid w:val="005C556C"/>
    <w:rsid w:val="005C5760"/>
    <w:rsid w:val="005C5792"/>
    <w:rsid w:val="005C5A12"/>
    <w:rsid w:val="005C5CED"/>
    <w:rsid w:val="005C6027"/>
    <w:rsid w:val="005C6066"/>
    <w:rsid w:val="005C60F9"/>
    <w:rsid w:val="005C6129"/>
    <w:rsid w:val="005C61AF"/>
    <w:rsid w:val="005C62DF"/>
    <w:rsid w:val="005C653B"/>
    <w:rsid w:val="005C6649"/>
    <w:rsid w:val="005C6760"/>
    <w:rsid w:val="005C6B59"/>
    <w:rsid w:val="005C6F14"/>
    <w:rsid w:val="005C6F2E"/>
    <w:rsid w:val="005C7099"/>
    <w:rsid w:val="005C70CF"/>
    <w:rsid w:val="005C7132"/>
    <w:rsid w:val="005C7218"/>
    <w:rsid w:val="005C7363"/>
    <w:rsid w:val="005C73DA"/>
    <w:rsid w:val="005C74A5"/>
    <w:rsid w:val="005C7510"/>
    <w:rsid w:val="005C76B3"/>
    <w:rsid w:val="005C76E0"/>
    <w:rsid w:val="005C76FF"/>
    <w:rsid w:val="005C774E"/>
    <w:rsid w:val="005C7750"/>
    <w:rsid w:val="005C776D"/>
    <w:rsid w:val="005C7790"/>
    <w:rsid w:val="005C77F5"/>
    <w:rsid w:val="005C785E"/>
    <w:rsid w:val="005C78AF"/>
    <w:rsid w:val="005C7A16"/>
    <w:rsid w:val="005C7AAB"/>
    <w:rsid w:val="005C7AF8"/>
    <w:rsid w:val="005C7BD8"/>
    <w:rsid w:val="005C7BEA"/>
    <w:rsid w:val="005C7C16"/>
    <w:rsid w:val="005C7C4F"/>
    <w:rsid w:val="005C7D23"/>
    <w:rsid w:val="005C7D51"/>
    <w:rsid w:val="005C7E15"/>
    <w:rsid w:val="005C7E7F"/>
    <w:rsid w:val="005D00A6"/>
    <w:rsid w:val="005D0177"/>
    <w:rsid w:val="005D0233"/>
    <w:rsid w:val="005D023E"/>
    <w:rsid w:val="005D0277"/>
    <w:rsid w:val="005D0525"/>
    <w:rsid w:val="005D058A"/>
    <w:rsid w:val="005D0599"/>
    <w:rsid w:val="005D0652"/>
    <w:rsid w:val="005D08D4"/>
    <w:rsid w:val="005D0B28"/>
    <w:rsid w:val="005D0B57"/>
    <w:rsid w:val="005D0C6A"/>
    <w:rsid w:val="005D0D53"/>
    <w:rsid w:val="005D0E38"/>
    <w:rsid w:val="005D0E55"/>
    <w:rsid w:val="005D0F6E"/>
    <w:rsid w:val="005D0F87"/>
    <w:rsid w:val="005D0FD8"/>
    <w:rsid w:val="005D10C0"/>
    <w:rsid w:val="005D10C2"/>
    <w:rsid w:val="005D1187"/>
    <w:rsid w:val="005D127C"/>
    <w:rsid w:val="005D1315"/>
    <w:rsid w:val="005D149D"/>
    <w:rsid w:val="005D15DB"/>
    <w:rsid w:val="005D15E4"/>
    <w:rsid w:val="005D1789"/>
    <w:rsid w:val="005D18AB"/>
    <w:rsid w:val="005D1966"/>
    <w:rsid w:val="005D1AD0"/>
    <w:rsid w:val="005D1C34"/>
    <w:rsid w:val="005D1D2C"/>
    <w:rsid w:val="005D1E40"/>
    <w:rsid w:val="005D1EB8"/>
    <w:rsid w:val="005D1FD3"/>
    <w:rsid w:val="005D2070"/>
    <w:rsid w:val="005D226A"/>
    <w:rsid w:val="005D246D"/>
    <w:rsid w:val="005D2474"/>
    <w:rsid w:val="005D25EA"/>
    <w:rsid w:val="005D25F2"/>
    <w:rsid w:val="005D2822"/>
    <w:rsid w:val="005D2867"/>
    <w:rsid w:val="005D28F3"/>
    <w:rsid w:val="005D2907"/>
    <w:rsid w:val="005D2B3D"/>
    <w:rsid w:val="005D2CEB"/>
    <w:rsid w:val="005D2DE5"/>
    <w:rsid w:val="005D2E00"/>
    <w:rsid w:val="005D2E04"/>
    <w:rsid w:val="005D2E2D"/>
    <w:rsid w:val="005D2EE9"/>
    <w:rsid w:val="005D2F78"/>
    <w:rsid w:val="005D304B"/>
    <w:rsid w:val="005D3066"/>
    <w:rsid w:val="005D31FB"/>
    <w:rsid w:val="005D324F"/>
    <w:rsid w:val="005D340B"/>
    <w:rsid w:val="005D3554"/>
    <w:rsid w:val="005D3569"/>
    <w:rsid w:val="005D35C6"/>
    <w:rsid w:val="005D372F"/>
    <w:rsid w:val="005D3966"/>
    <w:rsid w:val="005D3A2C"/>
    <w:rsid w:val="005D3B02"/>
    <w:rsid w:val="005D3C3E"/>
    <w:rsid w:val="005D3D05"/>
    <w:rsid w:val="005D3D27"/>
    <w:rsid w:val="005D3EF5"/>
    <w:rsid w:val="005D3F6C"/>
    <w:rsid w:val="005D3FAD"/>
    <w:rsid w:val="005D4037"/>
    <w:rsid w:val="005D405F"/>
    <w:rsid w:val="005D4063"/>
    <w:rsid w:val="005D4219"/>
    <w:rsid w:val="005D4244"/>
    <w:rsid w:val="005D44A1"/>
    <w:rsid w:val="005D45D6"/>
    <w:rsid w:val="005D470B"/>
    <w:rsid w:val="005D48F4"/>
    <w:rsid w:val="005D492B"/>
    <w:rsid w:val="005D4A28"/>
    <w:rsid w:val="005D4A6B"/>
    <w:rsid w:val="005D4C63"/>
    <w:rsid w:val="005D4DB8"/>
    <w:rsid w:val="005D4E10"/>
    <w:rsid w:val="005D4EE4"/>
    <w:rsid w:val="005D52B1"/>
    <w:rsid w:val="005D52DB"/>
    <w:rsid w:val="005D53A3"/>
    <w:rsid w:val="005D544E"/>
    <w:rsid w:val="005D54E9"/>
    <w:rsid w:val="005D5522"/>
    <w:rsid w:val="005D558C"/>
    <w:rsid w:val="005D55DC"/>
    <w:rsid w:val="005D565D"/>
    <w:rsid w:val="005D56DF"/>
    <w:rsid w:val="005D577F"/>
    <w:rsid w:val="005D581B"/>
    <w:rsid w:val="005D599B"/>
    <w:rsid w:val="005D59EC"/>
    <w:rsid w:val="005D5B7A"/>
    <w:rsid w:val="005D5C6E"/>
    <w:rsid w:val="005D5C79"/>
    <w:rsid w:val="005D5D7A"/>
    <w:rsid w:val="005D5D96"/>
    <w:rsid w:val="005D5EB2"/>
    <w:rsid w:val="005D6224"/>
    <w:rsid w:val="005D62A2"/>
    <w:rsid w:val="005D6457"/>
    <w:rsid w:val="005D6579"/>
    <w:rsid w:val="005D6595"/>
    <w:rsid w:val="005D65F5"/>
    <w:rsid w:val="005D66C6"/>
    <w:rsid w:val="005D69AE"/>
    <w:rsid w:val="005D6A3E"/>
    <w:rsid w:val="005D6A9B"/>
    <w:rsid w:val="005D6AA6"/>
    <w:rsid w:val="005D6AC3"/>
    <w:rsid w:val="005D6BE2"/>
    <w:rsid w:val="005D6F00"/>
    <w:rsid w:val="005D6FEC"/>
    <w:rsid w:val="005D70CC"/>
    <w:rsid w:val="005D70DD"/>
    <w:rsid w:val="005D7215"/>
    <w:rsid w:val="005D73B6"/>
    <w:rsid w:val="005D749C"/>
    <w:rsid w:val="005D74F7"/>
    <w:rsid w:val="005D754B"/>
    <w:rsid w:val="005D75B7"/>
    <w:rsid w:val="005D7651"/>
    <w:rsid w:val="005D7744"/>
    <w:rsid w:val="005D78B6"/>
    <w:rsid w:val="005D7917"/>
    <w:rsid w:val="005D7BC1"/>
    <w:rsid w:val="005D7C06"/>
    <w:rsid w:val="005D7CB4"/>
    <w:rsid w:val="005D7E63"/>
    <w:rsid w:val="005D7FCA"/>
    <w:rsid w:val="005E028E"/>
    <w:rsid w:val="005E02F1"/>
    <w:rsid w:val="005E03B9"/>
    <w:rsid w:val="005E0490"/>
    <w:rsid w:val="005E04C9"/>
    <w:rsid w:val="005E0526"/>
    <w:rsid w:val="005E0659"/>
    <w:rsid w:val="005E068C"/>
    <w:rsid w:val="005E078D"/>
    <w:rsid w:val="005E08A8"/>
    <w:rsid w:val="005E0957"/>
    <w:rsid w:val="005E0A77"/>
    <w:rsid w:val="005E0A7C"/>
    <w:rsid w:val="005E0AB0"/>
    <w:rsid w:val="005E0E77"/>
    <w:rsid w:val="005E0F2F"/>
    <w:rsid w:val="005E0F68"/>
    <w:rsid w:val="005E1082"/>
    <w:rsid w:val="005E10FB"/>
    <w:rsid w:val="005E112A"/>
    <w:rsid w:val="005E11CF"/>
    <w:rsid w:val="005E12D9"/>
    <w:rsid w:val="005E13BB"/>
    <w:rsid w:val="005E16CB"/>
    <w:rsid w:val="005E1931"/>
    <w:rsid w:val="005E1B98"/>
    <w:rsid w:val="005E1BCF"/>
    <w:rsid w:val="005E1CCD"/>
    <w:rsid w:val="005E1D66"/>
    <w:rsid w:val="005E1DEB"/>
    <w:rsid w:val="005E1DF4"/>
    <w:rsid w:val="005E1F3A"/>
    <w:rsid w:val="005E1FC1"/>
    <w:rsid w:val="005E1FEA"/>
    <w:rsid w:val="005E206B"/>
    <w:rsid w:val="005E22C1"/>
    <w:rsid w:val="005E235A"/>
    <w:rsid w:val="005E2369"/>
    <w:rsid w:val="005E236C"/>
    <w:rsid w:val="005E2454"/>
    <w:rsid w:val="005E247F"/>
    <w:rsid w:val="005E2755"/>
    <w:rsid w:val="005E293A"/>
    <w:rsid w:val="005E2A7B"/>
    <w:rsid w:val="005E2AE8"/>
    <w:rsid w:val="005E2AF2"/>
    <w:rsid w:val="005E2B30"/>
    <w:rsid w:val="005E2BD4"/>
    <w:rsid w:val="005E2CEE"/>
    <w:rsid w:val="005E2F03"/>
    <w:rsid w:val="005E2FF6"/>
    <w:rsid w:val="005E300E"/>
    <w:rsid w:val="005E3041"/>
    <w:rsid w:val="005E308C"/>
    <w:rsid w:val="005E31BD"/>
    <w:rsid w:val="005E325D"/>
    <w:rsid w:val="005E32AB"/>
    <w:rsid w:val="005E32C2"/>
    <w:rsid w:val="005E3331"/>
    <w:rsid w:val="005E3349"/>
    <w:rsid w:val="005E335D"/>
    <w:rsid w:val="005E3368"/>
    <w:rsid w:val="005E33A0"/>
    <w:rsid w:val="005E3530"/>
    <w:rsid w:val="005E3707"/>
    <w:rsid w:val="005E379B"/>
    <w:rsid w:val="005E3812"/>
    <w:rsid w:val="005E3833"/>
    <w:rsid w:val="005E3911"/>
    <w:rsid w:val="005E3A39"/>
    <w:rsid w:val="005E3A8E"/>
    <w:rsid w:val="005E3B49"/>
    <w:rsid w:val="005E3B88"/>
    <w:rsid w:val="005E3BA1"/>
    <w:rsid w:val="005E3C8F"/>
    <w:rsid w:val="005E3D7B"/>
    <w:rsid w:val="005E3E45"/>
    <w:rsid w:val="005E3ECD"/>
    <w:rsid w:val="005E4433"/>
    <w:rsid w:val="005E4487"/>
    <w:rsid w:val="005E4489"/>
    <w:rsid w:val="005E46E8"/>
    <w:rsid w:val="005E476A"/>
    <w:rsid w:val="005E49A9"/>
    <w:rsid w:val="005E4AF8"/>
    <w:rsid w:val="005E4B13"/>
    <w:rsid w:val="005E4B8E"/>
    <w:rsid w:val="005E4BBB"/>
    <w:rsid w:val="005E4C02"/>
    <w:rsid w:val="005E4DB0"/>
    <w:rsid w:val="005E4F3F"/>
    <w:rsid w:val="005E4FD6"/>
    <w:rsid w:val="005E4FE6"/>
    <w:rsid w:val="005E50DD"/>
    <w:rsid w:val="005E5134"/>
    <w:rsid w:val="005E5156"/>
    <w:rsid w:val="005E51D3"/>
    <w:rsid w:val="005E522B"/>
    <w:rsid w:val="005E5641"/>
    <w:rsid w:val="005E5660"/>
    <w:rsid w:val="005E5706"/>
    <w:rsid w:val="005E575F"/>
    <w:rsid w:val="005E5905"/>
    <w:rsid w:val="005E5AB4"/>
    <w:rsid w:val="005E5AE8"/>
    <w:rsid w:val="005E5CD7"/>
    <w:rsid w:val="005E5D09"/>
    <w:rsid w:val="005E5DB6"/>
    <w:rsid w:val="005E5DDE"/>
    <w:rsid w:val="005E5E51"/>
    <w:rsid w:val="005E60B7"/>
    <w:rsid w:val="005E62AC"/>
    <w:rsid w:val="005E6376"/>
    <w:rsid w:val="005E6389"/>
    <w:rsid w:val="005E63B9"/>
    <w:rsid w:val="005E6480"/>
    <w:rsid w:val="005E66B7"/>
    <w:rsid w:val="005E66C0"/>
    <w:rsid w:val="005E673D"/>
    <w:rsid w:val="005E6831"/>
    <w:rsid w:val="005E6A1C"/>
    <w:rsid w:val="005E6C69"/>
    <w:rsid w:val="005E6D0F"/>
    <w:rsid w:val="005E6D30"/>
    <w:rsid w:val="005E6DED"/>
    <w:rsid w:val="005E7131"/>
    <w:rsid w:val="005E7154"/>
    <w:rsid w:val="005E71D0"/>
    <w:rsid w:val="005E7274"/>
    <w:rsid w:val="005E72F4"/>
    <w:rsid w:val="005E7452"/>
    <w:rsid w:val="005E74EF"/>
    <w:rsid w:val="005E757C"/>
    <w:rsid w:val="005E774D"/>
    <w:rsid w:val="005E7811"/>
    <w:rsid w:val="005E781E"/>
    <w:rsid w:val="005E78CD"/>
    <w:rsid w:val="005E7998"/>
    <w:rsid w:val="005E7C5C"/>
    <w:rsid w:val="005E7C81"/>
    <w:rsid w:val="005E7D54"/>
    <w:rsid w:val="005E7DC9"/>
    <w:rsid w:val="005E7E58"/>
    <w:rsid w:val="005E7E6B"/>
    <w:rsid w:val="005E7E98"/>
    <w:rsid w:val="005E7EC0"/>
    <w:rsid w:val="005E7F2E"/>
    <w:rsid w:val="005E7FC2"/>
    <w:rsid w:val="005F0071"/>
    <w:rsid w:val="005F00D2"/>
    <w:rsid w:val="005F01DF"/>
    <w:rsid w:val="005F01F9"/>
    <w:rsid w:val="005F0297"/>
    <w:rsid w:val="005F02A9"/>
    <w:rsid w:val="005F033A"/>
    <w:rsid w:val="005F03AA"/>
    <w:rsid w:val="005F0438"/>
    <w:rsid w:val="005F0461"/>
    <w:rsid w:val="005F046E"/>
    <w:rsid w:val="005F05D4"/>
    <w:rsid w:val="005F0653"/>
    <w:rsid w:val="005F0661"/>
    <w:rsid w:val="005F066A"/>
    <w:rsid w:val="005F0736"/>
    <w:rsid w:val="005F07E0"/>
    <w:rsid w:val="005F0836"/>
    <w:rsid w:val="005F094E"/>
    <w:rsid w:val="005F09A4"/>
    <w:rsid w:val="005F0B23"/>
    <w:rsid w:val="005F0B65"/>
    <w:rsid w:val="005F0B9D"/>
    <w:rsid w:val="005F0BC8"/>
    <w:rsid w:val="005F0DD5"/>
    <w:rsid w:val="005F0EB4"/>
    <w:rsid w:val="005F0F65"/>
    <w:rsid w:val="005F0FCB"/>
    <w:rsid w:val="005F0FF2"/>
    <w:rsid w:val="005F126A"/>
    <w:rsid w:val="005F142E"/>
    <w:rsid w:val="005F1498"/>
    <w:rsid w:val="005F149A"/>
    <w:rsid w:val="005F14E7"/>
    <w:rsid w:val="005F1628"/>
    <w:rsid w:val="005F1952"/>
    <w:rsid w:val="005F19E4"/>
    <w:rsid w:val="005F1B15"/>
    <w:rsid w:val="005F1B57"/>
    <w:rsid w:val="005F1B83"/>
    <w:rsid w:val="005F1B98"/>
    <w:rsid w:val="005F1BB3"/>
    <w:rsid w:val="005F1CB6"/>
    <w:rsid w:val="005F1E5B"/>
    <w:rsid w:val="005F1FFF"/>
    <w:rsid w:val="005F2002"/>
    <w:rsid w:val="005F20E0"/>
    <w:rsid w:val="005F219D"/>
    <w:rsid w:val="005F24ED"/>
    <w:rsid w:val="005F2505"/>
    <w:rsid w:val="005F264D"/>
    <w:rsid w:val="005F2880"/>
    <w:rsid w:val="005F2919"/>
    <w:rsid w:val="005F2966"/>
    <w:rsid w:val="005F2979"/>
    <w:rsid w:val="005F29B0"/>
    <w:rsid w:val="005F29C8"/>
    <w:rsid w:val="005F29EE"/>
    <w:rsid w:val="005F2A28"/>
    <w:rsid w:val="005F2B7E"/>
    <w:rsid w:val="005F2B9C"/>
    <w:rsid w:val="005F2E22"/>
    <w:rsid w:val="005F2EBC"/>
    <w:rsid w:val="005F3016"/>
    <w:rsid w:val="005F307E"/>
    <w:rsid w:val="005F32CB"/>
    <w:rsid w:val="005F3359"/>
    <w:rsid w:val="005F335D"/>
    <w:rsid w:val="005F3434"/>
    <w:rsid w:val="005F34D7"/>
    <w:rsid w:val="005F3534"/>
    <w:rsid w:val="005F3535"/>
    <w:rsid w:val="005F37F5"/>
    <w:rsid w:val="005F38CA"/>
    <w:rsid w:val="005F3AE4"/>
    <w:rsid w:val="005F3B19"/>
    <w:rsid w:val="005F3B33"/>
    <w:rsid w:val="005F3B91"/>
    <w:rsid w:val="005F3C52"/>
    <w:rsid w:val="005F3C93"/>
    <w:rsid w:val="005F3E54"/>
    <w:rsid w:val="005F3E9C"/>
    <w:rsid w:val="005F3F31"/>
    <w:rsid w:val="005F41CC"/>
    <w:rsid w:val="005F422B"/>
    <w:rsid w:val="005F4272"/>
    <w:rsid w:val="005F432C"/>
    <w:rsid w:val="005F43CD"/>
    <w:rsid w:val="005F455E"/>
    <w:rsid w:val="005F465F"/>
    <w:rsid w:val="005F46F9"/>
    <w:rsid w:val="005F4733"/>
    <w:rsid w:val="005F479A"/>
    <w:rsid w:val="005F47E7"/>
    <w:rsid w:val="005F4868"/>
    <w:rsid w:val="005F4A55"/>
    <w:rsid w:val="005F4B26"/>
    <w:rsid w:val="005F4BDA"/>
    <w:rsid w:val="005F4CB8"/>
    <w:rsid w:val="005F4DBF"/>
    <w:rsid w:val="005F4EA1"/>
    <w:rsid w:val="005F4F93"/>
    <w:rsid w:val="005F5010"/>
    <w:rsid w:val="005F528D"/>
    <w:rsid w:val="005F5368"/>
    <w:rsid w:val="005F53D8"/>
    <w:rsid w:val="005F5400"/>
    <w:rsid w:val="005F551C"/>
    <w:rsid w:val="005F568C"/>
    <w:rsid w:val="005F570F"/>
    <w:rsid w:val="005F5965"/>
    <w:rsid w:val="005F5A93"/>
    <w:rsid w:val="005F5C74"/>
    <w:rsid w:val="005F5CBB"/>
    <w:rsid w:val="005F5E8A"/>
    <w:rsid w:val="005F5EB9"/>
    <w:rsid w:val="005F5F81"/>
    <w:rsid w:val="005F6094"/>
    <w:rsid w:val="005F634C"/>
    <w:rsid w:val="005F640D"/>
    <w:rsid w:val="005F6461"/>
    <w:rsid w:val="005F647F"/>
    <w:rsid w:val="005F65D2"/>
    <w:rsid w:val="005F65D6"/>
    <w:rsid w:val="005F675D"/>
    <w:rsid w:val="005F6965"/>
    <w:rsid w:val="005F6973"/>
    <w:rsid w:val="005F69AF"/>
    <w:rsid w:val="005F6A3F"/>
    <w:rsid w:val="005F6B97"/>
    <w:rsid w:val="005F6BB6"/>
    <w:rsid w:val="005F6C49"/>
    <w:rsid w:val="005F6CE7"/>
    <w:rsid w:val="005F70DE"/>
    <w:rsid w:val="005F7252"/>
    <w:rsid w:val="005F735B"/>
    <w:rsid w:val="005F74A0"/>
    <w:rsid w:val="005F7572"/>
    <w:rsid w:val="005F757E"/>
    <w:rsid w:val="005F7603"/>
    <w:rsid w:val="005F76CC"/>
    <w:rsid w:val="005F770C"/>
    <w:rsid w:val="005F773D"/>
    <w:rsid w:val="005F77B1"/>
    <w:rsid w:val="005F77DA"/>
    <w:rsid w:val="005F78B5"/>
    <w:rsid w:val="005F78DF"/>
    <w:rsid w:val="005F79B0"/>
    <w:rsid w:val="005F7B6E"/>
    <w:rsid w:val="005F7B9D"/>
    <w:rsid w:val="005F7C3C"/>
    <w:rsid w:val="005F7C84"/>
    <w:rsid w:val="005F7E11"/>
    <w:rsid w:val="005F7E84"/>
    <w:rsid w:val="005F7EE9"/>
    <w:rsid w:val="005F7F92"/>
    <w:rsid w:val="005F7FF8"/>
    <w:rsid w:val="0060007E"/>
    <w:rsid w:val="00600149"/>
    <w:rsid w:val="0060019D"/>
    <w:rsid w:val="0060019E"/>
    <w:rsid w:val="00600226"/>
    <w:rsid w:val="0060023E"/>
    <w:rsid w:val="00600305"/>
    <w:rsid w:val="0060034F"/>
    <w:rsid w:val="006003DB"/>
    <w:rsid w:val="00600407"/>
    <w:rsid w:val="006004C4"/>
    <w:rsid w:val="006004E3"/>
    <w:rsid w:val="0060054B"/>
    <w:rsid w:val="0060059F"/>
    <w:rsid w:val="00600633"/>
    <w:rsid w:val="0060064A"/>
    <w:rsid w:val="00600773"/>
    <w:rsid w:val="006007B9"/>
    <w:rsid w:val="00600872"/>
    <w:rsid w:val="0060088D"/>
    <w:rsid w:val="006008BA"/>
    <w:rsid w:val="0060093D"/>
    <w:rsid w:val="00600966"/>
    <w:rsid w:val="00600BEF"/>
    <w:rsid w:val="00600C62"/>
    <w:rsid w:val="00600CA4"/>
    <w:rsid w:val="00600E07"/>
    <w:rsid w:val="00600F2F"/>
    <w:rsid w:val="00600F9F"/>
    <w:rsid w:val="0060102F"/>
    <w:rsid w:val="00601133"/>
    <w:rsid w:val="006012EE"/>
    <w:rsid w:val="00601352"/>
    <w:rsid w:val="0060138A"/>
    <w:rsid w:val="006013B2"/>
    <w:rsid w:val="006013CA"/>
    <w:rsid w:val="006017F9"/>
    <w:rsid w:val="0060188E"/>
    <w:rsid w:val="006018CE"/>
    <w:rsid w:val="006019CE"/>
    <w:rsid w:val="00601AA3"/>
    <w:rsid w:val="00601BA5"/>
    <w:rsid w:val="00601DD0"/>
    <w:rsid w:val="00601E51"/>
    <w:rsid w:val="00601F10"/>
    <w:rsid w:val="00601F34"/>
    <w:rsid w:val="00602252"/>
    <w:rsid w:val="00602407"/>
    <w:rsid w:val="00602408"/>
    <w:rsid w:val="00602416"/>
    <w:rsid w:val="006024D9"/>
    <w:rsid w:val="00602504"/>
    <w:rsid w:val="0060258A"/>
    <w:rsid w:val="006025CE"/>
    <w:rsid w:val="00602640"/>
    <w:rsid w:val="0060276A"/>
    <w:rsid w:val="006027A2"/>
    <w:rsid w:val="0060286A"/>
    <w:rsid w:val="00602914"/>
    <w:rsid w:val="00602950"/>
    <w:rsid w:val="00602B0A"/>
    <w:rsid w:val="00602B8E"/>
    <w:rsid w:val="00602B8F"/>
    <w:rsid w:val="00602C65"/>
    <w:rsid w:val="00602CDD"/>
    <w:rsid w:val="00602D17"/>
    <w:rsid w:val="00602DB9"/>
    <w:rsid w:val="00602DCE"/>
    <w:rsid w:val="00602E16"/>
    <w:rsid w:val="00602EB7"/>
    <w:rsid w:val="00602F3D"/>
    <w:rsid w:val="00603071"/>
    <w:rsid w:val="0060314E"/>
    <w:rsid w:val="0060319D"/>
    <w:rsid w:val="006031BB"/>
    <w:rsid w:val="00603235"/>
    <w:rsid w:val="00603462"/>
    <w:rsid w:val="006034DC"/>
    <w:rsid w:val="006034E7"/>
    <w:rsid w:val="006035E1"/>
    <w:rsid w:val="00603635"/>
    <w:rsid w:val="00603687"/>
    <w:rsid w:val="0060387A"/>
    <w:rsid w:val="00603B47"/>
    <w:rsid w:val="00603B87"/>
    <w:rsid w:val="00603BEA"/>
    <w:rsid w:val="00603C6D"/>
    <w:rsid w:val="00603CCD"/>
    <w:rsid w:val="00603CFE"/>
    <w:rsid w:val="00603FA5"/>
    <w:rsid w:val="006041F2"/>
    <w:rsid w:val="006043A8"/>
    <w:rsid w:val="006044CE"/>
    <w:rsid w:val="00604695"/>
    <w:rsid w:val="006046EF"/>
    <w:rsid w:val="0060499F"/>
    <w:rsid w:val="006049DC"/>
    <w:rsid w:val="00604A17"/>
    <w:rsid w:val="00604BA0"/>
    <w:rsid w:val="00604CD5"/>
    <w:rsid w:val="00604D79"/>
    <w:rsid w:val="00604F93"/>
    <w:rsid w:val="00605068"/>
    <w:rsid w:val="00605095"/>
    <w:rsid w:val="0060514F"/>
    <w:rsid w:val="00605273"/>
    <w:rsid w:val="00605661"/>
    <w:rsid w:val="006057B5"/>
    <w:rsid w:val="00605831"/>
    <w:rsid w:val="00605872"/>
    <w:rsid w:val="00605919"/>
    <w:rsid w:val="00605A6E"/>
    <w:rsid w:val="00605C36"/>
    <w:rsid w:val="00605C78"/>
    <w:rsid w:val="00605CAA"/>
    <w:rsid w:val="00605D69"/>
    <w:rsid w:val="00605D7D"/>
    <w:rsid w:val="00605E84"/>
    <w:rsid w:val="00605FC2"/>
    <w:rsid w:val="00606222"/>
    <w:rsid w:val="006062D1"/>
    <w:rsid w:val="00606334"/>
    <w:rsid w:val="0060636B"/>
    <w:rsid w:val="006063C5"/>
    <w:rsid w:val="006063F8"/>
    <w:rsid w:val="006064F5"/>
    <w:rsid w:val="00606584"/>
    <w:rsid w:val="00606708"/>
    <w:rsid w:val="00606763"/>
    <w:rsid w:val="00606834"/>
    <w:rsid w:val="006068F4"/>
    <w:rsid w:val="00606991"/>
    <w:rsid w:val="00606A14"/>
    <w:rsid w:val="00606AA2"/>
    <w:rsid w:val="00606C8B"/>
    <w:rsid w:val="00606D32"/>
    <w:rsid w:val="00606E03"/>
    <w:rsid w:val="00606EB0"/>
    <w:rsid w:val="00606F0C"/>
    <w:rsid w:val="00606F56"/>
    <w:rsid w:val="006070BC"/>
    <w:rsid w:val="00607217"/>
    <w:rsid w:val="00607227"/>
    <w:rsid w:val="006072BC"/>
    <w:rsid w:val="00607396"/>
    <w:rsid w:val="00607444"/>
    <w:rsid w:val="00607471"/>
    <w:rsid w:val="006074CC"/>
    <w:rsid w:val="00607555"/>
    <w:rsid w:val="006076AA"/>
    <w:rsid w:val="006076C8"/>
    <w:rsid w:val="006077D2"/>
    <w:rsid w:val="006077DD"/>
    <w:rsid w:val="00607995"/>
    <w:rsid w:val="006079E4"/>
    <w:rsid w:val="00607A3E"/>
    <w:rsid w:val="00607A4E"/>
    <w:rsid w:val="00607ABC"/>
    <w:rsid w:val="00607CB2"/>
    <w:rsid w:val="00607CE1"/>
    <w:rsid w:val="00607D0B"/>
    <w:rsid w:val="00607D58"/>
    <w:rsid w:val="00607E45"/>
    <w:rsid w:val="00607EEB"/>
    <w:rsid w:val="00607F16"/>
    <w:rsid w:val="00607FF9"/>
    <w:rsid w:val="00610007"/>
    <w:rsid w:val="0061012F"/>
    <w:rsid w:val="006104A5"/>
    <w:rsid w:val="00610562"/>
    <w:rsid w:val="00610569"/>
    <w:rsid w:val="006105A8"/>
    <w:rsid w:val="0061067C"/>
    <w:rsid w:val="0061069C"/>
    <w:rsid w:val="006106B6"/>
    <w:rsid w:val="006106F3"/>
    <w:rsid w:val="0061074B"/>
    <w:rsid w:val="0061091C"/>
    <w:rsid w:val="0061091D"/>
    <w:rsid w:val="00610A6C"/>
    <w:rsid w:val="00610AB0"/>
    <w:rsid w:val="00610BD0"/>
    <w:rsid w:val="00610D21"/>
    <w:rsid w:val="00610D43"/>
    <w:rsid w:val="00610D98"/>
    <w:rsid w:val="00610DCA"/>
    <w:rsid w:val="00610E79"/>
    <w:rsid w:val="00610E82"/>
    <w:rsid w:val="00610EF4"/>
    <w:rsid w:val="00610F6E"/>
    <w:rsid w:val="00610FB9"/>
    <w:rsid w:val="00610FCC"/>
    <w:rsid w:val="0061107C"/>
    <w:rsid w:val="00611176"/>
    <w:rsid w:val="0061121D"/>
    <w:rsid w:val="00611367"/>
    <w:rsid w:val="00611476"/>
    <w:rsid w:val="006114C5"/>
    <w:rsid w:val="00611560"/>
    <w:rsid w:val="00611841"/>
    <w:rsid w:val="0061187D"/>
    <w:rsid w:val="00611937"/>
    <w:rsid w:val="00611BA2"/>
    <w:rsid w:val="00611BD4"/>
    <w:rsid w:val="00611D89"/>
    <w:rsid w:val="00611E27"/>
    <w:rsid w:val="00611FA4"/>
    <w:rsid w:val="00612140"/>
    <w:rsid w:val="006122D3"/>
    <w:rsid w:val="00612326"/>
    <w:rsid w:val="00612420"/>
    <w:rsid w:val="006124E0"/>
    <w:rsid w:val="00612522"/>
    <w:rsid w:val="0061255D"/>
    <w:rsid w:val="006126B1"/>
    <w:rsid w:val="0061277B"/>
    <w:rsid w:val="006128E1"/>
    <w:rsid w:val="006129AD"/>
    <w:rsid w:val="00612AC1"/>
    <w:rsid w:val="00612AEA"/>
    <w:rsid w:val="00612BA9"/>
    <w:rsid w:val="00612BC8"/>
    <w:rsid w:val="00612D5F"/>
    <w:rsid w:val="00612E88"/>
    <w:rsid w:val="00612EC0"/>
    <w:rsid w:val="0061301E"/>
    <w:rsid w:val="00613088"/>
    <w:rsid w:val="0061333D"/>
    <w:rsid w:val="0061335C"/>
    <w:rsid w:val="00613594"/>
    <w:rsid w:val="00613616"/>
    <w:rsid w:val="00613682"/>
    <w:rsid w:val="00613683"/>
    <w:rsid w:val="00613818"/>
    <w:rsid w:val="006138A2"/>
    <w:rsid w:val="006139E5"/>
    <w:rsid w:val="006139EA"/>
    <w:rsid w:val="00613A2E"/>
    <w:rsid w:val="00613A3C"/>
    <w:rsid w:val="00613A92"/>
    <w:rsid w:val="00613AAD"/>
    <w:rsid w:val="00613B89"/>
    <w:rsid w:val="00613C6B"/>
    <w:rsid w:val="00613DD2"/>
    <w:rsid w:val="00613EB3"/>
    <w:rsid w:val="00613FB4"/>
    <w:rsid w:val="00613FC3"/>
    <w:rsid w:val="006143C3"/>
    <w:rsid w:val="00614524"/>
    <w:rsid w:val="00614644"/>
    <w:rsid w:val="0061488A"/>
    <w:rsid w:val="00614A21"/>
    <w:rsid w:val="00614AC7"/>
    <w:rsid w:val="00614B7B"/>
    <w:rsid w:val="00614BCD"/>
    <w:rsid w:val="00614FC6"/>
    <w:rsid w:val="00614FC7"/>
    <w:rsid w:val="0061523C"/>
    <w:rsid w:val="006152BC"/>
    <w:rsid w:val="006152E1"/>
    <w:rsid w:val="00615472"/>
    <w:rsid w:val="00615595"/>
    <w:rsid w:val="00615596"/>
    <w:rsid w:val="006155B2"/>
    <w:rsid w:val="00615622"/>
    <w:rsid w:val="006156E0"/>
    <w:rsid w:val="00615900"/>
    <w:rsid w:val="00615A60"/>
    <w:rsid w:val="00615D57"/>
    <w:rsid w:val="00615DB8"/>
    <w:rsid w:val="00615DBA"/>
    <w:rsid w:val="00615EA0"/>
    <w:rsid w:val="00615ECF"/>
    <w:rsid w:val="00615EEA"/>
    <w:rsid w:val="00615FCF"/>
    <w:rsid w:val="00615FF8"/>
    <w:rsid w:val="00616027"/>
    <w:rsid w:val="0061602B"/>
    <w:rsid w:val="00616244"/>
    <w:rsid w:val="0061632E"/>
    <w:rsid w:val="00616387"/>
    <w:rsid w:val="00616450"/>
    <w:rsid w:val="00616485"/>
    <w:rsid w:val="006164F1"/>
    <w:rsid w:val="0061652C"/>
    <w:rsid w:val="00616534"/>
    <w:rsid w:val="00616551"/>
    <w:rsid w:val="006165B4"/>
    <w:rsid w:val="00616770"/>
    <w:rsid w:val="00616783"/>
    <w:rsid w:val="00616848"/>
    <w:rsid w:val="0061691F"/>
    <w:rsid w:val="00616957"/>
    <w:rsid w:val="00616987"/>
    <w:rsid w:val="006169BE"/>
    <w:rsid w:val="006169CA"/>
    <w:rsid w:val="00616A98"/>
    <w:rsid w:val="00616BD0"/>
    <w:rsid w:val="00616C36"/>
    <w:rsid w:val="00616E44"/>
    <w:rsid w:val="00616E73"/>
    <w:rsid w:val="00616FAB"/>
    <w:rsid w:val="00617298"/>
    <w:rsid w:val="006172BE"/>
    <w:rsid w:val="00617388"/>
    <w:rsid w:val="006173E0"/>
    <w:rsid w:val="00617515"/>
    <w:rsid w:val="00617562"/>
    <w:rsid w:val="0061758B"/>
    <w:rsid w:val="006175E7"/>
    <w:rsid w:val="00617712"/>
    <w:rsid w:val="00617745"/>
    <w:rsid w:val="00617A6F"/>
    <w:rsid w:val="00617A89"/>
    <w:rsid w:val="00617AA6"/>
    <w:rsid w:val="00617AE7"/>
    <w:rsid w:val="00617B61"/>
    <w:rsid w:val="00617C53"/>
    <w:rsid w:val="00617C67"/>
    <w:rsid w:val="00617E97"/>
    <w:rsid w:val="00617F46"/>
    <w:rsid w:val="006202A3"/>
    <w:rsid w:val="006202ED"/>
    <w:rsid w:val="006203D3"/>
    <w:rsid w:val="00620413"/>
    <w:rsid w:val="006204AF"/>
    <w:rsid w:val="00620569"/>
    <w:rsid w:val="006205AE"/>
    <w:rsid w:val="006205E4"/>
    <w:rsid w:val="006206A2"/>
    <w:rsid w:val="006207F3"/>
    <w:rsid w:val="00620891"/>
    <w:rsid w:val="006208A1"/>
    <w:rsid w:val="00620A9F"/>
    <w:rsid w:val="00620D2F"/>
    <w:rsid w:val="00620D51"/>
    <w:rsid w:val="00621081"/>
    <w:rsid w:val="0062129B"/>
    <w:rsid w:val="006214A0"/>
    <w:rsid w:val="00621625"/>
    <w:rsid w:val="00621654"/>
    <w:rsid w:val="00621661"/>
    <w:rsid w:val="0062166C"/>
    <w:rsid w:val="0062173E"/>
    <w:rsid w:val="006217C5"/>
    <w:rsid w:val="006218BD"/>
    <w:rsid w:val="006218C8"/>
    <w:rsid w:val="00621939"/>
    <w:rsid w:val="00621ACA"/>
    <w:rsid w:val="00621B3D"/>
    <w:rsid w:val="00621CC3"/>
    <w:rsid w:val="00621D41"/>
    <w:rsid w:val="00621E27"/>
    <w:rsid w:val="00621E66"/>
    <w:rsid w:val="00621ECC"/>
    <w:rsid w:val="00621ED7"/>
    <w:rsid w:val="00621F76"/>
    <w:rsid w:val="0062209E"/>
    <w:rsid w:val="00622165"/>
    <w:rsid w:val="00622251"/>
    <w:rsid w:val="006222C7"/>
    <w:rsid w:val="00622456"/>
    <w:rsid w:val="006224E3"/>
    <w:rsid w:val="00622636"/>
    <w:rsid w:val="00622646"/>
    <w:rsid w:val="006226B6"/>
    <w:rsid w:val="006226DB"/>
    <w:rsid w:val="00622779"/>
    <w:rsid w:val="006227A1"/>
    <w:rsid w:val="006227D5"/>
    <w:rsid w:val="00622883"/>
    <w:rsid w:val="006229A5"/>
    <w:rsid w:val="00622B02"/>
    <w:rsid w:val="00622B12"/>
    <w:rsid w:val="00622C82"/>
    <w:rsid w:val="00622C91"/>
    <w:rsid w:val="00622CD5"/>
    <w:rsid w:val="00622D98"/>
    <w:rsid w:val="00622DEA"/>
    <w:rsid w:val="00622E9D"/>
    <w:rsid w:val="006231BF"/>
    <w:rsid w:val="006232B2"/>
    <w:rsid w:val="0062342C"/>
    <w:rsid w:val="00623452"/>
    <w:rsid w:val="00623475"/>
    <w:rsid w:val="006234C3"/>
    <w:rsid w:val="00623545"/>
    <w:rsid w:val="006235AB"/>
    <w:rsid w:val="006235F6"/>
    <w:rsid w:val="00623614"/>
    <w:rsid w:val="0062362C"/>
    <w:rsid w:val="00623739"/>
    <w:rsid w:val="00623750"/>
    <w:rsid w:val="00623825"/>
    <w:rsid w:val="00623829"/>
    <w:rsid w:val="00623A21"/>
    <w:rsid w:val="00623D5C"/>
    <w:rsid w:val="00623D66"/>
    <w:rsid w:val="00623E5D"/>
    <w:rsid w:val="0062411A"/>
    <w:rsid w:val="006241A2"/>
    <w:rsid w:val="00624329"/>
    <w:rsid w:val="00624330"/>
    <w:rsid w:val="00624462"/>
    <w:rsid w:val="00624730"/>
    <w:rsid w:val="006247A1"/>
    <w:rsid w:val="00624838"/>
    <w:rsid w:val="00624880"/>
    <w:rsid w:val="006248D4"/>
    <w:rsid w:val="0062494A"/>
    <w:rsid w:val="006249FE"/>
    <w:rsid w:val="00624A57"/>
    <w:rsid w:val="00624B44"/>
    <w:rsid w:val="00624B73"/>
    <w:rsid w:val="00624B89"/>
    <w:rsid w:val="00624C3D"/>
    <w:rsid w:val="00624CB7"/>
    <w:rsid w:val="00624DD3"/>
    <w:rsid w:val="00625039"/>
    <w:rsid w:val="006252A1"/>
    <w:rsid w:val="006252DE"/>
    <w:rsid w:val="006255C8"/>
    <w:rsid w:val="006255CB"/>
    <w:rsid w:val="006255FA"/>
    <w:rsid w:val="006256E1"/>
    <w:rsid w:val="0062579A"/>
    <w:rsid w:val="006258BB"/>
    <w:rsid w:val="0062591C"/>
    <w:rsid w:val="00625964"/>
    <w:rsid w:val="00625A18"/>
    <w:rsid w:val="00625B7B"/>
    <w:rsid w:val="00625B96"/>
    <w:rsid w:val="00625C4B"/>
    <w:rsid w:val="00625CC1"/>
    <w:rsid w:val="00625CD4"/>
    <w:rsid w:val="00625D49"/>
    <w:rsid w:val="00625DD6"/>
    <w:rsid w:val="00625E72"/>
    <w:rsid w:val="00625F0F"/>
    <w:rsid w:val="00625F70"/>
    <w:rsid w:val="0062642E"/>
    <w:rsid w:val="00626460"/>
    <w:rsid w:val="00626779"/>
    <w:rsid w:val="00626799"/>
    <w:rsid w:val="006267D8"/>
    <w:rsid w:val="00626824"/>
    <w:rsid w:val="00626A0F"/>
    <w:rsid w:val="00626B90"/>
    <w:rsid w:val="00626CA3"/>
    <w:rsid w:val="00626D9D"/>
    <w:rsid w:val="00626E43"/>
    <w:rsid w:val="00626EA3"/>
    <w:rsid w:val="00626FC5"/>
    <w:rsid w:val="00626FF0"/>
    <w:rsid w:val="0062714A"/>
    <w:rsid w:val="00627154"/>
    <w:rsid w:val="0062717F"/>
    <w:rsid w:val="006271E8"/>
    <w:rsid w:val="006272E0"/>
    <w:rsid w:val="006275B1"/>
    <w:rsid w:val="006276DF"/>
    <w:rsid w:val="0062776F"/>
    <w:rsid w:val="00627B78"/>
    <w:rsid w:val="00627CDE"/>
    <w:rsid w:val="00627D38"/>
    <w:rsid w:val="00627D64"/>
    <w:rsid w:val="00627E14"/>
    <w:rsid w:val="00627F49"/>
    <w:rsid w:val="00627F9A"/>
    <w:rsid w:val="0063010C"/>
    <w:rsid w:val="0063027F"/>
    <w:rsid w:val="006302F2"/>
    <w:rsid w:val="00630345"/>
    <w:rsid w:val="00630435"/>
    <w:rsid w:val="006304ED"/>
    <w:rsid w:val="00630589"/>
    <w:rsid w:val="00630592"/>
    <w:rsid w:val="006307B7"/>
    <w:rsid w:val="00630823"/>
    <w:rsid w:val="00630856"/>
    <w:rsid w:val="00630902"/>
    <w:rsid w:val="00630990"/>
    <w:rsid w:val="00630FE4"/>
    <w:rsid w:val="00631002"/>
    <w:rsid w:val="00631025"/>
    <w:rsid w:val="00631137"/>
    <w:rsid w:val="00631169"/>
    <w:rsid w:val="00631177"/>
    <w:rsid w:val="006311E1"/>
    <w:rsid w:val="0063132A"/>
    <w:rsid w:val="00631411"/>
    <w:rsid w:val="00631443"/>
    <w:rsid w:val="00631505"/>
    <w:rsid w:val="00631548"/>
    <w:rsid w:val="006315D4"/>
    <w:rsid w:val="0063163F"/>
    <w:rsid w:val="0063190B"/>
    <w:rsid w:val="00631976"/>
    <w:rsid w:val="00631A7C"/>
    <w:rsid w:val="00631ACF"/>
    <w:rsid w:val="00631BB0"/>
    <w:rsid w:val="00631BFF"/>
    <w:rsid w:val="00631E0B"/>
    <w:rsid w:val="00631EA0"/>
    <w:rsid w:val="00631EE1"/>
    <w:rsid w:val="00631F8F"/>
    <w:rsid w:val="00631FFC"/>
    <w:rsid w:val="00632011"/>
    <w:rsid w:val="00632064"/>
    <w:rsid w:val="00632079"/>
    <w:rsid w:val="006320E2"/>
    <w:rsid w:val="00632127"/>
    <w:rsid w:val="006321F3"/>
    <w:rsid w:val="006322AE"/>
    <w:rsid w:val="00632317"/>
    <w:rsid w:val="00632358"/>
    <w:rsid w:val="00632386"/>
    <w:rsid w:val="006324B2"/>
    <w:rsid w:val="006326B6"/>
    <w:rsid w:val="006327C4"/>
    <w:rsid w:val="006327C9"/>
    <w:rsid w:val="0063295C"/>
    <w:rsid w:val="00632AD6"/>
    <w:rsid w:val="00632C96"/>
    <w:rsid w:val="00632DC3"/>
    <w:rsid w:val="00632DF0"/>
    <w:rsid w:val="00632F00"/>
    <w:rsid w:val="00632F83"/>
    <w:rsid w:val="00632FEB"/>
    <w:rsid w:val="006330F4"/>
    <w:rsid w:val="00633103"/>
    <w:rsid w:val="0063333E"/>
    <w:rsid w:val="006333EB"/>
    <w:rsid w:val="00633401"/>
    <w:rsid w:val="00633416"/>
    <w:rsid w:val="00633449"/>
    <w:rsid w:val="00633547"/>
    <w:rsid w:val="0063357F"/>
    <w:rsid w:val="0063362C"/>
    <w:rsid w:val="006337A9"/>
    <w:rsid w:val="00633880"/>
    <w:rsid w:val="006338E3"/>
    <w:rsid w:val="00633A29"/>
    <w:rsid w:val="00633A6A"/>
    <w:rsid w:val="00633BC4"/>
    <w:rsid w:val="00633BC9"/>
    <w:rsid w:val="00633BD2"/>
    <w:rsid w:val="00633CA1"/>
    <w:rsid w:val="00633CC2"/>
    <w:rsid w:val="00633E0C"/>
    <w:rsid w:val="00633E13"/>
    <w:rsid w:val="00633EBA"/>
    <w:rsid w:val="00633F9A"/>
    <w:rsid w:val="00633FD9"/>
    <w:rsid w:val="0063404B"/>
    <w:rsid w:val="00634185"/>
    <w:rsid w:val="00634433"/>
    <w:rsid w:val="0063451B"/>
    <w:rsid w:val="0063464C"/>
    <w:rsid w:val="0063474F"/>
    <w:rsid w:val="00634798"/>
    <w:rsid w:val="00634818"/>
    <w:rsid w:val="00634855"/>
    <w:rsid w:val="006348C3"/>
    <w:rsid w:val="006348F7"/>
    <w:rsid w:val="0063497F"/>
    <w:rsid w:val="00634A0A"/>
    <w:rsid w:val="00634A83"/>
    <w:rsid w:val="00634B71"/>
    <w:rsid w:val="00634C67"/>
    <w:rsid w:val="00634E60"/>
    <w:rsid w:val="00634E6E"/>
    <w:rsid w:val="00634F1B"/>
    <w:rsid w:val="00634F5B"/>
    <w:rsid w:val="00634FCD"/>
    <w:rsid w:val="00635110"/>
    <w:rsid w:val="00635122"/>
    <w:rsid w:val="00635136"/>
    <w:rsid w:val="006351B8"/>
    <w:rsid w:val="00635252"/>
    <w:rsid w:val="00635295"/>
    <w:rsid w:val="006352A8"/>
    <w:rsid w:val="006352EB"/>
    <w:rsid w:val="00635307"/>
    <w:rsid w:val="006354A4"/>
    <w:rsid w:val="006355C0"/>
    <w:rsid w:val="0063564B"/>
    <w:rsid w:val="00635788"/>
    <w:rsid w:val="006357AE"/>
    <w:rsid w:val="00635804"/>
    <w:rsid w:val="00635818"/>
    <w:rsid w:val="0063597F"/>
    <w:rsid w:val="00635A23"/>
    <w:rsid w:val="00635A61"/>
    <w:rsid w:val="00635A63"/>
    <w:rsid w:val="00635B98"/>
    <w:rsid w:val="00635BA8"/>
    <w:rsid w:val="00635CED"/>
    <w:rsid w:val="00635D04"/>
    <w:rsid w:val="00635DB5"/>
    <w:rsid w:val="0063603B"/>
    <w:rsid w:val="00636183"/>
    <w:rsid w:val="006362A0"/>
    <w:rsid w:val="006362E0"/>
    <w:rsid w:val="006363F8"/>
    <w:rsid w:val="00636427"/>
    <w:rsid w:val="0063652D"/>
    <w:rsid w:val="0063657A"/>
    <w:rsid w:val="0063666B"/>
    <w:rsid w:val="006366DB"/>
    <w:rsid w:val="006367C8"/>
    <w:rsid w:val="006368DA"/>
    <w:rsid w:val="00636A4C"/>
    <w:rsid w:val="00636AB6"/>
    <w:rsid w:val="00636C3B"/>
    <w:rsid w:val="00636C5B"/>
    <w:rsid w:val="00636F5A"/>
    <w:rsid w:val="00636F5B"/>
    <w:rsid w:val="00637188"/>
    <w:rsid w:val="0063722E"/>
    <w:rsid w:val="00637283"/>
    <w:rsid w:val="00637368"/>
    <w:rsid w:val="006374FB"/>
    <w:rsid w:val="00637519"/>
    <w:rsid w:val="006375D7"/>
    <w:rsid w:val="00637603"/>
    <w:rsid w:val="0063774C"/>
    <w:rsid w:val="00637753"/>
    <w:rsid w:val="006377A6"/>
    <w:rsid w:val="006377CD"/>
    <w:rsid w:val="006377F9"/>
    <w:rsid w:val="00637A66"/>
    <w:rsid w:val="00637B2B"/>
    <w:rsid w:val="00637B4B"/>
    <w:rsid w:val="00637CD3"/>
    <w:rsid w:val="00637CD9"/>
    <w:rsid w:val="00637CFB"/>
    <w:rsid w:val="00637D23"/>
    <w:rsid w:val="00637D6F"/>
    <w:rsid w:val="00637E89"/>
    <w:rsid w:val="00637E97"/>
    <w:rsid w:val="00637EAF"/>
    <w:rsid w:val="00637FE2"/>
    <w:rsid w:val="00640090"/>
    <w:rsid w:val="00640179"/>
    <w:rsid w:val="00640228"/>
    <w:rsid w:val="0064028D"/>
    <w:rsid w:val="00640339"/>
    <w:rsid w:val="00640458"/>
    <w:rsid w:val="006404C5"/>
    <w:rsid w:val="006404D3"/>
    <w:rsid w:val="00640563"/>
    <w:rsid w:val="006405A4"/>
    <w:rsid w:val="006405C9"/>
    <w:rsid w:val="00640609"/>
    <w:rsid w:val="006406C3"/>
    <w:rsid w:val="00640719"/>
    <w:rsid w:val="00640755"/>
    <w:rsid w:val="00640929"/>
    <w:rsid w:val="006409AF"/>
    <w:rsid w:val="00640AC1"/>
    <w:rsid w:val="00640B1F"/>
    <w:rsid w:val="00640B41"/>
    <w:rsid w:val="00640B51"/>
    <w:rsid w:val="00640B74"/>
    <w:rsid w:val="00640C60"/>
    <w:rsid w:val="00640CF2"/>
    <w:rsid w:val="00640E9F"/>
    <w:rsid w:val="00640EDA"/>
    <w:rsid w:val="00640EE0"/>
    <w:rsid w:val="00640F69"/>
    <w:rsid w:val="00641052"/>
    <w:rsid w:val="00641123"/>
    <w:rsid w:val="0064121B"/>
    <w:rsid w:val="0064128E"/>
    <w:rsid w:val="006413AF"/>
    <w:rsid w:val="00641700"/>
    <w:rsid w:val="0064171E"/>
    <w:rsid w:val="0064190E"/>
    <w:rsid w:val="00641AA1"/>
    <w:rsid w:val="00641BBA"/>
    <w:rsid w:val="00641C98"/>
    <w:rsid w:val="00641D4D"/>
    <w:rsid w:val="00641D71"/>
    <w:rsid w:val="00641EB8"/>
    <w:rsid w:val="00641F00"/>
    <w:rsid w:val="00641F2D"/>
    <w:rsid w:val="00642048"/>
    <w:rsid w:val="006422B6"/>
    <w:rsid w:val="006424CD"/>
    <w:rsid w:val="006425A3"/>
    <w:rsid w:val="006425F1"/>
    <w:rsid w:val="0064260E"/>
    <w:rsid w:val="0064261C"/>
    <w:rsid w:val="0064262E"/>
    <w:rsid w:val="00642668"/>
    <w:rsid w:val="0064266E"/>
    <w:rsid w:val="006429F3"/>
    <w:rsid w:val="00642A09"/>
    <w:rsid w:val="00642A45"/>
    <w:rsid w:val="00642A54"/>
    <w:rsid w:val="00642BB5"/>
    <w:rsid w:val="00642C11"/>
    <w:rsid w:val="00642CED"/>
    <w:rsid w:val="00642CF6"/>
    <w:rsid w:val="00642D72"/>
    <w:rsid w:val="00642D9A"/>
    <w:rsid w:val="00642DB0"/>
    <w:rsid w:val="00642F8C"/>
    <w:rsid w:val="00642FF1"/>
    <w:rsid w:val="00643054"/>
    <w:rsid w:val="0064305E"/>
    <w:rsid w:val="006430DB"/>
    <w:rsid w:val="0064319B"/>
    <w:rsid w:val="006432CA"/>
    <w:rsid w:val="0064338E"/>
    <w:rsid w:val="006433F1"/>
    <w:rsid w:val="006435C2"/>
    <w:rsid w:val="00643606"/>
    <w:rsid w:val="00643611"/>
    <w:rsid w:val="0064364F"/>
    <w:rsid w:val="00643655"/>
    <w:rsid w:val="0064382E"/>
    <w:rsid w:val="00643851"/>
    <w:rsid w:val="006438E2"/>
    <w:rsid w:val="00643B8D"/>
    <w:rsid w:val="00643C76"/>
    <w:rsid w:val="00643EE9"/>
    <w:rsid w:val="00643F66"/>
    <w:rsid w:val="0064417D"/>
    <w:rsid w:val="0064425D"/>
    <w:rsid w:val="0064426C"/>
    <w:rsid w:val="00644308"/>
    <w:rsid w:val="006444A3"/>
    <w:rsid w:val="0064453D"/>
    <w:rsid w:val="00644569"/>
    <w:rsid w:val="00644719"/>
    <w:rsid w:val="006447F2"/>
    <w:rsid w:val="006448EA"/>
    <w:rsid w:val="006448FC"/>
    <w:rsid w:val="00644902"/>
    <w:rsid w:val="00644A3F"/>
    <w:rsid w:val="00644B7F"/>
    <w:rsid w:val="00644C10"/>
    <w:rsid w:val="00644DD0"/>
    <w:rsid w:val="0064501C"/>
    <w:rsid w:val="0064507E"/>
    <w:rsid w:val="006450C9"/>
    <w:rsid w:val="006451AA"/>
    <w:rsid w:val="00645214"/>
    <w:rsid w:val="0064558E"/>
    <w:rsid w:val="00645599"/>
    <w:rsid w:val="0064568A"/>
    <w:rsid w:val="0064570F"/>
    <w:rsid w:val="0064590C"/>
    <w:rsid w:val="00645A5D"/>
    <w:rsid w:val="00645C20"/>
    <w:rsid w:val="00645DD3"/>
    <w:rsid w:val="00645EBD"/>
    <w:rsid w:val="00645FE1"/>
    <w:rsid w:val="00645FF2"/>
    <w:rsid w:val="006460BC"/>
    <w:rsid w:val="006460C1"/>
    <w:rsid w:val="006461EA"/>
    <w:rsid w:val="006462AC"/>
    <w:rsid w:val="006462C4"/>
    <w:rsid w:val="00646554"/>
    <w:rsid w:val="006465C2"/>
    <w:rsid w:val="0064688A"/>
    <w:rsid w:val="006468B8"/>
    <w:rsid w:val="006468BC"/>
    <w:rsid w:val="006469AB"/>
    <w:rsid w:val="00646A5A"/>
    <w:rsid w:val="00646A69"/>
    <w:rsid w:val="00646B0A"/>
    <w:rsid w:val="00646C16"/>
    <w:rsid w:val="00646C61"/>
    <w:rsid w:val="00646D4C"/>
    <w:rsid w:val="00646D71"/>
    <w:rsid w:val="00646DF7"/>
    <w:rsid w:val="00646EA4"/>
    <w:rsid w:val="00646F2A"/>
    <w:rsid w:val="00646F4E"/>
    <w:rsid w:val="00646FC8"/>
    <w:rsid w:val="0064704F"/>
    <w:rsid w:val="00647237"/>
    <w:rsid w:val="00647409"/>
    <w:rsid w:val="006474CE"/>
    <w:rsid w:val="006474D3"/>
    <w:rsid w:val="00647552"/>
    <w:rsid w:val="00647571"/>
    <w:rsid w:val="00647729"/>
    <w:rsid w:val="006478B7"/>
    <w:rsid w:val="006478E9"/>
    <w:rsid w:val="00647A08"/>
    <w:rsid w:val="00647BE0"/>
    <w:rsid w:val="00647C94"/>
    <w:rsid w:val="00647DAE"/>
    <w:rsid w:val="00647DB2"/>
    <w:rsid w:val="00647DFC"/>
    <w:rsid w:val="006500DC"/>
    <w:rsid w:val="00650205"/>
    <w:rsid w:val="00650246"/>
    <w:rsid w:val="0065027A"/>
    <w:rsid w:val="006502A6"/>
    <w:rsid w:val="006503ED"/>
    <w:rsid w:val="00650464"/>
    <w:rsid w:val="006504A4"/>
    <w:rsid w:val="0065053F"/>
    <w:rsid w:val="00650599"/>
    <w:rsid w:val="00650698"/>
    <w:rsid w:val="0065072C"/>
    <w:rsid w:val="006507F5"/>
    <w:rsid w:val="006507FE"/>
    <w:rsid w:val="00650827"/>
    <w:rsid w:val="00650851"/>
    <w:rsid w:val="00650961"/>
    <w:rsid w:val="006509CF"/>
    <w:rsid w:val="00650A6C"/>
    <w:rsid w:val="00650ABA"/>
    <w:rsid w:val="00650ABE"/>
    <w:rsid w:val="00650DAE"/>
    <w:rsid w:val="00650DB9"/>
    <w:rsid w:val="00650ECE"/>
    <w:rsid w:val="00650EE2"/>
    <w:rsid w:val="006510E2"/>
    <w:rsid w:val="0065110C"/>
    <w:rsid w:val="00651188"/>
    <w:rsid w:val="00651237"/>
    <w:rsid w:val="0065125B"/>
    <w:rsid w:val="006512C6"/>
    <w:rsid w:val="00651409"/>
    <w:rsid w:val="0065153B"/>
    <w:rsid w:val="0065164D"/>
    <w:rsid w:val="006516F0"/>
    <w:rsid w:val="00651740"/>
    <w:rsid w:val="0065189B"/>
    <w:rsid w:val="00651942"/>
    <w:rsid w:val="00651993"/>
    <w:rsid w:val="006519DE"/>
    <w:rsid w:val="00651BCA"/>
    <w:rsid w:val="00651BEB"/>
    <w:rsid w:val="00651C93"/>
    <w:rsid w:val="00651CB4"/>
    <w:rsid w:val="00651CB6"/>
    <w:rsid w:val="00651E2D"/>
    <w:rsid w:val="00651EC7"/>
    <w:rsid w:val="00651ED0"/>
    <w:rsid w:val="00651F44"/>
    <w:rsid w:val="006521EE"/>
    <w:rsid w:val="006525A3"/>
    <w:rsid w:val="006526B2"/>
    <w:rsid w:val="0065274B"/>
    <w:rsid w:val="0065286A"/>
    <w:rsid w:val="006528C3"/>
    <w:rsid w:val="00652968"/>
    <w:rsid w:val="00652969"/>
    <w:rsid w:val="00652971"/>
    <w:rsid w:val="00652A29"/>
    <w:rsid w:val="00652A68"/>
    <w:rsid w:val="00652A7F"/>
    <w:rsid w:val="00652A87"/>
    <w:rsid w:val="00652B6D"/>
    <w:rsid w:val="00652BED"/>
    <w:rsid w:val="00652BEF"/>
    <w:rsid w:val="00652EAA"/>
    <w:rsid w:val="00652FA0"/>
    <w:rsid w:val="00652FA8"/>
    <w:rsid w:val="00652FB9"/>
    <w:rsid w:val="00652FD7"/>
    <w:rsid w:val="00653296"/>
    <w:rsid w:val="006532EA"/>
    <w:rsid w:val="0065340B"/>
    <w:rsid w:val="00653471"/>
    <w:rsid w:val="006535B2"/>
    <w:rsid w:val="00653650"/>
    <w:rsid w:val="0065365E"/>
    <w:rsid w:val="00653672"/>
    <w:rsid w:val="006536B7"/>
    <w:rsid w:val="006538A4"/>
    <w:rsid w:val="006538C1"/>
    <w:rsid w:val="00653A66"/>
    <w:rsid w:val="00653BA3"/>
    <w:rsid w:val="00653C16"/>
    <w:rsid w:val="00653C3A"/>
    <w:rsid w:val="00653D34"/>
    <w:rsid w:val="00653DEE"/>
    <w:rsid w:val="00653F22"/>
    <w:rsid w:val="00654096"/>
    <w:rsid w:val="00654179"/>
    <w:rsid w:val="00654280"/>
    <w:rsid w:val="006542F6"/>
    <w:rsid w:val="0065431C"/>
    <w:rsid w:val="0065457D"/>
    <w:rsid w:val="0065485E"/>
    <w:rsid w:val="006548FD"/>
    <w:rsid w:val="006549A1"/>
    <w:rsid w:val="006549D3"/>
    <w:rsid w:val="006549F5"/>
    <w:rsid w:val="00654C46"/>
    <w:rsid w:val="00654C78"/>
    <w:rsid w:val="00654D95"/>
    <w:rsid w:val="00654EB1"/>
    <w:rsid w:val="00654F9A"/>
    <w:rsid w:val="00654FD0"/>
    <w:rsid w:val="00655020"/>
    <w:rsid w:val="006550B3"/>
    <w:rsid w:val="00655159"/>
    <w:rsid w:val="00655180"/>
    <w:rsid w:val="006551A7"/>
    <w:rsid w:val="006551FB"/>
    <w:rsid w:val="0065523D"/>
    <w:rsid w:val="00655261"/>
    <w:rsid w:val="00655504"/>
    <w:rsid w:val="0065568B"/>
    <w:rsid w:val="006556DE"/>
    <w:rsid w:val="0065581E"/>
    <w:rsid w:val="00655879"/>
    <w:rsid w:val="0065594E"/>
    <w:rsid w:val="006559E1"/>
    <w:rsid w:val="00655AA0"/>
    <w:rsid w:val="00655B70"/>
    <w:rsid w:val="00655FA5"/>
    <w:rsid w:val="006560B9"/>
    <w:rsid w:val="0065614E"/>
    <w:rsid w:val="0065623E"/>
    <w:rsid w:val="0065623F"/>
    <w:rsid w:val="006563E4"/>
    <w:rsid w:val="006563FF"/>
    <w:rsid w:val="0065643A"/>
    <w:rsid w:val="006564E3"/>
    <w:rsid w:val="0065653F"/>
    <w:rsid w:val="00656667"/>
    <w:rsid w:val="00656811"/>
    <w:rsid w:val="00656911"/>
    <w:rsid w:val="00656A55"/>
    <w:rsid w:val="00656A5C"/>
    <w:rsid w:val="00656AC1"/>
    <w:rsid w:val="00656AF8"/>
    <w:rsid w:val="00656CE9"/>
    <w:rsid w:val="00656D4D"/>
    <w:rsid w:val="00656DE2"/>
    <w:rsid w:val="00656DEE"/>
    <w:rsid w:val="00656E3D"/>
    <w:rsid w:val="00656F72"/>
    <w:rsid w:val="0065706F"/>
    <w:rsid w:val="00657090"/>
    <w:rsid w:val="006570E6"/>
    <w:rsid w:val="0065721C"/>
    <w:rsid w:val="006573F7"/>
    <w:rsid w:val="00657455"/>
    <w:rsid w:val="006574E7"/>
    <w:rsid w:val="006574F9"/>
    <w:rsid w:val="00657574"/>
    <w:rsid w:val="00657646"/>
    <w:rsid w:val="006576C8"/>
    <w:rsid w:val="006576E4"/>
    <w:rsid w:val="00657738"/>
    <w:rsid w:val="00657749"/>
    <w:rsid w:val="006577AB"/>
    <w:rsid w:val="0065780E"/>
    <w:rsid w:val="00657879"/>
    <w:rsid w:val="006578EA"/>
    <w:rsid w:val="00657AE7"/>
    <w:rsid w:val="00657BD5"/>
    <w:rsid w:val="00657CC2"/>
    <w:rsid w:val="00657D0F"/>
    <w:rsid w:val="00657E0F"/>
    <w:rsid w:val="00657FAA"/>
    <w:rsid w:val="00657FB3"/>
    <w:rsid w:val="00657FF3"/>
    <w:rsid w:val="006600E6"/>
    <w:rsid w:val="00660111"/>
    <w:rsid w:val="00660188"/>
    <w:rsid w:val="00660347"/>
    <w:rsid w:val="006603ED"/>
    <w:rsid w:val="00660408"/>
    <w:rsid w:val="0066042D"/>
    <w:rsid w:val="00660462"/>
    <w:rsid w:val="006606B4"/>
    <w:rsid w:val="00660767"/>
    <w:rsid w:val="006607AF"/>
    <w:rsid w:val="00660849"/>
    <w:rsid w:val="006608E5"/>
    <w:rsid w:val="00660A7E"/>
    <w:rsid w:val="00660AC5"/>
    <w:rsid w:val="00660B79"/>
    <w:rsid w:val="00660B7D"/>
    <w:rsid w:val="00660B7F"/>
    <w:rsid w:val="00660C04"/>
    <w:rsid w:val="00660C14"/>
    <w:rsid w:val="00660CC6"/>
    <w:rsid w:val="00660CE4"/>
    <w:rsid w:val="00660D81"/>
    <w:rsid w:val="00660DBC"/>
    <w:rsid w:val="00660E07"/>
    <w:rsid w:val="00660EB8"/>
    <w:rsid w:val="00660F03"/>
    <w:rsid w:val="00660FF9"/>
    <w:rsid w:val="006610E2"/>
    <w:rsid w:val="0066114D"/>
    <w:rsid w:val="006611C7"/>
    <w:rsid w:val="006612A0"/>
    <w:rsid w:val="00661349"/>
    <w:rsid w:val="0066134B"/>
    <w:rsid w:val="00661453"/>
    <w:rsid w:val="006614C7"/>
    <w:rsid w:val="00661523"/>
    <w:rsid w:val="00661539"/>
    <w:rsid w:val="00661587"/>
    <w:rsid w:val="006616B7"/>
    <w:rsid w:val="00661999"/>
    <w:rsid w:val="00661BBD"/>
    <w:rsid w:val="00661C01"/>
    <w:rsid w:val="00661C53"/>
    <w:rsid w:val="00661D13"/>
    <w:rsid w:val="00661D73"/>
    <w:rsid w:val="00661FCF"/>
    <w:rsid w:val="00661FF5"/>
    <w:rsid w:val="006620AB"/>
    <w:rsid w:val="006620B2"/>
    <w:rsid w:val="0066212C"/>
    <w:rsid w:val="00662210"/>
    <w:rsid w:val="00662294"/>
    <w:rsid w:val="0066244D"/>
    <w:rsid w:val="006624E2"/>
    <w:rsid w:val="0066269B"/>
    <w:rsid w:val="00662716"/>
    <w:rsid w:val="0066273C"/>
    <w:rsid w:val="00662811"/>
    <w:rsid w:val="0066284B"/>
    <w:rsid w:val="006628A6"/>
    <w:rsid w:val="00662979"/>
    <w:rsid w:val="00662AE4"/>
    <w:rsid w:val="00662C2F"/>
    <w:rsid w:val="00662CB8"/>
    <w:rsid w:val="00662E7B"/>
    <w:rsid w:val="00662F8B"/>
    <w:rsid w:val="006630AB"/>
    <w:rsid w:val="0066317F"/>
    <w:rsid w:val="00663194"/>
    <w:rsid w:val="00663326"/>
    <w:rsid w:val="00663357"/>
    <w:rsid w:val="00663550"/>
    <w:rsid w:val="006636BB"/>
    <w:rsid w:val="006636EB"/>
    <w:rsid w:val="00663927"/>
    <w:rsid w:val="006639A4"/>
    <w:rsid w:val="00663ABE"/>
    <w:rsid w:val="00663B01"/>
    <w:rsid w:val="00663B4E"/>
    <w:rsid w:val="00663C1C"/>
    <w:rsid w:val="00663C99"/>
    <w:rsid w:val="00663CF3"/>
    <w:rsid w:val="00663DFE"/>
    <w:rsid w:val="00663E43"/>
    <w:rsid w:val="00663EC9"/>
    <w:rsid w:val="00663FBD"/>
    <w:rsid w:val="0066416F"/>
    <w:rsid w:val="006641B3"/>
    <w:rsid w:val="006642AC"/>
    <w:rsid w:val="006643DE"/>
    <w:rsid w:val="0066441F"/>
    <w:rsid w:val="006644E9"/>
    <w:rsid w:val="0066459A"/>
    <w:rsid w:val="0066465E"/>
    <w:rsid w:val="0066477E"/>
    <w:rsid w:val="006647DD"/>
    <w:rsid w:val="00664865"/>
    <w:rsid w:val="006649AF"/>
    <w:rsid w:val="00664A5F"/>
    <w:rsid w:val="00664ACE"/>
    <w:rsid w:val="00664B58"/>
    <w:rsid w:val="00664BC4"/>
    <w:rsid w:val="00664CFC"/>
    <w:rsid w:val="00664D7C"/>
    <w:rsid w:val="00664DA5"/>
    <w:rsid w:val="00664E2A"/>
    <w:rsid w:val="00664EB5"/>
    <w:rsid w:val="00664F28"/>
    <w:rsid w:val="00664FF5"/>
    <w:rsid w:val="00665220"/>
    <w:rsid w:val="006653DE"/>
    <w:rsid w:val="006654DD"/>
    <w:rsid w:val="00665541"/>
    <w:rsid w:val="00665608"/>
    <w:rsid w:val="0066562B"/>
    <w:rsid w:val="00665776"/>
    <w:rsid w:val="006657B7"/>
    <w:rsid w:val="00665865"/>
    <w:rsid w:val="006658E8"/>
    <w:rsid w:val="00665950"/>
    <w:rsid w:val="0066595A"/>
    <w:rsid w:val="00665B05"/>
    <w:rsid w:val="00665B99"/>
    <w:rsid w:val="00665BE5"/>
    <w:rsid w:val="00665E63"/>
    <w:rsid w:val="00665EDC"/>
    <w:rsid w:val="00665F17"/>
    <w:rsid w:val="00665F39"/>
    <w:rsid w:val="00665FAC"/>
    <w:rsid w:val="00665FF4"/>
    <w:rsid w:val="0066606B"/>
    <w:rsid w:val="0066607F"/>
    <w:rsid w:val="006660EA"/>
    <w:rsid w:val="00666499"/>
    <w:rsid w:val="00666631"/>
    <w:rsid w:val="006666C3"/>
    <w:rsid w:val="00666703"/>
    <w:rsid w:val="006667BD"/>
    <w:rsid w:val="00666827"/>
    <w:rsid w:val="00666828"/>
    <w:rsid w:val="00666975"/>
    <w:rsid w:val="00666A51"/>
    <w:rsid w:val="00666BB3"/>
    <w:rsid w:val="00666C90"/>
    <w:rsid w:val="00666D7F"/>
    <w:rsid w:val="00666D9D"/>
    <w:rsid w:val="00666E6B"/>
    <w:rsid w:val="00666EA9"/>
    <w:rsid w:val="00666F02"/>
    <w:rsid w:val="006672B2"/>
    <w:rsid w:val="00667361"/>
    <w:rsid w:val="00667408"/>
    <w:rsid w:val="0066745C"/>
    <w:rsid w:val="00667476"/>
    <w:rsid w:val="006674B8"/>
    <w:rsid w:val="0066753C"/>
    <w:rsid w:val="00667544"/>
    <w:rsid w:val="0066756E"/>
    <w:rsid w:val="006676A3"/>
    <w:rsid w:val="0066772C"/>
    <w:rsid w:val="00667801"/>
    <w:rsid w:val="00667923"/>
    <w:rsid w:val="00667974"/>
    <w:rsid w:val="00667A3F"/>
    <w:rsid w:val="00667B8C"/>
    <w:rsid w:val="00667CD1"/>
    <w:rsid w:val="00667DC2"/>
    <w:rsid w:val="0066E530"/>
    <w:rsid w:val="00670003"/>
    <w:rsid w:val="00670250"/>
    <w:rsid w:val="00670437"/>
    <w:rsid w:val="00670467"/>
    <w:rsid w:val="006704B9"/>
    <w:rsid w:val="006705D5"/>
    <w:rsid w:val="006707E7"/>
    <w:rsid w:val="00670B93"/>
    <w:rsid w:val="00670CDA"/>
    <w:rsid w:val="00670CF8"/>
    <w:rsid w:val="0067105B"/>
    <w:rsid w:val="006711E3"/>
    <w:rsid w:val="0067128A"/>
    <w:rsid w:val="00671314"/>
    <w:rsid w:val="0067137D"/>
    <w:rsid w:val="006717DA"/>
    <w:rsid w:val="00671852"/>
    <w:rsid w:val="006718D2"/>
    <w:rsid w:val="00671916"/>
    <w:rsid w:val="00671A59"/>
    <w:rsid w:val="00671BBB"/>
    <w:rsid w:val="00671D14"/>
    <w:rsid w:val="00671D66"/>
    <w:rsid w:val="00671DBE"/>
    <w:rsid w:val="00671FC1"/>
    <w:rsid w:val="00672049"/>
    <w:rsid w:val="006720CD"/>
    <w:rsid w:val="006720F9"/>
    <w:rsid w:val="00672136"/>
    <w:rsid w:val="006721CB"/>
    <w:rsid w:val="00672395"/>
    <w:rsid w:val="006723A1"/>
    <w:rsid w:val="00672435"/>
    <w:rsid w:val="00672555"/>
    <w:rsid w:val="0067274E"/>
    <w:rsid w:val="006727A8"/>
    <w:rsid w:val="006728AB"/>
    <w:rsid w:val="00672A59"/>
    <w:rsid w:val="00672A64"/>
    <w:rsid w:val="00672BDE"/>
    <w:rsid w:val="00672D84"/>
    <w:rsid w:val="00672E60"/>
    <w:rsid w:val="00672EEA"/>
    <w:rsid w:val="00672F07"/>
    <w:rsid w:val="00672FAE"/>
    <w:rsid w:val="006730CC"/>
    <w:rsid w:val="00673285"/>
    <w:rsid w:val="00673310"/>
    <w:rsid w:val="006733B2"/>
    <w:rsid w:val="006735EF"/>
    <w:rsid w:val="00673622"/>
    <w:rsid w:val="006737AA"/>
    <w:rsid w:val="006739A7"/>
    <w:rsid w:val="00673A3A"/>
    <w:rsid w:val="00673A9C"/>
    <w:rsid w:val="00673CCF"/>
    <w:rsid w:val="00673FC5"/>
    <w:rsid w:val="00673FF6"/>
    <w:rsid w:val="00673FFE"/>
    <w:rsid w:val="006740F6"/>
    <w:rsid w:val="00674114"/>
    <w:rsid w:val="0067411B"/>
    <w:rsid w:val="006741B4"/>
    <w:rsid w:val="006741FC"/>
    <w:rsid w:val="0067420F"/>
    <w:rsid w:val="00674236"/>
    <w:rsid w:val="00674280"/>
    <w:rsid w:val="006746DF"/>
    <w:rsid w:val="006747EC"/>
    <w:rsid w:val="0067484A"/>
    <w:rsid w:val="0067487B"/>
    <w:rsid w:val="006748D6"/>
    <w:rsid w:val="0067490E"/>
    <w:rsid w:val="0067498D"/>
    <w:rsid w:val="00674A54"/>
    <w:rsid w:val="00674A62"/>
    <w:rsid w:val="00674AE1"/>
    <w:rsid w:val="00674B26"/>
    <w:rsid w:val="00674D61"/>
    <w:rsid w:val="00674DF6"/>
    <w:rsid w:val="00674DFD"/>
    <w:rsid w:val="00674E4D"/>
    <w:rsid w:val="00674EDB"/>
    <w:rsid w:val="00674F26"/>
    <w:rsid w:val="00675174"/>
    <w:rsid w:val="006751F4"/>
    <w:rsid w:val="006752CD"/>
    <w:rsid w:val="00675369"/>
    <w:rsid w:val="0067540C"/>
    <w:rsid w:val="006755FA"/>
    <w:rsid w:val="00675654"/>
    <w:rsid w:val="00675670"/>
    <w:rsid w:val="00675740"/>
    <w:rsid w:val="00675893"/>
    <w:rsid w:val="00675A01"/>
    <w:rsid w:val="00675AAA"/>
    <w:rsid w:val="00675ABE"/>
    <w:rsid w:val="00675B3A"/>
    <w:rsid w:val="00675B47"/>
    <w:rsid w:val="00675B70"/>
    <w:rsid w:val="00675BB8"/>
    <w:rsid w:val="00675C91"/>
    <w:rsid w:val="00675CA8"/>
    <w:rsid w:val="00675CAC"/>
    <w:rsid w:val="00675D07"/>
    <w:rsid w:val="00675D7A"/>
    <w:rsid w:val="00675E32"/>
    <w:rsid w:val="00675FEE"/>
    <w:rsid w:val="00676039"/>
    <w:rsid w:val="00676083"/>
    <w:rsid w:val="00676098"/>
    <w:rsid w:val="0067620F"/>
    <w:rsid w:val="0067626F"/>
    <w:rsid w:val="0067637D"/>
    <w:rsid w:val="006763E1"/>
    <w:rsid w:val="006764FC"/>
    <w:rsid w:val="006764FE"/>
    <w:rsid w:val="0067654D"/>
    <w:rsid w:val="00676716"/>
    <w:rsid w:val="00676AD8"/>
    <w:rsid w:val="00676C3B"/>
    <w:rsid w:val="00676C9F"/>
    <w:rsid w:val="00676CFC"/>
    <w:rsid w:val="00676D95"/>
    <w:rsid w:val="00676E1E"/>
    <w:rsid w:val="00676FDE"/>
    <w:rsid w:val="0067705D"/>
    <w:rsid w:val="00677320"/>
    <w:rsid w:val="006777C7"/>
    <w:rsid w:val="006778D3"/>
    <w:rsid w:val="00677960"/>
    <w:rsid w:val="00677984"/>
    <w:rsid w:val="00677B13"/>
    <w:rsid w:val="00677BC4"/>
    <w:rsid w:val="00677C2C"/>
    <w:rsid w:val="00677C66"/>
    <w:rsid w:val="00677D6C"/>
    <w:rsid w:val="00677D79"/>
    <w:rsid w:val="00677E1B"/>
    <w:rsid w:val="00677F4E"/>
    <w:rsid w:val="00677F82"/>
    <w:rsid w:val="00677F8A"/>
    <w:rsid w:val="00680069"/>
    <w:rsid w:val="0068006F"/>
    <w:rsid w:val="00680248"/>
    <w:rsid w:val="00680275"/>
    <w:rsid w:val="0068034A"/>
    <w:rsid w:val="00680498"/>
    <w:rsid w:val="0068056D"/>
    <w:rsid w:val="006805C6"/>
    <w:rsid w:val="00680695"/>
    <w:rsid w:val="0068094D"/>
    <w:rsid w:val="00680A4B"/>
    <w:rsid w:val="00680B44"/>
    <w:rsid w:val="00680BEB"/>
    <w:rsid w:val="00680D56"/>
    <w:rsid w:val="00680EEB"/>
    <w:rsid w:val="00680F89"/>
    <w:rsid w:val="00680FC8"/>
    <w:rsid w:val="0068106A"/>
    <w:rsid w:val="00681086"/>
    <w:rsid w:val="006810EF"/>
    <w:rsid w:val="006810FA"/>
    <w:rsid w:val="00681368"/>
    <w:rsid w:val="006813C9"/>
    <w:rsid w:val="00681655"/>
    <w:rsid w:val="00681835"/>
    <w:rsid w:val="00681947"/>
    <w:rsid w:val="00681982"/>
    <w:rsid w:val="00681A08"/>
    <w:rsid w:val="00681BC2"/>
    <w:rsid w:val="00681C01"/>
    <w:rsid w:val="00681C0F"/>
    <w:rsid w:val="00681C24"/>
    <w:rsid w:val="00681C64"/>
    <w:rsid w:val="00681DC2"/>
    <w:rsid w:val="00681DCD"/>
    <w:rsid w:val="00681E2E"/>
    <w:rsid w:val="00681F34"/>
    <w:rsid w:val="00681FE8"/>
    <w:rsid w:val="00682033"/>
    <w:rsid w:val="00682090"/>
    <w:rsid w:val="00682168"/>
    <w:rsid w:val="0068217C"/>
    <w:rsid w:val="006822A1"/>
    <w:rsid w:val="006822C0"/>
    <w:rsid w:val="006822E0"/>
    <w:rsid w:val="006823BE"/>
    <w:rsid w:val="0068242B"/>
    <w:rsid w:val="006824C2"/>
    <w:rsid w:val="00682590"/>
    <w:rsid w:val="006826DF"/>
    <w:rsid w:val="00682736"/>
    <w:rsid w:val="006827E6"/>
    <w:rsid w:val="0068293D"/>
    <w:rsid w:val="00682AC5"/>
    <w:rsid w:val="00682BE7"/>
    <w:rsid w:val="00682D06"/>
    <w:rsid w:val="00682D8E"/>
    <w:rsid w:val="00682D97"/>
    <w:rsid w:val="00682DAD"/>
    <w:rsid w:val="00682E7A"/>
    <w:rsid w:val="00683010"/>
    <w:rsid w:val="0068302D"/>
    <w:rsid w:val="00683068"/>
    <w:rsid w:val="0068306B"/>
    <w:rsid w:val="0068307F"/>
    <w:rsid w:val="00683247"/>
    <w:rsid w:val="00683334"/>
    <w:rsid w:val="00683349"/>
    <w:rsid w:val="00683456"/>
    <w:rsid w:val="00683469"/>
    <w:rsid w:val="006834F5"/>
    <w:rsid w:val="0068350E"/>
    <w:rsid w:val="006835A6"/>
    <w:rsid w:val="00683757"/>
    <w:rsid w:val="006837B1"/>
    <w:rsid w:val="00683877"/>
    <w:rsid w:val="00683971"/>
    <w:rsid w:val="00683A10"/>
    <w:rsid w:val="00683AAF"/>
    <w:rsid w:val="00683AE4"/>
    <w:rsid w:val="00683BC5"/>
    <w:rsid w:val="00683C96"/>
    <w:rsid w:val="00683DA3"/>
    <w:rsid w:val="00683EFA"/>
    <w:rsid w:val="00683FA7"/>
    <w:rsid w:val="006842A1"/>
    <w:rsid w:val="00684336"/>
    <w:rsid w:val="0068440A"/>
    <w:rsid w:val="00684431"/>
    <w:rsid w:val="00684503"/>
    <w:rsid w:val="0068459F"/>
    <w:rsid w:val="0068461C"/>
    <w:rsid w:val="00684877"/>
    <w:rsid w:val="00684A40"/>
    <w:rsid w:val="00684A76"/>
    <w:rsid w:val="00684AB8"/>
    <w:rsid w:val="00684BED"/>
    <w:rsid w:val="00684BF6"/>
    <w:rsid w:val="00684D40"/>
    <w:rsid w:val="00684D57"/>
    <w:rsid w:val="00684DCF"/>
    <w:rsid w:val="00684DDD"/>
    <w:rsid w:val="00684E50"/>
    <w:rsid w:val="00684E5B"/>
    <w:rsid w:val="00685022"/>
    <w:rsid w:val="00685114"/>
    <w:rsid w:val="006852EF"/>
    <w:rsid w:val="006854BE"/>
    <w:rsid w:val="0068569B"/>
    <w:rsid w:val="00685766"/>
    <w:rsid w:val="00685883"/>
    <w:rsid w:val="00685914"/>
    <w:rsid w:val="00685969"/>
    <w:rsid w:val="00685A03"/>
    <w:rsid w:val="00685A11"/>
    <w:rsid w:val="00685B25"/>
    <w:rsid w:val="00685B31"/>
    <w:rsid w:val="00685CA5"/>
    <w:rsid w:val="00685DD0"/>
    <w:rsid w:val="00685ECF"/>
    <w:rsid w:val="00685F05"/>
    <w:rsid w:val="00685F5E"/>
    <w:rsid w:val="006860B3"/>
    <w:rsid w:val="00686191"/>
    <w:rsid w:val="0068619C"/>
    <w:rsid w:val="00686259"/>
    <w:rsid w:val="00686390"/>
    <w:rsid w:val="006863EF"/>
    <w:rsid w:val="00686425"/>
    <w:rsid w:val="0068658C"/>
    <w:rsid w:val="006867D3"/>
    <w:rsid w:val="00686915"/>
    <w:rsid w:val="006869E8"/>
    <w:rsid w:val="00686A24"/>
    <w:rsid w:val="00686A39"/>
    <w:rsid w:val="00686D45"/>
    <w:rsid w:val="00686E1C"/>
    <w:rsid w:val="00687049"/>
    <w:rsid w:val="006870DB"/>
    <w:rsid w:val="0068717F"/>
    <w:rsid w:val="00687208"/>
    <w:rsid w:val="006872F2"/>
    <w:rsid w:val="006873F1"/>
    <w:rsid w:val="006875B8"/>
    <w:rsid w:val="006876A7"/>
    <w:rsid w:val="006876AB"/>
    <w:rsid w:val="00687764"/>
    <w:rsid w:val="006877CD"/>
    <w:rsid w:val="006877E9"/>
    <w:rsid w:val="006878A7"/>
    <w:rsid w:val="00687A5C"/>
    <w:rsid w:val="00687A87"/>
    <w:rsid w:val="00687B1D"/>
    <w:rsid w:val="00687B37"/>
    <w:rsid w:val="00687B5C"/>
    <w:rsid w:val="00687BBD"/>
    <w:rsid w:val="00687CDD"/>
    <w:rsid w:val="00687CEA"/>
    <w:rsid w:val="00687E46"/>
    <w:rsid w:val="00687E64"/>
    <w:rsid w:val="00687E9A"/>
    <w:rsid w:val="00687F23"/>
    <w:rsid w:val="00687F92"/>
    <w:rsid w:val="00687FC4"/>
    <w:rsid w:val="00687FD6"/>
    <w:rsid w:val="00690023"/>
    <w:rsid w:val="006901FA"/>
    <w:rsid w:val="00690226"/>
    <w:rsid w:val="006902B8"/>
    <w:rsid w:val="00690350"/>
    <w:rsid w:val="0069039F"/>
    <w:rsid w:val="0069041D"/>
    <w:rsid w:val="0069064F"/>
    <w:rsid w:val="0069077C"/>
    <w:rsid w:val="0069096A"/>
    <w:rsid w:val="006909F6"/>
    <w:rsid w:val="00690A58"/>
    <w:rsid w:val="00690B25"/>
    <w:rsid w:val="00690B93"/>
    <w:rsid w:val="00690D4A"/>
    <w:rsid w:val="00690D5F"/>
    <w:rsid w:val="00690DFB"/>
    <w:rsid w:val="00690E10"/>
    <w:rsid w:val="00691331"/>
    <w:rsid w:val="006913DF"/>
    <w:rsid w:val="00691454"/>
    <w:rsid w:val="006914D1"/>
    <w:rsid w:val="006914FE"/>
    <w:rsid w:val="006915F1"/>
    <w:rsid w:val="0069166B"/>
    <w:rsid w:val="0069172A"/>
    <w:rsid w:val="006917A6"/>
    <w:rsid w:val="0069188B"/>
    <w:rsid w:val="00691A04"/>
    <w:rsid w:val="00691A2C"/>
    <w:rsid w:val="00691AD7"/>
    <w:rsid w:val="00691D66"/>
    <w:rsid w:val="00691E1A"/>
    <w:rsid w:val="00692068"/>
    <w:rsid w:val="006920B1"/>
    <w:rsid w:val="006920CA"/>
    <w:rsid w:val="006921E9"/>
    <w:rsid w:val="00692232"/>
    <w:rsid w:val="00692236"/>
    <w:rsid w:val="006922F6"/>
    <w:rsid w:val="006923B0"/>
    <w:rsid w:val="00692488"/>
    <w:rsid w:val="006924ED"/>
    <w:rsid w:val="006925AB"/>
    <w:rsid w:val="00692657"/>
    <w:rsid w:val="00692677"/>
    <w:rsid w:val="006927F0"/>
    <w:rsid w:val="0069282C"/>
    <w:rsid w:val="00692921"/>
    <w:rsid w:val="006929F2"/>
    <w:rsid w:val="00692B17"/>
    <w:rsid w:val="00692DCD"/>
    <w:rsid w:val="00692E04"/>
    <w:rsid w:val="00692EA7"/>
    <w:rsid w:val="00692F31"/>
    <w:rsid w:val="0069302F"/>
    <w:rsid w:val="00693045"/>
    <w:rsid w:val="00693148"/>
    <w:rsid w:val="006931E3"/>
    <w:rsid w:val="006932FD"/>
    <w:rsid w:val="006933E5"/>
    <w:rsid w:val="0069354A"/>
    <w:rsid w:val="006937A5"/>
    <w:rsid w:val="00693855"/>
    <w:rsid w:val="00693856"/>
    <w:rsid w:val="00693C64"/>
    <w:rsid w:val="00693E1E"/>
    <w:rsid w:val="00693EDB"/>
    <w:rsid w:val="00694135"/>
    <w:rsid w:val="006943FA"/>
    <w:rsid w:val="006944C9"/>
    <w:rsid w:val="006945AB"/>
    <w:rsid w:val="00694620"/>
    <w:rsid w:val="0069469F"/>
    <w:rsid w:val="00694901"/>
    <w:rsid w:val="00694997"/>
    <w:rsid w:val="0069499E"/>
    <w:rsid w:val="00694B7E"/>
    <w:rsid w:val="00694C5D"/>
    <w:rsid w:val="00694C67"/>
    <w:rsid w:val="00694D48"/>
    <w:rsid w:val="00694D79"/>
    <w:rsid w:val="00694DE2"/>
    <w:rsid w:val="00694E01"/>
    <w:rsid w:val="00694F03"/>
    <w:rsid w:val="00695024"/>
    <w:rsid w:val="00695171"/>
    <w:rsid w:val="00695209"/>
    <w:rsid w:val="00695283"/>
    <w:rsid w:val="006952F6"/>
    <w:rsid w:val="00695308"/>
    <w:rsid w:val="00695330"/>
    <w:rsid w:val="00695459"/>
    <w:rsid w:val="00695474"/>
    <w:rsid w:val="006954DF"/>
    <w:rsid w:val="006954EA"/>
    <w:rsid w:val="0069551B"/>
    <w:rsid w:val="0069562A"/>
    <w:rsid w:val="006956BE"/>
    <w:rsid w:val="0069576A"/>
    <w:rsid w:val="0069578E"/>
    <w:rsid w:val="006957BA"/>
    <w:rsid w:val="006957C7"/>
    <w:rsid w:val="006957DC"/>
    <w:rsid w:val="00695800"/>
    <w:rsid w:val="00695A08"/>
    <w:rsid w:val="00695B75"/>
    <w:rsid w:val="00695C44"/>
    <w:rsid w:val="00695C57"/>
    <w:rsid w:val="00695C99"/>
    <w:rsid w:val="00695CB3"/>
    <w:rsid w:val="00695CBA"/>
    <w:rsid w:val="00695CCC"/>
    <w:rsid w:val="00695DCD"/>
    <w:rsid w:val="0069603D"/>
    <w:rsid w:val="00696067"/>
    <w:rsid w:val="006960F9"/>
    <w:rsid w:val="00696154"/>
    <w:rsid w:val="006962DF"/>
    <w:rsid w:val="00696397"/>
    <w:rsid w:val="006963EE"/>
    <w:rsid w:val="00696447"/>
    <w:rsid w:val="006964E9"/>
    <w:rsid w:val="006966C1"/>
    <w:rsid w:val="006966C9"/>
    <w:rsid w:val="0069670C"/>
    <w:rsid w:val="00696936"/>
    <w:rsid w:val="00696B96"/>
    <w:rsid w:val="00696BD7"/>
    <w:rsid w:val="00696BE8"/>
    <w:rsid w:val="00696C5F"/>
    <w:rsid w:val="00696CC5"/>
    <w:rsid w:val="00696D15"/>
    <w:rsid w:val="00697024"/>
    <w:rsid w:val="00697044"/>
    <w:rsid w:val="006970E6"/>
    <w:rsid w:val="00697148"/>
    <w:rsid w:val="006971B1"/>
    <w:rsid w:val="00697319"/>
    <w:rsid w:val="0069733F"/>
    <w:rsid w:val="00697369"/>
    <w:rsid w:val="0069738D"/>
    <w:rsid w:val="00697447"/>
    <w:rsid w:val="006974B2"/>
    <w:rsid w:val="00697566"/>
    <w:rsid w:val="00697607"/>
    <w:rsid w:val="0069768D"/>
    <w:rsid w:val="0069770A"/>
    <w:rsid w:val="00697825"/>
    <w:rsid w:val="006978DC"/>
    <w:rsid w:val="00697A41"/>
    <w:rsid w:val="00697A85"/>
    <w:rsid w:val="00697AA7"/>
    <w:rsid w:val="00697BBB"/>
    <w:rsid w:val="00697CAD"/>
    <w:rsid w:val="00697D2D"/>
    <w:rsid w:val="00697DB7"/>
    <w:rsid w:val="00697DD1"/>
    <w:rsid w:val="0069EC03"/>
    <w:rsid w:val="006A0007"/>
    <w:rsid w:val="006A00C1"/>
    <w:rsid w:val="006A0119"/>
    <w:rsid w:val="006A028A"/>
    <w:rsid w:val="006A055E"/>
    <w:rsid w:val="006A0567"/>
    <w:rsid w:val="006A05B7"/>
    <w:rsid w:val="006A063D"/>
    <w:rsid w:val="006A0769"/>
    <w:rsid w:val="006A085E"/>
    <w:rsid w:val="006A08A6"/>
    <w:rsid w:val="006A093A"/>
    <w:rsid w:val="006A0942"/>
    <w:rsid w:val="006A0992"/>
    <w:rsid w:val="006A09AA"/>
    <w:rsid w:val="006A0A74"/>
    <w:rsid w:val="006A0AD6"/>
    <w:rsid w:val="006A0B20"/>
    <w:rsid w:val="006A0CF7"/>
    <w:rsid w:val="006A0D42"/>
    <w:rsid w:val="006A0DC8"/>
    <w:rsid w:val="006A10E6"/>
    <w:rsid w:val="006A110C"/>
    <w:rsid w:val="006A118D"/>
    <w:rsid w:val="006A1693"/>
    <w:rsid w:val="006A1730"/>
    <w:rsid w:val="006A176A"/>
    <w:rsid w:val="006A1856"/>
    <w:rsid w:val="006A1898"/>
    <w:rsid w:val="006A190D"/>
    <w:rsid w:val="006A1949"/>
    <w:rsid w:val="006A19A8"/>
    <w:rsid w:val="006A1A95"/>
    <w:rsid w:val="006A1C1F"/>
    <w:rsid w:val="006A1D22"/>
    <w:rsid w:val="006A214A"/>
    <w:rsid w:val="006A214D"/>
    <w:rsid w:val="006A21BB"/>
    <w:rsid w:val="006A223B"/>
    <w:rsid w:val="006A23DD"/>
    <w:rsid w:val="006A2400"/>
    <w:rsid w:val="006A2493"/>
    <w:rsid w:val="006A25A8"/>
    <w:rsid w:val="006A25B7"/>
    <w:rsid w:val="006A26F7"/>
    <w:rsid w:val="006A26F8"/>
    <w:rsid w:val="006A2766"/>
    <w:rsid w:val="006A2867"/>
    <w:rsid w:val="006A28D0"/>
    <w:rsid w:val="006A28F0"/>
    <w:rsid w:val="006A2AEA"/>
    <w:rsid w:val="006A2B28"/>
    <w:rsid w:val="006A2BAB"/>
    <w:rsid w:val="006A2CCD"/>
    <w:rsid w:val="006A2DAD"/>
    <w:rsid w:val="006A2DB7"/>
    <w:rsid w:val="006A2DD7"/>
    <w:rsid w:val="006A2FFF"/>
    <w:rsid w:val="006A307A"/>
    <w:rsid w:val="006A3422"/>
    <w:rsid w:val="006A3449"/>
    <w:rsid w:val="006A348B"/>
    <w:rsid w:val="006A35E4"/>
    <w:rsid w:val="006A37D9"/>
    <w:rsid w:val="006A38B7"/>
    <w:rsid w:val="006A3920"/>
    <w:rsid w:val="006A393C"/>
    <w:rsid w:val="006A3A34"/>
    <w:rsid w:val="006A3D3F"/>
    <w:rsid w:val="006A3D6C"/>
    <w:rsid w:val="006A3E06"/>
    <w:rsid w:val="006A3ECE"/>
    <w:rsid w:val="006A3EF5"/>
    <w:rsid w:val="006A3F3A"/>
    <w:rsid w:val="006A41F5"/>
    <w:rsid w:val="006A4290"/>
    <w:rsid w:val="006A42D6"/>
    <w:rsid w:val="006A43B5"/>
    <w:rsid w:val="006A443C"/>
    <w:rsid w:val="006A464B"/>
    <w:rsid w:val="006A492D"/>
    <w:rsid w:val="006A4E44"/>
    <w:rsid w:val="006A4EC9"/>
    <w:rsid w:val="006A4F27"/>
    <w:rsid w:val="006A4F90"/>
    <w:rsid w:val="006A5104"/>
    <w:rsid w:val="006A5163"/>
    <w:rsid w:val="006A54E9"/>
    <w:rsid w:val="006A56BC"/>
    <w:rsid w:val="006A5784"/>
    <w:rsid w:val="006A57A3"/>
    <w:rsid w:val="006A5883"/>
    <w:rsid w:val="006A5989"/>
    <w:rsid w:val="006A5AD3"/>
    <w:rsid w:val="006A5AE4"/>
    <w:rsid w:val="006A5BA0"/>
    <w:rsid w:val="006A5C31"/>
    <w:rsid w:val="006A5D5F"/>
    <w:rsid w:val="006A6003"/>
    <w:rsid w:val="006A6044"/>
    <w:rsid w:val="006A6083"/>
    <w:rsid w:val="006A6154"/>
    <w:rsid w:val="006A617C"/>
    <w:rsid w:val="006A617E"/>
    <w:rsid w:val="006A61EB"/>
    <w:rsid w:val="006A628E"/>
    <w:rsid w:val="006A62CB"/>
    <w:rsid w:val="006A63F2"/>
    <w:rsid w:val="006A642F"/>
    <w:rsid w:val="006A6575"/>
    <w:rsid w:val="006A65DC"/>
    <w:rsid w:val="006A65EF"/>
    <w:rsid w:val="006A65FC"/>
    <w:rsid w:val="006A660B"/>
    <w:rsid w:val="006A666A"/>
    <w:rsid w:val="006A66DE"/>
    <w:rsid w:val="006A66E6"/>
    <w:rsid w:val="006A6742"/>
    <w:rsid w:val="006A6AC9"/>
    <w:rsid w:val="006A6B82"/>
    <w:rsid w:val="006A6C3E"/>
    <w:rsid w:val="006A6D3D"/>
    <w:rsid w:val="006A6D74"/>
    <w:rsid w:val="006A6E62"/>
    <w:rsid w:val="006A705C"/>
    <w:rsid w:val="006A708D"/>
    <w:rsid w:val="006A70B7"/>
    <w:rsid w:val="006A7116"/>
    <w:rsid w:val="006A72EF"/>
    <w:rsid w:val="006A737E"/>
    <w:rsid w:val="006A73E6"/>
    <w:rsid w:val="006A75CA"/>
    <w:rsid w:val="006A763F"/>
    <w:rsid w:val="006A778F"/>
    <w:rsid w:val="006A783C"/>
    <w:rsid w:val="006A78E3"/>
    <w:rsid w:val="006A7A96"/>
    <w:rsid w:val="006A7B0A"/>
    <w:rsid w:val="006A7C0F"/>
    <w:rsid w:val="006A7C3B"/>
    <w:rsid w:val="006A7D0D"/>
    <w:rsid w:val="006A7D17"/>
    <w:rsid w:val="006A7D2F"/>
    <w:rsid w:val="006A7E3F"/>
    <w:rsid w:val="006A7F04"/>
    <w:rsid w:val="006B01C2"/>
    <w:rsid w:val="006B02A3"/>
    <w:rsid w:val="006B0306"/>
    <w:rsid w:val="006B0362"/>
    <w:rsid w:val="006B059F"/>
    <w:rsid w:val="006B06DE"/>
    <w:rsid w:val="006B0717"/>
    <w:rsid w:val="006B071B"/>
    <w:rsid w:val="006B079F"/>
    <w:rsid w:val="006B084C"/>
    <w:rsid w:val="006B0877"/>
    <w:rsid w:val="006B08A3"/>
    <w:rsid w:val="006B0B69"/>
    <w:rsid w:val="006B0B6F"/>
    <w:rsid w:val="006B0B98"/>
    <w:rsid w:val="006B0B99"/>
    <w:rsid w:val="006B0F0C"/>
    <w:rsid w:val="006B0F37"/>
    <w:rsid w:val="006B0FA8"/>
    <w:rsid w:val="006B0FC3"/>
    <w:rsid w:val="006B1005"/>
    <w:rsid w:val="006B1086"/>
    <w:rsid w:val="006B10C3"/>
    <w:rsid w:val="006B1198"/>
    <w:rsid w:val="006B1257"/>
    <w:rsid w:val="006B1337"/>
    <w:rsid w:val="006B1370"/>
    <w:rsid w:val="006B143B"/>
    <w:rsid w:val="006B1508"/>
    <w:rsid w:val="006B15B2"/>
    <w:rsid w:val="006B15B4"/>
    <w:rsid w:val="006B176E"/>
    <w:rsid w:val="006B1800"/>
    <w:rsid w:val="006B18A8"/>
    <w:rsid w:val="006B195D"/>
    <w:rsid w:val="006B196D"/>
    <w:rsid w:val="006B1A9D"/>
    <w:rsid w:val="006B1ADA"/>
    <w:rsid w:val="006B1BF6"/>
    <w:rsid w:val="006B1BF7"/>
    <w:rsid w:val="006B1C0E"/>
    <w:rsid w:val="006B1C58"/>
    <w:rsid w:val="006B1CB2"/>
    <w:rsid w:val="006B1D1E"/>
    <w:rsid w:val="006B1D24"/>
    <w:rsid w:val="006B1DD1"/>
    <w:rsid w:val="006B1FD1"/>
    <w:rsid w:val="006B208C"/>
    <w:rsid w:val="006B20BD"/>
    <w:rsid w:val="006B23B1"/>
    <w:rsid w:val="006B23E0"/>
    <w:rsid w:val="006B252F"/>
    <w:rsid w:val="006B256D"/>
    <w:rsid w:val="006B25DD"/>
    <w:rsid w:val="006B2605"/>
    <w:rsid w:val="006B2697"/>
    <w:rsid w:val="006B2705"/>
    <w:rsid w:val="006B278B"/>
    <w:rsid w:val="006B2BBD"/>
    <w:rsid w:val="006B2D9B"/>
    <w:rsid w:val="006B2DC0"/>
    <w:rsid w:val="006B2DDE"/>
    <w:rsid w:val="006B2E2A"/>
    <w:rsid w:val="006B2EA6"/>
    <w:rsid w:val="006B2EFB"/>
    <w:rsid w:val="006B2F6D"/>
    <w:rsid w:val="006B30DA"/>
    <w:rsid w:val="006B3176"/>
    <w:rsid w:val="006B31CC"/>
    <w:rsid w:val="006B32F0"/>
    <w:rsid w:val="006B3396"/>
    <w:rsid w:val="006B33DE"/>
    <w:rsid w:val="006B353B"/>
    <w:rsid w:val="006B355B"/>
    <w:rsid w:val="006B3663"/>
    <w:rsid w:val="006B3673"/>
    <w:rsid w:val="006B36C0"/>
    <w:rsid w:val="006B374E"/>
    <w:rsid w:val="006B3821"/>
    <w:rsid w:val="006B3844"/>
    <w:rsid w:val="006B3956"/>
    <w:rsid w:val="006B398F"/>
    <w:rsid w:val="006B399C"/>
    <w:rsid w:val="006B39C4"/>
    <w:rsid w:val="006B39E6"/>
    <w:rsid w:val="006B3A36"/>
    <w:rsid w:val="006B3A3A"/>
    <w:rsid w:val="006B3AC6"/>
    <w:rsid w:val="006B3B62"/>
    <w:rsid w:val="006B3C0E"/>
    <w:rsid w:val="006B3CF6"/>
    <w:rsid w:val="006B3D6D"/>
    <w:rsid w:val="006B3DF4"/>
    <w:rsid w:val="006B3E30"/>
    <w:rsid w:val="006B3EA5"/>
    <w:rsid w:val="006B3EAD"/>
    <w:rsid w:val="006B3FD5"/>
    <w:rsid w:val="006B405C"/>
    <w:rsid w:val="006B4063"/>
    <w:rsid w:val="006B40B1"/>
    <w:rsid w:val="006B416C"/>
    <w:rsid w:val="006B41AA"/>
    <w:rsid w:val="006B41D0"/>
    <w:rsid w:val="006B4262"/>
    <w:rsid w:val="006B432C"/>
    <w:rsid w:val="006B43D1"/>
    <w:rsid w:val="006B456A"/>
    <w:rsid w:val="006B4592"/>
    <w:rsid w:val="006B45E4"/>
    <w:rsid w:val="006B47CA"/>
    <w:rsid w:val="006B4914"/>
    <w:rsid w:val="006B49ED"/>
    <w:rsid w:val="006B4A56"/>
    <w:rsid w:val="006B4EFC"/>
    <w:rsid w:val="006B4FB4"/>
    <w:rsid w:val="006B4FE7"/>
    <w:rsid w:val="006B500A"/>
    <w:rsid w:val="006B523E"/>
    <w:rsid w:val="006B52CE"/>
    <w:rsid w:val="006B536D"/>
    <w:rsid w:val="006B54FF"/>
    <w:rsid w:val="006B56A7"/>
    <w:rsid w:val="006B56EF"/>
    <w:rsid w:val="006B5770"/>
    <w:rsid w:val="006B592D"/>
    <w:rsid w:val="006B59B9"/>
    <w:rsid w:val="006B59FB"/>
    <w:rsid w:val="006B5C81"/>
    <w:rsid w:val="006B5CA4"/>
    <w:rsid w:val="006B6034"/>
    <w:rsid w:val="006B6078"/>
    <w:rsid w:val="006B611D"/>
    <w:rsid w:val="006B618A"/>
    <w:rsid w:val="006B61A4"/>
    <w:rsid w:val="006B6331"/>
    <w:rsid w:val="006B637E"/>
    <w:rsid w:val="006B64D7"/>
    <w:rsid w:val="006B64F5"/>
    <w:rsid w:val="006B651D"/>
    <w:rsid w:val="006B6567"/>
    <w:rsid w:val="006B65DF"/>
    <w:rsid w:val="006B6625"/>
    <w:rsid w:val="006B66E1"/>
    <w:rsid w:val="006B676E"/>
    <w:rsid w:val="006B682F"/>
    <w:rsid w:val="006B685D"/>
    <w:rsid w:val="006B6942"/>
    <w:rsid w:val="006B6B6D"/>
    <w:rsid w:val="006B6C00"/>
    <w:rsid w:val="006B6C04"/>
    <w:rsid w:val="006B6D52"/>
    <w:rsid w:val="006B6E33"/>
    <w:rsid w:val="006B6EF6"/>
    <w:rsid w:val="006B704D"/>
    <w:rsid w:val="006B7398"/>
    <w:rsid w:val="006B75F0"/>
    <w:rsid w:val="006B764E"/>
    <w:rsid w:val="006B77C7"/>
    <w:rsid w:val="006B782D"/>
    <w:rsid w:val="006B78AC"/>
    <w:rsid w:val="006B798F"/>
    <w:rsid w:val="006B7A98"/>
    <w:rsid w:val="006B7C50"/>
    <w:rsid w:val="006B7CF1"/>
    <w:rsid w:val="006B7DC4"/>
    <w:rsid w:val="006B7E19"/>
    <w:rsid w:val="006B7E87"/>
    <w:rsid w:val="006B7EDD"/>
    <w:rsid w:val="006B7F2A"/>
    <w:rsid w:val="006B7F4D"/>
    <w:rsid w:val="006C0095"/>
    <w:rsid w:val="006C0254"/>
    <w:rsid w:val="006C02E6"/>
    <w:rsid w:val="006C02F0"/>
    <w:rsid w:val="006C03A9"/>
    <w:rsid w:val="006C03FD"/>
    <w:rsid w:val="006C04C1"/>
    <w:rsid w:val="006C052E"/>
    <w:rsid w:val="006C05AF"/>
    <w:rsid w:val="006C084A"/>
    <w:rsid w:val="006C08F1"/>
    <w:rsid w:val="006C0904"/>
    <w:rsid w:val="006C0A9E"/>
    <w:rsid w:val="006C0B25"/>
    <w:rsid w:val="006C0B7E"/>
    <w:rsid w:val="006C0B89"/>
    <w:rsid w:val="006C0BC2"/>
    <w:rsid w:val="006C0C41"/>
    <w:rsid w:val="006C0DB5"/>
    <w:rsid w:val="006C0DBC"/>
    <w:rsid w:val="006C0E60"/>
    <w:rsid w:val="006C0E83"/>
    <w:rsid w:val="006C0ED8"/>
    <w:rsid w:val="006C0F06"/>
    <w:rsid w:val="006C0F6E"/>
    <w:rsid w:val="006C0FB6"/>
    <w:rsid w:val="006C11FE"/>
    <w:rsid w:val="006C12E3"/>
    <w:rsid w:val="006C13B9"/>
    <w:rsid w:val="006C1578"/>
    <w:rsid w:val="006C1579"/>
    <w:rsid w:val="006C16BE"/>
    <w:rsid w:val="006C1760"/>
    <w:rsid w:val="006C18F6"/>
    <w:rsid w:val="006C195E"/>
    <w:rsid w:val="006C1AF5"/>
    <w:rsid w:val="006C1B18"/>
    <w:rsid w:val="006C1B6C"/>
    <w:rsid w:val="006C1BAE"/>
    <w:rsid w:val="006C1BEC"/>
    <w:rsid w:val="006C1CA2"/>
    <w:rsid w:val="006C1CA6"/>
    <w:rsid w:val="006C1D4F"/>
    <w:rsid w:val="006C1D73"/>
    <w:rsid w:val="006C1EC1"/>
    <w:rsid w:val="006C1ECB"/>
    <w:rsid w:val="006C1F35"/>
    <w:rsid w:val="006C1F56"/>
    <w:rsid w:val="006C2037"/>
    <w:rsid w:val="006C2053"/>
    <w:rsid w:val="006C212E"/>
    <w:rsid w:val="006C217E"/>
    <w:rsid w:val="006C21CD"/>
    <w:rsid w:val="006C2316"/>
    <w:rsid w:val="006C2459"/>
    <w:rsid w:val="006C2515"/>
    <w:rsid w:val="006C26CB"/>
    <w:rsid w:val="006C2797"/>
    <w:rsid w:val="006C2818"/>
    <w:rsid w:val="006C2887"/>
    <w:rsid w:val="006C28DC"/>
    <w:rsid w:val="006C2929"/>
    <w:rsid w:val="006C2AFA"/>
    <w:rsid w:val="006C2B48"/>
    <w:rsid w:val="006C2BA5"/>
    <w:rsid w:val="006C2C3B"/>
    <w:rsid w:val="006C2F53"/>
    <w:rsid w:val="006C2FD8"/>
    <w:rsid w:val="006C2FEF"/>
    <w:rsid w:val="006C3013"/>
    <w:rsid w:val="006C301D"/>
    <w:rsid w:val="006C3053"/>
    <w:rsid w:val="006C3074"/>
    <w:rsid w:val="006C3156"/>
    <w:rsid w:val="006C3189"/>
    <w:rsid w:val="006C31C3"/>
    <w:rsid w:val="006C31C8"/>
    <w:rsid w:val="006C31F6"/>
    <w:rsid w:val="006C3221"/>
    <w:rsid w:val="006C32ED"/>
    <w:rsid w:val="006C345B"/>
    <w:rsid w:val="006C347A"/>
    <w:rsid w:val="006C34AC"/>
    <w:rsid w:val="006C34AD"/>
    <w:rsid w:val="006C354D"/>
    <w:rsid w:val="006C35EC"/>
    <w:rsid w:val="006C364F"/>
    <w:rsid w:val="006C36F1"/>
    <w:rsid w:val="006C36FF"/>
    <w:rsid w:val="006C3743"/>
    <w:rsid w:val="006C38F6"/>
    <w:rsid w:val="006C399D"/>
    <w:rsid w:val="006C3A11"/>
    <w:rsid w:val="006C3A53"/>
    <w:rsid w:val="006C3C77"/>
    <w:rsid w:val="006C3C96"/>
    <w:rsid w:val="006C3E08"/>
    <w:rsid w:val="006C3EEB"/>
    <w:rsid w:val="006C3F6D"/>
    <w:rsid w:val="006C3FD0"/>
    <w:rsid w:val="006C3FE4"/>
    <w:rsid w:val="006C4003"/>
    <w:rsid w:val="006C4064"/>
    <w:rsid w:val="006C406E"/>
    <w:rsid w:val="006C4123"/>
    <w:rsid w:val="006C43E8"/>
    <w:rsid w:val="006C44BC"/>
    <w:rsid w:val="006C450D"/>
    <w:rsid w:val="006C463A"/>
    <w:rsid w:val="006C47A7"/>
    <w:rsid w:val="006C4849"/>
    <w:rsid w:val="006C4994"/>
    <w:rsid w:val="006C4A7F"/>
    <w:rsid w:val="006C4B21"/>
    <w:rsid w:val="006C4B89"/>
    <w:rsid w:val="006C4D59"/>
    <w:rsid w:val="006C4DDB"/>
    <w:rsid w:val="006C4E2A"/>
    <w:rsid w:val="006C4E63"/>
    <w:rsid w:val="006C4E6C"/>
    <w:rsid w:val="006C4EA9"/>
    <w:rsid w:val="006C502E"/>
    <w:rsid w:val="006C52BA"/>
    <w:rsid w:val="006C52ED"/>
    <w:rsid w:val="006C545D"/>
    <w:rsid w:val="006C5534"/>
    <w:rsid w:val="006C568E"/>
    <w:rsid w:val="006C5710"/>
    <w:rsid w:val="006C57C9"/>
    <w:rsid w:val="006C57ED"/>
    <w:rsid w:val="006C58CC"/>
    <w:rsid w:val="006C5A33"/>
    <w:rsid w:val="006C5A42"/>
    <w:rsid w:val="006C5BB5"/>
    <w:rsid w:val="006C5D9B"/>
    <w:rsid w:val="006C5DBE"/>
    <w:rsid w:val="006C5E16"/>
    <w:rsid w:val="006C5EBE"/>
    <w:rsid w:val="006C5F22"/>
    <w:rsid w:val="006C5F7C"/>
    <w:rsid w:val="006C6097"/>
    <w:rsid w:val="006C6145"/>
    <w:rsid w:val="006C6397"/>
    <w:rsid w:val="006C63C9"/>
    <w:rsid w:val="006C63FE"/>
    <w:rsid w:val="006C64FB"/>
    <w:rsid w:val="006C65D1"/>
    <w:rsid w:val="006C6636"/>
    <w:rsid w:val="006C687B"/>
    <w:rsid w:val="006C694A"/>
    <w:rsid w:val="006C6A83"/>
    <w:rsid w:val="006C6AC1"/>
    <w:rsid w:val="006C6CB9"/>
    <w:rsid w:val="006C6CFD"/>
    <w:rsid w:val="006C6D2F"/>
    <w:rsid w:val="006C6F24"/>
    <w:rsid w:val="006C6F94"/>
    <w:rsid w:val="006C7004"/>
    <w:rsid w:val="006C705E"/>
    <w:rsid w:val="006C70D8"/>
    <w:rsid w:val="006C7172"/>
    <w:rsid w:val="006C7215"/>
    <w:rsid w:val="006C72F4"/>
    <w:rsid w:val="006C75C4"/>
    <w:rsid w:val="006C766F"/>
    <w:rsid w:val="006C7671"/>
    <w:rsid w:val="006C76D0"/>
    <w:rsid w:val="006C76D7"/>
    <w:rsid w:val="006C7705"/>
    <w:rsid w:val="006C7783"/>
    <w:rsid w:val="006C79A2"/>
    <w:rsid w:val="006C7B4F"/>
    <w:rsid w:val="006C7B5C"/>
    <w:rsid w:val="006C7B9D"/>
    <w:rsid w:val="006C7BEF"/>
    <w:rsid w:val="006C7CAD"/>
    <w:rsid w:val="006C7D10"/>
    <w:rsid w:val="006C7E1B"/>
    <w:rsid w:val="006C7EDB"/>
    <w:rsid w:val="006D002B"/>
    <w:rsid w:val="006D023B"/>
    <w:rsid w:val="006D0248"/>
    <w:rsid w:val="006D03AA"/>
    <w:rsid w:val="006D03FB"/>
    <w:rsid w:val="006D0430"/>
    <w:rsid w:val="006D0686"/>
    <w:rsid w:val="006D06FC"/>
    <w:rsid w:val="006D0777"/>
    <w:rsid w:val="006D08BB"/>
    <w:rsid w:val="006D0964"/>
    <w:rsid w:val="006D0A22"/>
    <w:rsid w:val="006D0C57"/>
    <w:rsid w:val="006D0D2C"/>
    <w:rsid w:val="006D0D46"/>
    <w:rsid w:val="006D0DA9"/>
    <w:rsid w:val="006D0F01"/>
    <w:rsid w:val="006D0F1A"/>
    <w:rsid w:val="006D11C3"/>
    <w:rsid w:val="006D1290"/>
    <w:rsid w:val="006D1333"/>
    <w:rsid w:val="006D13B6"/>
    <w:rsid w:val="006D1406"/>
    <w:rsid w:val="006D16A3"/>
    <w:rsid w:val="006D1943"/>
    <w:rsid w:val="006D1A4D"/>
    <w:rsid w:val="006D1A99"/>
    <w:rsid w:val="006D1AC3"/>
    <w:rsid w:val="006D1C1E"/>
    <w:rsid w:val="006D1C69"/>
    <w:rsid w:val="006D1C6F"/>
    <w:rsid w:val="006D1CE3"/>
    <w:rsid w:val="006D1D6F"/>
    <w:rsid w:val="006D1E7B"/>
    <w:rsid w:val="006D2188"/>
    <w:rsid w:val="006D2214"/>
    <w:rsid w:val="006D2364"/>
    <w:rsid w:val="006D238A"/>
    <w:rsid w:val="006D2495"/>
    <w:rsid w:val="006D250C"/>
    <w:rsid w:val="006D251C"/>
    <w:rsid w:val="006D26BE"/>
    <w:rsid w:val="006D2751"/>
    <w:rsid w:val="006D2A0D"/>
    <w:rsid w:val="006D2B57"/>
    <w:rsid w:val="006D2B7D"/>
    <w:rsid w:val="006D2D0C"/>
    <w:rsid w:val="006D2DCC"/>
    <w:rsid w:val="006D2E14"/>
    <w:rsid w:val="006D2E79"/>
    <w:rsid w:val="006D2EAB"/>
    <w:rsid w:val="006D2EC0"/>
    <w:rsid w:val="006D2FED"/>
    <w:rsid w:val="006D30D4"/>
    <w:rsid w:val="006D3130"/>
    <w:rsid w:val="006D31DF"/>
    <w:rsid w:val="006D3377"/>
    <w:rsid w:val="006D338D"/>
    <w:rsid w:val="006D3487"/>
    <w:rsid w:val="006D34B5"/>
    <w:rsid w:val="006D35C8"/>
    <w:rsid w:val="006D3651"/>
    <w:rsid w:val="006D3966"/>
    <w:rsid w:val="006D3A25"/>
    <w:rsid w:val="006D3B0F"/>
    <w:rsid w:val="006D3C38"/>
    <w:rsid w:val="006D3E41"/>
    <w:rsid w:val="006D3F6A"/>
    <w:rsid w:val="006D3FA2"/>
    <w:rsid w:val="006D41B0"/>
    <w:rsid w:val="006D42B7"/>
    <w:rsid w:val="006D42BA"/>
    <w:rsid w:val="006D42E9"/>
    <w:rsid w:val="006D4477"/>
    <w:rsid w:val="006D4498"/>
    <w:rsid w:val="006D452E"/>
    <w:rsid w:val="006D4594"/>
    <w:rsid w:val="006D45E0"/>
    <w:rsid w:val="006D4620"/>
    <w:rsid w:val="006D4663"/>
    <w:rsid w:val="006D47DE"/>
    <w:rsid w:val="006D4833"/>
    <w:rsid w:val="006D48B8"/>
    <w:rsid w:val="006D48C3"/>
    <w:rsid w:val="006D4C6F"/>
    <w:rsid w:val="006D4CDA"/>
    <w:rsid w:val="006D4D0E"/>
    <w:rsid w:val="006D4DF4"/>
    <w:rsid w:val="006D4E89"/>
    <w:rsid w:val="006D4E97"/>
    <w:rsid w:val="006D4ED9"/>
    <w:rsid w:val="006D5053"/>
    <w:rsid w:val="006D50BC"/>
    <w:rsid w:val="006D541C"/>
    <w:rsid w:val="006D5472"/>
    <w:rsid w:val="006D5489"/>
    <w:rsid w:val="006D5512"/>
    <w:rsid w:val="006D5564"/>
    <w:rsid w:val="006D56D3"/>
    <w:rsid w:val="006D5849"/>
    <w:rsid w:val="006D5878"/>
    <w:rsid w:val="006D5919"/>
    <w:rsid w:val="006D59F3"/>
    <w:rsid w:val="006D5A15"/>
    <w:rsid w:val="006D5A21"/>
    <w:rsid w:val="006D5AD3"/>
    <w:rsid w:val="006D5B46"/>
    <w:rsid w:val="006D5C7A"/>
    <w:rsid w:val="006D5DEF"/>
    <w:rsid w:val="006D5DFF"/>
    <w:rsid w:val="006D5E29"/>
    <w:rsid w:val="006D6055"/>
    <w:rsid w:val="006D60B0"/>
    <w:rsid w:val="006D60D2"/>
    <w:rsid w:val="006D6260"/>
    <w:rsid w:val="006D638F"/>
    <w:rsid w:val="006D66ED"/>
    <w:rsid w:val="006D66EE"/>
    <w:rsid w:val="006D66F8"/>
    <w:rsid w:val="006D670B"/>
    <w:rsid w:val="006D68BC"/>
    <w:rsid w:val="006D68E9"/>
    <w:rsid w:val="006D69C6"/>
    <w:rsid w:val="006D69D7"/>
    <w:rsid w:val="006D6B8C"/>
    <w:rsid w:val="006D6CBC"/>
    <w:rsid w:val="006D6D73"/>
    <w:rsid w:val="006D6E1E"/>
    <w:rsid w:val="006D6F72"/>
    <w:rsid w:val="006D7108"/>
    <w:rsid w:val="006D71FA"/>
    <w:rsid w:val="006D737E"/>
    <w:rsid w:val="006D7384"/>
    <w:rsid w:val="006D745D"/>
    <w:rsid w:val="006D74FD"/>
    <w:rsid w:val="006D7677"/>
    <w:rsid w:val="006D76E1"/>
    <w:rsid w:val="006D779D"/>
    <w:rsid w:val="006D7803"/>
    <w:rsid w:val="006D7813"/>
    <w:rsid w:val="006D792A"/>
    <w:rsid w:val="006D7A24"/>
    <w:rsid w:val="006D7A30"/>
    <w:rsid w:val="006D7AC1"/>
    <w:rsid w:val="006D7C13"/>
    <w:rsid w:val="006D7DA8"/>
    <w:rsid w:val="006D7EE8"/>
    <w:rsid w:val="006E01F4"/>
    <w:rsid w:val="006E02B7"/>
    <w:rsid w:val="006E034B"/>
    <w:rsid w:val="006E03C2"/>
    <w:rsid w:val="006E03D3"/>
    <w:rsid w:val="006E05ED"/>
    <w:rsid w:val="006E0658"/>
    <w:rsid w:val="006E0773"/>
    <w:rsid w:val="006E07B7"/>
    <w:rsid w:val="006E0806"/>
    <w:rsid w:val="006E08B5"/>
    <w:rsid w:val="006E0973"/>
    <w:rsid w:val="006E0999"/>
    <w:rsid w:val="006E09AB"/>
    <w:rsid w:val="006E0AF0"/>
    <w:rsid w:val="006E0B2B"/>
    <w:rsid w:val="006E0B5A"/>
    <w:rsid w:val="006E0BBC"/>
    <w:rsid w:val="006E0C83"/>
    <w:rsid w:val="006E0CFE"/>
    <w:rsid w:val="006E0E05"/>
    <w:rsid w:val="006E104A"/>
    <w:rsid w:val="006E10AD"/>
    <w:rsid w:val="006E1220"/>
    <w:rsid w:val="006E1413"/>
    <w:rsid w:val="006E16A1"/>
    <w:rsid w:val="006E1765"/>
    <w:rsid w:val="006E19EB"/>
    <w:rsid w:val="006E1A63"/>
    <w:rsid w:val="006E1A70"/>
    <w:rsid w:val="006E1B21"/>
    <w:rsid w:val="006E1B6B"/>
    <w:rsid w:val="006E1B7D"/>
    <w:rsid w:val="006E1B8D"/>
    <w:rsid w:val="006E1C9B"/>
    <w:rsid w:val="006E1CA5"/>
    <w:rsid w:val="006E1CE7"/>
    <w:rsid w:val="006E1CFA"/>
    <w:rsid w:val="006E1DC7"/>
    <w:rsid w:val="006E1F2B"/>
    <w:rsid w:val="006E212F"/>
    <w:rsid w:val="006E21CA"/>
    <w:rsid w:val="006E21F2"/>
    <w:rsid w:val="006E225F"/>
    <w:rsid w:val="006E22C4"/>
    <w:rsid w:val="006E240C"/>
    <w:rsid w:val="006E2498"/>
    <w:rsid w:val="006E25EC"/>
    <w:rsid w:val="006E260A"/>
    <w:rsid w:val="006E2744"/>
    <w:rsid w:val="006E274E"/>
    <w:rsid w:val="006E281B"/>
    <w:rsid w:val="006E28E9"/>
    <w:rsid w:val="006E2907"/>
    <w:rsid w:val="006E2A36"/>
    <w:rsid w:val="006E2A67"/>
    <w:rsid w:val="006E2AB8"/>
    <w:rsid w:val="006E2C23"/>
    <w:rsid w:val="006E2C5F"/>
    <w:rsid w:val="006E2C9F"/>
    <w:rsid w:val="006E2D48"/>
    <w:rsid w:val="006E2F9E"/>
    <w:rsid w:val="006E2FC4"/>
    <w:rsid w:val="006E2FCD"/>
    <w:rsid w:val="006E32F1"/>
    <w:rsid w:val="006E3397"/>
    <w:rsid w:val="006E33AB"/>
    <w:rsid w:val="006E3555"/>
    <w:rsid w:val="006E35E0"/>
    <w:rsid w:val="006E362F"/>
    <w:rsid w:val="006E36A1"/>
    <w:rsid w:val="006E36CB"/>
    <w:rsid w:val="006E3709"/>
    <w:rsid w:val="006E380A"/>
    <w:rsid w:val="006E3844"/>
    <w:rsid w:val="006E3864"/>
    <w:rsid w:val="006E3899"/>
    <w:rsid w:val="006E38A8"/>
    <w:rsid w:val="006E3B0D"/>
    <w:rsid w:val="006E3C10"/>
    <w:rsid w:val="006E3C3F"/>
    <w:rsid w:val="006E3D05"/>
    <w:rsid w:val="006E3D99"/>
    <w:rsid w:val="006E3E01"/>
    <w:rsid w:val="006E3E9F"/>
    <w:rsid w:val="006E3F12"/>
    <w:rsid w:val="006E4012"/>
    <w:rsid w:val="006E4142"/>
    <w:rsid w:val="006E41E1"/>
    <w:rsid w:val="006E432F"/>
    <w:rsid w:val="006E43BA"/>
    <w:rsid w:val="006E4526"/>
    <w:rsid w:val="006E46A1"/>
    <w:rsid w:val="006E4819"/>
    <w:rsid w:val="006E4840"/>
    <w:rsid w:val="006E4945"/>
    <w:rsid w:val="006E4995"/>
    <w:rsid w:val="006E49DA"/>
    <w:rsid w:val="006E4A4A"/>
    <w:rsid w:val="006E4ADC"/>
    <w:rsid w:val="006E4C83"/>
    <w:rsid w:val="006E4DA0"/>
    <w:rsid w:val="006E4ED7"/>
    <w:rsid w:val="006E503F"/>
    <w:rsid w:val="006E507A"/>
    <w:rsid w:val="006E51C1"/>
    <w:rsid w:val="006E521C"/>
    <w:rsid w:val="006E5269"/>
    <w:rsid w:val="006E5304"/>
    <w:rsid w:val="006E533F"/>
    <w:rsid w:val="006E5406"/>
    <w:rsid w:val="006E54ED"/>
    <w:rsid w:val="006E551A"/>
    <w:rsid w:val="006E55CE"/>
    <w:rsid w:val="006E5636"/>
    <w:rsid w:val="006E566D"/>
    <w:rsid w:val="006E57D4"/>
    <w:rsid w:val="006E58E4"/>
    <w:rsid w:val="006E5AFA"/>
    <w:rsid w:val="006E5B48"/>
    <w:rsid w:val="006E5B60"/>
    <w:rsid w:val="006E5C01"/>
    <w:rsid w:val="006E5C28"/>
    <w:rsid w:val="006E5CAA"/>
    <w:rsid w:val="006E5DDB"/>
    <w:rsid w:val="006E5E0B"/>
    <w:rsid w:val="006E6027"/>
    <w:rsid w:val="006E6054"/>
    <w:rsid w:val="006E6166"/>
    <w:rsid w:val="006E61E1"/>
    <w:rsid w:val="006E6214"/>
    <w:rsid w:val="006E6274"/>
    <w:rsid w:val="006E62C4"/>
    <w:rsid w:val="006E62F3"/>
    <w:rsid w:val="006E63AB"/>
    <w:rsid w:val="006E6422"/>
    <w:rsid w:val="006E6483"/>
    <w:rsid w:val="006E65F6"/>
    <w:rsid w:val="006E6691"/>
    <w:rsid w:val="006E672D"/>
    <w:rsid w:val="006E6874"/>
    <w:rsid w:val="006E6937"/>
    <w:rsid w:val="006E6950"/>
    <w:rsid w:val="006E69D5"/>
    <w:rsid w:val="006E6A16"/>
    <w:rsid w:val="006E6A3F"/>
    <w:rsid w:val="006E6A60"/>
    <w:rsid w:val="006E6C27"/>
    <w:rsid w:val="006E6C7D"/>
    <w:rsid w:val="006E6F1F"/>
    <w:rsid w:val="006E6F4E"/>
    <w:rsid w:val="006E7213"/>
    <w:rsid w:val="006E7389"/>
    <w:rsid w:val="006E74E8"/>
    <w:rsid w:val="006E758F"/>
    <w:rsid w:val="006E75BD"/>
    <w:rsid w:val="006E7666"/>
    <w:rsid w:val="006E76EE"/>
    <w:rsid w:val="006E7727"/>
    <w:rsid w:val="006E77AB"/>
    <w:rsid w:val="006E7A0C"/>
    <w:rsid w:val="006E7ADB"/>
    <w:rsid w:val="006E7AFC"/>
    <w:rsid w:val="006E7BF7"/>
    <w:rsid w:val="006E7CAE"/>
    <w:rsid w:val="006E7D01"/>
    <w:rsid w:val="006E7D1A"/>
    <w:rsid w:val="006F019D"/>
    <w:rsid w:val="006F01CA"/>
    <w:rsid w:val="006F024D"/>
    <w:rsid w:val="006F0265"/>
    <w:rsid w:val="006F0348"/>
    <w:rsid w:val="006F0383"/>
    <w:rsid w:val="006F04C6"/>
    <w:rsid w:val="006F051D"/>
    <w:rsid w:val="006F0595"/>
    <w:rsid w:val="006F0927"/>
    <w:rsid w:val="006F0949"/>
    <w:rsid w:val="006F097D"/>
    <w:rsid w:val="006F0B4E"/>
    <w:rsid w:val="006F0B9C"/>
    <w:rsid w:val="006F0E6E"/>
    <w:rsid w:val="006F0FA1"/>
    <w:rsid w:val="006F1068"/>
    <w:rsid w:val="006F1069"/>
    <w:rsid w:val="006F1151"/>
    <w:rsid w:val="006F1435"/>
    <w:rsid w:val="006F1554"/>
    <w:rsid w:val="006F1589"/>
    <w:rsid w:val="006F15F0"/>
    <w:rsid w:val="006F166A"/>
    <w:rsid w:val="006F1714"/>
    <w:rsid w:val="006F1716"/>
    <w:rsid w:val="006F18D6"/>
    <w:rsid w:val="006F1991"/>
    <w:rsid w:val="006F19AF"/>
    <w:rsid w:val="006F1C67"/>
    <w:rsid w:val="006F1D29"/>
    <w:rsid w:val="006F1DAB"/>
    <w:rsid w:val="006F1DF2"/>
    <w:rsid w:val="006F1E4C"/>
    <w:rsid w:val="006F1E94"/>
    <w:rsid w:val="006F1FFA"/>
    <w:rsid w:val="006F2057"/>
    <w:rsid w:val="006F219E"/>
    <w:rsid w:val="006F21F4"/>
    <w:rsid w:val="006F2281"/>
    <w:rsid w:val="006F2453"/>
    <w:rsid w:val="006F2463"/>
    <w:rsid w:val="006F2504"/>
    <w:rsid w:val="006F2592"/>
    <w:rsid w:val="006F25DB"/>
    <w:rsid w:val="006F2626"/>
    <w:rsid w:val="006F2751"/>
    <w:rsid w:val="006F2870"/>
    <w:rsid w:val="006F295F"/>
    <w:rsid w:val="006F2AA1"/>
    <w:rsid w:val="006F2CA9"/>
    <w:rsid w:val="006F2CB7"/>
    <w:rsid w:val="006F2CDA"/>
    <w:rsid w:val="006F2DA6"/>
    <w:rsid w:val="006F30FF"/>
    <w:rsid w:val="006F3165"/>
    <w:rsid w:val="006F3177"/>
    <w:rsid w:val="006F31D7"/>
    <w:rsid w:val="006F32B5"/>
    <w:rsid w:val="006F330D"/>
    <w:rsid w:val="006F3411"/>
    <w:rsid w:val="006F3535"/>
    <w:rsid w:val="006F35CA"/>
    <w:rsid w:val="006F3784"/>
    <w:rsid w:val="006F3AC0"/>
    <w:rsid w:val="006F3C61"/>
    <w:rsid w:val="006F3D06"/>
    <w:rsid w:val="006F3E3F"/>
    <w:rsid w:val="006F3FA8"/>
    <w:rsid w:val="006F3FC5"/>
    <w:rsid w:val="006F3FEE"/>
    <w:rsid w:val="006F417F"/>
    <w:rsid w:val="006F4531"/>
    <w:rsid w:val="006F45FB"/>
    <w:rsid w:val="006F4655"/>
    <w:rsid w:val="006F4857"/>
    <w:rsid w:val="006F487D"/>
    <w:rsid w:val="006F4A23"/>
    <w:rsid w:val="006F4A2C"/>
    <w:rsid w:val="006F4A69"/>
    <w:rsid w:val="006F4E14"/>
    <w:rsid w:val="006F4E61"/>
    <w:rsid w:val="006F4E8C"/>
    <w:rsid w:val="006F4F0F"/>
    <w:rsid w:val="006F4F74"/>
    <w:rsid w:val="006F518C"/>
    <w:rsid w:val="006F521B"/>
    <w:rsid w:val="006F5239"/>
    <w:rsid w:val="006F525E"/>
    <w:rsid w:val="006F5276"/>
    <w:rsid w:val="006F5284"/>
    <w:rsid w:val="006F5365"/>
    <w:rsid w:val="006F5425"/>
    <w:rsid w:val="006F5690"/>
    <w:rsid w:val="006F575D"/>
    <w:rsid w:val="006F5864"/>
    <w:rsid w:val="006F58DC"/>
    <w:rsid w:val="006F58DE"/>
    <w:rsid w:val="006F58E2"/>
    <w:rsid w:val="006F58EA"/>
    <w:rsid w:val="006F596B"/>
    <w:rsid w:val="006F5BB7"/>
    <w:rsid w:val="006F5D02"/>
    <w:rsid w:val="006F5D49"/>
    <w:rsid w:val="006F5E6B"/>
    <w:rsid w:val="006F5EA5"/>
    <w:rsid w:val="006F6068"/>
    <w:rsid w:val="006F6089"/>
    <w:rsid w:val="006F60DF"/>
    <w:rsid w:val="006F615D"/>
    <w:rsid w:val="006F61EF"/>
    <w:rsid w:val="006F654B"/>
    <w:rsid w:val="006F656A"/>
    <w:rsid w:val="006F658A"/>
    <w:rsid w:val="006F6630"/>
    <w:rsid w:val="006F66BE"/>
    <w:rsid w:val="006F6938"/>
    <w:rsid w:val="006F6AA8"/>
    <w:rsid w:val="006F6B1B"/>
    <w:rsid w:val="006F6B4D"/>
    <w:rsid w:val="006F6C0C"/>
    <w:rsid w:val="006F6CD0"/>
    <w:rsid w:val="006F7135"/>
    <w:rsid w:val="006F7196"/>
    <w:rsid w:val="006F71A7"/>
    <w:rsid w:val="006F71C4"/>
    <w:rsid w:val="006F7346"/>
    <w:rsid w:val="006F73EB"/>
    <w:rsid w:val="006F740C"/>
    <w:rsid w:val="006F74E4"/>
    <w:rsid w:val="006F76E4"/>
    <w:rsid w:val="006F79BB"/>
    <w:rsid w:val="006F7A1E"/>
    <w:rsid w:val="006F7A43"/>
    <w:rsid w:val="006F7B63"/>
    <w:rsid w:val="006F7C06"/>
    <w:rsid w:val="006F7C22"/>
    <w:rsid w:val="006F7DB0"/>
    <w:rsid w:val="006F7E50"/>
    <w:rsid w:val="006F7F32"/>
    <w:rsid w:val="00700168"/>
    <w:rsid w:val="007001DA"/>
    <w:rsid w:val="00700391"/>
    <w:rsid w:val="007003FA"/>
    <w:rsid w:val="007004BF"/>
    <w:rsid w:val="007006B2"/>
    <w:rsid w:val="0070087D"/>
    <w:rsid w:val="007008E7"/>
    <w:rsid w:val="007009E3"/>
    <w:rsid w:val="00700A79"/>
    <w:rsid w:val="00700B16"/>
    <w:rsid w:val="00700B1F"/>
    <w:rsid w:val="00700B5D"/>
    <w:rsid w:val="00700C3B"/>
    <w:rsid w:val="00700D57"/>
    <w:rsid w:val="00700D98"/>
    <w:rsid w:val="00700F0E"/>
    <w:rsid w:val="00700F52"/>
    <w:rsid w:val="00700FB2"/>
    <w:rsid w:val="0070100D"/>
    <w:rsid w:val="00701010"/>
    <w:rsid w:val="00701119"/>
    <w:rsid w:val="0070113F"/>
    <w:rsid w:val="00701288"/>
    <w:rsid w:val="007013AC"/>
    <w:rsid w:val="00701493"/>
    <w:rsid w:val="0070163C"/>
    <w:rsid w:val="00701694"/>
    <w:rsid w:val="007016EC"/>
    <w:rsid w:val="0070170B"/>
    <w:rsid w:val="007017E1"/>
    <w:rsid w:val="007017E7"/>
    <w:rsid w:val="007018E0"/>
    <w:rsid w:val="007019B2"/>
    <w:rsid w:val="00701C25"/>
    <w:rsid w:val="00701C3E"/>
    <w:rsid w:val="00701D43"/>
    <w:rsid w:val="00701E5E"/>
    <w:rsid w:val="00701ED2"/>
    <w:rsid w:val="00701F2E"/>
    <w:rsid w:val="007020AF"/>
    <w:rsid w:val="00702237"/>
    <w:rsid w:val="00702257"/>
    <w:rsid w:val="007024B9"/>
    <w:rsid w:val="007024F8"/>
    <w:rsid w:val="007026AC"/>
    <w:rsid w:val="007026E6"/>
    <w:rsid w:val="007027DE"/>
    <w:rsid w:val="00702802"/>
    <w:rsid w:val="00702A41"/>
    <w:rsid w:val="00702C18"/>
    <w:rsid w:val="00702C8B"/>
    <w:rsid w:val="00702CC0"/>
    <w:rsid w:val="00702EA8"/>
    <w:rsid w:val="00702F2C"/>
    <w:rsid w:val="00703049"/>
    <w:rsid w:val="00703057"/>
    <w:rsid w:val="0070309F"/>
    <w:rsid w:val="007030C0"/>
    <w:rsid w:val="007030CA"/>
    <w:rsid w:val="007031C0"/>
    <w:rsid w:val="00703496"/>
    <w:rsid w:val="0070356E"/>
    <w:rsid w:val="007035A8"/>
    <w:rsid w:val="0070378B"/>
    <w:rsid w:val="00703CAB"/>
    <w:rsid w:val="00703D96"/>
    <w:rsid w:val="00703DB5"/>
    <w:rsid w:val="00703E9B"/>
    <w:rsid w:val="00703FFA"/>
    <w:rsid w:val="00704044"/>
    <w:rsid w:val="00704156"/>
    <w:rsid w:val="0070415A"/>
    <w:rsid w:val="007041C7"/>
    <w:rsid w:val="007042A1"/>
    <w:rsid w:val="007042C4"/>
    <w:rsid w:val="007042F2"/>
    <w:rsid w:val="0070430B"/>
    <w:rsid w:val="0070432E"/>
    <w:rsid w:val="0070444D"/>
    <w:rsid w:val="007045E6"/>
    <w:rsid w:val="007047BC"/>
    <w:rsid w:val="007048A7"/>
    <w:rsid w:val="007048F0"/>
    <w:rsid w:val="00704A70"/>
    <w:rsid w:val="00704C29"/>
    <w:rsid w:val="00704C30"/>
    <w:rsid w:val="00704C45"/>
    <w:rsid w:val="00704D83"/>
    <w:rsid w:val="0070517E"/>
    <w:rsid w:val="00705240"/>
    <w:rsid w:val="007052CD"/>
    <w:rsid w:val="00705370"/>
    <w:rsid w:val="007053D0"/>
    <w:rsid w:val="007053DC"/>
    <w:rsid w:val="007054F0"/>
    <w:rsid w:val="00705563"/>
    <w:rsid w:val="00705603"/>
    <w:rsid w:val="00705619"/>
    <w:rsid w:val="00705868"/>
    <w:rsid w:val="007059E7"/>
    <w:rsid w:val="00705A0C"/>
    <w:rsid w:val="00705A86"/>
    <w:rsid w:val="00705AD6"/>
    <w:rsid w:val="00705B28"/>
    <w:rsid w:val="00705B9B"/>
    <w:rsid w:val="00705C0F"/>
    <w:rsid w:val="00705CD3"/>
    <w:rsid w:val="00705D83"/>
    <w:rsid w:val="00705DC7"/>
    <w:rsid w:val="00705F08"/>
    <w:rsid w:val="00705F9F"/>
    <w:rsid w:val="00705FD8"/>
    <w:rsid w:val="00706083"/>
    <w:rsid w:val="007062ED"/>
    <w:rsid w:val="0070635D"/>
    <w:rsid w:val="007063D0"/>
    <w:rsid w:val="00706474"/>
    <w:rsid w:val="007064F0"/>
    <w:rsid w:val="00706518"/>
    <w:rsid w:val="007065F4"/>
    <w:rsid w:val="007067FA"/>
    <w:rsid w:val="007068C8"/>
    <w:rsid w:val="007069BD"/>
    <w:rsid w:val="00706A29"/>
    <w:rsid w:val="00706B89"/>
    <w:rsid w:val="00706C03"/>
    <w:rsid w:val="00706E90"/>
    <w:rsid w:val="0070743B"/>
    <w:rsid w:val="007074B9"/>
    <w:rsid w:val="007074C9"/>
    <w:rsid w:val="00707526"/>
    <w:rsid w:val="00707539"/>
    <w:rsid w:val="007076FB"/>
    <w:rsid w:val="0070783E"/>
    <w:rsid w:val="0070795F"/>
    <w:rsid w:val="00707B33"/>
    <w:rsid w:val="00707B4F"/>
    <w:rsid w:val="00707B59"/>
    <w:rsid w:val="00707D0D"/>
    <w:rsid w:val="00707D6E"/>
    <w:rsid w:val="00707DF6"/>
    <w:rsid w:val="007100CD"/>
    <w:rsid w:val="007101CD"/>
    <w:rsid w:val="00710209"/>
    <w:rsid w:val="00710316"/>
    <w:rsid w:val="0071033F"/>
    <w:rsid w:val="007103AB"/>
    <w:rsid w:val="00710485"/>
    <w:rsid w:val="00710501"/>
    <w:rsid w:val="00710607"/>
    <w:rsid w:val="007107D4"/>
    <w:rsid w:val="00710818"/>
    <w:rsid w:val="007109EB"/>
    <w:rsid w:val="00710A8B"/>
    <w:rsid w:val="00710C28"/>
    <w:rsid w:val="00710C80"/>
    <w:rsid w:val="00710C9A"/>
    <w:rsid w:val="00710CD1"/>
    <w:rsid w:val="00710D7D"/>
    <w:rsid w:val="00710E7E"/>
    <w:rsid w:val="00711035"/>
    <w:rsid w:val="00711085"/>
    <w:rsid w:val="007111F3"/>
    <w:rsid w:val="007113BE"/>
    <w:rsid w:val="00711502"/>
    <w:rsid w:val="00711632"/>
    <w:rsid w:val="007116AD"/>
    <w:rsid w:val="0071171C"/>
    <w:rsid w:val="00711747"/>
    <w:rsid w:val="00711792"/>
    <w:rsid w:val="00711A08"/>
    <w:rsid w:val="00711D9F"/>
    <w:rsid w:val="00711DCB"/>
    <w:rsid w:val="00711E03"/>
    <w:rsid w:val="00711F22"/>
    <w:rsid w:val="00711F3E"/>
    <w:rsid w:val="007120AA"/>
    <w:rsid w:val="00712147"/>
    <w:rsid w:val="00712197"/>
    <w:rsid w:val="00712236"/>
    <w:rsid w:val="007122AD"/>
    <w:rsid w:val="007122DB"/>
    <w:rsid w:val="00712387"/>
    <w:rsid w:val="007123AF"/>
    <w:rsid w:val="00712454"/>
    <w:rsid w:val="00712464"/>
    <w:rsid w:val="007124B5"/>
    <w:rsid w:val="00712526"/>
    <w:rsid w:val="00712543"/>
    <w:rsid w:val="00712562"/>
    <w:rsid w:val="007125B4"/>
    <w:rsid w:val="0071263D"/>
    <w:rsid w:val="007126B7"/>
    <w:rsid w:val="0071277A"/>
    <w:rsid w:val="007127EC"/>
    <w:rsid w:val="00712839"/>
    <w:rsid w:val="0071284E"/>
    <w:rsid w:val="00712A6B"/>
    <w:rsid w:val="00712A8E"/>
    <w:rsid w:val="00712C2F"/>
    <w:rsid w:val="00712D00"/>
    <w:rsid w:val="00712DE6"/>
    <w:rsid w:val="00712FD1"/>
    <w:rsid w:val="0071308C"/>
    <w:rsid w:val="007131B9"/>
    <w:rsid w:val="00713234"/>
    <w:rsid w:val="007132B2"/>
    <w:rsid w:val="0071337F"/>
    <w:rsid w:val="00713432"/>
    <w:rsid w:val="00713530"/>
    <w:rsid w:val="00713565"/>
    <w:rsid w:val="007135FE"/>
    <w:rsid w:val="00713658"/>
    <w:rsid w:val="00713742"/>
    <w:rsid w:val="0071379D"/>
    <w:rsid w:val="00713909"/>
    <w:rsid w:val="0071398D"/>
    <w:rsid w:val="007139D3"/>
    <w:rsid w:val="00713A4C"/>
    <w:rsid w:val="00713A56"/>
    <w:rsid w:val="00713B0B"/>
    <w:rsid w:val="00713C3F"/>
    <w:rsid w:val="00713D3A"/>
    <w:rsid w:val="00713E57"/>
    <w:rsid w:val="00713ED6"/>
    <w:rsid w:val="007140AA"/>
    <w:rsid w:val="007140FA"/>
    <w:rsid w:val="0071414E"/>
    <w:rsid w:val="0071426D"/>
    <w:rsid w:val="007142CC"/>
    <w:rsid w:val="0071437F"/>
    <w:rsid w:val="0071441F"/>
    <w:rsid w:val="00714586"/>
    <w:rsid w:val="007147BD"/>
    <w:rsid w:val="0071486B"/>
    <w:rsid w:val="00714893"/>
    <w:rsid w:val="007148AC"/>
    <w:rsid w:val="00714910"/>
    <w:rsid w:val="007149DC"/>
    <w:rsid w:val="00714B1A"/>
    <w:rsid w:val="00714B9F"/>
    <w:rsid w:val="00714BB5"/>
    <w:rsid w:val="00714C43"/>
    <w:rsid w:val="00714C8B"/>
    <w:rsid w:val="00714CE5"/>
    <w:rsid w:val="00714CF9"/>
    <w:rsid w:val="00714E38"/>
    <w:rsid w:val="00714EC4"/>
    <w:rsid w:val="00714F30"/>
    <w:rsid w:val="00714F89"/>
    <w:rsid w:val="00714F97"/>
    <w:rsid w:val="007150A0"/>
    <w:rsid w:val="007150EC"/>
    <w:rsid w:val="00715105"/>
    <w:rsid w:val="00715135"/>
    <w:rsid w:val="0071535C"/>
    <w:rsid w:val="00715387"/>
    <w:rsid w:val="007154B0"/>
    <w:rsid w:val="00715583"/>
    <w:rsid w:val="0071560A"/>
    <w:rsid w:val="00715641"/>
    <w:rsid w:val="00715754"/>
    <w:rsid w:val="00715772"/>
    <w:rsid w:val="00715929"/>
    <w:rsid w:val="00715A7C"/>
    <w:rsid w:val="00715B81"/>
    <w:rsid w:val="00715B8F"/>
    <w:rsid w:val="00715BB6"/>
    <w:rsid w:val="00715C19"/>
    <w:rsid w:val="00715DBB"/>
    <w:rsid w:val="00715E1C"/>
    <w:rsid w:val="00715E34"/>
    <w:rsid w:val="00715F86"/>
    <w:rsid w:val="0071610E"/>
    <w:rsid w:val="007162C5"/>
    <w:rsid w:val="00716370"/>
    <w:rsid w:val="00716393"/>
    <w:rsid w:val="00716417"/>
    <w:rsid w:val="0071650E"/>
    <w:rsid w:val="00716647"/>
    <w:rsid w:val="0071667D"/>
    <w:rsid w:val="007166B7"/>
    <w:rsid w:val="0071675B"/>
    <w:rsid w:val="00716808"/>
    <w:rsid w:val="0071683B"/>
    <w:rsid w:val="0071692F"/>
    <w:rsid w:val="00716A7C"/>
    <w:rsid w:val="00716B8D"/>
    <w:rsid w:val="00716DC8"/>
    <w:rsid w:val="00716DD7"/>
    <w:rsid w:val="00716F6E"/>
    <w:rsid w:val="00716FD8"/>
    <w:rsid w:val="00717014"/>
    <w:rsid w:val="0071705B"/>
    <w:rsid w:val="007170ED"/>
    <w:rsid w:val="00717155"/>
    <w:rsid w:val="0071715C"/>
    <w:rsid w:val="00717260"/>
    <w:rsid w:val="007172B3"/>
    <w:rsid w:val="007172DB"/>
    <w:rsid w:val="00717422"/>
    <w:rsid w:val="00717452"/>
    <w:rsid w:val="0071749F"/>
    <w:rsid w:val="0071759A"/>
    <w:rsid w:val="00717612"/>
    <w:rsid w:val="00717658"/>
    <w:rsid w:val="0071779D"/>
    <w:rsid w:val="00717983"/>
    <w:rsid w:val="00717ABA"/>
    <w:rsid w:val="00717BA8"/>
    <w:rsid w:val="00717C07"/>
    <w:rsid w:val="00717DAC"/>
    <w:rsid w:val="00717E30"/>
    <w:rsid w:val="00717E78"/>
    <w:rsid w:val="0072005C"/>
    <w:rsid w:val="00720214"/>
    <w:rsid w:val="0072025E"/>
    <w:rsid w:val="00720274"/>
    <w:rsid w:val="0072028C"/>
    <w:rsid w:val="00720313"/>
    <w:rsid w:val="007204E9"/>
    <w:rsid w:val="007207AF"/>
    <w:rsid w:val="0072094C"/>
    <w:rsid w:val="007209F1"/>
    <w:rsid w:val="00720B44"/>
    <w:rsid w:val="00720BA1"/>
    <w:rsid w:val="00720C1D"/>
    <w:rsid w:val="00720C4D"/>
    <w:rsid w:val="00720CB0"/>
    <w:rsid w:val="00720CBC"/>
    <w:rsid w:val="00720E83"/>
    <w:rsid w:val="00720EAA"/>
    <w:rsid w:val="00720F9F"/>
    <w:rsid w:val="00720FBA"/>
    <w:rsid w:val="00721163"/>
    <w:rsid w:val="007212A6"/>
    <w:rsid w:val="00721391"/>
    <w:rsid w:val="007213D7"/>
    <w:rsid w:val="00721545"/>
    <w:rsid w:val="00721709"/>
    <w:rsid w:val="0072175D"/>
    <w:rsid w:val="0072189F"/>
    <w:rsid w:val="007218FB"/>
    <w:rsid w:val="00721AC0"/>
    <w:rsid w:val="00721AE9"/>
    <w:rsid w:val="00721B25"/>
    <w:rsid w:val="00721B64"/>
    <w:rsid w:val="00721B84"/>
    <w:rsid w:val="00721C13"/>
    <w:rsid w:val="00721C80"/>
    <w:rsid w:val="00721F15"/>
    <w:rsid w:val="00721FC7"/>
    <w:rsid w:val="0072202F"/>
    <w:rsid w:val="007221BB"/>
    <w:rsid w:val="00722277"/>
    <w:rsid w:val="00722310"/>
    <w:rsid w:val="00722548"/>
    <w:rsid w:val="0072256A"/>
    <w:rsid w:val="007225DA"/>
    <w:rsid w:val="00722611"/>
    <w:rsid w:val="007226F9"/>
    <w:rsid w:val="00722792"/>
    <w:rsid w:val="00722809"/>
    <w:rsid w:val="00722851"/>
    <w:rsid w:val="00722887"/>
    <w:rsid w:val="007228C6"/>
    <w:rsid w:val="00722AB3"/>
    <w:rsid w:val="00722DD4"/>
    <w:rsid w:val="00722E30"/>
    <w:rsid w:val="00722E93"/>
    <w:rsid w:val="0072300A"/>
    <w:rsid w:val="007230A3"/>
    <w:rsid w:val="0072313A"/>
    <w:rsid w:val="007232CD"/>
    <w:rsid w:val="007232FC"/>
    <w:rsid w:val="007234E8"/>
    <w:rsid w:val="007235FD"/>
    <w:rsid w:val="00723629"/>
    <w:rsid w:val="0072383C"/>
    <w:rsid w:val="00723893"/>
    <w:rsid w:val="007238DB"/>
    <w:rsid w:val="007239DF"/>
    <w:rsid w:val="00723A1D"/>
    <w:rsid w:val="00723B88"/>
    <w:rsid w:val="00723C44"/>
    <w:rsid w:val="00723D23"/>
    <w:rsid w:val="00723DD2"/>
    <w:rsid w:val="0072414E"/>
    <w:rsid w:val="0072426D"/>
    <w:rsid w:val="00724288"/>
    <w:rsid w:val="007242D6"/>
    <w:rsid w:val="007242F6"/>
    <w:rsid w:val="0072430E"/>
    <w:rsid w:val="0072437C"/>
    <w:rsid w:val="007243B9"/>
    <w:rsid w:val="007243F4"/>
    <w:rsid w:val="0072445B"/>
    <w:rsid w:val="00724482"/>
    <w:rsid w:val="007244D9"/>
    <w:rsid w:val="00724575"/>
    <w:rsid w:val="00724601"/>
    <w:rsid w:val="007246C4"/>
    <w:rsid w:val="00724942"/>
    <w:rsid w:val="007249CC"/>
    <w:rsid w:val="007249D1"/>
    <w:rsid w:val="00724A04"/>
    <w:rsid w:val="00724A0B"/>
    <w:rsid w:val="00724A79"/>
    <w:rsid w:val="00724B86"/>
    <w:rsid w:val="00724C7C"/>
    <w:rsid w:val="00724EEE"/>
    <w:rsid w:val="00724EF2"/>
    <w:rsid w:val="00724FF2"/>
    <w:rsid w:val="00725105"/>
    <w:rsid w:val="00725186"/>
    <w:rsid w:val="00725279"/>
    <w:rsid w:val="007252C0"/>
    <w:rsid w:val="007252F1"/>
    <w:rsid w:val="00725344"/>
    <w:rsid w:val="00725389"/>
    <w:rsid w:val="00725549"/>
    <w:rsid w:val="00725583"/>
    <w:rsid w:val="007255B3"/>
    <w:rsid w:val="00725655"/>
    <w:rsid w:val="00725691"/>
    <w:rsid w:val="0072571D"/>
    <w:rsid w:val="00725729"/>
    <w:rsid w:val="0072588D"/>
    <w:rsid w:val="007258CD"/>
    <w:rsid w:val="00725A66"/>
    <w:rsid w:val="00725B20"/>
    <w:rsid w:val="00725BF0"/>
    <w:rsid w:val="00725C76"/>
    <w:rsid w:val="00725F29"/>
    <w:rsid w:val="00726103"/>
    <w:rsid w:val="00726171"/>
    <w:rsid w:val="0072623C"/>
    <w:rsid w:val="00726243"/>
    <w:rsid w:val="007264E9"/>
    <w:rsid w:val="00726522"/>
    <w:rsid w:val="007265FE"/>
    <w:rsid w:val="00726676"/>
    <w:rsid w:val="00726832"/>
    <w:rsid w:val="00726836"/>
    <w:rsid w:val="007268C9"/>
    <w:rsid w:val="007268DE"/>
    <w:rsid w:val="007269A1"/>
    <w:rsid w:val="00726AC9"/>
    <w:rsid w:val="00726BB8"/>
    <w:rsid w:val="00726E1C"/>
    <w:rsid w:val="00726E7E"/>
    <w:rsid w:val="00726E83"/>
    <w:rsid w:val="00726EED"/>
    <w:rsid w:val="00726F5D"/>
    <w:rsid w:val="00726F85"/>
    <w:rsid w:val="00727046"/>
    <w:rsid w:val="0072704B"/>
    <w:rsid w:val="00727063"/>
    <w:rsid w:val="007271E5"/>
    <w:rsid w:val="00727405"/>
    <w:rsid w:val="0072740A"/>
    <w:rsid w:val="0072784A"/>
    <w:rsid w:val="00727936"/>
    <w:rsid w:val="00727A9A"/>
    <w:rsid w:val="00727AE9"/>
    <w:rsid w:val="00727C94"/>
    <w:rsid w:val="00727D26"/>
    <w:rsid w:val="00727E87"/>
    <w:rsid w:val="00727F89"/>
    <w:rsid w:val="00730245"/>
    <w:rsid w:val="007302D7"/>
    <w:rsid w:val="0073033E"/>
    <w:rsid w:val="0073038F"/>
    <w:rsid w:val="00730539"/>
    <w:rsid w:val="00730805"/>
    <w:rsid w:val="00730863"/>
    <w:rsid w:val="00730946"/>
    <w:rsid w:val="0073094E"/>
    <w:rsid w:val="00730A6B"/>
    <w:rsid w:val="00730AB0"/>
    <w:rsid w:val="00730ACA"/>
    <w:rsid w:val="00730CA8"/>
    <w:rsid w:val="00730CBC"/>
    <w:rsid w:val="00730DCC"/>
    <w:rsid w:val="00730EFC"/>
    <w:rsid w:val="00730F0D"/>
    <w:rsid w:val="0073106E"/>
    <w:rsid w:val="0073132F"/>
    <w:rsid w:val="007313B3"/>
    <w:rsid w:val="007313EC"/>
    <w:rsid w:val="0073142E"/>
    <w:rsid w:val="007315CE"/>
    <w:rsid w:val="007316B2"/>
    <w:rsid w:val="0073170C"/>
    <w:rsid w:val="00731A41"/>
    <w:rsid w:val="00731A6E"/>
    <w:rsid w:val="00731A91"/>
    <w:rsid w:val="00731B11"/>
    <w:rsid w:val="00731B4D"/>
    <w:rsid w:val="00731BFC"/>
    <w:rsid w:val="00731DB2"/>
    <w:rsid w:val="00731DFA"/>
    <w:rsid w:val="00731EB6"/>
    <w:rsid w:val="00731EBD"/>
    <w:rsid w:val="00731F7D"/>
    <w:rsid w:val="00731FCB"/>
    <w:rsid w:val="007322CC"/>
    <w:rsid w:val="00732645"/>
    <w:rsid w:val="0073266E"/>
    <w:rsid w:val="007327A8"/>
    <w:rsid w:val="00732801"/>
    <w:rsid w:val="0073282D"/>
    <w:rsid w:val="007329AA"/>
    <w:rsid w:val="007329B7"/>
    <w:rsid w:val="00732A08"/>
    <w:rsid w:val="00732B59"/>
    <w:rsid w:val="00732BBE"/>
    <w:rsid w:val="00732C3E"/>
    <w:rsid w:val="00732C51"/>
    <w:rsid w:val="00732D1F"/>
    <w:rsid w:val="00732E42"/>
    <w:rsid w:val="0073304F"/>
    <w:rsid w:val="00733052"/>
    <w:rsid w:val="0073315D"/>
    <w:rsid w:val="007331C7"/>
    <w:rsid w:val="007332D1"/>
    <w:rsid w:val="00733312"/>
    <w:rsid w:val="0073338B"/>
    <w:rsid w:val="00733525"/>
    <w:rsid w:val="007336C6"/>
    <w:rsid w:val="0073376F"/>
    <w:rsid w:val="00733780"/>
    <w:rsid w:val="007339BE"/>
    <w:rsid w:val="00733D10"/>
    <w:rsid w:val="00733DBE"/>
    <w:rsid w:val="00733F19"/>
    <w:rsid w:val="007340CF"/>
    <w:rsid w:val="007341ED"/>
    <w:rsid w:val="00734218"/>
    <w:rsid w:val="0073427E"/>
    <w:rsid w:val="007342E2"/>
    <w:rsid w:val="00734319"/>
    <w:rsid w:val="0073446A"/>
    <w:rsid w:val="007344B1"/>
    <w:rsid w:val="007344C6"/>
    <w:rsid w:val="007344EA"/>
    <w:rsid w:val="00734581"/>
    <w:rsid w:val="00734635"/>
    <w:rsid w:val="0073463B"/>
    <w:rsid w:val="007346D5"/>
    <w:rsid w:val="0073475C"/>
    <w:rsid w:val="00734778"/>
    <w:rsid w:val="00734B63"/>
    <w:rsid w:val="00734C29"/>
    <w:rsid w:val="00734CF5"/>
    <w:rsid w:val="00734D43"/>
    <w:rsid w:val="00734DAD"/>
    <w:rsid w:val="0073514A"/>
    <w:rsid w:val="0073530E"/>
    <w:rsid w:val="00735355"/>
    <w:rsid w:val="00735422"/>
    <w:rsid w:val="00735616"/>
    <w:rsid w:val="0073580F"/>
    <w:rsid w:val="007358D9"/>
    <w:rsid w:val="007359E2"/>
    <w:rsid w:val="00735A4A"/>
    <w:rsid w:val="00735C7F"/>
    <w:rsid w:val="00735F27"/>
    <w:rsid w:val="0073606B"/>
    <w:rsid w:val="007360D2"/>
    <w:rsid w:val="007360ED"/>
    <w:rsid w:val="007361AA"/>
    <w:rsid w:val="00736299"/>
    <w:rsid w:val="007362C3"/>
    <w:rsid w:val="007363B2"/>
    <w:rsid w:val="007365A7"/>
    <w:rsid w:val="00736629"/>
    <w:rsid w:val="00736741"/>
    <w:rsid w:val="00736891"/>
    <w:rsid w:val="00736954"/>
    <w:rsid w:val="00736A76"/>
    <w:rsid w:val="00736B51"/>
    <w:rsid w:val="00736BE6"/>
    <w:rsid w:val="00736C9F"/>
    <w:rsid w:val="00736CE1"/>
    <w:rsid w:val="00736D5A"/>
    <w:rsid w:val="00736D5C"/>
    <w:rsid w:val="00736FA0"/>
    <w:rsid w:val="007370AA"/>
    <w:rsid w:val="007372EC"/>
    <w:rsid w:val="00737454"/>
    <w:rsid w:val="00737519"/>
    <w:rsid w:val="00737723"/>
    <w:rsid w:val="00737806"/>
    <w:rsid w:val="0073788F"/>
    <w:rsid w:val="007378CE"/>
    <w:rsid w:val="007378D0"/>
    <w:rsid w:val="00737990"/>
    <w:rsid w:val="00737A04"/>
    <w:rsid w:val="00737A1B"/>
    <w:rsid w:val="00737A8A"/>
    <w:rsid w:val="00737AAE"/>
    <w:rsid w:val="00737AC5"/>
    <w:rsid w:val="00737AEA"/>
    <w:rsid w:val="00737B9F"/>
    <w:rsid w:val="00737BC1"/>
    <w:rsid w:val="00737BF0"/>
    <w:rsid w:val="00737D46"/>
    <w:rsid w:val="00737E96"/>
    <w:rsid w:val="00737E9E"/>
    <w:rsid w:val="00737F9C"/>
    <w:rsid w:val="00737FFC"/>
    <w:rsid w:val="00740034"/>
    <w:rsid w:val="007400E3"/>
    <w:rsid w:val="007402B7"/>
    <w:rsid w:val="007402BE"/>
    <w:rsid w:val="00740368"/>
    <w:rsid w:val="00740374"/>
    <w:rsid w:val="00740392"/>
    <w:rsid w:val="00740503"/>
    <w:rsid w:val="00740666"/>
    <w:rsid w:val="007406C3"/>
    <w:rsid w:val="00740892"/>
    <w:rsid w:val="00740896"/>
    <w:rsid w:val="00740912"/>
    <w:rsid w:val="00740AE9"/>
    <w:rsid w:val="00740B2A"/>
    <w:rsid w:val="00740BDC"/>
    <w:rsid w:val="00740E0F"/>
    <w:rsid w:val="00740EB0"/>
    <w:rsid w:val="00740EBB"/>
    <w:rsid w:val="007410B5"/>
    <w:rsid w:val="007410C9"/>
    <w:rsid w:val="00741144"/>
    <w:rsid w:val="007413BC"/>
    <w:rsid w:val="00741C28"/>
    <w:rsid w:val="00741C93"/>
    <w:rsid w:val="00741CC6"/>
    <w:rsid w:val="0074239C"/>
    <w:rsid w:val="00742439"/>
    <w:rsid w:val="007425AA"/>
    <w:rsid w:val="007427BF"/>
    <w:rsid w:val="00742900"/>
    <w:rsid w:val="0074292A"/>
    <w:rsid w:val="0074297E"/>
    <w:rsid w:val="007429F6"/>
    <w:rsid w:val="00742AEC"/>
    <w:rsid w:val="00742B61"/>
    <w:rsid w:val="00742C43"/>
    <w:rsid w:val="00742DD3"/>
    <w:rsid w:val="00742E1B"/>
    <w:rsid w:val="00742F00"/>
    <w:rsid w:val="00742F91"/>
    <w:rsid w:val="00743384"/>
    <w:rsid w:val="00743427"/>
    <w:rsid w:val="007434E5"/>
    <w:rsid w:val="007434F8"/>
    <w:rsid w:val="007434F9"/>
    <w:rsid w:val="007437D7"/>
    <w:rsid w:val="007438E0"/>
    <w:rsid w:val="00743938"/>
    <w:rsid w:val="0074393F"/>
    <w:rsid w:val="007439CE"/>
    <w:rsid w:val="00743BF0"/>
    <w:rsid w:val="00743BF6"/>
    <w:rsid w:val="00743D0F"/>
    <w:rsid w:val="00743DD1"/>
    <w:rsid w:val="00743E78"/>
    <w:rsid w:val="00744170"/>
    <w:rsid w:val="00744174"/>
    <w:rsid w:val="00744199"/>
    <w:rsid w:val="0074426B"/>
    <w:rsid w:val="00744346"/>
    <w:rsid w:val="00744378"/>
    <w:rsid w:val="00744387"/>
    <w:rsid w:val="00744393"/>
    <w:rsid w:val="00744675"/>
    <w:rsid w:val="00744791"/>
    <w:rsid w:val="007447EA"/>
    <w:rsid w:val="0074485D"/>
    <w:rsid w:val="0074487B"/>
    <w:rsid w:val="007448C0"/>
    <w:rsid w:val="00744B61"/>
    <w:rsid w:val="00744BAE"/>
    <w:rsid w:val="00744C00"/>
    <w:rsid w:val="00744C6F"/>
    <w:rsid w:val="00744DEA"/>
    <w:rsid w:val="00744E97"/>
    <w:rsid w:val="00744F77"/>
    <w:rsid w:val="00744FD1"/>
    <w:rsid w:val="00744FEF"/>
    <w:rsid w:val="0074505C"/>
    <w:rsid w:val="007450AE"/>
    <w:rsid w:val="007450B5"/>
    <w:rsid w:val="007452AC"/>
    <w:rsid w:val="00745326"/>
    <w:rsid w:val="0074536F"/>
    <w:rsid w:val="007453A1"/>
    <w:rsid w:val="00745558"/>
    <w:rsid w:val="0074556E"/>
    <w:rsid w:val="0074565E"/>
    <w:rsid w:val="00745680"/>
    <w:rsid w:val="007456F1"/>
    <w:rsid w:val="00745740"/>
    <w:rsid w:val="00745798"/>
    <w:rsid w:val="00745830"/>
    <w:rsid w:val="00745880"/>
    <w:rsid w:val="007458D2"/>
    <w:rsid w:val="007458F3"/>
    <w:rsid w:val="00745971"/>
    <w:rsid w:val="0074599E"/>
    <w:rsid w:val="00745BD4"/>
    <w:rsid w:val="00745C5C"/>
    <w:rsid w:val="00745C7B"/>
    <w:rsid w:val="00745C88"/>
    <w:rsid w:val="00745CA5"/>
    <w:rsid w:val="00745CB2"/>
    <w:rsid w:val="00745D6B"/>
    <w:rsid w:val="00745D8D"/>
    <w:rsid w:val="00745DC2"/>
    <w:rsid w:val="00745E80"/>
    <w:rsid w:val="00745F5A"/>
    <w:rsid w:val="00745F98"/>
    <w:rsid w:val="0074602C"/>
    <w:rsid w:val="007460A5"/>
    <w:rsid w:val="007460B9"/>
    <w:rsid w:val="0074617C"/>
    <w:rsid w:val="0074624D"/>
    <w:rsid w:val="00746313"/>
    <w:rsid w:val="007463C3"/>
    <w:rsid w:val="007464DA"/>
    <w:rsid w:val="0074652F"/>
    <w:rsid w:val="00746531"/>
    <w:rsid w:val="007467F7"/>
    <w:rsid w:val="00746896"/>
    <w:rsid w:val="0074693F"/>
    <w:rsid w:val="00746992"/>
    <w:rsid w:val="00746BD9"/>
    <w:rsid w:val="00746C23"/>
    <w:rsid w:val="00746C42"/>
    <w:rsid w:val="00746D15"/>
    <w:rsid w:val="00746D43"/>
    <w:rsid w:val="00746F32"/>
    <w:rsid w:val="0074705F"/>
    <w:rsid w:val="0074706D"/>
    <w:rsid w:val="0074727D"/>
    <w:rsid w:val="007472A8"/>
    <w:rsid w:val="007472BC"/>
    <w:rsid w:val="0074735F"/>
    <w:rsid w:val="00747374"/>
    <w:rsid w:val="007473BA"/>
    <w:rsid w:val="007473E9"/>
    <w:rsid w:val="0074750B"/>
    <w:rsid w:val="00747582"/>
    <w:rsid w:val="0074766C"/>
    <w:rsid w:val="007477A3"/>
    <w:rsid w:val="00747857"/>
    <w:rsid w:val="007478A2"/>
    <w:rsid w:val="00747A49"/>
    <w:rsid w:val="00747A53"/>
    <w:rsid w:val="00747AF3"/>
    <w:rsid w:val="00747C21"/>
    <w:rsid w:val="00747C51"/>
    <w:rsid w:val="00747C5C"/>
    <w:rsid w:val="00747EB9"/>
    <w:rsid w:val="00747EC1"/>
    <w:rsid w:val="00750084"/>
    <w:rsid w:val="00750129"/>
    <w:rsid w:val="00750234"/>
    <w:rsid w:val="00750284"/>
    <w:rsid w:val="00750355"/>
    <w:rsid w:val="00750357"/>
    <w:rsid w:val="007503E1"/>
    <w:rsid w:val="00750422"/>
    <w:rsid w:val="007504D9"/>
    <w:rsid w:val="0075062A"/>
    <w:rsid w:val="00750635"/>
    <w:rsid w:val="00750661"/>
    <w:rsid w:val="00750900"/>
    <w:rsid w:val="00750984"/>
    <w:rsid w:val="00750A19"/>
    <w:rsid w:val="00750AC7"/>
    <w:rsid w:val="00750AC9"/>
    <w:rsid w:val="00750ACA"/>
    <w:rsid w:val="00750B96"/>
    <w:rsid w:val="00750F5A"/>
    <w:rsid w:val="0075109C"/>
    <w:rsid w:val="00751342"/>
    <w:rsid w:val="007513F5"/>
    <w:rsid w:val="00751409"/>
    <w:rsid w:val="00751622"/>
    <w:rsid w:val="00751806"/>
    <w:rsid w:val="0075186C"/>
    <w:rsid w:val="007518D4"/>
    <w:rsid w:val="00751ABA"/>
    <w:rsid w:val="00751B6D"/>
    <w:rsid w:val="00751B96"/>
    <w:rsid w:val="00751BA5"/>
    <w:rsid w:val="00751D1B"/>
    <w:rsid w:val="00751D97"/>
    <w:rsid w:val="00751E13"/>
    <w:rsid w:val="00751EA7"/>
    <w:rsid w:val="00751EC6"/>
    <w:rsid w:val="00751FB7"/>
    <w:rsid w:val="00752069"/>
    <w:rsid w:val="0075207D"/>
    <w:rsid w:val="00752106"/>
    <w:rsid w:val="00752370"/>
    <w:rsid w:val="00752467"/>
    <w:rsid w:val="00752494"/>
    <w:rsid w:val="00752575"/>
    <w:rsid w:val="00752698"/>
    <w:rsid w:val="007529EF"/>
    <w:rsid w:val="00752A17"/>
    <w:rsid w:val="00752ABB"/>
    <w:rsid w:val="00752B0F"/>
    <w:rsid w:val="00752C50"/>
    <w:rsid w:val="00752D0B"/>
    <w:rsid w:val="00752FAD"/>
    <w:rsid w:val="00752FCD"/>
    <w:rsid w:val="007531DF"/>
    <w:rsid w:val="00753288"/>
    <w:rsid w:val="0075341A"/>
    <w:rsid w:val="0075349A"/>
    <w:rsid w:val="00753A4F"/>
    <w:rsid w:val="00753B56"/>
    <w:rsid w:val="00753BC2"/>
    <w:rsid w:val="00753C16"/>
    <w:rsid w:val="00753C71"/>
    <w:rsid w:val="00753C72"/>
    <w:rsid w:val="00753ED4"/>
    <w:rsid w:val="00753F11"/>
    <w:rsid w:val="00753F51"/>
    <w:rsid w:val="0075409C"/>
    <w:rsid w:val="007541A7"/>
    <w:rsid w:val="00754257"/>
    <w:rsid w:val="007542A9"/>
    <w:rsid w:val="00754311"/>
    <w:rsid w:val="00754363"/>
    <w:rsid w:val="00754544"/>
    <w:rsid w:val="00754558"/>
    <w:rsid w:val="00754585"/>
    <w:rsid w:val="0075469F"/>
    <w:rsid w:val="007546A5"/>
    <w:rsid w:val="007547E7"/>
    <w:rsid w:val="00754A95"/>
    <w:rsid w:val="00754B18"/>
    <w:rsid w:val="00754D5A"/>
    <w:rsid w:val="00754DAF"/>
    <w:rsid w:val="00754EAB"/>
    <w:rsid w:val="00755142"/>
    <w:rsid w:val="007552A1"/>
    <w:rsid w:val="0075530C"/>
    <w:rsid w:val="007553E4"/>
    <w:rsid w:val="00755476"/>
    <w:rsid w:val="0075578C"/>
    <w:rsid w:val="00755840"/>
    <w:rsid w:val="007558F6"/>
    <w:rsid w:val="00755924"/>
    <w:rsid w:val="00755AAC"/>
    <w:rsid w:val="00755C1A"/>
    <w:rsid w:val="00755D58"/>
    <w:rsid w:val="00755E9C"/>
    <w:rsid w:val="00755FE3"/>
    <w:rsid w:val="00756003"/>
    <w:rsid w:val="00756061"/>
    <w:rsid w:val="00756129"/>
    <w:rsid w:val="0075618E"/>
    <w:rsid w:val="0075657A"/>
    <w:rsid w:val="007565F6"/>
    <w:rsid w:val="00756609"/>
    <w:rsid w:val="0075694C"/>
    <w:rsid w:val="00756A2C"/>
    <w:rsid w:val="00756A9E"/>
    <w:rsid w:val="00756AFA"/>
    <w:rsid w:val="00756B31"/>
    <w:rsid w:val="00756B4D"/>
    <w:rsid w:val="00756BB7"/>
    <w:rsid w:val="00756BE2"/>
    <w:rsid w:val="00756C76"/>
    <w:rsid w:val="00756DA2"/>
    <w:rsid w:val="007570D6"/>
    <w:rsid w:val="007572E3"/>
    <w:rsid w:val="00757313"/>
    <w:rsid w:val="0075732F"/>
    <w:rsid w:val="007573AE"/>
    <w:rsid w:val="007574F8"/>
    <w:rsid w:val="007575CA"/>
    <w:rsid w:val="0075764B"/>
    <w:rsid w:val="00757654"/>
    <w:rsid w:val="007576B6"/>
    <w:rsid w:val="00757804"/>
    <w:rsid w:val="00757810"/>
    <w:rsid w:val="00757862"/>
    <w:rsid w:val="00757AAD"/>
    <w:rsid w:val="00757AE3"/>
    <w:rsid w:val="00757CF0"/>
    <w:rsid w:val="00757D07"/>
    <w:rsid w:val="00757D8F"/>
    <w:rsid w:val="00757D91"/>
    <w:rsid w:val="00757E71"/>
    <w:rsid w:val="00757EAB"/>
    <w:rsid w:val="00757F09"/>
    <w:rsid w:val="00757F5F"/>
    <w:rsid w:val="00757F7D"/>
    <w:rsid w:val="00757F96"/>
    <w:rsid w:val="00757FAA"/>
    <w:rsid w:val="00757FDE"/>
    <w:rsid w:val="0075CBE4"/>
    <w:rsid w:val="0076000E"/>
    <w:rsid w:val="00760102"/>
    <w:rsid w:val="00760340"/>
    <w:rsid w:val="007603A8"/>
    <w:rsid w:val="007604E2"/>
    <w:rsid w:val="00760521"/>
    <w:rsid w:val="00760805"/>
    <w:rsid w:val="007608E6"/>
    <w:rsid w:val="00760A59"/>
    <w:rsid w:val="00760AD7"/>
    <w:rsid w:val="00760C01"/>
    <w:rsid w:val="00760C4C"/>
    <w:rsid w:val="007611CB"/>
    <w:rsid w:val="007611D8"/>
    <w:rsid w:val="00761293"/>
    <w:rsid w:val="0076159F"/>
    <w:rsid w:val="00761607"/>
    <w:rsid w:val="0076161B"/>
    <w:rsid w:val="0076166D"/>
    <w:rsid w:val="007617F7"/>
    <w:rsid w:val="00761841"/>
    <w:rsid w:val="00761843"/>
    <w:rsid w:val="007618DB"/>
    <w:rsid w:val="007618EA"/>
    <w:rsid w:val="00761A2B"/>
    <w:rsid w:val="00761A52"/>
    <w:rsid w:val="00761A59"/>
    <w:rsid w:val="00761AC2"/>
    <w:rsid w:val="00761B4B"/>
    <w:rsid w:val="00761B68"/>
    <w:rsid w:val="00761BED"/>
    <w:rsid w:val="00761C27"/>
    <w:rsid w:val="00761D12"/>
    <w:rsid w:val="00761E78"/>
    <w:rsid w:val="00761FAD"/>
    <w:rsid w:val="00762057"/>
    <w:rsid w:val="0076208D"/>
    <w:rsid w:val="00762237"/>
    <w:rsid w:val="007625A7"/>
    <w:rsid w:val="0076270E"/>
    <w:rsid w:val="00762847"/>
    <w:rsid w:val="00762879"/>
    <w:rsid w:val="00762932"/>
    <w:rsid w:val="00762A16"/>
    <w:rsid w:val="00762AB5"/>
    <w:rsid w:val="00762ABD"/>
    <w:rsid w:val="00762C2C"/>
    <w:rsid w:val="00762CA6"/>
    <w:rsid w:val="00762D90"/>
    <w:rsid w:val="00762EDC"/>
    <w:rsid w:val="00762FCE"/>
    <w:rsid w:val="00763026"/>
    <w:rsid w:val="0076303D"/>
    <w:rsid w:val="00763082"/>
    <w:rsid w:val="00763219"/>
    <w:rsid w:val="0076327C"/>
    <w:rsid w:val="007632C6"/>
    <w:rsid w:val="00763768"/>
    <w:rsid w:val="007637AC"/>
    <w:rsid w:val="00763A09"/>
    <w:rsid w:val="00763BE9"/>
    <w:rsid w:val="00763D42"/>
    <w:rsid w:val="00763DD9"/>
    <w:rsid w:val="00763E89"/>
    <w:rsid w:val="0076404A"/>
    <w:rsid w:val="00764094"/>
    <w:rsid w:val="0076413C"/>
    <w:rsid w:val="00764269"/>
    <w:rsid w:val="007643C6"/>
    <w:rsid w:val="00764409"/>
    <w:rsid w:val="00764546"/>
    <w:rsid w:val="0076454B"/>
    <w:rsid w:val="0076459B"/>
    <w:rsid w:val="007645D6"/>
    <w:rsid w:val="007646EF"/>
    <w:rsid w:val="00764856"/>
    <w:rsid w:val="00764894"/>
    <w:rsid w:val="0076495E"/>
    <w:rsid w:val="00764A73"/>
    <w:rsid w:val="00764AEC"/>
    <w:rsid w:val="00764B8D"/>
    <w:rsid w:val="00764BC7"/>
    <w:rsid w:val="00764C71"/>
    <w:rsid w:val="00764CF4"/>
    <w:rsid w:val="00764D26"/>
    <w:rsid w:val="00764D52"/>
    <w:rsid w:val="00764DF9"/>
    <w:rsid w:val="00764E36"/>
    <w:rsid w:val="00764EEA"/>
    <w:rsid w:val="00764F8B"/>
    <w:rsid w:val="00765024"/>
    <w:rsid w:val="00765038"/>
    <w:rsid w:val="007650D2"/>
    <w:rsid w:val="007651A5"/>
    <w:rsid w:val="00765382"/>
    <w:rsid w:val="007654F8"/>
    <w:rsid w:val="00765607"/>
    <w:rsid w:val="00765856"/>
    <w:rsid w:val="00765920"/>
    <w:rsid w:val="00765B0B"/>
    <w:rsid w:val="00765B88"/>
    <w:rsid w:val="00765C96"/>
    <w:rsid w:val="007660D2"/>
    <w:rsid w:val="007661F5"/>
    <w:rsid w:val="00766275"/>
    <w:rsid w:val="007662F8"/>
    <w:rsid w:val="00766471"/>
    <w:rsid w:val="007666A6"/>
    <w:rsid w:val="00766758"/>
    <w:rsid w:val="0076686E"/>
    <w:rsid w:val="0076689D"/>
    <w:rsid w:val="007669C1"/>
    <w:rsid w:val="00766BBA"/>
    <w:rsid w:val="00766C24"/>
    <w:rsid w:val="00766E29"/>
    <w:rsid w:val="00766FEA"/>
    <w:rsid w:val="00767061"/>
    <w:rsid w:val="0076715D"/>
    <w:rsid w:val="0076721D"/>
    <w:rsid w:val="0076736E"/>
    <w:rsid w:val="00767372"/>
    <w:rsid w:val="0076737E"/>
    <w:rsid w:val="0076741F"/>
    <w:rsid w:val="00767503"/>
    <w:rsid w:val="0076750F"/>
    <w:rsid w:val="007675D4"/>
    <w:rsid w:val="0076760F"/>
    <w:rsid w:val="0076768B"/>
    <w:rsid w:val="007676EA"/>
    <w:rsid w:val="0076773D"/>
    <w:rsid w:val="00767783"/>
    <w:rsid w:val="007679A2"/>
    <w:rsid w:val="007679BE"/>
    <w:rsid w:val="00767C04"/>
    <w:rsid w:val="00767C9C"/>
    <w:rsid w:val="00767DC6"/>
    <w:rsid w:val="00767E7E"/>
    <w:rsid w:val="00767F3E"/>
    <w:rsid w:val="00768545"/>
    <w:rsid w:val="00770056"/>
    <w:rsid w:val="00770135"/>
    <w:rsid w:val="007702C0"/>
    <w:rsid w:val="00770478"/>
    <w:rsid w:val="00770797"/>
    <w:rsid w:val="0077096A"/>
    <w:rsid w:val="00770A1D"/>
    <w:rsid w:val="00770B05"/>
    <w:rsid w:val="00770B83"/>
    <w:rsid w:val="00770C1A"/>
    <w:rsid w:val="00770C46"/>
    <w:rsid w:val="00770F4B"/>
    <w:rsid w:val="00770FE3"/>
    <w:rsid w:val="0077107B"/>
    <w:rsid w:val="00771095"/>
    <w:rsid w:val="0077129C"/>
    <w:rsid w:val="007712FE"/>
    <w:rsid w:val="007713FA"/>
    <w:rsid w:val="0077146B"/>
    <w:rsid w:val="00771557"/>
    <w:rsid w:val="00771662"/>
    <w:rsid w:val="00771669"/>
    <w:rsid w:val="00771717"/>
    <w:rsid w:val="0077186F"/>
    <w:rsid w:val="00771949"/>
    <w:rsid w:val="007719F2"/>
    <w:rsid w:val="00771A04"/>
    <w:rsid w:val="00771AB4"/>
    <w:rsid w:val="00771B22"/>
    <w:rsid w:val="00771BA1"/>
    <w:rsid w:val="00771BC9"/>
    <w:rsid w:val="00771C6B"/>
    <w:rsid w:val="00771DB4"/>
    <w:rsid w:val="00771E2A"/>
    <w:rsid w:val="00771EAC"/>
    <w:rsid w:val="00771F84"/>
    <w:rsid w:val="00771F89"/>
    <w:rsid w:val="00771F90"/>
    <w:rsid w:val="00771FCB"/>
    <w:rsid w:val="0077227C"/>
    <w:rsid w:val="0077228D"/>
    <w:rsid w:val="007723FB"/>
    <w:rsid w:val="00772482"/>
    <w:rsid w:val="007724DB"/>
    <w:rsid w:val="007725CF"/>
    <w:rsid w:val="0077267F"/>
    <w:rsid w:val="00772789"/>
    <w:rsid w:val="0077282F"/>
    <w:rsid w:val="00772854"/>
    <w:rsid w:val="00772C6C"/>
    <w:rsid w:val="00772CBA"/>
    <w:rsid w:val="00772D72"/>
    <w:rsid w:val="00772F9C"/>
    <w:rsid w:val="0077311F"/>
    <w:rsid w:val="007732C2"/>
    <w:rsid w:val="007732F2"/>
    <w:rsid w:val="00773347"/>
    <w:rsid w:val="007735D5"/>
    <w:rsid w:val="00773624"/>
    <w:rsid w:val="00773637"/>
    <w:rsid w:val="007736A2"/>
    <w:rsid w:val="007736B9"/>
    <w:rsid w:val="007736F7"/>
    <w:rsid w:val="00773DB5"/>
    <w:rsid w:val="00773DC0"/>
    <w:rsid w:val="00773DC8"/>
    <w:rsid w:val="00773F04"/>
    <w:rsid w:val="00773F1A"/>
    <w:rsid w:val="00773FCF"/>
    <w:rsid w:val="00774336"/>
    <w:rsid w:val="00774538"/>
    <w:rsid w:val="00774574"/>
    <w:rsid w:val="0077474C"/>
    <w:rsid w:val="007747C0"/>
    <w:rsid w:val="0077497D"/>
    <w:rsid w:val="00774B2E"/>
    <w:rsid w:val="00774B68"/>
    <w:rsid w:val="00774C46"/>
    <w:rsid w:val="00774CD5"/>
    <w:rsid w:val="00774CFC"/>
    <w:rsid w:val="00774D98"/>
    <w:rsid w:val="00774DE6"/>
    <w:rsid w:val="00774EA7"/>
    <w:rsid w:val="00774EAB"/>
    <w:rsid w:val="007750A8"/>
    <w:rsid w:val="007750C9"/>
    <w:rsid w:val="007750ED"/>
    <w:rsid w:val="0077514B"/>
    <w:rsid w:val="00775237"/>
    <w:rsid w:val="00775284"/>
    <w:rsid w:val="00775309"/>
    <w:rsid w:val="007753A7"/>
    <w:rsid w:val="007754E1"/>
    <w:rsid w:val="00775596"/>
    <w:rsid w:val="007755E9"/>
    <w:rsid w:val="0077563E"/>
    <w:rsid w:val="00775756"/>
    <w:rsid w:val="007757E8"/>
    <w:rsid w:val="007758B5"/>
    <w:rsid w:val="00775A06"/>
    <w:rsid w:val="00775BB5"/>
    <w:rsid w:val="00775C06"/>
    <w:rsid w:val="00775DF5"/>
    <w:rsid w:val="00775E93"/>
    <w:rsid w:val="00775E98"/>
    <w:rsid w:val="00775F41"/>
    <w:rsid w:val="00775F8D"/>
    <w:rsid w:val="00776046"/>
    <w:rsid w:val="00776048"/>
    <w:rsid w:val="00776076"/>
    <w:rsid w:val="0077611A"/>
    <w:rsid w:val="0077622C"/>
    <w:rsid w:val="007762E7"/>
    <w:rsid w:val="007763A2"/>
    <w:rsid w:val="007763F0"/>
    <w:rsid w:val="007764F4"/>
    <w:rsid w:val="00776503"/>
    <w:rsid w:val="007766C2"/>
    <w:rsid w:val="00776748"/>
    <w:rsid w:val="007767B6"/>
    <w:rsid w:val="0077680D"/>
    <w:rsid w:val="0077682A"/>
    <w:rsid w:val="00776830"/>
    <w:rsid w:val="00776889"/>
    <w:rsid w:val="007769D3"/>
    <w:rsid w:val="00776B68"/>
    <w:rsid w:val="00776C04"/>
    <w:rsid w:val="00776CB8"/>
    <w:rsid w:val="00776D02"/>
    <w:rsid w:val="00776E08"/>
    <w:rsid w:val="00776F80"/>
    <w:rsid w:val="00777081"/>
    <w:rsid w:val="007770A6"/>
    <w:rsid w:val="0077711C"/>
    <w:rsid w:val="0077741C"/>
    <w:rsid w:val="00777434"/>
    <w:rsid w:val="0077751E"/>
    <w:rsid w:val="007775CC"/>
    <w:rsid w:val="007779A0"/>
    <w:rsid w:val="00777A98"/>
    <w:rsid w:val="00777AFA"/>
    <w:rsid w:val="00777BA2"/>
    <w:rsid w:val="00777DD7"/>
    <w:rsid w:val="00777EAF"/>
    <w:rsid w:val="00777EEE"/>
    <w:rsid w:val="00777FBD"/>
    <w:rsid w:val="00780047"/>
    <w:rsid w:val="007802C7"/>
    <w:rsid w:val="007802CA"/>
    <w:rsid w:val="0078044E"/>
    <w:rsid w:val="007804FF"/>
    <w:rsid w:val="007806F4"/>
    <w:rsid w:val="007807AB"/>
    <w:rsid w:val="007807E8"/>
    <w:rsid w:val="00780941"/>
    <w:rsid w:val="00780FA0"/>
    <w:rsid w:val="00780FEC"/>
    <w:rsid w:val="00781014"/>
    <w:rsid w:val="00781015"/>
    <w:rsid w:val="007810F4"/>
    <w:rsid w:val="00781109"/>
    <w:rsid w:val="0078123E"/>
    <w:rsid w:val="007812C7"/>
    <w:rsid w:val="007813B7"/>
    <w:rsid w:val="00781400"/>
    <w:rsid w:val="00781467"/>
    <w:rsid w:val="007814BA"/>
    <w:rsid w:val="00781644"/>
    <w:rsid w:val="00781662"/>
    <w:rsid w:val="007816E3"/>
    <w:rsid w:val="00781807"/>
    <w:rsid w:val="007818AC"/>
    <w:rsid w:val="00781D79"/>
    <w:rsid w:val="00781F0A"/>
    <w:rsid w:val="00781F80"/>
    <w:rsid w:val="00781FF2"/>
    <w:rsid w:val="007820A2"/>
    <w:rsid w:val="0078217B"/>
    <w:rsid w:val="007821CB"/>
    <w:rsid w:val="0078229D"/>
    <w:rsid w:val="0078231B"/>
    <w:rsid w:val="0078238C"/>
    <w:rsid w:val="0078267C"/>
    <w:rsid w:val="007826DD"/>
    <w:rsid w:val="007826E9"/>
    <w:rsid w:val="0078285E"/>
    <w:rsid w:val="00782891"/>
    <w:rsid w:val="007828B2"/>
    <w:rsid w:val="00782938"/>
    <w:rsid w:val="00782B6F"/>
    <w:rsid w:val="00782B8D"/>
    <w:rsid w:val="00782C98"/>
    <w:rsid w:val="00782CCC"/>
    <w:rsid w:val="00782D69"/>
    <w:rsid w:val="00783092"/>
    <w:rsid w:val="007831A7"/>
    <w:rsid w:val="007831F9"/>
    <w:rsid w:val="00783236"/>
    <w:rsid w:val="007832DA"/>
    <w:rsid w:val="00783354"/>
    <w:rsid w:val="007833A3"/>
    <w:rsid w:val="00783418"/>
    <w:rsid w:val="007834A1"/>
    <w:rsid w:val="007834C8"/>
    <w:rsid w:val="007836A2"/>
    <w:rsid w:val="007837B5"/>
    <w:rsid w:val="007837E0"/>
    <w:rsid w:val="00783820"/>
    <w:rsid w:val="00783A79"/>
    <w:rsid w:val="00783AC0"/>
    <w:rsid w:val="00783CBD"/>
    <w:rsid w:val="00783EB3"/>
    <w:rsid w:val="00783EE3"/>
    <w:rsid w:val="00784053"/>
    <w:rsid w:val="007840C6"/>
    <w:rsid w:val="007840D8"/>
    <w:rsid w:val="00784151"/>
    <w:rsid w:val="00784384"/>
    <w:rsid w:val="007843EF"/>
    <w:rsid w:val="0078446E"/>
    <w:rsid w:val="00784561"/>
    <w:rsid w:val="007845AD"/>
    <w:rsid w:val="00784853"/>
    <w:rsid w:val="007848A8"/>
    <w:rsid w:val="007849D5"/>
    <w:rsid w:val="007849E7"/>
    <w:rsid w:val="007849FE"/>
    <w:rsid w:val="00784B62"/>
    <w:rsid w:val="00784DC2"/>
    <w:rsid w:val="00784E65"/>
    <w:rsid w:val="00784E93"/>
    <w:rsid w:val="00784F7D"/>
    <w:rsid w:val="00784FED"/>
    <w:rsid w:val="007852D8"/>
    <w:rsid w:val="00785554"/>
    <w:rsid w:val="00785847"/>
    <w:rsid w:val="00785939"/>
    <w:rsid w:val="00785A4B"/>
    <w:rsid w:val="00785AD0"/>
    <w:rsid w:val="00785B98"/>
    <w:rsid w:val="00785D6F"/>
    <w:rsid w:val="00785DA7"/>
    <w:rsid w:val="00785DFC"/>
    <w:rsid w:val="00786124"/>
    <w:rsid w:val="0078614F"/>
    <w:rsid w:val="00786170"/>
    <w:rsid w:val="00786202"/>
    <w:rsid w:val="007863F1"/>
    <w:rsid w:val="0078661E"/>
    <w:rsid w:val="007867B4"/>
    <w:rsid w:val="0078681B"/>
    <w:rsid w:val="00786849"/>
    <w:rsid w:val="0078687D"/>
    <w:rsid w:val="00786916"/>
    <w:rsid w:val="00786A08"/>
    <w:rsid w:val="00786A10"/>
    <w:rsid w:val="00786A19"/>
    <w:rsid w:val="00786B5B"/>
    <w:rsid w:val="00786BA5"/>
    <w:rsid w:val="00786BA7"/>
    <w:rsid w:val="00786C08"/>
    <w:rsid w:val="00786C22"/>
    <w:rsid w:val="00786C8F"/>
    <w:rsid w:val="00786CD7"/>
    <w:rsid w:val="00786CE7"/>
    <w:rsid w:val="00786CEB"/>
    <w:rsid w:val="00786D1F"/>
    <w:rsid w:val="00786E09"/>
    <w:rsid w:val="00786E76"/>
    <w:rsid w:val="00786F53"/>
    <w:rsid w:val="00786F89"/>
    <w:rsid w:val="00786FDA"/>
    <w:rsid w:val="00787057"/>
    <w:rsid w:val="007870C0"/>
    <w:rsid w:val="00787158"/>
    <w:rsid w:val="007871DE"/>
    <w:rsid w:val="00787272"/>
    <w:rsid w:val="007873C3"/>
    <w:rsid w:val="007873F5"/>
    <w:rsid w:val="00787425"/>
    <w:rsid w:val="007876AB"/>
    <w:rsid w:val="007876E2"/>
    <w:rsid w:val="00787727"/>
    <w:rsid w:val="00787861"/>
    <w:rsid w:val="00787887"/>
    <w:rsid w:val="007878E9"/>
    <w:rsid w:val="00787909"/>
    <w:rsid w:val="00787B08"/>
    <w:rsid w:val="00787C6C"/>
    <w:rsid w:val="00787CAF"/>
    <w:rsid w:val="00787D5C"/>
    <w:rsid w:val="00787DFD"/>
    <w:rsid w:val="00787E90"/>
    <w:rsid w:val="00787EA0"/>
    <w:rsid w:val="00790001"/>
    <w:rsid w:val="00790078"/>
    <w:rsid w:val="00790091"/>
    <w:rsid w:val="007902B8"/>
    <w:rsid w:val="007906C4"/>
    <w:rsid w:val="007906F5"/>
    <w:rsid w:val="00790848"/>
    <w:rsid w:val="007908A9"/>
    <w:rsid w:val="007908F0"/>
    <w:rsid w:val="00790942"/>
    <w:rsid w:val="00790A4B"/>
    <w:rsid w:val="00790AF1"/>
    <w:rsid w:val="00790B1A"/>
    <w:rsid w:val="00790C8F"/>
    <w:rsid w:val="00790D55"/>
    <w:rsid w:val="00790EAA"/>
    <w:rsid w:val="00790EB2"/>
    <w:rsid w:val="00790ED2"/>
    <w:rsid w:val="00790F3A"/>
    <w:rsid w:val="00790F59"/>
    <w:rsid w:val="00790F8A"/>
    <w:rsid w:val="007911AF"/>
    <w:rsid w:val="00791266"/>
    <w:rsid w:val="007912A8"/>
    <w:rsid w:val="0079142A"/>
    <w:rsid w:val="00791467"/>
    <w:rsid w:val="0079150C"/>
    <w:rsid w:val="00791556"/>
    <w:rsid w:val="0079156B"/>
    <w:rsid w:val="0079159F"/>
    <w:rsid w:val="007917C1"/>
    <w:rsid w:val="00791908"/>
    <w:rsid w:val="00791971"/>
    <w:rsid w:val="00791A7E"/>
    <w:rsid w:val="00791B2A"/>
    <w:rsid w:val="00791CBF"/>
    <w:rsid w:val="00791D85"/>
    <w:rsid w:val="00791DBD"/>
    <w:rsid w:val="00791DE8"/>
    <w:rsid w:val="00791E14"/>
    <w:rsid w:val="00791E93"/>
    <w:rsid w:val="00791F14"/>
    <w:rsid w:val="00792032"/>
    <w:rsid w:val="00792127"/>
    <w:rsid w:val="00792246"/>
    <w:rsid w:val="00792283"/>
    <w:rsid w:val="007925A4"/>
    <w:rsid w:val="007925FC"/>
    <w:rsid w:val="00792663"/>
    <w:rsid w:val="0079266D"/>
    <w:rsid w:val="00792682"/>
    <w:rsid w:val="007926A0"/>
    <w:rsid w:val="007927C8"/>
    <w:rsid w:val="00792923"/>
    <w:rsid w:val="007929AF"/>
    <w:rsid w:val="007929EF"/>
    <w:rsid w:val="00792AF2"/>
    <w:rsid w:val="00792B93"/>
    <w:rsid w:val="00792C8D"/>
    <w:rsid w:val="0079315A"/>
    <w:rsid w:val="00793229"/>
    <w:rsid w:val="00793236"/>
    <w:rsid w:val="0079329D"/>
    <w:rsid w:val="007934B4"/>
    <w:rsid w:val="00793511"/>
    <w:rsid w:val="007935EB"/>
    <w:rsid w:val="0079361D"/>
    <w:rsid w:val="00793667"/>
    <w:rsid w:val="007938C0"/>
    <w:rsid w:val="007938EC"/>
    <w:rsid w:val="007939D8"/>
    <w:rsid w:val="00793A35"/>
    <w:rsid w:val="00793A64"/>
    <w:rsid w:val="00793A7C"/>
    <w:rsid w:val="00793B08"/>
    <w:rsid w:val="00793BAE"/>
    <w:rsid w:val="00793BBA"/>
    <w:rsid w:val="00793C8F"/>
    <w:rsid w:val="00793DFA"/>
    <w:rsid w:val="00793EFA"/>
    <w:rsid w:val="00793F4A"/>
    <w:rsid w:val="007941B6"/>
    <w:rsid w:val="007941F1"/>
    <w:rsid w:val="00794378"/>
    <w:rsid w:val="007944B5"/>
    <w:rsid w:val="007946C6"/>
    <w:rsid w:val="007947CA"/>
    <w:rsid w:val="0079486E"/>
    <w:rsid w:val="00794875"/>
    <w:rsid w:val="007949D5"/>
    <w:rsid w:val="00794B0E"/>
    <w:rsid w:val="00794B4A"/>
    <w:rsid w:val="00794BEC"/>
    <w:rsid w:val="00794C5B"/>
    <w:rsid w:val="00794C99"/>
    <w:rsid w:val="00794CD9"/>
    <w:rsid w:val="00794D5B"/>
    <w:rsid w:val="00794D61"/>
    <w:rsid w:val="00794EE5"/>
    <w:rsid w:val="0079517D"/>
    <w:rsid w:val="007951EB"/>
    <w:rsid w:val="00795265"/>
    <w:rsid w:val="007952EB"/>
    <w:rsid w:val="00795363"/>
    <w:rsid w:val="007953C0"/>
    <w:rsid w:val="0079549D"/>
    <w:rsid w:val="007955A2"/>
    <w:rsid w:val="00795AC2"/>
    <w:rsid w:val="00795B41"/>
    <w:rsid w:val="00795CB4"/>
    <w:rsid w:val="00795D3C"/>
    <w:rsid w:val="00795E38"/>
    <w:rsid w:val="00795E48"/>
    <w:rsid w:val="00795FD4"/>
    <w:rsid w:val="007961BE"/>
    <w:rsid w:val="0079621E"/>
    <w:rsid w:val="0079624B"/>
    <w:rsid w:val="007962EA"/>
    <w:rsid w:val="00796303"/>
    <w:rsid w:val="00796312"/>
    <w:rsid w:val="007963EC"/>
    <w:rsid w:val="00796501"/>
    <w:rsid w:val="00796517"/>
    <w:rsid w:val="00796AAB"/>
    <w:rsid w:val="00796C3F"/>
    <w:rsid w:val="00796C95"/>
    <w:rsid w:val="00796F92"/>
    <w:rsid w:val="00797066"/>
    <w:rsid w:val="007970DD"/>
    <w:rsid w:val="007971AA"/>
    <w:rsid w:val="007972A3"/>
    <w:rsid w:val="00797301"/>
    <w:rsid w:val="00797532"/>
    <w:rsid w:val="00797628"/>
    <w:rsid w:val="007976DE"/>
    <w:rsid w:val="0079773A"/>
    <w:rsid w:val="00797742"/>
    <w:rsid w:val="007977E6"/>
    <w:rsid w:val="00797820"/>
    <w:rsid w:val="00797834"/>
    <w:rsid w:val="0079784F"/>
    <w:rsid w:val="00797A81"/>
    <w:rsid w:val="00797B62"/>
    <w:rsid w:val="00797B78"/>
    <w:rsid w:val="00797BE8"/>
    <w:rsid w:val="00797C13"/>
    <w:rsid w:val="00797C87"/>
    <w:rsid w:val="00797D43"/>
    <w:rsid w:val="00797F56"/>
    <w:rsid w:val="00797F85"/>
    <w:rsid w:val="007A0012"/>
    <w:rsid w:val="007A00FD"/>
    <w:rsid w:val="007A0192"/>
    <w:rsid w:val="007A0243"/>
    <w:rsid w:val="007A02C8"/>
    <w:rsid w:val="007A0300"/>
    <w:rsid w:val="007A0395"/>
    <w:rsid w:val="007A0425"/>
    <w:rsid w:val="007A056C"/>
    <w:rsid w:val="007A061A"/>
    <w:rsid w:val="007A06DF"/>
    <w:rsid w:val="007A0722"/>
    <w:rsid w:val="007A072C"/>
    <w:rsid w:val="007A074A"/>
    <w:rsid w:val="007A07B5"/>
    <w:rsid w:val="007A08B2"/>
    <w:rsid w:val="007A08CB"/>
    <w:rsid w:val="007A0C0C"/>
    <w:rsid w:val="007A0C13"/>
    <w:rsid w:val="007A0CD3"/>
    <w:rsid w:val="007A0D89"/>
    <w:rsid w:val="007A0F55"/>
    <w:rsid w:val="007A0FC2"/>
    <w:rsid w:val="007A13E2"/>
    <w:rsid w:val="007A13EC"/>
    <w:rsid w:val="007A1402"/>
    <w:rsid w:val="007A142A"/>
    <w:rsid w:val="007A1460"/>
    <w:rsid w:val="007A1501"/>
    <w:rsid w:val="007A1562"/>
    <w:rsid w:val="007A164D"/>
    <w:rsid w:val="007A1652"/>
    <w:rsid w:val="007A17B7"/>
    <w:rsid w:val="007A190A"/>
    <w:rsid w:val="007A193E"/>
    <w:rsid w:val="007A1957"/>
    <w:rsid w:val="007A1A60"/>
    <w:rsid w:val="007A1AB7"/>
    <w:rsid w:val="007A1C36"/>
    <w:rsid w:val="007A1DA3"/>
    <w:rsid w:val="007A1FA9"/>
    <w:rsid w:val="007A1FF6"/>
    <w:rsid w:val="007A20D9"/>
    <w:rsid w:val="007A213E"/>
    <w:rsid w:val="007A2213"/>
    <w:rsid w:val="007A2215"/>
    <w:rsid w:val="007A2335"/>
    <w:rsid w:val="007A2474"/>
    <w:rsid w:val="007A24FF"/>
    <w:rsid w:val="007A2607"/>
    <w:rsid w:val="007A2683"/>
    <w:rsid w:val="007A29B4"/>
    <w:rsid w:val="007A29C9"/>
    <w:rsid w:val="007A2A7D"/>
    <w:rsid w:val="007A2BF0"/>
    <w:rsid w:val="007A2E57"/>
    <w:rsid w:val="007A2F76"/>
    <w:rsid w:val="007A2F9A"/>
    <w:rsid w:val="007A2F9D"/>
    <w:rsid w:val="007A2FCF"/>
    <w:rsid w:val="007A3035"/>
    <w:rsid w:val="007A30BF"/>
    <w:rsid w:val="007A331D"/>
    <w:rsid w:val="007A341E"/>
    <w:rsid w:val="007A349A"/>
    <w:rsid w:val="007A34E0"/>
    <w:rsid w:val="007A3545"/>
    <w:rsid w:val="007A3556"/>
    <w:rsid w:val="007A36F4"/>
    <w:rsid w:val="007A3705"/>
    <w:rsid w:val="007A3832"/>
    <w:rsid w:val="007A386A"/>
    <w:rsid w:val="007A397E"/>
    <w:rsid w:val="007A3A88"/>
    <w:rsid w:val="007A3E78"/>
    <w:rsid w:val="007A3EB3"/>
    <w:rsid w:val="007A3EBE"/>
    <w:rsid w:val="007A3F3C"/>
    <w:rsid w:val="007A43DF"/>
    <w:rsid w:val="007A4410"/>
    <w:rsid w:val="007A45B6"/>
    <w:rsid w:val="007A4655"/>
    <w:rsid w:val="007A471A"/>
    <w:rsid w:val="007A482C"/>
    <w:rsid w:val="007A4912"/>
    <w:rsid w:val="007A49A9"/>
    <w:rsid w:val="007A4C68"/>
    <w:rsid w:val="007A4CCF"/>
    <w:rsid w:val="007A4D35"/>
    <w:rsid w:val="007A4DB3"/>
    <w:rsid w:val="007A4E44"/>
    <w:rsid w:val="007A5068"/>
    <w:rsid w:val="007A5133"/>
    <w:rsid w:val="007A5166"/>
    <w:rsid w:val="007A51DD"/>
    <w:rsid w:val="007A5384"/>
    <w:rsid w:val="007A5532"/>
    <w:rsid w:val="007A56A5"/>
    <w:rsid w:val="007A57C1"/>
    <w:rsid w:val="007A588D"/>
    <w:rsid w:val="007A58D1"/>
    <w:rsid w:val="007A5A8C"/>
    <w:rsid w:val="007A5C4E"/>
    <w:rsid w:val="007A5D71"/>
    <w:rsid w:val="007A5D8E"/>
    <w:rsid w:val="007A5F63"/>
    <w:rsid w:val="007A615E"/>
    <w:rsid w:val="007A61D3"/>
    <w:rsid w:val="007A6226"/>
    <w:rsid w:val="007A62C3"/>
    <w:rsid w:val="007A636C"/>
    <w:rsid w:val="007A63C1"/>
    <w:rsid w:val="007A64E0"/>
    <w:rsid w:val="007A6527"/>
    <w:rsid w:val="007A665D"/>
    <w:rsid w:val="007A673C"/>
    <w:rsid w:val="007A67A4"/>
    <w:rsid w:val="007A67B4"/>
    <w:rsid w:val="007A67E4"/>
    <w:rsid w:val="007A697D"/>
    <w:rsid w:val="007A6AF8"/>
    <w:rsid w:val="007A6CD6"/>
    <w:rsid w:val="007A6CF1"/>
    <w:rsid w:val="007A6E80"/>
    <w:rsid w:val="007A6EC4"/>
    <w:rsid w:val="007A6F3D"/>
    <w:rsid w:val="007A6FA9"/>
    <w:rsid w:val="007A716C"/>
    <w:rsid w:val="007A719E"/>
    <w:rsid w:val="007A71E5"/>
    <w:rsid w:val="007A7296"/>
    <w:rsid w:val="007A7394"/>
    <w:rsid w:val="007A73C0"/>
    <w:rsid w:val="007A740F"/>
    <w:rsid w:val="007A745D"/>
    <w:rsid w:val="007A74A1"/>
    <w:rsid w:val="007A74A9"/>
    <w:rsid w:val="007A75FF"/>
    <w:rsid w:val="007A7661"/>
    <w:rsid w:val="007A783F"/>
    <w:rsid w:val="007A7998"/>
    <w:rsid w:val="007A79A6"/>
    <w:rsid w:val="007A7B24"/>
    <w:rsid w:val="007A7B98"/>
    <w:rsid w:val="007A7C7F"/>
    <w:rsid w:val="007A7DF3"/>
    <w:rsid w:val="007B0077"/>
    <w:rsid w:val="007B021D"/>
    <w:rsid w:val="007B0242"/>
    <w:rsid w:val="007B034C"/>
    <w:rsid w:val="007B04E2"/>
    <w:rsid w:val="007B05AB"/>
    <w:rsid w:val="007B05E7"/>
    <w:rsid w:val="007B07DA"/>
    <w:rsid w:val="007B09EF"/>
    <w:rsid w:val="007B0ABE"/>
    <w:rsid w:val="007B0B9D"/>
    <w:rsid w:val="007B0C16"/>
    <w:rsid w:val="007B0D8E"/>
    <w:rsid w:val="007B0DCE"/>
    <w:rsid w:val="007B0F0D"/>
    <w:rsid w:val="007B0F17"/>
    <w:rsid w:val="007B0FC5"/>
    <w:rsid w:val="007B103F"/>
    <w:rsid w:val="007B1139"/>
    <w:rsid w:val="007B12B7"/>
    <w:rsid w:val="007B1373"/>
    <w:rsid w:val="007B1635"/>
    <w:rsid w:val="007B16BA"/>
    <w:rsid w:val="007B1720"/>
    <w:rsid w:val="007B1755"/>
    <w:rsid w:val="007B195B"/>
    <w:rsid w:val="007B195F"/>
    <w:rsid w:val="007B1B02"/>
    <w:rsid w:val="007B1C31"/>
    <w:rsid w:val="007B1D02"/>
    <w:rsid w:val="007B1E4A"/>
    <w:rsid w:val="007B1FDC"/>
    <w:rsid w:val="007B2031"/>
    <w:rsid w:val="007B21E0"/>
    <w:rsid w:val="007B21F0"/>
    <w:rsid w:val="007B2263"/>
    <w:rsid w:val="007B247A"/>
    <w:rsid w:val="007B2485"/>
    <w:rsid w:val="007B25E2"/>
    <w:rsid w:val="007B25F7"/>
    <w:rsid w:val="007B2716"/>
    <w:rsid w:val="007B290D"/>
    <w:rsid w:val="007B292F"/>
    <w:rsid w:val="007B293E"/>
    <w:rsid w:val="007B2998"/>
    <w:rsid w:val="007B299B"/>
    <w:rsid w:val="007B29A2"/>
    <w:rsid w:val="007B2AD1"/>
    <w:rsid w:val="007B2BB6"/>
    <w:rsid w:val="007B2C12"/>
    <w:rsid w:val="007B2CBC"/>
    <w:rsid w:val="007B2CF8"/>
    <w:rsid w:val="007B2D01"/>
    <w:rsid w:val="007B2DC4"/>
    <w:rsid w:val="007B2F65"/>
    <w:rsid w:val="007B2FB6"/>
    <w:rsid w:val="007B3028"/>
    <w:rsid w:val="007B31A7"/>
    <w:rsid w:val="007B3345"/>
    <w:rsid w:val="007B339A"/>
    <w:rsid w:val="007B3523"/>
    <w:rsid w:val="007B35E1"/>
    <w:rsid w:val="007B3631"/>
    <w:rsid w:val="007B3671"/>
    <w:rsid w:val="007B3678"/>
    <w:rsid w:val="007B3679"/>
    <w:rsid w:val="007B36CD"/>
    <w:rsid w:val="007B3757"/>
    <w:rsid w:val="007B3800"/>
    <w:rsid w:val="007B3966"/>
    <w:rsid w:val="007B39A7"/>
    <w:rsid w:val="007B39A9"/>
    <w:rsid w:val="007B3B2C"/>
    <w:rsid w:val="007B3BBF"/>
    <w:rsid w:val="007B3C55"/>
    <w:rsid w:val="007B3C61"/>
    <w:rsid w:val="007B3D72"/>
    <w:rsid w:val="007B3DAC"/>
    <w:rsid w:val="007B3DEF"/>
    <w:rsid w:val="007B3DF6"/>
    <w:rsid w:val="007B3DFB"/>
    <w:rsid w:val="007B3EAD"/>
    <w:rsid w:val="007B3F67"/>
    <w:rsid w:val="007B3FEE"/>
    <w:rsid w:val="007B40DA"/>
    <w:rsid w:val="007B42AD"/>
    <w:rsid w:val="007B4305"/>
    <w:rsid w:val="007B437D"/>
    <w:rsid w:val="007B45D2"/>
    <w:rsid w:val="007B469E"/>
    <w:rsid w:val="007B4A16"/>
    <w:rsid w:val="007B4B44"/>
    <w:rsid w:val="007B4B9C"/>
    <w:rsid w:val="007B4D32"/>
    <w:rsid w:val="007B4D76"/>
    <w:rsid w:val="007B4DF7"/>
    <w:rsid w:val="007B4E0B"/>
    <w:rsid w:val="007B4F1D"/>
    <w:rsid w:val="007B4FBB"/>
    <w:rsid w:val="007B4FDE"/>
    <w:rsid w:val="007B4FED"/>
    <w:rsid w:val="007B51C4"/>
    <w:rsid w:val="007B527F"/>
    <w:rsid w:val="007B52C2"/>
    <w:rsid w:val="007B540E"/>
    <w:rsid w:val="007B541E"/>
    <w:rsid w:val="007B54FC"/>
    <w:rsid w:val="007B5529"/>
    <w:rsid w:val="007B55E7"/>
    <w:rsid w:val="007B561E"/>
    <w:rsid w:val="007B570F"/>
    <w:rsid w:val="007B573F"/>
    <w:rsid w:val="007B575E"/>
    <w:rsid w:val="007B57C9"/>
    <w:rsid w:val="007B58BF"/>
    <w:rsid w:val="007B5C35"/>
    <w:rsid w:val="007B5DD7"/>
    <w:rsid w:val="007B5F5D"/>
    <w:rsid w:val="007B6075"/>
    <w:rsid w:val="007B6183"/>
    <w:rsid w:val="007B61BA"/>
    <w:rsid w:val="007B63C3"/>
    <w:rsid w:val="007B641D"/>
    <w:rsid w:val="007B6435"/>
    <w:rsid w:val="007B645D"/>
    <w:rsid w:val="007B64AA"/>
    <w:rsid w:val="007B64B1"/>
    <w:rsid w:val="007B659B"/>
    <w:rsid w:val="007B65A9"/>
    <w:rsid w:val="007B660D"/>
    <w:rsid w:val="007B6625"/>
    <w:rsid w:val="007B67DA"/>
    <w:rsid w:val="007B67DB"/>
    <w:rsid w:val="007B684E"/>
    <w:rsid w:val="007B689B"/>
    <w:rsid w:val="007B68EF"/>
    <w:rsid w:val="007B6AF9"/>
    <w:rsid w:val="007B6B34"/>
    <w:rsid w:val="007B6C73"/>
    <w:rsid w:val="007B6E08"/>
    <w:rsid w:val="007B70A7"/>
    <w:rsid w:val="007B70CE"/>
    <w:rsid w:val="007B7193"/>
    <w:rsid w:val="007B7232"/>
    <w:rsid w:val="007B7280"/>
    <w:rsid w:val="007B72BB"/>
    <w:rsid w:val="007B737B"/>
    <w:rsid w:val="007B741D"/>
    <w:rsid w:val="007B7501"/>
    <w:rsid w:val="007B75F3"/>
    <w:rsid w:val="007B7676"/>
    <w:rsid w:val="007B770D"/>
    <w:rsid w:val="007B785B"/>
    <w:rsid w:val="007B7A73"/>
    <w:rsid w:val="007B7B6B"/>
    <w:rsid w:val="007B7B73"/>
    <w:rsid w:val="007B7B94"/>
    <w:rsid w:val="007B7BA0"/>
    <w:rsid w:val="007B7CB0"/>
    <w:rsid w:val="007B7D4C"/>
    <w:rsid w:val="007B7DD9"/>
    <w:rsid w:val="007B7DEA"/>
    <w:rsid w:val="007B7E6E"/>
    <w:rsid w:val="007B7FA8"/>
    <w:rsid w:val="007B7FB7"/>
    <w:rsid w:val="007BB848"/>
    <w:rsid w:val="007C00DA"/>
    <w:rsid w:val="007C01AF"/>
    <w:rsid w:val="007C0231"/>
    <w:rsid w:val="007C032D"/>
    <w:rsid w:val="007C035B"/>
    <w:rsid w:val="007C0444"/>
    <w:rsid w:val="007C05A6"/>
    <w:rsid w:val="007C061C"/>
    <w:rsid w:val="007C0686"/>
    <w:rsid w:val="007C07D4"/>
    <w:rsid w:val="007C07D9"/>
    <w:rsid w:val="007C0906"/>
    <w:rsid w:val="007C093C"/>
    <w:rsid w:val="007C0A63"/>
    <w:rsid w:val="007C0ACC"/>
    <w:rsid w:val="007C0B04"/>
    <w:rsid w:val="007C0BEA"/>
    <w:rsid w:val="007C0C0E"/>
    <w:rsid w:val="007C0D52"/>
    <w:rsid w:val="007C0D5E"/>
    <w:rsid w:val="007C0D70"/>
    <w:rsid w:val="007C0DAE"/>
    <w:rsid w:val="007C0F30"/>
    <w:rsid w:val="007C0F75"/>
    <w:rsid w:val="007C10A8"/>
    <w:rsid w:val="007C1161"/>
    <w:rsid w:val="007C11D9"/>
    <w:rsid w:val="007C12B9"/>
    <w:rsid w:val="007C12C8"/>
    <w:rsid w:val="007C148A"/>
    <w:rsid w:val="007C154B"/>
    <w:rsid w:val="007C15C2"/>
    <w:rsid w:val="007C1755"/>
    <w:rsid w:val="007C1767"/>
    <w:rsid w:val="007C17C0"/>
    <w:rsid w:val="007C1822"/>
    <w:rsid w:val="007C18BB"/>
    <w:rsid w:val="007C18EF"/>
    <w:rsid w:val="007C19CE"/>
    <w:rsid w:val="007C1A19"/>
    <w:rsid w:val="007C1BDA"/>
    <w:rsid w:val="007C1BFF"/>
    <w:rsid w:val="007C1E01"/>
    <w:rsid w:val="007C1E7D"/>
    <w:rsid w:val="007C2082"/>
    <w:rsid w:val="007C209F"/>
    <w:rsid w:val="007C210C"/>
    <w:rsid w:val="007C2152"/>
    <w:rsid w:val="007C2190"/>
    <w:rsid w:val="007C2263"/>
    <w:rsid w:val="007C22BE"/>
    <w:rsid w:val="007C22D0"/>
    <w:rsid w:val="007C239D"/>
    <w:rsid w:val="007C2405"/>
    <w:rsid w:val="007C2417"/>
    <w:rsid w:val="007C24DC"/>
    <w:rsid w:val="007C2562"/>
    <w:rsid w:val="007C25F6"/>
    <w:rsid w:val="007C273D"/>
    <w:rsid w:val="007C27F7"/>
    <w:rsid w:val="007C28F5"/>
    <w:rsid w:val="007C28FB"/>
    <w:rsid w:val="007C29D9"/>
    <w:rsid w:val="007C2A70"/>
    <w:rsid w:val="007C2ACF"/>
    <w:rsid w:val="007C2D9F"/>
    <w:rsid w:val="007C2E11"/>
    <w:rsid w:val="007C2F3A"/>
    <w:rsid w:val="007C2F85"/>
    <w:rsid w:val="007C305C"/>
    <w:rsid w:val="007C3142"/>
    <w:rsid w:val="007C3304"/>
    <w:rsid w:val="007C3336"/>
    <w:rsid w:val="007C3387"/>
    <w:rsid w:val="007C33B1"/>
    <w:rsid w:val="007C343E"/>
    <w:rsid w:val="007C357D"/>
    <w:rsid w:val="007C35A2"/>
    <w:rsid w:val="007C35D3"/>
    <w:rsid w:val="007C3634"/>
    <w:rsid w:val="007C381D"/>
    <w:rsid w:val="007C38F7"/>
    <w:rsid w:val="007C3928"/>
    <w:rsid w:val="007C3954"/>
    <w:rsid w:val="007C3B56"/>
    <w:rsid w:val="007C3BA8"/>
    <w:rsid w:val="007C3BB6"/>
    <w:rsid w:val="007C3CAC"/>
    <w:rsid w:val="007C3CCD"/>
    <w:rsid w:val="007C3CD3"/>
    <w:rsid w:val="007C3D3B"/>
    <w:rsid w:val="007C3D5F"/>
    <w:rsid w:val="007C3DA1"/>
    <w:rsid w:val="007C3E3E"/>
    <w:rsid w:val="007C3E93"/>
    <w:rsid w:val="007C3F1E"/>
    <w:rsid w:val="007C402F"/>
    <w:rsid w:val="007C4054"/>
    <w:rsid w:val="007C4112"/>
    <w:rsid w:val="007C417E"/>
    <w:rsid w:val="007C423C"/>
    <w:rsid w:val="007C444A"/>
    <w:rsid w:val="007C4678"/>
    <w:rsid w:val="007C4752"/>
    <w:rsid w:val="007C48A1"/>
    <w:rsid w:val="007C48AD"/>
    <w:rsid w:val="007C48CA"/>
    <w:rsid w:val="007C4909"/>
    <w:rsid w:val="007C4AF6"/>
    <w:rsid w:val="007C4B3C"/>
    <w:rsid w:val="007C4BBC"/>
    <w:rsid w:val="007C4E1E"/>
    <w:rsid w:val="007C4F92"/>
    <w:rsid w:val="007C4FCD"/>
    <w:rsid w:val="007C50AB"/>
    <w:rsid w:val="007C50F2"/>
    <w:rsid w:val="007C513D"/>
    <w:rsid w:val="007C5156"/>
    <w:rsid w:val="007C52A8"/>
    <w:rsid w:val="007C5301"/>
    <w:rsid w:val="007C539F"/>
    <w:rsid w:val="007C53F2"/>
    <w:rsid w:val="007C5456"/>
    <w:rsid w:val="007C5598"/>
    <w:rsid w:val="007C58B8"/>
    <w:rsid w:val="007C5ADE"/>
    <w:rsid w:val="007C5BDC"/>
    <w:rsid w:val="007C5CC1"/>
    <w:rsid w:val="007C5CE6"/>
    <w:rsid w:val="007C5D73"/>
    <w:rsid w:val="007C5E91"/>
    <w:rsid w:val="007C5FB8"/>
    <w:rsid w:val="007C60EF"/>
    <w:rsid w:val="007C6173"/>
    <w:rsid w:val="007C61C6"/>
    <w:rsid w:val="007C6580"/>
    <w:rsid w:val="007C666F"/>
    <w:rsid w:val="007C6729"/>
    <w:rsid w:val="007C6829"/>
    <w:rsid w:val="007C6889"/>
    <w:rsid w:val="007C68FC"/>
    <w:rsid w:val="007C691A"/>
    <w:rsid w:val="007C6970"/>
    <w:rsid w:val="007C69F0"/>
    <w:rsid w:val="007C6A15"/>
    <w:rsid w:val="007C6B13"/>
    <w:rsid w:val="007C6B3C"/>
    <w:rsid w:val="007C6C08"/>
    <w:rsid w:val="007C6D73"/>
    <w:rsid w:val="007C6DCB"/>
    <w:rsid w:val="007C6E60"/>
    <w:rsid w:val="007C6F4A"/>
    <w:rsid w:val="007C6FCD"/>
    <w:rsid w:val="007C6FDC"/>
    <w:rsid w:val="007C6FE6"/>
    <w:rsid w:val="007C706F"/>
    <w:rsid w:val="007C709D"/>
    <w:rsid w:val="007C7314"/>
    <w:rsid w:val="007C759D"/>
    <w:rsid w:val="007C772A"/>
    <w:rsid w:val="007C7759"/>
    <w:rsid w:val="007C7882"/>
    <w:rsid w:val="007C7919"/>
    <w:rsid w:val="007C79E0"/>
    <w:rsid w:val="007C7B10"/>
    <w:rsid w:val="007C7B88"/>
    <w:rsid w:val="007C7B8D"/>
    <w:rsid w:val="007C7CA9"/>
    <w:rsid w:val="007C7D38"/>
    <w:rsid w:val="007C7F08"/>
    <w:rsid w:val="007D00F8"/>
    <w:rsid w:val="007D0123"/>
    <w:rsid w:val="007D014B"/>
    <w:rsid w:val="007D017C"/>
    <w:rsid w:val="007D0212"/>
    <w:rsid w:val="007D0269"/>
    <w:rsid w:val="007D05BF"/>
    <w:rsid w:val="007D095C"/>
    <w:rsid w:val="007D0967"/>
    <w:rsid w:val="007D09F8"/>
    <w:rsid w:val="007D0A00"/>
    <w:rsid w:val="007D0CB9"/>
    <w:rsid w:val="007D0D6A"/>
    <w:rsid w:val="007D0E70"/>
    <w:rsid w:val="007D0E88"/>
    <w:rsid w:val="007D100B"/>
    <w:rsid w:val="007D10D4"/>
    <w:rsid w:val="007D1246"/>
    <w:rsid w:val="007D1425"/>
    <w:rsid w:val="007D175E"/>
    <w:rsid w:val="007D1761"/>
    <w:rsid w:val="007D1918"/>
    <w:rsid w:val="007D1A98"/>
    <w:rsid w:val="007D1C98"/>
    <w:rsid w:val="007D1D04"/>
    <w:rsid w:val="007D1D5B"/>
    <w:rsid w:val="007D1E09"/>
    <w:rsid w:val="007D1F2C"/>
    <w:rsid w:val="007D1FB7"/>
    <w:rsid w:val="007D2222"/>
    <w:rsid w:val="007D232D"/>
    <w:rsid w:val="007D2381"/>
    <w:rsid w:val="007D239F"/>
    <w:rsid w:val="007D23FA"/>
    <w:rsid w:val="007D242A"/>
    <w:rsid w:val="007D25B1"/>
    <w:rsid w:val="007D25C0"/>
    <w:rsid w:val="007D2814"/>
    <w:rsid w:val="007D2836"/>
    <w:rsid w:val="007D2853"/>
    <w:rsid w:val="007D287C"/>
    <w:rsid w:val="007D2A52"/>
    <w:rsid w:val="007D2AA1"/>
    <w:rsid w:val="007D2B54"/>
    <w:rsid w:val="007D2C39"/>
    <w:rsid w:val="007D2CFB"/>
    <w:rsid w:val="007D2D5C"/>
    <w:rsid w:val="007D2D99"/>
    <w:rsid w:val="007D2E83"/>
    <w:rsid w:val="007D2E99"/>
    <w:rsid w:val="007D312E"/>
    <w:rsid w:val="007D3162"/>
    <w:rsid w:val="007D319D"/>
    <w:rsid w:val="007D32D5"/>
    <w:rsid w:val="007D3358"/>
    <w:rsid w:val="007D3389"/>
    <w:rsid w:val="007D358D"/>
    <w:rsid w:val="007D3599"/>
    <w:rsid w:val="007D36FE"/>
    <w:rsid w:val="007D38CA"/>
    <w:rsid w:val="007D39F3"/>
    <w:rsid w:val="007D3A08"/>
    <w:rsid w:val="007D3AB2"/>
    <w:rsid w:val="007D3B15"/>
    <w:rsid w:val="007D3D44"/>
    <w:rsid w:val="007D3E1F"/>
    <w:rsid w:val="007D3E48"/>
    <w:rsid w:val="007D3E88"/>
    <w:rsid w:val="007D3EFF"/>
    <w:rsid w:val="007D3F04"/>
    <w:rsid w:val="007D3F70"/>
    <w:rsid w:val="007D3FEA"/>
    <w:rsid w:val="007D3FF8"/>
    <w:rsid w:val="007D4074"/>
    <w:rsid w:val="007D4136"/>
    <w:rsid w:val="007D426E"/>
    <w:rsid w:val="007D42B3"/>
    <w:rsid w:val="007D42DE"/>
    <w:rsid w:val="007D43E9"/>
    <w:rsid w:val="007D448F"/>
    <w:rsid w:val="007D44F5"/>
    <w:rsid w:val="007D4613"/>
    <w:rsid w:val="007D467D"/>
    <w:rsid w:val="007D46AD"/>
    <w:rsid w:val="007D46CE"/>
    <w:rsid w:val="007D46E3"/>
    <w:rsid w:val="007D46E5"/>
    <w:rsid w:val="007D4789"/>
    <w:rsid w:val="007D4916"/>
    <w:rsid w:val="007D4AD5"/>
    <w:rsid w:val="007D4B25"/>
    <w:rsid w:val="007D4BDB"/>
    <w:rsid w:val="007D4C21"/>
    <w:rsid w:val="007D4CDD"/>
    <w:rsid w:val="007D4CF0"/>
    <w:rsid w:val="007D4D07"/>
    <w:rsid w:val="007D4D95"/>
    <w:rsid w:val="007D4F7D"/>
    <w:rsid w:val="007D4F87"/>
    <w:rsid w:val="007D5056"/>
    <w:rsid w:val="007D5099"/>
    <w:rsid w:val="007D532C"/>
    <w:rsid w:val="007D5466"/>
    <w:rsid w:val="007D54FA"/>
    <w:rsid w:val="007D551C"/>
    <w:rsid w:val="007D5543"/>
    <w:rsid w:val="007D56BB"/>
    <w:rsid w:val="007D57F3"/>
    <w:rsid w:val="007D5A99"/>
    <w:rsid w:val="007D5BC9"/>
    <w:rsid w:val="007D5C3C"/>
    <w:rsid w:val="007D5D89"/>
    <w:rsid w:val="007D5EAB"/>
    <w:rsid w:val="007D5F39"/>
    <w:rsid w:val="007D5F8D"/>
    <w:rsid w:val="007D5FA4"/>
    <w:rsid w:val="007D5FD1"/>
    <w:rsid w:val="007D624D"/>
    <w:rsid w:val="007D6322"/>
    <w:rsid w:val="007D6348"/>
    <w:rsid w:val="007D6373"/>
    <w:rsid w:val="007D6474"/>
    <w:rsid w:val="007D663E"/>
    <w:rsid w:val="007D6731"/>
    <w:rsid w:val="007D6755"/>
    <w:rsid w:val="007D6833"/>
    <w:rsid w:val="007D6AC3"/>
    <w:rsid w:val="007D6CC4"/>
    <w:rsid w:val="007D6CEF"/>
    <w:rsid w:val="007D7054"/>
    <w:rsid w:val="007D70B2"/>
    <w:rsid w:val="007D7294"/>
    <w:rsid w:val="007D737E"/>
    <w:rsid w:val="007D73A6"/>
    <w:rsid w:val="007D7782"/>
    <w:rsid w:val="007D7867"/>
    <w:rsid w:val="007D78F9"/>
    <w:rsid w:val="007D79DD"/>
    <w:rsid w:val="007D7AB0"/>
    <w:rsid w:val="007D7ADC"/>
    <w:rsid w:val="007D7B6C"/>
    <w:rsid w:val="007D7B6E"/>
    <w:rsid w:val="007D7BE5"/>
    <w:rsid w:val="007D7C07"/>
    <w:rsid w:val="007D7C44"/>
    <w:rsid w:val="007D7C61"/>
    <w:rsid w:val="007D7CE0"/>
    <w:rsid w:val="007D7CEB"/>
    <w:rsid w:val="007E00C7"/>
    <w:rsid w:val="007E01C5"/>
    <w:rsid w:val="007E01F7"/>
    <w:rsid w:val="007E037F"/>
    <w:rsid w:val="007E03C2"/>
    <w:rsid w:val="007E041E"/>
    <w:rsid w:val="007E043A"/>
    <w:rsid w:val="007E04EF"/>
    <w:rsid w:val="007E07BE"/>
    <w:rsid w:val="007E08E0"/>
    <w:rsid w:val="007E08E7"/>
    <w:rsid w:val="007E0900"/>
    <w:rsid w:val="007E0985"/>
    <w:rsid w:val="007E0A1C"/>
    <w:rsid w:val="007E0A41"/>
    <w:rsid w:val="007E0C28"/>
    <w:rsid w:val="007E0EEF"/>
    <w:rsid w:val="007E0EF4"/>
    <w:rsid w:val="007E1099"/>
    <w:rsid w:val="007E10B5"/>
    <w:rsid w:val="007E118A"/>
    <w:rsid w:val="007E15E3"/>
    <w:rsid w:val="007E16A0"/>
    <w:rsid w:val="007E173A"/>
    <w:rsid w:val="007E18C1"/>
    <w:rsid w:val="007E19B8"/>
    <w:rsid w:val="007E1BE3"/>
    <w:rsid w:val="007E1C59"/>
    <w:rsid w:val="007E1D9F"/>
    <w:rsid w:val="007E20F4"/>
    <w:rsid w:val="007E2221"/>
    <w:rsid w:val="007E22F1"/>
    <w:rsid w:val="007E2344"/>
    <w:rsid w:val="007E235B"/>
    <w:rsid w:val="007E2494"/>
    <w:rsid w:val="007E2584"/>
    <w:rsid w:val="007E25D8"/>
    <w:rsid w:val="007E299D"/>
    <w:rsid w:val="007E2A0A"/>
    <w:rsid w:val="007E2A91"/>
    <w:rsid w:val="007E2BB8"/>
    <w:rsid w:val="007E2C66"/>
    <w:rsid w:val="007E2C94"/>
    <w:rsid w:val="007E2D10"/>
    <w:rsid w:val="007E2E6E"/>
    <w:rsid w:val="007E2EB4"/>
    <w:rsid w:val="007E2F99"/>
    <w:rsid w:val="007E2FFA"/>
    <w:rsid w:val="007E3058"/>
    <w:rsid w:val="007E3073"/>
    <w:rsid w:val="007E3188"/>
    <w:rsid w:val="007E328F"/>
    <w:rsid w:val="007E32B7"/>
    <w:rsid w:val="007E33C3"/>
    <w:rsid w:val="007E3432"/>
    <w:rsid w:val="007E358B"/>
    <w:rsid w:val="007E3654"/>
    <w:rsid w:val="007E36E5"/>
    <w:rsid w:val="007E3818"/>
    <w:rsid w:val="007E384F"/>
    <w:rsid w:val="007E385A"/>
    <w:rsid w:val="007E38CC"/>
    <w:rsid w:val="007E38DE"/>
    <w:rsid w:val="007E3A2F"/>
    <w:rsid w:val="007E3CD8"/>
    <w:rsid w:val="007E3D6F"/>
    <w:rsid w:val="007E3E82"/>
    <w:rsid w:val="007E3F03"/>
    <w:rsid w:val="007E3F44"/>
    <w:rsid w:val="007E403D"/>
    <w:rsid w:val="007E41B7"/>
    <w:rsid w:val="007E4263"/>
    <w:rsid w:val="007E4437"/>
    <w:rsid w:val="007E44D5"/>
    <w:rsid w:val="007E45A3"/>
    <w:rsid w:val="007E45FB"/>
    <w:rsid w:val="007E46F8"/>
    <w:rsid w:val="007E4735"/>
    <w:rsid w:val="007E4AE3"/>
    <w:rsid w:val="007E4BC6"/>
    <w:rsid w:val="007E4FE5"/>
    <w:rsid w:val="007E50AC"/>
    <w:rsid w:val="007E5197"/>
    <w:rsid w:val="007E521B"/>
    <w:rsid w:val="007E52C9"/>
    <w:rsid w:val="007E537E"/>
    <w:rsid w:val="007E53E8"/>
    <w:rsid w:val="007E560B"/>
    <w:rsid w:val="007E560F"/>
    <w:rsid w:val="007E565C"/>
    <w:rsid w:val="007E5677"/>
    <w:rsid w:val="007E5784"/>
    <w:rsid w:val="007E5943"/>
    <w:rsid w:val="007E5C77"/>
    <w:rsid w:val="007E5CEE"/>
    <w:rsid w:val="007E5E09"/>
    <w:rsid w:val="007E5ECE"/>
    <w:rsid w:val="007E5EE0"/>
    <w:rsid w:val="007E5F11"/>
    <w:rsid w:val="007E5F4E"/>
    <w:rsid w:val="007E5F70"/>
    <w:rsid w:val="007E6007"/>
    <w:rsid w:val="007E603F"/>
    <w:rsid w:val="007E6051"/>
    <w:rsid w:val="007E60F8"/>
    <w:rsid w:val="007E6168"/>
    <w:rsid w:val="007E61F0"/>
    <w:rsid w:val="007E6495"/>
    <w:rsid w:val="007E6581"/>
    <w:rsid w:val="007E65B3"/>
    <w:rsid w:val="007E67E9"/>
    <w:rsid w:val="007E68CB"/>
    <w:rsid w:val="007E69C7"/>
    <w:rsid w:val="007E6B01"/>
    <w:rsid w:val="007E6B04"/>
    <w:rsid w:val="007E6BD1"/>
    <w:rsid w:val="007E6C65"/>
    <w:rsid w:val="007E6D20"/>
    <w:rsid w:val="007E6D54"/>
    <w:rsid w:val="007E6D8F"/>
    <w:rsid w:val="007E6E95"/>
    <w:rsid w:val="007E6E97"/>
    <w:rsid w:val="007E6F18"/>
    <w:rsid w:val="007E6FF6"/>
    <w:rsid w:val="007E72D1"/>
    <w:rsid w:val="007E7349"/>
    <w:rsid w:val="007E737F"/>
    <w:rsid w:val="007E739F"/>
    <w:rsid w:val="007E73A4"/>
    <w:rsid w:val="007E7663"/>
    <w:rsid w:val="007E76C2"/>
    <w:rsid w:val="007E76C4"/>
    <w:rsid w:val="007E77B5"/>
    <w:rsid w:val="007E79D4"/>
    <w:rsid w:val="007E7ABA"/>
    <w:rsid w:val="007E7BD2"/>
    <w:rsid w:val="007E7C60"/>
    <w:rsid w:val="007E7DE7"/>
    <w:rsid w:val="007E7E57"/>
    <w:rsid w:val="007E7F6D"/>
    <w:rsid w:val="007E7F96"/>
    <w:rsid w:val="007F01BF"/>
    <w:rsid w:val="007F024C"/>
    <w:rsid w:val="007F0253"/>
    <w:rsid w:val="007F034E"/>
    <w:rsid w:val="007F0350"/>
    <w:rsid w:val="007F036C"/>
    <w:rsid w:val="007F03F2"/>
    <w:rsid w:val="007F046D"/>
    <w:rsid w:val="007F04CC"/>
    <w:rsid w:val="007F0535"/>
    <w:rsid w:val="007F05D4"/>
    <w:rsid w:val="007F0685"/>
    <w:rsid w:val="007F0754"/>
    <w:rsid w:val="007F07E5"/>
    <w:rsid w:val="007F080C"/>
    <w:rsid w:val="007F08DE"/>
    <w:rsid w:val="007F094E"/>
    <w:rsid w:val="007F0C4A"/>
    <w:rsid w:val="007F0DAF"/>
    <w:rsid w:val="007F0E6A"/>
    <w:rsid w:val="007F0F43"/>
    <w:rsid w:val="007F1090"/>
    <w:rsid w:val="007F1131"/>
    <w:rsid w:val="007F113A"/>
    <w:rsid w:val="007F113F"/>
    <w:rsid w:val="007F12A1"/>
    <w:rsid w:val="007F1413"/>
    <w:rsid w:val="007F141A"/>
    <w:rsid w:val="007F1476"/>
    <w:rsid w:val="007F14E6"/>
    <w:rsid w:val="007F14EF"/>
    <w:rsid w:val="007F15F2"/>
    <w:rsid w:val="007F1628"/>
    <w:rsid w:val="007F1818"/>
    <w:rsid w:val="007F181B"/>
    <w:rsid w:val="007F187B"/>
    <w:rsid w:val="007F1919"/>
    <w:rsid w:val="007F1CD3"/>
    <w:rsid w:val="007F1CEB"/>
    <w:rsid w:val="007F1D95"/>
    <w:rsid w:val="007F1F08"/>
    <w:rsid w:val="007F2083"/>
    <w:rsid w:val="007F209E"/>
    <w:rsid w:val="007F2124"/>
    <w:rsid w:val="007F2191"/>
    <w:rsid w:val="007F219C"/>
    <w:rsid w:val="007F21D2"/>
    <w:rsid w:val="007F22A2"/>
    <w:rsid w:val="007F232A"/>
    <w:rsid w:val="007F2387"/>
    <w:rsid w:val="007F243F"/>
    <w:rsid w:val="007F24F8"/>
    <w:rsid w:val="007F276D"/>
    <w:rsid w:val="007F27C0"/>
    <w:rsid w:val="007F2971"/>
    <w:rsid w:val="007F2B37"/>
    <w:rsid w:val="007F2B40"/>
    <w:rsid w:val="007F2C4E"/>
    <w:rsid w:val="007F2D2B"/>
    <w:rsid w:val="007F2EDD"/>
    <w:rsid w:val="007F2F6F"/>
    <w:rsid w:val="007F3062"/>
    <w:rsid w:val="007F30DC"/>
    <w:rsid w:val="007F31B9"/>
    <w:rsid w:val="007F323E"/>
    <w:rsid w:val="007F327D"/>
    <w:rsid w:val="007F32D7"/>
    <w:rsid w:val="007F3485"/>
    <w:rsid w:val="007F34DE"/>
    <w:rsid w:val="007F35B4"/>
    <w:rsid w:val="007F35CF"/>
    <w:rsid w:val="007F36A3"/>
    <w:rsid w:val="007F376D"/>
    <w:rsid w:val="007F3797"/>
    <w:rsid w:val="007F39C8"/>
    <w:rsid w:val="007F3B0D"/>
    <w:rsid w:val="007F3B31"/>
    <w:rsid w:val="007F3BC0"/>
    <w:rsid w:val="007F3BDD"/>
    <w:rsid w:val="007F3CC0"/>
    <w:rsid w:val="007F3D5D"/>
    <w:rsid w:val="007F3E2C"/>
    <w:rsid w:val="007F4021"/>
    <w:rsid w:val="007F4130"/>
    <w:rsid w:val="007F4222"/>
    <w:rsid w:val="007F426C"/>
    <w:rsid w:val="007F4328"/>
    <w:rsid w:val="007F4337"/>
    <w:rsid w:val="007F44CE"/>
    <w:rsid w:val="007F454D"/>
    <w:rsid w:val="007F4598"/>
    <w:rsid w:val="007F45CA"/>
    <w:rsid w:val="007F469E"/>
    <w:rsid w:val="007F472C"/>
    <w:rsid w:val="007F4742"/>
    <w:rsid w:val="007F47AE"/>
    <w:rsid w:val="007F47E0"/>
    <w:rsid w:val="007F48FE"/>
    <w:rsid w:val="007F4C4D"/>
    <w:rsid w:val="007F4C6F"/>
    <w:rsid w:val="007F4E1B"/>
    <w:rsid w:val="007F5570"/>
    <w:rsid w:val="007F55CE"/>
    <w:rsid w:val="007F5615"/>
    <w:rsid w:val="007F56CE"/>
    <w:rsid w:val="007F56ED"/>
    <w:rsid w:val="007F58FD"/>
    <w:rsid w:val="007F5B62"/>
    <w:rsid w:val="007F5B9F"/>
    <w:rsid w:val="007F5BCC"/>
    <w:rsid w:val="007F5D86"/>
    <w:rsid w:val="007F5DD1"/>
    <w:rsid w:val="007F5DF7"/>
    <w:rsid w:val="007F5F4A"/>
    <w:rsid w:val="007F6069"/>
    <w:rsid w:val="007F6142"/>
    <w:rsid w:val="007F6225"/>
    <w:rsid w:val="007F62D9"/>
    <w:rsid w:val="007F62FE"/>
    <w:rsid w:val="007F635A"/>
    <w:rsid w:val="007F6372"/>
    <w:rsid w:val="007F64A4"/>
    <w:rsid w:val="007F660F"/>
    <w:rsid w:val="007F684E"/>
    <w:rsid w:val="007F68E8"/>
    <w:rsid w:val="007F6A7B"/>
    <w:rsid w:val="007F6AAE"/>
    <w:rsid w:val="007F6C0B"/>
    <w:rsid w:val="007F6D13"/>
    <w:rsid w:val="007F6E96"/>
    <w:rsid w:val="007F6F4C"/>
    <w:rsid w:val="007F6FF4"/>
    <w:rsid w:val="007F7041"/>
    <w:rsid w:val="007F717A"/>
    <w:rsid w:val="007F71F3"/>
    <w:rsid w:val="007F7208"/>
    <w:rsid w:val="007F723B"/>
    <w:rsid w:val="007F72CE"/>
    <w:rsid w:val="007F72D4"/>
    <w:rsid w:val="007F738D"/>
    <w:rsid w:val="007F76D1"/>
    <w:rsid w:val="007F77EF"/>
    <w:rsid w:val="007F7833"/>
    <w:rsid w:val="007F791E"/>
    <w:rsid w:val="007F796E"/>
    <w:rsid w:val="007F7A58"/>
    <w:rsid w:val="007F7AFC"/>
    <w:rsid w:val="007F7B71"/>
    <w:rsid w:val="007F7BBE"/>
    <w:rsid w:val="007F7CC9"/>
    <w:rsid w:val="007F7D44"/>
    <w:rsid w:val="007F7F10"/>
    <w:rsid w:val="007F7F2F"/>
    <w:rsid w:val="007F7F92"/>
    <w:rsid w:val="007F7FEF"/>
    <w:rsid w:val="0080001B"/>
    <w:rsid w:val="00800083"/>
    <w:rsid w:val="00800177"/>
    <w:rsid w:val="00800236"/>
    <w:rsid w:val="00800260"/>
    <w:rsid w:val="008002B7"/>
    <w:rsid w:val="00800362"/>
    <w:rsid w:val="0080048E"/>
    <w:rsid w:val="008005C4"/>
    <w:rsid w:val="00800868"/>
    <w:rsid w:val="00800B3E"/>
    <w:rsid w:val="00800B4E"/>
    <w:rsid w:val="00800D51"/>
    <w:rsid w:val="00800E1E"/>
    <w:rsid w:val="00800E68"/>
    <w:rsid w:val="00800F34"/>
    <w:rsid w:val="00800F40"/>
    <w:rsid w:val="00800FF8"/>
    <w:rsid w:val="00801075"/>
    <w:rsid w:val="00801188"/>
    <w:rsid w:val="0080123E"/>
    <w:rsid w:val="00801333"/>
    <w:rsid w:val="008013F9"/>
    <w:rsid w:val="0080149A"/>
    <w:rsid w:val="00801500"/>
    <w:rsid w:val="0080154B"/>
    <w:rsid w:val="00801569"/>
    <w:rsid w:val="0080158D"/>
    <w:rsid w:val="008015A1"/>
    <w:rsid w:val="00801655"/>
    <w:rsid w:val="008016E8"/>
    <w:rsid w:val="00801784"/>
    <w:rsid w:val="00801956"/>
    <w:rsid w:val="0080198C"/>
    <w:rsid w:val="00801B06"/>
    <w:rsid w:val="00801B18"/>
    <w:rsid w:val="00801C8B"/>
    <w:rsid w:val="00801D28"/>
    <w:rsid w:val="00801DC6"/>
    <w:rsid w:val="00801DD4"/>
    <w:rsid w:val="00801E83"/>
    <w:rsid w:val="00801EAD"/>
    <w:rsid w:val="00802000"/>
    <w:rsid w:val="00802040"/>
    <w:rsid w:val="008020E8"/>
    <w:rsid w:val="008022CB"/>
    <w:rsid w:val="00802308"/>
    <w:rsid w:val="00802312"/>
    <w:rsid w:val="0080233D"/>
    <w:rsid w:val="008023C6"/>
    <w:rsid w:val="0080240F"/>
    <w:rsid w:val="00802790"/>
    <w:rsid w:val="00802849"/>
    <w:rsid w:val="008028D6"/>
    <w:rsid w:val="008029F2"/>
    <w:rsid w:val="00802A71"/>
    <w:rsid w:val="00802BC7"/>
    <w:rsid w:val="00802C47"/>
    <w:rsid w:val="00802CDB"/>
    <w:rsid w:val="00802D1E"/>
    <w:rsid w:val="00802D6E"/>
    <w:rsid w:val="00803012"/>
    <w:rsid w:val="00803087"/>
    <w:rsid w:val="008031B4"/>
    <w:rsid w:val="008031DF"/>
    <w:rsid w:val="00803275"/>
    <w:rsid w:val="0080329C"/>
    <w:rsid w:val="008032B2"/>
    <w:rsid w:val="00803378"/>
    <w:rsid w:val="0080349E"/>
    <w:rsid w:val="00803556"/>
    <w:rsid w:val="008035E6"/>
    <w:rsid w:val="008037F7"/>
    <w:rsid w:val="008038CD"/>
    <w:rsid w:val="008039BC"/>
    <w:rsid w:val="00803A79"/>
    <w:rsid w:val="00803AB9"/>
    <w:rsid w:val="00803ABA"/>
    <w:rsid w:val="00803BBF"/>
    <w:rsid w:val="00803BC8"/>
    <w:rsid w:val="00803BEE"/>
    <w:rsid w:val="00803C38"/>
    <w:rsid w:val="00803D6F"/>
    <w:rsid w:val="00803F0B"/>
    <w:rsid w:val="00803F19"/>
    <w:rsid w:val="00803FEA"/>
    <w:rsid w:val="00804233"/>
    <w:rsid w:val="00804326"/>
    <w:rsid w:val="00804349"/>
    <w:rsid w:val="00804368"/>
    <w:rsid w:val="008044EE"/>
    <w:rsid w:val="00804528"/>
    <w:rsid w:val="00804558"/>
    <w:rsid w:val="00804629"/>
    <w:rsid w:val="0080464B"/>
    <w:rsid w:val="0080468F"/>
    <w:rsid w:val="00804690"/>
    <w:rsid w:val="0080474F"/>
    <w:rsid w:val="00804786"/>
    <w:rsid w:val="0080479E"/>
    <w:rsid w:val="008047A5"/>
    <w:rsid w:val="008047E6"/>
    <w:rsid w:val="008048DE"/>
    <w:rsid w:val="00804942"/>
    <w:rsid w:val="00804A42"/>
    <w:rsid w:val="00804D69"/>
    <w:rsid w:val="00804E48"/>
    <w:rsid w:val="00804EC0"/>
    <w:rsid w:val="0080500D"/>
    <w:rsid w:val="0080507E"/>
    <w:rsid w:val="008051CF"/>
    <w:rsid w:val="00805223"/>
    <w:rsid w:val="00805348"/>
    <w:rsid w:val="0080538F"/>
    <w:rsid w:val="008053AA"/>
    <w:rsid w:val="00805478"/>
    <w:rsid w:val="00805577"/>
    <w:rsid w:val="00805586"/>
    <w:rsid w:val="0080560C"/>
    <w:rsid w:val="008056A8"/>
    <w:rsid w:val="00805755"/>
    <w:rsid w:val="00805821"/>
    <w:rsid w:val="00805947"/>
    <w:rsid w:val="008059ED"/>
    <w:rsid w:val="00805A5E"/>
    <w:rsid w:val="00805AC5"/>
    <w:rsid w:val="00805B04"/>
    <w:rsid w:val="00805C8D"/>
    <w:rsid w:val="00805D56"/>
    <w:rsid w:val="00805E0D"/>
    <w:rsid w:val="00805E43"/>
    <w:rsid w:val="00805EE4"/>
    <w:rsid w:val="00805EF6"/>
    <w:rsid w:val="0080608A"/>
    <w:rsid w:val="00806143"/>
    <w:rsid w:val="00806239"/>
    <w:rsid w:val="0080626D"/>
    <w:rsid w:val="00806274"/>
    <w:rsid w:val="00806348"/>
    <w:rsid w:val="008063B6"/>
    <w:rsid w:val="0080646B"/>
    <w:rsid w:val="00806494"/>
    <w:rsid w:val="0080658A"/>
    <w:rsid w:val="008065D7"/>
    <w:rsid w:val="00806614"/>
    <w:rsid w:val="00806622"/>
    <w:rsid w:val="00806689"/>
    <w:rsid w:val="008066B2"/>
    <w:rsid w:val="00806759"/>
    <w:rsid w:val="0080694C"/>
    <w:rsid w:val="00806985"/>
    <w:rsid w:val="00806A83"/>
    <w:rsid w:val="00806ACD"/>
    <w:rsid w:val="00806D55"/>
    <w:rsid w:val="00806D8E"/>
    <w:rsid w:val="00806DE6"/>
    <w:rsid w:val="008070A8"/>
    <w:rsid w:val="008070A9"/>
    <w:rsid w:val="008071E9"/>
    <w:rsid w:val="00807242"/>
    <w:rsid w:val="008072B1"/>
    <w:rsid w:val="008072DE"/>
    <w:rsid w:val="0080741D"/>
    <w:rsid w:val="008075BA"/>
    <w:rsid w:val="00807611"/>
    <w:rsid w:val="00807745"/>
    <w:rsid w:val="00807A90"/>
    <w:rsid w:val="00807AE4"/>
    <w:rsid w:val="00807B7C"/>
    <w:rsid w:val="00807BF4"/>
    <w:rsid w:val="00807D2F"/>
    <w:rsid w:val="00807D83"/>
    <w:rsid w:val="00807D9A"/>
    <w:rsid w:val="00807D9D"/>
    <w:rsid w:val="00807E75"/>
    <w:rsid w:val="00807F1F"/>
    <w:rsid w:val="00807FC7"/>
    <w:rsid w:val="0081048A"/>
    <w:rsid w:val="008104BF"/>
    <w:rsid w:val="00810541"/>
    <w:rsid w:val="0081058C"/>
    <w:rsid w:val="0081058F"/>
    <w:rsid w:val="00810723"/>
    <w:rsid w:val="008107A3"/>
    <w:rsid w:val="00810815"/>
    <w:rsid w:val="008108E8"/>
    <w:rsid w:val="00810963"/>
    <w:rsid w:val="008109FB"/>
    <w:rsid w:val="00810A3C"/>
    <w:rsid w:val="00810C0E"/>
    <w:rsid w:val="00810C34"/>
    <w:rsid w:val="00810C65"/>
    <w:rsid w:val="00810DB5"/>
    <w:rsid w:val="00810E68"/>
    <w:rsid w:val="00810F29"/>
    <w:rsid w:val="0081100B"/>
    <w:rsid w:val="008110AE"/>
    <w:rsid w:val="00811155"/>
    <w:rsid w:val="0081117B"/>
    <w:rsid w:val="008111A3"/>
    <w:rsid w:val="00811222"/>
    <w:rsid w:val="00811295"/>
    <w:rsid w:val="00811323"/>
    <w:rsid w:val="0081132E"/>
    <w:rsid w:val="00811353"/>
    <w:rsid w:val="008113AF"/>
    <w:rsid w:val="00811409"/>
    <w:rsid w:val="00811475"/>
    <w:rsid w:val="008114B4"/>
    <w:rsid w:val="0081153A"/>
    <w:rsid w:val="00811599"/>
    <w:rsid w:val="008115D5"/>
    <w:rsid w:val="0081183B"/>
    <w:rsid w:val="00811B12"/>
    <w:rsid w:val="00811B95"/>
    <w:rsid w:val="00811C6C"/>
    <w:rsid w:val="00811D2D"/>
    <w:rsid w:val="00811D60"/>
    <w:rsid w:val="00811DE2"/>
    <w:rsid w:val="00811F14"/>
    <w:rsid w:val="00811F65"/>
    <w:rsid w:val="00811F6D"/>
    <w:rsid w:val="00811F76"/>
    <w:rsid w:val="008120DC"/>
    <w:rsid w:val="0081218A"/>
    <w:rsid w:val="008121D2"/>
    <w:rsid w:val="008121DA"/>
    <w:rsid w:val="00812354"/>
    <w:rsid w:val="0081248B"/>
    <w:rsid w:val="00812546"/>
    <w:rsid w:val="0081263F"/>
    <w:rsid w:val="0081264E"/>
    <w:rsid w:val="008126B7"/>
    <w:rsid w:val="008128D0"/>
    <w:rsid w:val="00812942"/>
    <w:rsid w:val="00812A02"/>
    <w:rsid w:val="00812AD6"/>
    <w:rsid w:val="00812C9A"/>
    <w:rsid w:val="00812DB0"/>
    <w:rsid w:val="00812F89"/>
    <w:rsid w:val="00812F8E"/>
    <w:rsid w:val="008132CA"/>
    <w:rsid w:val="0081330C"/>
    <w:rsid w:val="0081334C"/>
    <w:rsid w:val="0081345F"/>
    <w:rsid w:val="00813464"/>
    <w:rsid w:val="008134A8"/>
    <w:rsid w:val="0081359E"/>
    <w:rsid w:val="008135C0"/>
    <w:rsid w:val="008136C4"/>
    <w:rsid w:val="0081374D"/>
    <w:rsid w:val="008138B7"/>
    <w:rsid w:val="00813CC3"/>
    <w:rsid w:val="00813CFC"/>
    <w:rsid w:val="00813F14"/>
    <w:rsid w:val="00814115"/>
    <w:rsid w:val="00814209"/>
    <w:rsid w:val="008142FD"/>
    <w:rsid w:val="00814323"/>
    <w:rsid w:val="0081438D"/>
    <w:rsid w:val="00814436"/>
    <w:rsid w:val="0081444E"/>
    <w:rsid w:val="008144C7"/>
    <w:rsid w:val="00814621"/>
    <w:rsid w:val="00814720"/>
    <w:rsid w:val="008148EB"/>
    <w:rsid w:val="00814956"/>
    <w:rsid w:val="00814AAD"/>
    <w:rsid w:val="00814AF3"/>
    <w:rsid w:val="00814CF7"/>
    <w:rsid w:val="00814DA3"/>
    <w:rsid w:val="00814EFD"/>
    <w:rsid w:val="00815082"/>
    <w:rsid w:val="00815087"/>
    <w:rsid w:val="00815092"/>
    <w:rsid w:val="00815112"/>
    <w:rsid w:val="00815431"/>
    <w:rsid w:val="0081546B"/>
    <w:rsid w:val="00815539"/>
    <w:rsid w:val="00815545"/>
    <w:rsid w:val="0081562C"/>
    <w:rsid w:val="0081567B"/>
    <w:rsid w:val="0081599E"/>
    <w:rsid w:val="00815AA1"/>
    <w:rsid w:val="00815ABF"/>
    <w:rsid w:val="00815BD4"/>
    <w:rsid w:val="00815C4B"/>
    <w:rsid w:val="00815CDA"/>
    <w:rsid w:val="00815D20"/>
    <w:rsid w:val="00815D8A"/>
    <w:rsid w:val="00815DDB"/>
    <w:rsid w:val="00815E46"/>
    <w:rsid w:val="00815E50"/>
    <w:rsid w:val="00815EAD"/>
    <w:rsid w:val="00815F41"/>
    <w:rsid w:val="0081605E"/>
    <w:rsid w:val="008160F2"/>
    <w:rsid w:val="00816181"/>
    <w:rsid w:val="00816382"/>
    <w:rsid w:val="00816423"/>
    <w:rsid w:val="00816555"/>
    <w:rsid w:val="0081670E"/>
    <w:rsid w:val="00816895"/>
    <w:rsid w:val="0081690B"/>
    <w:rsid w:val="0081694B"/>
    <w:rsid w:val="00816A9E"/>
    <w:rsid w:val="00816C72"/>
    <w:rsid w:val="00816CFB"/>
    <w:rsid w:val="00816D39"/>
    <w:rsid w:val="00816D60"/>
    <w:rsid w:val="00816D98"/>
    <w:rsid w:val="00816E30"/>
    <w:rsid w:val="00816E4F"/>
    <w:rsid w:val="00816E5C"/>
    <w:rsid w:val="00816E8F"/>
    <w:rsid w:val="00816EAE"/>
    <w:rsid w:val="00816EEA"/>
    <w:rsid w:val="00816F4E"/>
    <w:rsid w:val="00816F61"/>
    <w:rsid w:val="00816FA1"/>
    <w:rsid w:val="00816FBF"/>
    <w:rsid w:val="008170D3"/>
    <w:rsid w:val="00817117"/>
    <w:rsid w:val="0081725F"/>
    <w:rsid w:val="008172EC"/>
    <w:rsid w:val="008173E3"/>
    <w:rsid w:val="008174AE"/>
    <w:rsid w:val="008174E1"/>
    <w:rsid w:val="00817589"/>
    <w:rsid w:val="008175FE"/>
    <w:rsid w:val="00817611"/>
    <w:rsid w:val="008177A2"/>
    <w:rsid w:val="00817923"/>
    <w:rsid w:val="00817A1C"/>
    <w:rsid w:val="00817A43"/>
    <w:rsid w:val="00817BCA"/>
    <w:rsid w:val="00817C32"/>
    <w:rsid w:val="00817C5E"/>
    <w:rsid w:val="00817CB0"/>
    <w:rsid w:val="00817D25"/>
    <w:rsid w:val="00817DF9"/>
    <w:rsid w:val="00817F92"/>
    <w:rsid w:val="00820152"/>
    <w:rsid w:val="008202B2"/>
    <w:rsid w:val="008202EB"/>
    <w:rsid w:val="008203B0"/>
    <w:rsid w:val="008204E3"/>
    <w:rsid w:val="00820526"/>
    <w:rsid w:val="0082052C"/>
    <w:rsid w:val="00820573"/>
    <w:rsid w:val="008206E8"/>
    <w:rsid w:val="008207EE"/>
    <w:rsid w:val="008208FC"/>
    <w:rsid w:val="00820907"/>
    <w:rsid w:val="0082091F"/>
    <w:rsid w:val="00820961"/>
    <w:rsid w:val="00820A44"/>
    <w:rsid w:val="00820C4A"/>
    <w:rsid w:val="00820CCC"/>
    <w:rsid w:val="00820E9A"/>
    <w:rsid w:val="00820FE9"/>
    <w:rsid w:val="008210D5"/>
    <w:rsid w:val="008211AE"/>
    <w:rsid w:val="008211DB"/>
    <w:rsid w:val="00821234"/>
    <w:rsid w:val="0082123C"/>
    <w:rsid w:val="00821289"/>
    <w:rsid w:val="0082149E"/>
    <w:rsid w:val="0082150B"/>
    <w:rsid w:val="0082167D"/>
    <w:rsid w:val="008217B3"/>
    <w:rsid w:val="008217B5"/>
    <w:rsid w:val="008218F3"/>
    <w:rsid w:val="008219A1"/>
    <w:rsid w:val="008219C0"/>
    <w:rsid w:val="00821A9F"/>
    <w:rsid w:val="00821AA5"/>
    <w:rsid w:val="00821C2B"/>
    <w:rsid w:val="00821EB6"/>
    <w:rsid w:val="00821FAF"/>
    <w:rsid w:val="00822099"/>
    <w:rsid w:val="00822259"/>
    <w:rsid w:val="008223B8"/>
    <w:rsid w:val="008224EA"/>
    <w:rsid w:val="00822545"/>
    <w:rsid w:val="00822579"/>
    <w:rsid w:val="008225EE"/>
    <w:rsid w:val="0082264B"/>
    <w:rsid w:val="00822684"/>
    <w:rsid w:val="00822938"/>
    <w:rsid w:val="008229FD"/>
    <w:rsid w:val="00822AB7"/>
    <w:rsid w:val="00822B2E"/>
    <w:rsid w:val="00822B63"/>
    <w:rsid w:val="00822B8C"/>
    <w:rsid w:val="00822D54"/>
    <w:rsid w:val="00822F05"/>
    <w:rsid w:val="00822F84"/>
    <w:rsid w:val="0082313B"/>
    <w:rsid w:val="008231B3"/>
    <w:rsid w:val="0082344A"/>
    <w:rsid w:val="00823AFE"/>
    <w:rsid w:val="00823B62"/>
    <w:rsid w:val="00823CC6"/>
    <w:rsid w:val="00823D55"/>
    <w:rsid w:val="00823F91"/>
    <w:rsid w:val="0082425D"/>
    <w:rsid w:val="008244E7"/>
    <w:rsid w:val="00824A72"/>
    <w:rsid w:val="00824BF6"/>
    <w:rsid w:val="00824E9D"/>
    <w:rsid w:val="00824F3A"/>
    <w:rsid w:val="00824FF0"/>
    <w:rsid w:val="0082505E"/>
    <w:rsid w:val="008250D5"/>
    <w:rsid w:val="008250F8"/>
    <w:rsid w:val="00825133"/>
    <w:rsid w:val="0082513A"/>
    <w:rsid w:val="00825188"/>
    <w:rsid w:val="00825203"/>
    <w:rsid w:val="008252A0"/>
    <w:rsid w:val="00825369"/>
    <w:rsid w:val="0082559C"/>
    <w:rsid w:val="008255EF"/>
    <w:rsid w:val="00825684"/>
    <w:rsid w:val="008256E4"/>
    <w:rsid w:val="00825999"/>
    <w:rsid w:val="00825A88"/>
    <w:rsid w:val="00825B0E"/>
    <w:rsid w:val="00825C2E"/>
    <w:rsid w:val="00825EBD"/>
    <w:rsid w:val="00825F91"/>
    <w:rsid w:val="00825FB0"/>
    <w:rsid w:val="00826084"/>
    <w:rsid w:val="00826271"/>
    <w:rsid w:val="0082631B"/>
    <w:rsid w:val="008263FC"/>
    <w:rsid w:val="00826454"/>
    <w:rsid w:val="00826634"/>
    <w:rsid w:val="00826730"/>
    <w:rsid w:val="00826850"/>
    <w:rsid w:val="00826929"/>
    <w:rsid w:val="00826944"/>
    <w:rsid w:val="0082698B"/>
    <w:rsid w:val="008269A9"/>
    <w:rsid w:val="00826ACB"/>
    <w:rsid w:val="00826AD0"/>
    <w:rsid w:val="00826AD7"/>
    <w:rsid w:val="00826D5C"/>
    <w:rsid w:val="00827043"/>
    <w:rsid w:val="008270E8"/>
    <w:rsid w:val="008271CB"/>
    <w:rsid w:val="008272AC"/>
    <w:rsid w:val="00827376"/>
    <w:rsid w:val="008274C7"/>
    <w:rsid w:val="00827569"/>
    <w:rsid w:val="0082765B"/>
    <w:rsid w:val="008277C3"/>
    <w:rsid w:val="008278F9"/>
    <w:rsid w:val="00827943"/>
    <w:rsid w:val="00827A0E"/>
    <w:rsid w:val="00827A1F"/>
    <w:rsid w:val="00827AEA"/>
    <w:rsid w:val="00827B21"/>
    <w:rsid w:val="00827BDD"/>
    <w:rsid w:val="00830040"/>
    <w:rsid w:val="008300AF"/>
    <w:rsid w:val="0083018E"/>
    <w:rsid w:val="0083019F"/>
    <w:rsid w:val="00830451"/>
    <w:rsid w:val="008304BF"/>
    <w:rsid w:val="008305A1"/>
    <w:rsid w:val="008305D3"/>
    <w:rsid w:val="008305DF"/>
    <w:rsid w:val="00830634"/>
    <w:rsid w:val="00830668"/>
    <w:rsid w:val="008306B3"/>
    <w:rsid w:val="008306C2"/>
    <w:rsid w:val="008307A9"/>
    <w:rsid w:val="00830835"/>
    <w:rsid w:val="008308BF"/>
    <w:rsid w:val="00830944"/>
    <w:rsid w:val="008309CA"/>
    <w:rsid w:val="00830A75"/>
    <w:rsid w:val="00830BA9"/>
    <w:rsid w:val="00830C3E"/>
    <w:rsid w:val="00830C55"/>
    <w:rsid w:val="00830C7F"/>
    <w:rsid w:val="00830CA7"/>
    <w:rsid w:val="00830D37"/>
    <w:rsid w:val="00830DFD"/>
    <w:rsid w:val="00830F6D"/>
    <w:rsid w:val="00831202"/>
    <w:rsid w:val="0083122D"/>
    <w:rsid w:val="00831254"/>
    <w:rsid w:val="0083134D"/>
    <w:rsid w:val="008313C5"/>
    <w:rsid w:val="008316E8"/>
    <w:rsid w:val="0083171E"/>
    <w:rsid w:val="008317EE"/>
    <w:rsid w:val="0083182F"/>
    <w:rsid w:val="00831918"/>
    <w:rsid w:val="00831A18"/>
    <w:rsid w:val="00831B25"/>
    <w:rsid w:val="00831B82"/>
    <w:rsid w:val="00831BB1"/>
    <w:rsid w:val="00831BB2"/>
    <w:rsid w:val="00831D21"/>
    <w:rsid w:val="00831EEC"/>
    <w:rsid w:val="00832038"/>
    <w:rsid w:val="00832045"/>
    <w:rsid w:val="0083211E"/>
    <w:rsid w:val="008321A1"/>
    <w:rsid w:val="008321FD"/>
    <w:rsid w:val="008322FD"/>
    <w:rsid w:val="008324F1"/>
    <w:rsid w:val="00832582"/>
    <w:rsid w:val="008326F2"/>
    <w:rsid w:val="0083277F"/>
    <w:rsid w:val="008328ED"/>
    <w:rsid w:val="00832902"/>
    <w:rsid w:val="0083290A"/>
    <w:rsid w:val="0083295A"/>
    <w:rsid w:val="00832A63"/>
    <w:rsid w:val="00832B70"/>
    <w:rsid w:val="00832B79"/>
    <w:rsid w:val="00832C82"/>
    <w:rsid w:val="00832C8B"/>
    <w:rsid w:val="00832CBC"/>
    <w:rsid w:val="00832CCA"/>
    <w:rsid w:val="00832CD5"/>
    <w:rsid w:val="00832CDE"/>
    <w:rsid w:val="00833171"/>
    <w:rsid w:val="008331CA"/>
    <w:rsid w:val="00833217"/>
    <w:rsid w:val="0083326B"/>
    <w:rsid w:val="008336C8"/>
    <w:rsid w:val="008336F2"/>
    <w:rsid w:val="0083373C"/>
    <w:rsid w:val="00833752"/>
    <w:rsid w:val="00833ACF"/>
    <w:rsid w:val="00833ADC"/>
    <w:rsid w:val="00833C04"/>
    <w:rsid w:val="00833DD7"/>
    <w:rsid w:val="00833DFB"/>
    <w:rsid w:val="00834090"/>
    <w:rsid w:val="008341C7"/>
    <w:rsid w:val="00834337"/>
    <w:rsid w:val="00834395"/>
    <w:rsid w:val="008344FF"/>
    <w:rsid w:val="0083452D"/>
    <w:rsid w:val="00834607"/>
    <w:rsid w:val="008346A1"/>
    <w:rsid w:val="008346F1"/>
    <w:rsid w:val="00834A62"/>
    <w:rsid w:val="00834AA9"/>
    <w:rsid w:val="00834B3C"/>
    <w:rsid w:val="00834C6A"/>
    <w:rsid w:val="00834D58"/>
    <w:rsid w:val="00835061"/>
    <w:rsid w:val="00835066"/>
    <w:rsid w:val="008352B1"/>
    <w:rsid w:val="008353E7"/>
    <w:rsid w:val="0083544E"/>
    <w:rsid w:val="008355FF"/>
    <w:rsid w:val="0083562F"/>
    <w:rsid w:val="0083572B"/>
    <w:rsid w:val="00835731"/>
    <w:rsid w:val="0083573C"/>
    <w:rsid w:val="0083574B"/>
    <w:rsid w:val="00835914"/>
    <w:rsid w:val="00835B15"/>
    <w:rsid w:val="00835B4C"/>
    <w:rsid w:val="00835B51"/>
    <w:rsid w:val="00835BD7"/>
    <w:rsid w:val="00835D29"/>
    <w:rsid w:val="00835DAE"/>
    <w:rsid w:val="00836086"/>
    <w:rsid w:val="008363C9"/>
    <w:rsid w:val="00836481"/>
    <w:rsid w:val="00836489"/>
    <w:rsid w:val="00836580"/>
    <w:rsid w:val="008365A2"/>
    <w:rsid w:val="008365C1"/>
    <w:rsid w:val="0083663E"/>
    <w:rsid w:val="00836856"/>
    <w:rsid w:val="00836887"/>
    <w:rsid w:val="008368F7"/>
    <w:rsid w:val="00836991"/>
    <w:rsid w:val="00836A00"/>
    <w:rsid w:val="00836A33"/>
    <w:rsid w:val="00836CD4"/>
    <w:rsid w:val="00836D0F"/>
    <w:rsid w:val="00836D86"/>
    <w:rsid w:val="00836F86"/>
    <w:rsid w:val="00837018"/>
    <w:rsid w:val="00837213"/>
    <w:rsid w:val="008372E3"/>
    <w:rsid w:val="008374EE"/>
    <w:rsid w:val="00837530"/>
    <w:rsid w:val="008375A3"/>
    <w:rsid w:val="0083768A"/>
    <w:rsid w:val="0083768F"/>
    <w:rsid w:val="0083771A"/>
    <w:rsid w:val="00837786"/>
    <w:rsid w:val="008377A0"/>
    <w:rsid w:val="008377A8"/>
    <w:rsid w:val="00837815"/>
    <w:rsid w:val="0083796E"/>
    <w:rsid w:val="00837982"/>
    <w:rsid w:val="00837B4E"/>
    <w:rsid w:val="00837BAB"/>
    <w:rsid w:val="00837CE9"/>
    <w:rsid w:val="008401A6"/>
    <w:rsid w:val="008401EB"/>
    <w:rsid w:val="008401F9"/>
    <w:rsid w:val="008402CA"/>
    <w:rsid w:val="00840375"/>
    <w:rsid w:val="008403FC"/>
    <w:rsid w:val="0084043E"/>
    <w:rsid w:val="0084050F"/>
    <w:rsid w:val="008406A3"/>
    <w:rsid w:val="008407EB"/>
    <w:rsid w:val="008407F2"/>
    <w:rsid w:val="00840963"/>
    <w:rsid w:val="00840A03"/>
    <w:rsid w:val="00840B88"/>
    <w:rsid w:val="00840BAF"/>
    <w:rsid w:val="00840BB1"/>
    <w:rsid w:val="00840BDB"/>
    <w:rsid w:val="00840CCB"/>
    <w:rsid w:val="00840E69"/>
    <w:rsid w:val="00840E78"/>
    <w:rsid w:val="00840EA7"/>
    <w:rsid w:val="00840EE8"/>
    <w:rsid w:val="00840EF6"/>
    <w:rsid w:val="00840F1E"/>
    <w:rsid w:val="00841083"/>
    <w:rsid w:val="008410AE"/>
    <w:rsid w:val="008410C7"/>
    <w:rsid w:val="00841142"/>
    <w:rsid w:val="00841173"/>
    <w:rsid w:val="00841227"/>
    <w:rsid w:val="00841290"/>
    <w:rsid w:val="008414EF"/>
    <w:rsid w:val="0084158C"/>
    <w:rsid w:val="008417D3"/>
    <w:rsid w:val="0084186A"/>
    <w:rsid w:val="00841918"/>
    <w:rsid w:val="008419B9"/>
    <w:rsid w:val="008419BB"/>
    <w:rsid w:val="00841A57"/>
    <w:rsid w:val="00841AB5"/>
    <w:rsid w:val="00841B3A"/>
    <w:rsid w:val="00841CAA"/>
    <w:rsid w:val="00841D84"/>
    <w:rsid w:val="00841DD2"/>
    <w:rsid w:val="00841F76"/>
    <w:rsid w:val="00841FCD"/>
    <w:rsid w:val="00841FEE"/>
    <w:rsid w:val="00842047"/>
    <w:rsid w:val="008420AE"/>
    <w:rsid w:val="008421A9"/>
    <w:rsid w:val="00842255"/>
    <w:rsid w:val="008422EE"/>
    <w:rsid w:val="00842301"/>
    <w:rsid w:val="0084231C"/>
    <w:rsid w:val="008423D2"/>
    <w:rsid w:val="008423F0"/>
    <w:rsid w:val="008424B7"/>
    <w:rsid w:val="00842573"/>
    <w:rsid w:val="00842589"/>
    <w:rsid w:val="008425A7"/>
    <w:rsid w:val="0084265E"/>
    <w:rsid w:val="008426FD"/>
    <w:rsid w:val="0084283E"/>
    <w:rsid w:val="008428E8"/>
    <w:rsid w:val="00842996"/>
    <w:rsid w:val="008429F2"/>
    <w:rsid w:val="00842CFE"/>
    <w:rsid w:val="00842D95"/>
    <w:rsid w:val="00842E7E"/>
    <w:rsid w:val="00842FBD"/>
    <w:rsid w:val="00842FCB"/>
    <w:rsid w:val="00842FFB"/>
    <w:rsid w:val="00843077"/>
    <w:rsid w:val="0084307E"/>
    <w:rsid w:val="0084316D"/>
    <w:rsid w:val="00843279"/>
    <w:rsid w:val="008432A1"/>
    <w:rsid w:val="00843780"/>
    <w:rsid w:val="008438A1"/>
    <w:rsid w:val="0084399D"/>
    <w:rsid w:val="008439BB"/>
    <w:rsid w:val="00843A60"/>
    <w:rsid w:val="00843AFB"/>
    <w:rsid w:val="00843B60"/>
    <w:rsid w:val="00843D71"/>
    <w:rsid w:val="00843E75"/>
    <w:rsid w:val="00843EFB"/>
    <w:rsid w:val="00843F2B"/>
    <w:rsid w:val="00843F58"/>
    <w:rsid w:val="008440BA"/>
    <w:rsid w:val="00844166"/>
    <w:rsid w:val="0084418D"/>
    <w:rsid w:val="0084420D"/>
    <w:rsid w:val="008442B3"/>
    <w:rsid w:val="0084437E"/>
    <w:rsid w:val="0084439C"/>
    <w:rsid w:val="008443AA"/>
    <w:rsid w:val="0084451D"/>
    <w:rsid w:val="0084465A"/>
    <w:rsid w:val="008446CF"/>
    <w:rsid w:val="008447FB"/>
    <w:rsid w:val="0084487B"/>
    <w:rsid w:val="008448BC"/>
    <w:rsid w:val="00844915"/>
    <w:rsid w:val="008449C0"/>
    <w:rsid w:val="00844A1B"/>
    <w:rsid w:val="00844A49"/>
    <w:rsid w:val="00844AE1"/>
    <w:rsid w:val="00844B3B"/>
    <w:rsid w:val="00844BA1"/>
    <w:rsid w:val="00844BD0"/>
    <w:rsid w:val="00844ECD"/>
    <w:rsid w:val="00845017"/>
    <w:rsid w:val="00845029"/>
    <w:rsid w:val="0084520F"/>
    <w:rsid w:val="00845297"/>
    <w:rsid w:val="008453EC"/>
    <w:rsid w:val="00845434"/>
    <w:rsid w:val="008454BB"/>
    <w:rsid w:val="008454CB"/>
    <w:rsid w:val="0084552D"/>
    <w:rsid w:val="00845817"/>
    <w:rsid w:val="00845865"/>
    <w:rsid w:val="00845955"/>
    <w:rsid w:val="008459B7"/>
    <w:rsid w:val="00845A53"/>
    <w:rsid w:val="00845B11"/>
    <w:rsid w:val="00845B57"/>
    <w:rsid w:val="00845BEE"/>
    <w:rsid w:val="00845C7C"/>
    <w:rsid w:val="00845C92"/>
    <w:rsid w:val="00845FE8"/>
    <w:rsid w:val="008460C8"/>
    <w:rsid w:val="0084612B"/>
    <w:rsid w:val="00846143"/>
    <w:rsid w:val="008463A6"/>
    <w:rsid w:val="0084668F"/>
    <w:rsid w:val="0084672A"/>
    <w:rsid w:val="008467B1"/>
    <w:rsid w:val="00846830"/>
    <w:rsid w:val="0084684A"/>
    <w:rsid w:val="00846A48"/>
    <w:rsid w:val="00846AD1"/>
    <w:rsid w:val="00846BF8"/>
    <w:rsid w:val="00846E4D"/>
    <w:rsid w:val="00846F11"/>
    <w:rsid w:val="008470D2"/>
    <w:rsid w:val="008470F9"/>
    <w:rsid w:val="00847115"/>
    <w:rsid w:val="00847143"/>
    <w:rsid w:val="00847257"/>
    <w:rsid w:val="008472AE"/>
    <w:rsid w:val="008472C9"/>
    <w:rsid w:val="0084745A"/>
    <w:rsid w:val="0084746C"/>
    <w:rsid w:val="008475F2"/>
    <w:rsid w:val="008476FB"/>
    <w:rsid w:val="00847745"/>
    <w:rsid w:val="008477D8"/>
    <w:rsid w:val="00847879"/>
    <w:rsid w:val="00847971"/>
    <w:rsid w:val="00847F4C"/>
    <w:rsid w:val="00847F55"/>
    <w:rsid w:val="0084F58B"/>
    <w:rsid w:val="00850186"/>
    <w:rsid w:val="0085033A"/>
    <w:rsid w:val="008503BD"/>
    <w:rsid w:val="008503CD"/>
    <w:rsid w:val="00850445"/>
    <w:rsid w:val="008504D0"/>
    <w:rsid w:val="00850503"/>
    <w:rsid w:val="0085055B"/>
    <w:rsid w:val="00850581"/>
    <w:rsid w:val="00850846"/>
    <w:rsid w:val="0085086E"/>
    <w:rsid w:val="008508A3"/>
    <w:rsid w:val="008509DC"/>
    <w:rsid w:val="00850AA9"/>
    <w:rsid w:val="00850AB0"/>
    <w:rsid w:val="00850C34"/>
    <w:rsid w:val="00850CBD"/>
    <w:rsid w:val="00850D02"/>
    <w:rsid w:val="00850D7E"/>
    <w:rsid w:val="00850E15"/>
    <w:rsid w:val="00850F4C"/>
    <w:rsid w:val="00851178"/>
    <w:rsid w:val="0085124D"/>
    <w:rsid w:val="008512AC"/>
    <w:rsid w:val="008512E9"/>
    <w:rsid w:val="00851315"/>
    <w:rsid w:val="00851323"/>
    <w:rsid w:val="00851352"/>
    <w:rsid w:val="00851393"/>
    <w:rsid w:val="008513E0"/>
    <w:rsid w:val="00851454"/>
    <w:rsid w:val="008515F0"/>
    <w:rsid w:val="00851746"/>
    <w:rsid w:val="00851841"/>
    <w:rsid w:val="00851870"/>
    <w:rsid w:val="00851AF1"/>
    <w:rsid w:val="00851B2D"/>
    <w:rsid w:val="00851CDB"/>
    <w:rsid w:val="00851DFD"/>
    <w:rsid w:val="00851F1B"/>
    <w:rsid w:val="00851FBB"/>
    <w:rsid w:val="0085207B"/>
    <w:rsid w:val="0085209E"/>
    <w:rsid w:val="00852174"/>
    <w:rsid w:val="008522E1"/>
    <w:rsid w:val="00852354"/>
    <w:rsid w:val="00852391"/>
    <w:rsid w:val="008523AC"/>
    <w:rsid w:val="008523EC"/>
    <w:rsid w:val="00852448"/>
    <w:rsid w:val="00852463"/>
    <w:rsid w:val="008525E4"/>
    <w:rsid w:val="0085269F"/>
    <w:rsid w:val="00852808"/>
    <w:rsid w:val="00852817"/>
    <w:rsid w:val="00852881"/>
    <w:rsid w:val="0085299E"/>
    <w:rsid w:val="00852A11"/>
    <w:rsid w:val="00852A44"/>
    <w:rsid w:val="00852AA1"/>
    <w:rsid w:val="00852AD2"/>
    <w:rsid w:val="00852AD6"/>
    <w:rsid w:val="00852B01"/>
    <w:rsid w:val="00852C94"/>
    <w:rsid w:val="00852CA3"/>
    <w:rsid w:val="00852CC2"/>
    <w:rsid w:val="00852CF8"/>
    <w:rsid w:val="00852E1E"/>
    <w:rsid w:val="00852E40"/>
    <w:rsid w:val="00852E88"/>
    <w:rsid w:val="00852ED0"/>
    <w:rsid w:val="00852F29"/>
    <w:rsid w:val="00852F47"/>
    <w:rsid w:val="00852F8F"/>
    <w:rsid w:val="00852F9C"/>
    <w:rsid w:val="00853005"/>
    <w:rsid w:val="00853057"/>
    <w:rsid w:val="0085306B"/>
    <w:rsid w:val="00853084"/>
    <w:rsid w:val="00853216"/>
    <w:rsid w:val="0085322B"/>
    <w:rsid w:val="00853394"/>
    <w:rsid w:val="00853509"/>
    <w:rsid w:val="008535AC"/>
    <w:rsid w:val="008535CE"/>
    <w:rsid w:val="00853742"/>
    <w:rsid w:val="00853779"/>
    <w:rsid w:val="00853907"/>
    <w:rsid w:val="0085395F"/>
    <w:rsid w:val="00853B49"/>
    <w:rsid w:val="00853D4D"/>
    <w:rsid w:val="00853EF1"/>
    <w:rsid w:val="00853F49"/>
    <w:rsid w:val="0085406C"/>
    <w:rsid w:val="008540AC"/>
    <w:rsid w:val="008540DE"/>
    <w:rsid w:val="008540EE"/>
    <w:rsid w:val="00854119"/>
    <w:rsid w:val="00854173"/>
    <w:rsid w:val="008541DA"/>
    <w:rsid w:val="00854344"/>
    <w:rsid w:val="008544F6"/>
    <w:rsid w:val="00854594"/>
    <w:rsid w:val="0085461F"/>
    <w:rsid w:val="0085474A"/>
    <w:rsid w:val="00854810"/>
    <w:rsid w:val="008548DB"/>
    <w:rsid w:val="008549D9"/>
    <w:rsid w:val="00854B97"/>
    <w:rsid w:val="00854BA9"/>
    <w:rsid w:val="00854BB5"/>
    <w:rsid w:val="00854BBB"/>
    <w:rsid w:val="00854BDD"/>
    <w:rsid w:val="00854DD1"/>
    <w:rsid w:val="008550B2"/>
    <w:rsid w:val="008550F3"/>
    <w:rsid w:val="0085513A"/>
    <w:rsid w:val="0085519E"/>
    <w:rsid w:val="0085521B"/>
    <w:rsid w:val="00855238"/>
    <w:rsid w:val="008552DE"/>
    <w:rsid w:val="00855453"/>
    <w:rsid w:val="008554F7"/>
    <w:rsid w:val="008557B6"/>
    <w:rsid w:val="00855958"/>
    <w:rsid w:val="00855A49"/>
    <w:rsid w:val="00855A68"/>
    <w:rsid w:val="00855A83"/>
    <w:rsid w:val="00855B04"/>
    <w:rsid w:val="00855B4C"/>
    <w:rsid w:val="00855C04"/>
    <w:rsid w:val="00855C0F"/>
    <w:rsid w:val="00855D00"/>
    <w:rsid w:val="00855E12"/>
    <w:rsid w:val="00855F37"/>
    <w:rsid w:val="008565A9"/>
    <w:rsid w:val="0085662F"/>
    <w:rsid w:val="00856662"/>
    <w:rsid w:val="00856717"/>
    <w:rsid w:val="008567E7"/>
    <w:rsid w:val="008569DF"/>
    <w:rsid w:val="008569F1"/>
    <w:rsid w:val="00856C9C"/>
    <w:rsid w:val="00856DBD"/>
    <w:rsid w:val="00856E58"/>
    <w:rsid w:val="00856E64"/>
    <w:rsid w:val="00856E6F"/>
    <w:rsid w:val="00856F2B"/>
    <w:rsid w:val="00856F2C"/>
    <w:rsid w:val="00856F87"/>
    <w:rsid w:val="00857161"/>
    <w:rsid w:val="008571B1"/>
    <w:rsid w:val="0085721E"/>
    <w:rsid w:val="008572C9"/>
    <w:rsid w:val="0085745C"/>
    <w:rsid w:val="00857B57"/>
    <w:rsid w:val="00857E66"/>
    <w:rsid w:val="00857FDA"/>
    <w:rsid w:val="0086001A"/>
    <w:rsid w:val="00860113"/>
    <w:rsid w:val="00860153"/>
    <w:rsid w:val="0086023D"/>
    <w:rsid w:val="00860272"/>
    <w:rsid w:val="008603D9"/>
    <w:rsid w:val="00860540"/>
    <w:rsid w:val="00860847"/>
    <w:rsid w:val="008608C4"/>
    <w:rsid w:val="00860956"/>
    <w:rsid w:val="0086099C"/>
    <w:rsid w:val="00860A03"/>
    <w:rsid w:val="00860ABD"/>
    <w:rsid w:val="00860B96"/>
    <w:rsid w:val="00860E00"/>
    <w:rsid w:val="00860E24"/>
    <w:rsid w:val="0086106D"/>
    <w:rsid w:val="008610AE"/>
    <w:rsid w:val="00861210"/>
    <w:rsid w:val="00861447"/>
    <w:rsid w:val="008614A0"/>
    <w:rsid w:val="008614C2"/>
    <w:rsid w:val="00861512"/>
    <w:rsid w:val="00861521"/>
    <w:rsid w:val="00861578"/>
    <w:rsid w:val="0086157D"/>
    <w:rsid w:val="00861585"/>
    <w:rsid w:val="00861667"/>
    <w:rsid w:val="008616F2"/>
    <w:rsid w:val="00861706"/>
    <w:rsid w:val="00861801"/>
    <w:rsid w:val="00861878"/>
    <w:rsid w:val="008619B1"/>
    <w:rsid w:val="00861AFF"/>
    <w:rsid w:val="00861B2C"/>
    <w:rsid w:val="00861B94"/>
    <w:rsid w:val="00861BA4"/>
    <w:rsid w:val="00861BE4"/>
    <w:rsid w:val="00861C97"/>
    <w:rsid w:val="00861C9C"/>
    <w:rsid w:val="00861CBC"/>
    <w:rsid w:val="00861CF8"/>
    <w:rsid w:val="00861E0D"/>
    <w:rsid w:val="00861E1E"/>
    <w:rsid w:val="00861E43"/>
    <w:rsid w:val="0086205E"/>
    <w:rsid w:val="00862116"/>
    <w:rsid w:val="008621AB"/>
    <w:rsid w:val="0086226A"/>
    <w:rsid w:val="00862327"/>
    <w:rsid w:val="00862360"/>
    <w:rsid w:val="00862406"/>
    <w:rsid w:val="00862461"/>
    <w:rsid w:val="00862533"/>
    <w:rsid w:val="00862583"/>
    <w:rsid w:val="0086259E"/>
    <w:rsid w:val="008625AA"/>
    <w:rsid w:val="008625C0"/>
    <w:rsid w:val="008625E3"/>
    <w:rsid w:val="00862641"/>
    <w:rsid w:val="00862714"/>
    <w:rsid w:val="0086282F"/>
    <w:rsid w:val="00862941"/>
    <w:rsid w:val="00862A93"/>
    <w:rsid w:val="00862C4D"/>
    <w:rsid w:val="00862D8C"/>
    <w:rsid w:val="008631F8"/>
    <w:rsid w:val="00863315"/>
    <w:rsid w:val="008634DB"/>
    <w:rsid w:val="0086356C"/>
    <w:rsid w:val="0086366D"/>
    <w:rsid w:val="0086369F"/>
    <w:rsid w:val="008636BE"/>
    <w:rsid w:val="0086373F"/>
    <w:rsid w:val="00863B8B"/>
    <w:rsid w:val="00863C61"/>
    <w:rsid w:val="00863CAF"/>
    <w:rsid w:val="00863CF1"/>
    <w:rsid w:val="00863D27"/>
    <w:rsid w:val="00863E07"/>
    <w:rsid w:val="00863FDC"/>
    <w:rsid w:val="00863FE3"/>
    <w:rsid w:val="008641B5"/>
    <w:rsid w:val="008642E7"/>
    <w:rsid w:val="00864319"/>
    <w:rsid w:val="00864369"/>
    <w:rsid w:val="008643F8"/>
    <w:rsid w:val="0086449C"/>
    <w:rsid w:val="008645EF"/>
    <w:rsid w:val="0086466F"/>
    <w:rsid w:val="00864977"/>
    <w:rsid w:val="008649F6"/>
    <w:rsid w:val="00864AAB"/>
    <w:rsid w:val="00864BEA"/>
    <w:rsid w:val="00864D45"/>
    <w:rsid w:val="00864DE2"/>
    <w:rsid w:val="00864E11"/>
    <w:rsid w:val="00864E5F"/>
    <w:rsid w:val="0086500E"/>
    <w:rsid w:val="00865093"/>
    <w:rsid w:val="00865215"/>
    <w:rsid w:val="00865275"/>
    <w:rsid w:val="008654E1"/>
    <w:rsid w:val="008654EA"/>
    <w:rsid w:val="008659FE"/>
    <w:rsid w:val="00865B98"/>
    <w:rsid w:val="00865BCD"/>
    <w:rsid w:val="00865CB6"/>
    <w:rsid w:val="00865CCF"/>
    <w:rsid w:val="00865D23"/>
    <w:rsid w:val="00865D4D"/>
    <w:rsid w:val="00865DC8"/>
    <w:rsid w:val="00865F59"/>
    <w:rsid w:val="00866033"/>
    <w:rsid w:val="00866151"/>
    <w:rsid w:val="00866471"/>
    <w:rsid w:val="008666E8"/>
    <w:rsid w:val="0086681C"/>
    <w:rsid w:val="008669B6"/>
    <w:rsid w:val="008669FF"/>
    <w:rsid w:val="00866AED"/>
    <w:rsid w:val="00866C13"/>
    <w:rsid w:val="00866C1F"/>
    <w:rsid w:val="00866CAC"/>
    <w:rsid w:val="00866D5C"/>
    <w:rsid w:val="00866E1E"/>
    <w:rsid w:val="00866F2E"/>
    <w:rsid w:val="00866F5F"/>
    <w:rsid w:val="00866FAD"/>
    <w:rsid w:val="00866FE4"/>
    <w:rsid w:val="00867022"/>
    <w:rsid w:val="0086715A"/>
    <w:rsid w:val="0086722C"/>
    <w:rsid w:val="00867267"/>
    <w:rsid w:val="0086726E"/>
    <w:rsid w:val="0086727B"/>
    <w:rsid w:val="00867344"/>
    <w:rsid w:val="00867661"/>
    <w:rsid w:val="00867673"/>
    <w:rsid w:val="00867678"/>
    <w:rsid w:val="00867B0B"/>
    <w:rsid w:val="00867BE4"/>
    <w:rsid w:val="00867BE6"/>
    <w:rsid w:val="00867C6A"/>
    <w:rsid w:val="00867CC9"/>
    <w:rsid w:val="00867DFF"/>
    <w:rsid w:val="00867FDC"/>
    <w:rsid w:val="0086D049"/>
    <w:rsid w:val="00870045"/>
    <w:rsid w:val="008703AE"/>
    <w:rsid w:val="00870485"/>
    <w:rsid w:val="00870688"/>
    <w:rsid w:val="00870704"/>
    <w:rsid w:val="00870783"/>
    <w:rsid w:val="00870AD7"/>
    <w:rsid w:val="00870BD1"/>
    <w:rsid w:val="00870C48"/>
    <w:rsid w:val="00870E61"/>
    <w:rsid w:val="00870ED8"/>
    <w:rsid w:val="00870F5D"/>
    <w:rsid w:val="00871054"/>
    <w:rsid w:val="00871062"/>
    <w:rsid w:val="00871390"/>
    <w:rsid w:val="008714AF"/>
    <w:rsid w:val="008714B4"/>
    <w:rsid w:val="008716A6"/>
    <w:rsid w:val="008716C0"/>
    <w:rsid w:val="00871707"/>
    <w:rsid w:val="00871743"/>
    <w:rsid w:val="00871773"/>
    <w:rsid w:val="008717E5"/>
    <w:rsid w:val="008717FD"/>
    <w:rsid w:val="00871AE0"/>
    <w:rsid w:val="00871B25"/>
    <w:rsid w:val="00871B47"/>
    <w:rsid w:val="00871DB3"/>
    <w:rsid w:val="008720CE"/>
    <w:rsid w:val="008720F7"/>
    <w:rsid w:val="00872293"/>
    <w:rsid w:val="0087231E"/>
    <w:rsid w:val="0087245C"/>
    <w:rsid w:val="00872488"/>
    <w:rsid w:val="00872556"/>
    <w:rsid w:val="008725C0"/>
    <w:rsid w:val="00872706"/>
    <w:rsid w:val="00872878"/>
    <w:rsid w:val="00872934"/>
    <w:rsid w:val="00872B3D"/>
    <w:rsid w:val="00872C61"/>
    <w:rsid w:val="00872CA2"/>
    <w:rsid w:val="00872D8C"/>
    <w:rsid w:val="00872F00"/>
    <w:rsid w:val="00872F39"/>
    <w:rsid w:val="00873099"/>
    <w:rsid w:val="00873188"/>
    <w:rsid w:val="00873258"/>
    <w:rsid w:val="008732E7"/>
    <w:rsid w:val="008733C9"/>
    <w:rsid w:val="0087347A"/>
    <w:rsid w:val="00873685"/>
    <w:rsid w:val="0087394F"/>
    <w:rsid w:val="0087399D"/>
    <w:rsid w:val="00873A9D"/>
    <w:rsid w:val="00873AF9"/>
    <w:rsid w:val="00873B61"/>
    <w:rsid w:val="00873D67"/>
    <w:rsid w:val="00873DBD"/>
    <w:rsid w:val="00873FF1"/>
    <w:rsid w:val="008740BD"/>
    <w:rsid w:val="0087416D"/>
    <w:rsid w:val="008741D1"/>
    <w:rsid w:val="00874229"/>
    <w:rsid w:val="008742A8"/>
    <w:rsid w:val="00874436"/>
    <w:rsid w:val="008744D7"/>
    <w:rsid w:val="008744F4"/>
    <w:rsid w:val="00874791"/>
    <w:rsid w:val="0087485D"/>
    <w:rsid w:val="008748E9"/>
    <w:rsid w:val="0087493B"/>
    <w:rsid w:val="00874987"/>
    <w:rsid w:val="00874990"/>
    <w:rsid w:val="008749D1"/>
    <w:rsid w:val="00874BF6"/>
    <w:rsid w:val="00874C3F"/>
    <w:rsid w:val="00874CA0"/>
    <w:rsid w:val="00874CA1"/>
    <w:rsid w:val="00874CB7"/>
    <w:rsid w:val="00874FD2"/>
    <w:rsid w:val="00875019"/>
    <w:rsid w:val="00875085"/>
    <w:rsid w:val="0087516A"/>
    <w:rsid w:val="00875283"/>
    <w:rsid w:val="008752C1"/>
    <w:rsid w:val="0087535D"/>
    <w:rsid w:val="008754A1"/>
    <w:rsid w:val="0087566B"/>
    <w:rsid w:val="008756BF"/>
    <w:rsid w:val="00875708"/>
    <w:rsid w:val="00875763"/>
    <w:rsid w:val="008757AB"/>
    <w:rsid w:val="008757C2"/>
    <w:rsid w:val="008757E7"/>
    <w:rsid w:val="00875A6E"/>
    <w:rsid w:val="00875BD8"/>
    <w:rsid w:val="00875C50"/>
    <w:rsid w:val="00875CF4"/>
    <w:rsid w:val="00875D42"/>
    <w:rsid w:val="00875E0B"/>
    <w:rsid w:val="00875E8F"/>
    <w:rsid w:val="00875EA7"/>
    <w:rsid w:val="00875EB2"/>
    <w:rsid w:val="00875F0A"/>
    <w:rsid w:val="008760A0"/>
    <w:rsid w:val="0087619B"/>
    <w:rsid w:val="00876222"/>
    <w:rsid w:val="00876233"/>
    <w:rsid w:val="00876380"/>
    <w:rsid w:val="00876448"/>
    <w:rsid w:val="008766A0"/>
    <w:rsid w:val="0087674B"/>
    <w:rsid w:val="008767A8"/>
    <w:rsid w:val="00876858"/>
    <w:rsid w:val="00876956"/>
    <w:rsid w:val="00876C36"/>
    <w:rsid w:val="00876C6B"/>
    <w:rsid w:val="00876CB1"/>
    <w:rsid w:val="00876DE1"/>
    <w:rsid w:val="00876E5F"/>
    <w:rsid w:val="00877019"/>
    <w:rsid w:val="008772DA"/>
    <w:rsid w:val="00877408"/>
    <w:rsid w:val="008775F1"/>
    <w:rsid w:val="00877614"/>
    <w:rsid w:val="00877679"/>
    <w:rsid w:val="008776BC"/>
    <w:rsid w:val="008777F6"/>
    <w:rsid w:val="00877A3E"/>
    <w:rsid w:val="00877AB7"/>
    <w:rsid w:val="00877C07"/>
    <w:rsid w:val="00877C82"/>
    <w:rsid w:val="00877CE7"/>
    <w:rsid w:val="00877DF7"/>
    <w:rsid w:val="00877F0B"/>
    <w:rsid w:val="00877FD2"/>
    <w:rsid w:val="00880001"/>
    <w:rsid w:val="0088026B"/>
    <w:rsid w:val="008802F2"/>
    <w:rsid w:val="00880332"/>
    <w:rsid w:val="00880386"/>
    <w:rsid w:val="008803A3"/>
    <w:rsid w:val="008803BA"/>
    <w:rsid w:val="00880458"/>
    <w:rsid w:val="0088053D"/>
    <w:rsid w:val="0088056E"/>
    <w:rsid w:val="00880664"/>
    <w:rsid w:val="00880674"/>
    <w:rsid w:val="00880707"/>
    <w:rsid w:val="0088075C"/>
    <w:rsid w:val="00880779"/>
    <w:rsid w:val="00880A03"/>
    <w:rsid w:val="00880BC4"/>
    <w:rsid w:val="00880C67"/>
    <w:rsid w:val="00880C8D"/>
    <w:rsid w:val="00880D35"/>
    <w:rsid w:val="00880D92"/>
    <w:rsid w:val="00880F3C"/>
    <w:rsid w:val="008810BC"/>
    <w:rsid w:val="00881112"/>
    <w:rsid w:val="0088175B"/>
    <w:rsid w:val="00881848"/>
    <w:rsid w:val="008818F7"/>
    <w:rsid w:val="00881A59"/>
    <w:rsid w:val="00881B9D"/>
    <w:rsid w:val="00881BD5"/>
    <w:rsid w:val="00881C40"/>
    <w:rsid w:val="00881CA7"/>
    <w:rsid w:val="00881CF3"/>
    <w:rsid w:val="00881E8B"/>
    <w:rsid w:val="00882027"/>
    <w:rsid w:val="00882082"/>
    <w:rsid w:val="00882102"/>
    <w:rsid w:val="008822BC"/>
    <w:rsid w:val="008822BD"/>
    <w:rsid w:val="008822F9"/>
    <w:rsid w:val="00882315"/>
    <w:rsid w:val="008823AA"/>
    <w:rsid w:val="00882461"/>
    <w:rsid w:val="00882558"/>
    <w:rsid w:val="00882614"/>
    <w:rsid w:val="0088264C"/>
    <w:rsid w:val="00882701"/>
    <w:rsid w:val="00882751"/>
    <w:rsid w:val="00882758"/>
    <w:rsid w:val="00882871"/>
    <w:rsid w:val="00882BC9"/>
    <w:rsid w:val="00882CCA"/>
    <w:rsid w:val="00882E7A"/>
    <w:rsid w:val="00882F28"/>
    <w:rsid w:val="00882F47"/>
    <w:rsid w:val="00882F94"/>
    <w:rsid w:val="0088324A"/>
    <w:rsid w:val="00883479"/>
    <w:rsid w:val="008835CC"/>
    <w:rsid w:val="008835FB"/>
    <w:rsid w:val="0088378C"/>
    <w:rsid w:val="008838D1"/>
    <w:rsid w:val="00883AD9"/>
    <w:rsid w:val="00883BCD"/>
    <w:rsid w:val="00883BE0"/>
    <w:rsid w:val="00883BFE"/>
    <w:rsid w:val="00883C35"/>
    <w:rsid w:val="00883CB8"/>
    <w:rsid w:val="00883D6C"/>
    <w:rsid w:val="00883EF1"/>
    <w:rsid w:val="00883FEB"/>
    <w:rsid w:val="00884047"/>
    <w:rsid w:val="008841D0"/>
    <w:rsid w:val="008841D9"/>
    <w:rsid w:val="00884368"/>
    <w:rsid w:val="008843BD"/>
    <w:rsid w:val="008843EB"/>
    <w:rsid w:val="008843FC"/>
    <w:rsid w:val="00884504"/>
    <w:rsid w:val="00884654"/>
    <w:rsid w:val="0088465A"/>
    <w:rsid w:val="00884679"/>
    <w:rsid w:val="008846A2"/>
    <w:rsid w:val="00884742"/>
    <w:rsid w:val="00884780"/>
    <w:rsid w:val="00884795"/>
    <w:rsid w:val="008847BF"/>
    <w:rsid w:val="0088484A"/>
    <w:rsid w:val="00884A12"/>
    <w:rsid w:val="00884AC0"/>
    <w:rsid w:val="00884BFD"/>
    <w:rsid w:val="00884CBE"/>
    <w:rsid w:val="00885129"/>
    <w:rsid w:val="00885385"/>
    <w:rsid w:val="008853AF"/>
    <w:rsid w:val="008855EA"/>
    <w:rsid w:val="008855EF"/>
    <w:rsid w:val="0088574F"/>
    <w:rsid w:val="008858D0"/>
    <w:rsid w:val="00885A56"/>
    <w:rsid w:val="00885BDC"/>
    <w:rsid w:val="00885C75"/>
    <w:rsid w:val="00885CBE"/>
    <w:rsid w:val="00885D59"/>
    <w:rsid w:val="00885DF6"/>
    <w:rsid w:val="00885FDA"/>
    <w:rsid w:val="00886079"/>
    <w:rsid w:val="00886091"/>
    <w:rsid w:val="008860A5"/>
    <w:rsid w:val="008860B3"/>
    <w:rsid w:val="008860DF"/>
    <w:rsid w:val="00886114"/>
    <w:rsid w:val="00886438"/>
    <w:rsid w:val="0088665B"/>
    <w:rsid w:val="00886665"/>
    <w:rsid w:val="00886704"/>
    <w:rsid w:val="0088684F"/>
    <w:rsid w:val="00886859"/>
    <w:rsid w:val="00886A81"/>
    <w:rsid w:val="00886AC8"/>
    <w:rsid w:val="00886B01"/>
    <w:rsid w:val="00886BE9"/>
    <w:rsid w:val="00886C44"/>
    <w:rsid w:val="00886DB6"/>
    <w:rsid w:val="00886F0E"/>
    <w:rsid w:val="00886F1C"/>
    <w:rsid w:val="00886F98"/>
    <w:rsid w:val="008870F4"/>
    <w:rsid w:val="00887111"/>
    <w:rsid w:val="0088714C"/>
    <w:rsid w:val="008871D0"/>
    <w:rsid w:val="00887283"/>
    <w:rsid w:val="008872A6"/>
    <w:rsid w:val="008873A3"/>
    <w:rsid w:val="00887681"/>
    <w:rsid w:val="00887693"/>
    <w:rsid w:val="00887792"/>
    <w:rsid w:val="00887804"/>
    <w:rsid w:val="0088783A"/>
    <w:rsid w:val="008879B0"/>
    <w:rsid w:val="00887B3A"/>
    <w:rsid w:val="00887B7C"/>
    <w:rsid w:val="00887B9A"/>
    <w:rsid w:val="00887B9B"/>
    <w:rsid w:val="00887C2B"/>
    <w:rsid w:val="00887E0E"/>
    <w:rsid w:val="00887F3B"/>
    <w:rsid w:val="00890259"/>
    <w:rsid w:val="0089038C"/>
    <w:rsid w:val="008904A6"/>
    <w:rsid w:val="008904C7"/>
    <w:rsid w:val="008904F0"/>
    <w:rsid w:val="00890617"/>
    <w:rsid w:val="008907AD"/>
    <w:rsid w:val="008907C3"/>
    <w:rsid w:val="008908C8"/>
    <w:rsid w:val="00890AA8"/>
    <w:rsid w:val="00890B30"/>
    <w:rsid w:val="00890B3E"/>
    <w:rsid w:val="00890CE4"/>
    <w:rsid w:val="00890E52"/>
    <w:rsid w:val="00890F01"/>
    <w:rsid w:val="00890FA0"/>
    <w:rsid w:val="00891027"/>
    <w:rsid w:val="00891308"/>
    <w:rsid w:val="00891422"/>
    <w:rsid w:val="00891574"/>
    <w:rsid w:val="008915EE"/>
    <w:rsid w:val="00891710"/>
    <w:rsid w:val="0089176E"/>
    <w:rsid w:val="008917F6"/>
    <w:rsid w:val="00891873"/>
    <w:rsid w:val="00891967"/>
    <w:rsid w:val="00891AB4"/>
    <w:rsid w:val="00891AD1"/>
    <w:rsid w:val="00891B23"/>
    <w:rsid w:val="00891C26"/>
    <w:rsid w:val="00891CCF"/>
    <w:rsid w:val="00891DC3"/>
    <w:rsid w:val="00891E4E"/>
    <w:rsid w:val="00891ECB"/>
    <w:rsid w:val="00891ED7"/>
    <w:rsid w:val="0089205B"/>
    <w:rsid w:val="00892163"/>
    <w:rsid w:val="008921F5"/>
    <w:rsid w:val="00892278"/>
    <w:rsid w:val="00892415"/>
    <w:rsid w:val="008924A2"/>
    <w:rsid w:val="0089261F"/>
    <w:rsid w:val="0089263B"/>
    <w:rsid w:val="0089265E"/>
    <w:rsid w:val="0089268C"/>
    <w:rsid w:val="0089272D"/>
    <w:rsid w:val="0089273E"/>
    <w:rsid w:val="008927A7"/>
    <w:rsid w:val="008927C4"/>
    <w:rsid w:val="00892867"/>
    <w:rsid w:val="00892AE8"/>
    <w:rsid w:val="00892C33"/>
    <w:rsid w:val="00892D1E"/>
    <w:rsid w:val="00892D8F"/>
    <w:rsid w:val="00892E1F"/>
    <w:rsid w:val="00892F90"/>
    <w:rsid w:val="00892FE0"/>
    <w:rsid w:val="008930B5"/>
    <w:rsid w:val="00893175"/>
    <w:rsid w:val="00893295"/>
    <w:rsid w:val="008932DF"/>
    <w:rsid w:val="0089337D"/>
    <w:rsid w:val="00893510"/>
    <w:rsid w:val="00893513"/>
    <w:rsid w:val="0089374F"/>
    <w:rsid w:val="00893833"/>
    <w:rsid w:val="0089384D"/>
    <w:rsid w:val="00893B03"/>
    <w:rsid w:val="00893DD2"/>
    <w:rsid w:val="00893E13"/>
    <w:rsid w:val="00893F7B"/>
    <w:rsid w:val="00894098"/>
    <w:rsid w:val="008940B1"/>
    <w:rsid w:val="0089412F"/>
    <w:rsid w:val="008942DB"/>
    <w:rsid w:val="0089461B"/>
    <w:rsid w:val="00894779"/>
    <w:rsid w:val="0089479C"/>
    <w:rsid w:val="008947EF"/>
    <w:rsid w:val="00894811"/>
    <w:rsid w:val="0089496A"/>
    <w:rsid w:val="00894B05"/>
    <w:rsid w:val="00894BD1"/>
    <w:rsid w:val="00894BFE"/>
    <w:rsid w:val="00894D4D"/>
    <w:rsid w:val="00894E6C"/>
    <w:rsid w:val="00894EDA"/>
    <w:rsid w:val="00895072"/>
    <w:rsid w:val="0089512E"/>
    <w:rsid w:val="00895145"/>
    <w:rsid w:val="0089514B"/>
    <w:rsid w:val="00895347"/>
    <w:rsid w:val="00895602"/>
    <w:rsid w:val="00895780"/>
    <w:rsid w:val="008957AC"/>
    <w:rsid w:val="008957ED"/>
    <w:rsid w:val="00895908"/>
    <w:rsid w:val="00895912"/>
    <w:rsid w:val="0089596D"/>
    <w:rsid w:val="00895992"/>
    <w:rsid w:val="00895A60"/>
    <w:rsid w:val="00895B5E"/>
    <w:rsid w:val="00895C3F"/>
    <w:rsid w:val="00895C6B"/>
    <w:rsid w:val="00895C80"/>
    <w:rsid w:val="00895D13"/>
    <w:rsid w:val="00895E36"/>
    <w:rsid w:val="00895FE3"/>
    <w:rsid w:val="00896064"/>
    <w:rsid w:val="0089609A"/>
    <w:rsid w:val="008961E3"/>
    <w:rsid w:val="00896210"/>
    <w:rsid w:val="0089654C"/>
    <w:rsid w:val="008965AC"/>
    <w:rsid w:val="008966B3"/>
    <w:rsid w:val="008966EE"/>
    <w:rsid w:val="008967F2"/>
    <w:rsid w:val="008967F4"/>
    <w:rsid w:val="00896893"/>
    <w:rsid w:val="008969E5"/>
    <w:rsid w:val="00896A06"/>
    <w:rsid w:val="00896ABD"/>
    <w:rsid w:val="00896BF8"/>
    <w:rsid w:val="00896D13"/>
    <w:rsid w:val="00896D30"/>
    <w:rsid w:val="00896D79"/>
    <w:rsid w:val="00896DD0"/>
    <w:rsid w:val="00896E6B"/>
    <w:rsid w:val="00896F3F"/>
    <w:rsid w:val="00896F4B"/>
    <w:rsid w:val="00896FE6"/>
    <w:rsid w:val="0089707F"/>
    <w:rsid w:val="0089712B"/>
    <w:rsid w:val="0089717A"/>
    <w:rsid w:val="008971D8"/>
    <w:rsid w:val="00897200"/>
    <w:rsid w:val="00897485"/>
    <w:rsid w:val="00897587"/>
    <w:rsid w:val="00897792"/>
    <w:rsid w:val="008977A0"/>
    <w:rsid w:val="008978AE"/>
    <w:rsid w:val="008978D5"/>
    <w:rsid w:val="00897AAE"/>
    <w:rsid w:val="00897B3B"/>
    <w:rsid w:val="00897B72"/>
    <w:rsid w:val="00897C1D"/>
    <w:rsid w:val="00897D2B"/>
    <w:rsid w:val="00897D96"/>
    <w:rsid w:val="00897F6F"/>
    <w:rsid w:val="008A0021"/>
    <w:rsid w:val="008A015B"/>
    <w:rsid w:val="008A0181"/>
    <w:rsid w:val="008A01FE"/>
    <w:rsid w:val="008A0292"/>
    <w:rsid w:val="008A02F5"/>
    <w:rsid w:val="008A0407"/>
    <w:rsid w:val="008A04C3"/>
    <w:rsid w:val="008A04CB"/>
    <w:rsid w:val="008A051C"/>
    <w:rsid w:val="008A0538"/>
    <w:rsid w:val="008A05FA"/>
    <w:rsid w:val="008A060E"/>
    <w:rsid w:val="008A0628"/>
    <w:rsid w:val="008A068F"/>
    <w:rsid w:val="008A070B"/>
    <w:rsid w:val="008A0784"/>
    <w:rsid w:val="008A084B"/>
    <w:rsid w:val="008A088D"/>
    <w:rsid w:val="008A0943"/>
    <w:rsid w:val="008A0A7D"/>
    <w:rsid w:val="008A0ABA"/>
    <w:rsid w:val="008A0ACE"/>
    <w:rsid w:val="008A0CBB"/>
    <w:rsid w:val="008A1063"/>
    <w:rsid w:val="008A1171"/>
    <w:rsid w:val="008A12EF"/>
    <w:rsid w:val="008A1459"/>
    <w:rsid w:val="008A14C5"/>
    <w:rsid w:val="008A14D6"/>
    <w:rsid w:val="008A14E0"/>
    <w:rsid w:val="008A1600"/>
    <w:rsid w:val="008A17D4"/>
    <w:rsid w:val="008A17E9"/>
    <w:rsid w:val="008A181E"/>
    <w:rsid w:val="008A1821"/>
    <w:rsid w:val="008A1897"/>
    <w:rsid w:val="008A1914"/>
    <w:rsid w:val="008A1947"/>
    <w:rsid w:val="008A1967"/>
    <w:rsid w:val="008A197E"/>
    <w:rsid w:val="008A19AF"/>
    <w:rsid w:val="008A19D4"/>
    <w:rsid w:val="008A19DF"/>
    <w:rsid w:val="008A1BC0"/>
    <w:rsid w:val="008A1D6F"/>
    <w:rsid w:val="008A1DF9"/>
    <w:rsid w:val="008A23CC"/>
    <w:rsid w:val="008A242B"/>
    <w:rsid w:val="008A260B"/>
    <w:rsid w:val="008A260E"/>
    <w:rsid w:val="008A26E3"/>
    <w:rsid w:val="008A27D1"/>
    <w:rsid w:val="008A295A"/>
    <w:rsid w:val="008A2A1F"/>
    <w:rsid w:val="008A2B82"/>
    <w:rsid w:val="008A2BE3"/>
    <w:rsid w:val="008A2C4C"/>
    <w:rsid w:val="008A2EFF"/>
    <w:rsid w:val="008A3185"/>
    <w:rsid w:val="008A31B9"/>
    <w:rsid w:val="008A31DC"/>
    <w:rsid w:val="008A35BA"/>
    <w:rsid w:val="008A3699"/>
    <w:rsid w:val="008A3793"/>
    <w:rsid w:val="008A381D"/>
    <w:rsid w:val="008A3836"/>
    <w:rsid w:val="008A38D3"/>
    <w:rsid w:val="008A3A93"/>
    <w:rsid w:val="008A3AC8"/>
    <w:rsid w:val="008A3B0B"/>
    <w:rsid w:val="008A3B29"/>
    <w:rsid w:val="008A3B36"/>
    <w:rsid w:val="008A3BD7"/>
    <w:rsid w:val="008A3E1B"/>
    <w:rsid w:val="008A3E57"/>
    <w:rsid w:val="008A42FA"/>
    <w:rsid w:val="008A44A5"/>
    <w:rsid w:val="008A455C"/>
    <w:rsid w:val="008A4693"/>
    <w:rsid w:val="008A46F7"/>
    <w:rsid w:val="008A49E7"/>
    <w:rsid w:val="008A4B11"/>
    <w:rsid w:val="008A4C90"/>
    <w:rsid w:val="008A4CAF"/>
    <w:rsid w:val="008A4CDE"/>
    <w:rsid w:val="008A4CF0"/>
    <w:rsid w:val="008A4D71"/>
    <w:rsid w:val="008A4E49"/>
    <w:rsid w:val="008A4E4C"/>
    <w:rsid w:val="008A4F5B"/>
    <w:rsid w:val="008A50C7"/>
    <w:rsid w:val="008A511E"/>
    <w:rsid w:val="008A51D0"/>
    <w:rsid w:val="008A5337"/>
    <w:rsid w:val="008A5435"/>
    <w:rsid w:val="008A5693"/>
    <w:rsid w:val="008A5744"/>
    <w:rsid w:val="008A5767"/>
    <w:rsid w:val="008A585C"/>
    <w:rsid w:val="008A588C"/>
    <w:rsid w:val="008A591E"/>
    <w:rsid w:val="008A5C39"/>
    <w:rsid w:val="008A5C4A"/>
    <w:rsid w:val="008A5CD1"/>
    <w:rsid w:val="008A5EBE"/>
    <w:rsid w:val="008A5F14"/>
    <w:rsid w:val="008A5F31"/>
    <w:rsid w:val="008A5F50"/>
    <w:rsid w:val="008A614E"/>
    <w:rsid w:val="008A6228"/>
    <w:rsid w:val="008A6295"/>
    <w:rsid w:val="008A6538"/>
    <w:rsid w:val="008A65EC"/>
    <w:rsid w:val="008A67C0"/>
    <w:rsid w:val="008A688A"/>
    <w:rsid w:val="008A68E1"/>
    <w:rsid w:val="008A6999"/>
    <w:rsid w:val="008A6A04"/>
    <w:rsid w:val="008A6A12"/>
    <w:rsid w:val="008A6A73"/>
    <w:rsid w:val="008A6BAD"/>
    <w:rsid w:val="008A6BF7"/>
    <w:rsid w:val="008A6C29"/>
    <w:rsid w:val="008A6D8B"/>
    <w:rsid w:val="008A6EA3"/>
    <w:rsid w:val="008A6EC4"/>
    <w:rsid w:val="008A6EC7"/>
    <w:rsid w:val="008A6F98"/>
    <w:rsid w:val="008A7058"/>
    <w:rsid w:val="008A70DE"/>
    <w:rsid w:val="008A710F"/>
    <w:rsid w:val="008A732C"/>
    <w:rsid w:val="008A73DC"/>
    <w:rsid w:val="008A7567"/>
    <w:rsid w:val="008A7697"/>
    <w:rsid w:val="008A76E4"/>
    <w:rsid w:val="008A7715"/>
    <w:rsid w:val="008A7981"/>
    <w:rsid w:val="008A7A29"/>
    <w:rsid w:val="008A7BC7"/>
    <w:rsid w:val="008A7BE6"/>
    <w:rsid w:val="008A7D57"/>
    <w:rsid w:val="008A7E53"/>
    <w:rsid w:val="008A7F16"/>
    <w:rsid w:val="008A7F36"/>
    <w:rsid w:val="008A7F51"/>
    <w:rsid w:val="008B0006"/>
    <w:rsid w:val="008B0088"/>
    <w:rsid w:val="008B00CF"/>
    <w:rsid w:val="008B01D3"/>
    <w:rsid w:val="008B0232"/>
    <w:rsid w:val="008B0297"/>
    <w:rsid w:val="008B02E0"/>
    <w:rsid w:val="008B0323"/>
    <w:rsid w:val="008B0330"/>
    <w:rsid w:val="008B046E"/>
    <w:rsid w:val="008B04F0"/>
    <w:rsid w:val="008B0660"/>
    <w:rsid w:val="008B0673"/>
    <w:rsid w:val="008B0847"/>
    <w:rsid w:val="008B0891"/>
    <w:rsid w:val="008B0951"/>
    <w:rsid w:val="008B0969"/>
    <w:rsid w:val="008B0A22"/>
    <w:rsid w:val="008B0AE4"/>
    <w:rsid w:val="008B0BAE"/>
    <w:rsid w:val="008B0D58"/>
    <w:rsid w:val="008B0D95"/>
    <w:rsid w:val="008B102A"/>
    <w:rsid w:val="008B1384"/>
    <w:rsid w:val="008B13E9"/>
    <w:rsid w:val="008B13FB"/>
    <w:rsid w:val="008B15BA"/>
    <w:rsid w:val="008B15D6"/>
    <w:rsid w:val="008B17E7"/>
    <w:rsid w:val="008B196E"/>
    <w:rsid w:val="008B19CF"/>
    <w:rsid w:val="008B1A17"/>
    <w:rsid w:val="008B1A23"/>
    <w:rsid w:val="008B1B75"/>
    <w:rsid w:val="008B1BA0"/>
    <w:rsid w:val="008B1C30"/>
    <w:rsid w:val="008B1C62"/>
    <w:rsid w:val="008B1CB3"/>
    <w:rsid w:val="008B1F4D"/>
    <w:rsid w:val="008B2064"/>
    <w:rsid w:val="008B20C6"/>
    <w:rsid w:val="008B20F0"/>
    <w:rsid w:val="008B2191"/>
    <w:rsid w:val="008B22E3"/>
    <w:rsid w:val="008B2312"/>
    <w:rsid w:val="008B2350"/>
    <w:rsid w:val="008B250E"/>
    <w:rsid w:val="008B2627"/>
    <w:rsid w:val="008B263B"/>
    <w:rsid w:val="008B26DF"/>
    <w:rsid w:val="008B2728"/>
    <w:rsid w:val="008B28E5"/>
    <w:rsid w:val="008B29AC"/>
    <w:rsid w:val="008B2A83"/>
    <w:rsid w:val="008B2AA2"/>
    <w:rsid w:val="008B2AE1"/>
    <w:rsid w:val="008B2BF7"/>
    <w:rsid w:val="008B2C18"/>
    <w:rsid w:val="008B2C74"/>
    <w:rsid w:val="008B2FE6"/>
    <w:rsid w:val="008B300A"/>
    <w:rsid w:val="008B31B1"/>
    <w:rsid w:val="008B31E2"/>
    <w:rsid w:val="008B35D6"/>
    <w:rsid w:val="008B3702"/>
    <w:rsid w:val="008B370F"/>
    <w:rsid w:val="008B37E2"/>
    <w:rsid w:val="008B3ADD"/>
    <w:rsid w:val="008B3B3F"/>
    <w:rsid w:val="008B3B49"/>
    <w:rsid w:val="008B3CA9"/>
    <w:rsid w:val="008B3CD7"/>
    <w:rsid w:val="008B3CDD"/>
    <w:rsid w:val="008B3FD6"/>
    <w:rsid w:val="008B4197"/>
    <w:rsid w:val="008B41FB"/>
    <w:rsid w:val="008B4216"/>
    <w:rsid w:val="008B4281"/>
    <w:rsid w:val="008B428A"/>
    <w:rsid w:val="008B432B"/>
    <w:rsid w:val="008B443F"/>
    <w:rsid w:val="008B4692"/>
    <w:rsid w:val="008B46B8"/>
    <w:rsid w:val="008B46DE"/>
    <w:rsid w:val="008B491A"/>
    <w:rsid w:val="008B4971"/>
    <w:rsid w:val="008B4B5C"/>
    <w:rsid w:val="008B4BB2"/>
    <w:rsid w:val="008B4C24"/>
    <w:rsid w:val="008B4F81"/>
    <w:rsid w:val="008B4FAC"/>
    <w:rsid w:val="008B50B3"/>
    <w:rsid w:val="008B5151"/>
    <w:rsid w:val="008B578E"/>
    <w:rsid w:val="008B5945"/>
    <w:rsid w:val="008B595F"/>
    <w:rsid w:val="008B5A0D"/>
    <w:rsid w:val="008B5A37"/>
    <w:rsid w:val="008B5AFD"/>
    <w:rsid w:val="008B5BA9"/>
    <w:rsid w:val="008B5BB6"/>
    <w:rsid w:val="008B5BCB"/>
    <w:rsid w:val="008B5D5B"/>
    <w:rsid w:val="008B5ECE"/>
    <w:rsid w:val="008B5F28"/>
    <w:rsid w:val="008B5F41"/>
    <w:rsid w:val="008B5FCC"/>
    <w:rsid w:val="008B6030"/>
    <w:rsid w:val="008B62EA"/>
    <w:rsid w:val="008B656C"/>
    <w:rsid w:val="008B6609"/>
    <w:rsid w:val="008B66DE"/>
    <w:rsid w:val="008B67E2"/>
    <w:rsid w:val="008B67ED"/>
    <w:rsid w:val="008B69E2"/>
    <w:rsid w:val="008B6A05"/>
    <w:rsid w:val="008B6A49"/>
    <w:rsid w:val="008B6B9C"/>
    <w:rsid w:val="008B6BBF"/>
    <w:rsid w:val="008B6CF6"/>
    <w:rsid w:val="008B6D74"/>
    <w:rsid w:val="008B6E30"/>
    <w:rsid w:val="008B6EE2"/>
    <w:rsid w:val="008B70B5"/>
    <w:rsid w:val="008B70BC"/>
    <w:rsid w:val="008B7226"/>
    <w:rsid w:val="008B7234"/>
    <w:rsid w:val="008B7271"/>
    <w:rsid w:val="008B728B"/>
    <w:rsid w:val="008B72E4"/>
    <w:rsid w:val="008B736E"/>
    <w:rsid w:val="008B740D"/>
    <w:rsid w:val="008B7410"/>
    <w:rsid w:val="008B7469"/>
    <w:rsid w:val="008B7778"/>
    <w:rsid w:val="008B77E3"/>
    <w:rsid w:val="008B7835"/>
    <w:rsid w:val="008B7858"/>
    <w:rsid w:val="008B7893"/>
    <w:rsid w:val="008B7B54"/>
    <w:rsid w:val="008B7C31"/>
    <w:rsid w:val="008B7D93"/>
    <w:rsid w:val="008B7E33"/>
    <w:rsid w:val="008B7EF7"/>
    <w:rsid w:val="008B7F6F"/>
    <w:rsid w:val="008C0038"/>
    <w:rsid w:val="008C00D7"/>
    <w:rsid w:val="008C0104"/>
    <w:rsid w:val="008C0192"/>
    <w:rsid w:val="008C021A"/>
    <w:rsid w:val="008C02D0"/>
    <w:rsid w:val="008C04B4"/>
    <w:rsid w:val="008C04F0"/>
    <w:rsid w:val="008C0561"/>
    <w:rsid w:val="008C0581"/>
    <w:rsid w:val="008C05EF"/>
    <w:rsid w:val="008C05FA"/>
    <w:rsid w:val="008C05FE"/>
    <w:rsid w:val="008C0641"/>
    <w:rsid w:val="008C0813"/>
    <w:rsid w:val="008C0857"/>
    <w:rsid w:val="008C0A72"/>
    <w:rsid w:val="008C0AE4"/>
    <w:rsid w:val="008C0C6D"/>
    <w:rsid w:val="008C0CF5"/>
    <w:rsid w:val="008C0DD7"/>
    <w:rsid w:val="008C0EA1"/>
    <w:rsid w:val="008C0F4C"/>
    <w:rsid w:val="008C0F91"/>
    <w:rsid w:val="008C0FC7"/>
    <w:rsid w:val="008C0FEC"/>
    <w:rsid w:val="008C10E5"/>
    <w:rsid w:val="008C10E6"/>
    <w:rsid w:val="008C1132"/>
    <w:rsid w:val="008C1140"/>
    <w:rsid w:val="008C1520"/>
    <w:rsid w:val="008C1632"/>
    <w:rsid w:val="008C1747"/>
    <w:rsid w:val="008C17E3"/>
    <w:rsid w:val="008C187F"/>
    <w:rsid w:val="008C1A2A"/>
    <w:rsid w:val="008C1B6A"/>
    <w:rsid w:val="008C1E3E"/>
    <w:rsid w:val="008C1E9D"/>
    <w:rsid w:val="008C2060"/>
    <w:rsid w:val="008C206D"/>
    <w:rsid w:val="008C21D8"/>
    <w:rsid w:val="008C23E3"/>
    <w:rsid w:val="008C2436"/>
    <w:rsid w:val="008C247D"/>
    <w:rsid w:val="008C2482"/>
    <w:rsid w:val="008C24A5"/>
    <w:rsid w:val="008C24BF"/>
    <w:rsid w:val="008C2552"/>
    <w:rsid w:val="008C2B1A"/>
    <w:rsid w:val="008C2CE8"/>
    <w:rsid w:val="008C2EAE"/>
    <w:rsid w:val="008C2EDB"/>
    <w:rsid w:val="008C2F07"/>
    <w:rsid w:val="008C2F19"/>
    <w:rsid w:val="008C2F40"/>
    <w:rsid w:val="008C2F76"/>
    <w:rsid w:val="008C3073"/>
    <w:rsid w:val="008C3187"/>
    <w:rsid w:val="008C31BE"/>
    <w:rsid w:val="008C34A4"/>
    <w:rsid w:val="008C3600"/>
    <w:rsid w:val="008C365E"/>
    <w:rsid w:val="008C366C"/>
    <w:rsid w:val="008C3764"/>
    <w:rsid w:val="008C3785"/>
    <w:rsid w:val="008C381E"/>
    <w:rsid w:val="008C3B44"/>
    <w:rsid w:val="008C3B95"/>
    <w:rsid w:val="008C3C61"/>
    <w:rsid w:val="008C3D1F"/>
    <w:rsid w:val="008C3D54"/>
    <w:rsid w:val="008C3D62"/>
    <w:rsid w:val="008C3DC2"/>
    <w:rsid w:val="008C3E75"/>
    <w:rsid w:val="008C3ECD"/>
    <w:rsid w:val="008C3FB3"/>
    <w:rsid w:val="008C4010"/>
    <w:rsid w:val="008C4023"/>
    <w:rsid w:val="008C41B1"/>
    <w:rsid w:val="008C429B"/>
    <w:rsid w:val="008C4327"/>
    <w:rsid w:val="008C439B"/>
    <w:rsid w:val="008C4487"/>
    <w:rsid w:val="008C454B"/>
    <w:rsid w:val="008C4557"/>
    <w:rsid w:val="008C4668"/>
    <w:rsid w:val="008C4708"/>
    <w:rsid w:val="008C47F2"/>
    <w:rsid w:val="008C4946"/>
    <w:rsid w:val="008C4A61"/>
    <w:rsid w:val="008C4B47"/>
    <w:rsid w:val="008C4B4D"/>
    <w:rsid w:val="008C4BC9"/>
    <w:rsid w:val="008C4BF9"/>
    <w:rsid w:val="008C4C00"/>
    <w:rsid w:val="008C4C07"/>
    <w:rsid w:val="008C4C25"/>
    <w:rsid w:val="008C4D22"/>
    <w:rsid w:val="008C4D4D"/>
    <w:rsid w:val="008C4F81"/>
    <w:rsid w:val="008C5036"/>
    <w:rsid w:val="008C506D"/>
    <w:rsid w:val="008C508D"/>
    <w:rsid w:val="008C50AD"/>
    <w:rsid w:val="008C523D"/>
    <w:rsid w:val="008C52DC"/>
    <w:rsid w:val="008C53CF"/>
    <w:rsid w:val="008C55D3"/>
    <w:rsid w:val="008C5604"/>
    <w:rsid w:val="008C563D"/>
    <w:rsid w:val="008C57EE"/>
    <w:rsid w:val="008C5806"/>
    <w:rsid w:val="008C58DE"/>
    <w:rsid w:val="008C5929"/>
    <w:rsid w:val="008C594F"/>
    <w:rsid w:val="008C5984"/>
    <w:rsid w:val="008C5B59"/>
    <w:rsid w:val="008C5BB2"/>
    <w:rsid w:val="008C5E4F"/>
    <w:rsid w:val="008C5EE5"/>
    <w:rsid w:val="008C5FB6"/>
    <w:rsid w:val="008C604A"/>
    <w:rsid w:val="008C608E"/>
    <w:rsid w:val="008C613B"/>
    <w:rsid w:val="008C621C"/>
    <w:rsid w:val="008C6282"/>
    <w:rsid w:val="008C62FC"/>
    <w:rsid w:val="008C633B"/>
    <w:rsid w:val="008C640E"/>
    <w:rsid w:val="008C64DE"/>
    <w:rsid w:val="008C65BD"/>
    <w:rsid w:val="008C65EA"/>
    <w:rsid w:val="008C6661"/>
    <w:rsid w:val="008C66BB"/>
    <w:rsid w:val="008C675D"/>
    <w:rsid w:val="008C6A5B"/>
    <w:rsid w:val="008C6A92"/>
    <w:rsid w:val="008C6C23"/>
    <w:rsid w:val="008C6E3E"/>
    <w:rsid w:val="008C6E79"/>
    <w:rsid w:val="008C6E83"/>
    <w:rsid w:val="008C6FF4"/>
    <w:rsid w:val="008C7009"/>
    <w:rsid w:val="008C7284"/>
    <w:rsid w:val="008C7296"/>
    <w:rsid w:val="008C7439"/>
    <w:rsid w:val="008C745F"/>
    <w:rsid w:val="008C790F"/>
    <w:rsid w:val="008C7A95"/>
    <w:rsid w:val="008C7B08"/>
    <w:rsid w:val="008C7CA7"/>
    <w:rsid w:val="008C7CD0"/>
    <w:rsid w:val="008C7CF9"/>
    <w:rsid w:val="008C7D74"/>
    <w:rsid w:val="008C7E7B"/>
    <w:rsid w:val="008C890A"/>
    <w:rsid w:val="008CF7C5"/>
    <w:rsid w:val="008D0008"/>
    <w:rsid w:val="008D00FB"/>
    <w:rsid w:val="008D01F0"/>
    <w:rsid w:val="008D0208"/>
    <w:rsid w:val="008D033E"/>
    <w:rsid w:val="008D048F"/>
    <w:rsid w:val="008D04D2"/>
    <w:rsid w:val="008D04F3"/>
    <w:rsid w:val="008D062F"/>
    <w:rsid w:val="008D06C5"/>
    <w:rsid w:val="008D06D7"/>
    <w:rsid w:val="008D08D4"/>
    <w:rsid w:val="008D0C4A"/>
    <w:rsid w:val="008D0CDD"/>
    <w:rsid w:val="008D0EF8"/>
    <w:rsid w:val="008D0F61"/>
    <w:rsid w:val="008D122B"/>
    <w:rsid w:val="008D13A1"/>
    <w:rsid w:val="008D14C2"/>
    <w:rsid w:val="008D14DA"/>
    <w:rsid w:val="008D1576"/>
    <w:rsid w:val="008D15F0"/>
    <w:rsid w:val="008D17B2"/>
    <w:rsid w:val="008D180D"/>
    <w:rsid w:val="008D18EF"/>
    <w:rsid w:val="008D1BD1"/>
    <w:rsid w:val="008D1CED"/>
    <w:rsid w:val="008D1D33"/>
    <w:rsid w:val="008D1EC8"/>
    <w:rsid w:val="008D1F98"/>
    <w:rsid w:val="008D20B9"/>
    <w:rsid w:val="008D20E5"/>
    <w:rsid w:val="008D211D"/>
    <w:rsid w:val="008D2239"/>
    <w:rsid w:val="008D2289"/>
    <w:rsid w:val="008D22C0"/>
    <w:rsid w:val="008D230A"/>
    <w:rsid w:val="008D2352"/>
    <w:rsid w:val="008D2385"/>
    <w:rsid w:val="008D2465"/>
    <w:rsid w:val="008D25EA"/>
    <w:rsid w:val="008D25FD"/>
    <w:rsid w:val="008D2674"/>
    <w:rsid w:val="008D269F"/>
    <w:rsid w:val="008D26F0"/>
    <w:rsid w:val="008D27EF"/>
    <w:rsid w:val="008D27F2"/>
    <w:rsid w:val="008D2803"/>
    <w:rsid w:val="008D28B6"/>
    <w:rsid w:val="008D298D"/>
    <w:rsid w:val="008D2995"/>
    <w:rsid w:val="008D2A72"/>
    <w:rsid w:val="008D2B1A"/>
    <w:rsid w:val="008D2B87"/>
    <w:rsid w:val="008D2B8B"/>
    <w:rsid w:val="008D2D8C"/>
    <w:rsid w:val="008D2E01"/>
    <w:rsid w:val="008D2F09"/>
    <w:rsid w:val="008D2F1D"/>
    <w:rsid w:val="008D2F6C"/>
    <w:rsid w:val="008D3204"/>
    <w:rsid w:val="008D32F6"/>
    <w:rsid w:val="008D34DE"/>
    <w:rsid w:val="008D36AE"/>
    <w:rsid w:val="008D3791"/>
    <w:rsid w:val="008D3928"/>
    <w:rsid w:val="008D399E"/>
    <w:rsid w:val="008D3A09"/>
    <w:rsid w:val="008D3AA3"/>
    <w:rsid w:val="008D3AFE"/>
    <w:rsid w:val="008D3B2C"/>
    <w:rsid w:val="008D3C67"/>
    <w:rsid w:val="008D3D17"/>
    <w:rsid w:val="008D3EE6"/>
    <w:rsid w:val="008D3EF5"/>
    <w:rsid w:val="008D3FD2"/>
    <w:rsid w:val="008D400F"/>
    <w:rsid w:val="008D42F7"/>
    <w:rsid w:val="008D4360"/>
    <w:rsid w:val="008D4448"/>
    <w:rsid w:val="008D44BD"/>
    <w:rsid w:val="008D46D4"/>
    <w:rsid w:val="008D49EE"/>
    <w:rsid w:val="008D4A46"/>
    <w:rsid w:val="008D4AA8"/>
    <w:rsid w:val="008D4B2F"/>
    <w:rsid w:val="008D4DFE"/>
    <w:rsid w:val="008D4E8F"/>
    <w:rsid w:val="008D4FB3"/>
    <w:rsid w:val="008D4FFC"/>
    <w:rsid w:val="008D5013"/>
    <w:rsid w:val="008D5135"/>
    <w:rsid w:val="008D5167"/>
    <w:rsid w:val="008D5284"/>
    <w:rsid w:val="008D529E"/>
    <w:rsid w:val="008D52B7"/>
    <w:rsid w:val="008D52C5"/>
    <w:rsid w:val="008D52D5"/>
    <w:rsid w:val="008D53C5"/>
    <w:rsid w:val="008D544C"/>
    <w:rsid w:val="008D56B1"/>
    <w:rsid w:val="008D580A"/>
    <w:rsid w:val="008D5932"/>
    <w:rsid w:val="008D5B9F"/>
    <w:rsid w:val="008D5BE4"/>
    <w:rsid w:val="008D5CCB"/>
    <w:rsid w:val="008D5DEE"/>
    <w:rsid w:val="008D5EB3"/>
    <w:rsid w:val="008D609E"/>
    <w:rsid w:val="008D6175"/>
    <w:rsid w:val="008D61FF"/>
    <w:rsid w:val="008D6243"/>
    <w:rsid w:val="008D6262"/>
    <w:rsid w:val="008D6380"/>
    <w:rsid w:val="008D6395"/>
    <w:rsid w:val="008D63B7"/>
    <w:rsid w:val="008D63F1"/>
    <w:rsid w:val="008D64F7"/>
    <w:rsid w:val="008D6536"/>
    <w:rsid w:val="008D65B4"/>
    <w:rsid w:val="008D65F2"/>
    <w:rsid w:val="008D6669"/>
    <w:rsid w:val="008D66C1"/>
    <w:rsid w:val="008D66FD"/>
    <w:rsid w:val="008D6706"/>
    <w:rsid w:val="008D6774"/>
    <w:rsid w:val="008D678E"/>
    <w:rsid w:val="008D67D0"/>
    <w:rsid w:val="008D6972"/>
    <w:rsid w:val="008D69E8"/>
    <w:rsid w:val="008D6A03"/>
    <w:rsid w:val="008D6AA1"/>
    <w:rsid w:val="008D6B72"/>
    <w:rsid w:val="008D6CA7"/>
    <w:rsid w:val="008D6D30"/>
    <w:rsid w:val="008D6D88"/>
    <w:rsid w:val="008D6D90"/>
    <w:rsid w:val="008D6DBA"/>
    <w:rsid w:val="008D6E0B"/>
    <w:rsid w:val="008D6F5A"/>
    <w:rsid w:val="008D721A"/>
    <w:rsid w:val="008D721D"/>
    <w:rsid w:val="008D7282"/>
    <w:rsid w:val="008D72AA"/>
    <w:rsid w:val="008D72B8"/>
    <w:rsid w:val="008D72FA"/>
    <w:rsid w:val="008D7347"/>
    <w:rsid w:val="008D734F"/>
    <w:rsid w:val="008D7391"/>
    <w:rsid w:val="008D7497"/>
    <w:rsid w:val="008D7559"/>
    <w:rsid w:val="008D7597"/>
    <w:rsid w:val="008D7758"/>
    <w:rsid w:val="008D781D"/>
    <w:rsid w:val="008D78D7"/>
    <w:rsid w:val="008D79C2"/>
    <w:rsid w:val="008D7A69"/>
    <w:rsid w:val="008D7AEE"/>
    <w:rsid w:val="008D7B1A"/>
    <w:rsid w:val="008D7B7F"/>
    <w:rsid w:val="008D7BC0"/>
    <w:rsid w:val="008E00A2"/>
    <w:rsid w:val="008E03A9"/>
    <w:rsid w:val="008E03C4"/>
    <w:rsid w:val="008E054F"/>
    <w:rsid w:val="008E05D8"/>
    <w:rsid w:val="008E0A7C"/>
    <w:rsid w:val="008E0D64"/>
    <w:rsid w:val="008E0E00"/>
    <w:rsid w:val="008E0E45"/>
    <w:rsid w:val="008E0F20"/>
    <w:rsid w:val="008E0FA4"/>
    <w:rsid w:val="008E128D"/>
    <w:rsid w:val="008E1439"/>
    <w:rsid w:val="008E1463"/>
    <w:rsid w:val="008E1766"/>
    <w:rsid w:val="008E1771"/>
    <w:rsid w:val="008E1823"/>
    <w:rsid w:val="008E194E"/>
    <w:rsid w:val="008E1A4F"/>
    <w:rsid w:val="008E1AA8"/>
    <w:rsid w:val="008E1BC2"/>
    <w:rsid w:val="008E1C81"/>
    <w:rsid w:val="008E1D0E"/>
    <w:rsid w:val="008E1DAC"/>
    <w:rsid w:val="008E1EA8"/>
    <w:rsid w:val="008E1FCC"/>
    <w:rsid w:val="008E20B7"/>
    <w:rsid w:val="008E2224"/>
    <w:rsid w:val="008E22CD"/>
    <w:rsid w:val="008E23CD"/>
    <w:rsid w:val="008E2556"/>
    <w:rsid w:val="008E25A0"/>
    <w:rsid w:val="008E274E"/>
    <w:rsid w:val="008E28BE"/>
    <w:rsid w:val="008E2BBD"/>
    <w:rsid w:val="008E2BCD"/>
    <w:rsid w:val="008E2C1A"/>
    <w:rsid w:val="008E2C58"/>
    <w:rsid w:val="008E2C75"/>
    <w:rsid w:val="008E2EAD"/>
    <w:rsid w:val="008E308F"/>
    <w:rsid w:val="008E31B0"/>
    <w:rsid w:val="008E3272"/>
    <w:rsid w:val="008E32A5"/>
    <w:rsid w:val="008E36C1"/>
    <w:rsid w:val="008E36F6"/>
    <w:rsid w:val="008E37D5"/>
    <w:rsid w:val="008E37F6"/>
    <w:rsid w:val="008E3848"/>
    <w:rsid w:val="008E3934"/>
    <w:rsid w:val="008E39AD"/>
    <w:rsid w:val="008E39DC"/>
    <w:rsid w:val="008E3A06"/>
    <w:rsid w:val="008E3AD4"/>
    <w:rsid w:val="008E3B72"/>
    <w:rsid w:val="008E3C5B"/>
    <w:rsid w:val="008E3CED"/>
    <w:rsid w:val="008E3D18"/>
    <w:rsid w:val="008E3DB5"/>
    <w:rsid w:val="008E3E84"/>
    <w:rsid w:val="008E3F62"/>
    <w:rsid w:val="008E408F"/>
    <w:rsid w:val="008E40F8"/>
    <w:rsid w:val="008E431C"/>
    <w:rsid w:val="008E4326"/>
    <w:rsid w:val="008E4368"/>
    <w:rsid w:val="008E4377"/>
    <w:rsid w:val="008E43F3"/>
    <w:rsid w:val="008E471F"/>
    <w:rsid w:val="008E47F4"/>
    <w:rsid w:val="008E4813"/>
    <w:rsid w:val="008E4847"/>
    <w:rsid w:val="008E488C"/>
    <w:rsid w:val="008E4A17"/>
    <w:rsid w:val="008E4AA4"/>
    <w:rsid w:val="008E4AE0"/>
    <w:rsid w:val="008E4D35"/>
    <w:rsid w:val="008E4EA6"/>
    <w:rsid w:val="008E4F1B"/>
    <w:rsid w:val="008E5083"/>
    <w:rsid w:val="008E508C"/>
    <w:rsid w:val="008E5200"/>
    <w:rsid w:val="008E52E6"/>
    <w:rsid w:val="008E52FC"/>
    <w:rsid w:val="008E5424"/>
    <w:rsid w:val="008E54A3"/>
    <w:rsid w:val="008E54DA"/>
    <w:rsid w:val="008E5677"/>
    <w:rsid w:val="008E56B2"/>
    <w:rsid w:val="008E5754"/>
    <w:rsid w:val="008E583E"/>
    <w:rsid w:val="008E59FD"/>
    <w:rsid w:val="008E5ACA"/>
    <w:rsid w:val="008E5B42"/>
    <w:rsid w:val="008E5C09"/>
    <w:rsid w:val="008E5C0D"/>
    <w:rsid w:val="008E5EEF"/>
    <w:rsid w:val="008E5F7C"/>
    <w:rsid w:val="008E5FF0"/>
    <w:rsid w:val="008E6071"/>
    <w:rsid w:val="008E613C"/>
    <w:rsid w:val="008E6339"/>
    <w:rsid w:val="008E641F"/>
    <w:rsid w:val="008E6494"/>
    <w:rsid w:val="008E65B7"/>
    <w:rsid w:val="008E65BA"/>
    <w:rsid w:val="008E684A"/>
    <w:rsid w:val="008E68EE"/>
    <w:rsid w:val="008E6926"/>
    <w:rsid w:val="008E695C"/>
    <w:rsid w:val="008E69C2"/>
    <w:rsid w:val="008E6C53"/>
    <w:rsid w:val="008E6E1E"/>
    <w:rsid w:val="008E6E20"/>
    <w:rsid w:val="008E706A"/>
    <w:rsid w:val="008E70BC"/>
    <w:rsid w:val="008E73D2"/>
    <w:rsid w:val="008E747B"/>
    <w:rsid w:val="008E748B"/>
    <w:rsid w:val="008E74B9"/>
    <w:rsid w:val="008E74FA"/>
    <w:rsid w:val="008E7529"/>
    <w:rsid w:val="008E7797"/>
    <w:rsid w:val="008E77EA"/>
    <w:rsid w:val="008E785D"/>
    <w:rsid w:val="008E7916"/>
    <w:rsid w:val="008E7A07"/>
    <w:rsid w:val="008E7A16"/>
    <w:rsid w:val="008E7B59"/>
    <w:rsid w:val="008E7CFF"/>
    <w:rsid w:val="008E7D67"/>
    <w:rsid w:val="008E7D93"/>
    <w:rsid w:val="008E7DF2"/>
    <w:rsid w:val="008E7E23"/>
    <w:rsid w:val="008E7E42"/>
    <w:rsid w:val="008E7E86"/>
    <w:rsid w:val="008E7F5A"/>
    <w:rsid w:val="008E7F8B"/>
    <w:rsid w:val="008E7FEE"/>
    <w:rsid w:val="008F0011"/>
    <w:rsid w:val="008F0017"/>
    <w:rsid w:val="008F00BD"/>
    <w:rsid w:val="008F0278"/>
    <w:rsid w:val="008F035B"/>
    <w:rsid w:val="008F03C9"/>
    <w:rsid w:val="008F04C1"/>
    <w:rsid w:val="008F0657"/>
    <w:rsid w:val="008F07C9"/>
    <w:rsid w:val="008F08C2"/>
    <w:rsid w:val="008F08FF"/>
    <w:rsid w:val="008F095B"/>
    <w:rsid w:val="008F0969"/>
    <w:rsid w:val="008F0AB9"/>
    <w:rsid w:val="008F0AFE"/>
    <w:rsid w:val="008F0B17"/>
    <w:rsid w:val="008F0B7C"/>
    <w:rsid w:val="008F0C36"/>
    <w:rsid w:val="008F0C6C"/>
    <w:rsid w:val="008F0CCE"/>
    <w:rsid w:val="008F0CDC"/>
    <w:rsid w:val="008F0E1F"/>
    <w:rsid w:val="008F0EC8"/>
    <w:rsid w:val="008F11C9"/>
    <w:rsid w:val="008F137D"/>
    <w:rsid w:val="008F14C7"/>
    <w:rsid w:val="008F1744"/>
    <w:rsid w:val="008F18A2"/>
    <w:rsid w:val="008F18FE"/>
    <w:rsid w:val="008F19E4"/>
    <w:rsid w:val="008F19E7"/>
    <w:rsid w:val="008F1AA5"/>
    <w:rsid w:val="008F1AD3"/>
    <w:rsid w:val="008F1B17"/>
    <w:rsid w:val="008F1CAD"/>
    <w:rsid w:val="008F1D1F"/>
    <w:rsid w:val="008F1D2A"/>
    <w:rsid w:val="008F1D31"/>
    <w:rsid w:val="008F1E26"/>
    <w:rsid w:val="008F1FB0"/>
    <w:rsid w:val="008F1FB1"/>
    <w:rsid w:val="008F1FC0"/>
    <w:rsid w:val="008F207F"/>
    <w:rsid w:val="008F2155"/>
    <w:rsid w:val="008F2196"/>
    <w:rsid w:val="008F221A"/>
    <w:rsid w:val="008F226B"/>
    <w:rsid w:val="008F2353"/>
    <w:rsid w:val="008F2354"/>
    <w:rsid w:val="008F24B4"/>
    <w:rsid w:val="008F257E"/>
    <w:rsid w:val="008F2620"/>
    <w:rsid w:val="008F269D"/>
    <w:rsid w:val="008F2795"/>
    <w:rsid w:val="008F27E4"/>
    <w:rsid w:val="008F2A53"/>
    <w:rsid w:val="008F2ACD"/>
    <w:rsid w:val="008F2C4F"/>
    <w:rsid w:val="008F2D33"/>
    <w:rsid w:val="008F2D4F"/>
    <w:rsid w:val="008F2DB4"/>
    <w:rsid w:val="008F2DD9"/>
    <w:rsid w:val="008F2E53"/>
    <w:rsid w:val="008F2E88"/>
    <w:rsid w:val="008F2F06"/>
    <w:rsid w:val="008F2F6B"/>
    <w:rsid w:val="008F2FC7"/>
    <w:rsid w:val="008F304B"/>
    <w:rsid w:val="008F3108"/>
    <w:rsid w:val="008F3161"/>
    <w:rsid w:val="008F3180"/>
    <w:rsid w:val="008F31F5"/>
    <w:rsid w:val="008F3319"/>
    <w:rsid w:val="008F33E9"/>
    <w:rsid w:val="008F340A"/>
    <w:rsid w:val="008F34C6"/>
    <w:rsid w:val="008F35F7"/>
    <w:rsid w:val="008F3719"/>
    <w:rsid w:val="008F3750"/>
    <w:rsid w:val="008F37C5"/>
    <w:rsid w:val="008F3977"/>
    <w:rsid w:val="008F3A00"/>
    <w:rsid w:val="008F3A50"/>
    <w:rsid w:val="008F3A65"/>
    <w:rsid w:val="008F3A88"/>
    <w:rsid w:val="008F3C09"/>
    <w:rsid w:val="008F3C3C"/>
    <w:rsid w:val="008F3C8E"/>
    <w:rsid w:val="008F3CFF"/>
    <w:rsid w:val="008F3E70"/>
    <w:rsid w:val="008F3E84"/>
    <w:rsid w:val="008F3F06"/>
    <w:rsid w:val="008F3F3C"/>
    <w:rsid w:val="008F3F4B"/>
    <w:rsid w:val="008F3F98"/>
    <w:rsid w:val="008F3FAC"/>
    <w:rsid w:val="008F3FEB"/>
    <w:rsid w:val="008F406B"/>
    <w:rsid w:val="008F4128"/>
    <w:rsid w:val="008F42CE"/>
    <w:rsid w:val="008F43AD"/>
    <w:rsid w:val="008F43F6"/>
    <w:rsid w:val="008F461B"/>
    <w:rsid w:val="008F46AE"/>
    <w:rsid w:val="008F4747"/>
    <w:rsid w:val="008F47B0"/>
    <w:rsid w:val="008F4884"/>
    <w:rsid w:val="008F4B27"/>
    <w:rsid w:val="008F4BF3"/>
    <w:rsid w:val="008F4C00"/>
    <w:rsid w:val="008F4C23"/>
    <w:rsid w:val="008F4CB3"/>
    <w:rsid w:val="008F4CDD"/>
    <w:rsid w:val="008F4EB0"/>
    <w:rsid w:val="008F4FE4"/>
    <w:rsid w:val="008F5097"/>
    <w:rsid w:val="008F50E4"/>
    <w:rsid w:val="008F519F"/>
    <w:rsid w:val="008F5201"/>
    <w:rsid w:val="008F523D"/>
    <w:rsid w:val="008F5275"/>
    <w:rsid w:val="008F5438"/>
    <w:rsid w:val="008F544D"/>
    <w:rsid w:val="008F5760"/>
    <w:rsid w:val="008F58CB"/>
    <w:rsid w:val="008F58CC"/>
    <w:rsid w:val="008F5AEB"/>
    <w:rsid w:val="008F5B16"/>
    <w:rsid w:val="008F5B64"/>
    <w:rsid w:val="008F5DC3"/>
    <w:rsid w:val="008F5F44"/>
    <w:rsid w:val="008F5F7A"/>
    <w:rsid w:val="008F5F8C"/>
    <w:rsid w:val="008F5FA7"/>
    <w:rsid w:val="008F5FE8"/>
    <w:rsid w:val="008F6048"/>
    <w:rsid w:val="008F61BF"/>
    <w:rsid w:val="008F61E5"/>
    <w:rsid w:val="008F6277"/>
    <w:rsid w:val="008F62D2"/>
    <w:rsid w:val="008F62F4"/>
    <w:rsid w:val="008F6341"/>
    <w:rsid w:val="008F65A6"/>
    <w:rsid w:val="008F666A"/>
    <w:rsid w:val="008F67F5"/>
    <w:rsid w:val="008F687B"/>
    <w:rsid w:val="008F68AE"/>
    <w:rsid w:val="008F6932"/>
    <w:rsid w:val="008F6A0D"/>
    <w:rsid w:val="008F6B28"/>
    <w:rsid w:val="008F6BCE"/>
    <w:rsid w:val="008F6F1C"/>
    <w:rsid w:val="008F6F3A"/>
    <w:rsid w:val="008F7078"/>
    <w:rsid w:val="008F7198"/>
    <w:rsid w:val="008F7199"/>
    <w:rsid w:val="008F724A"/>
    <w:rsid w:val="008F74B6"/>
    <w:rsid w:val="008F74F5"/>
    <w:rsid w:val="008F755D"/>
    <w:rsid w:val="008F756A"/>
    <w:rsid w:val="008F76E7"/>
    <w:rsid w:val="008F7752"/>
    <w:rsid w:val="008F77C0"/>
    <w:rsid w:val="008F77CE"/>
    <w:rsid w:val="008F784D"/>
    <w:rsid w:val="008F7A23"/>
    <w:rsid w:val="008F7B10"/>
    <w:rsid w:val="008F7C53"/>
    <w:rsid w:val="008F7C6A"/>
    <w:rsid w:val="008F7C89"/>
    <w:rsid w:val="008F7CBA"/>
    <w:rsid w:val="008F7DB6"/>
    <w:rsid w:val="008F7F70"/>
    <w:rsid w:val="009001A2"/>
    <w:rsid w:val="009001B8"/>
    <w:rsid w:val="009001FD"/>
    <w:rsid w:val="009002E0"/>
    <w:rsid w:val="009002F4"/>
    <w:rsid w:val="0090053F"/>
    <w:rsid w:val="00900604"/>
    <w:rsid w:val="00900617"/>
    <w:rsid w:val="0090065D"/>
    <w:rsid w:val="009006B0"/>
    <w:rsid w:val="00900743"/>
    <w:rsid w:val="00900878"/>
    <w:rsid w:val="009009F3"/>
    <w:rsid w:val="00900A9A"/>
    <w:rsid w:val="00900B2E"/>
    <w:rsid w:val="00900C3E"/>
    <w:rsid w:val="00900D4B"/>
    <w:rsid w:val="00900E46"/>
    <w:rsid w:val="00900F52"/>
    <w:rsid w:val="00900F85"/>
    <w:rsid w:val="00901047"/>
    <w:rsid w:val="00901210"/>
    <w:rsid w:val="00901253"/>
    <w:rsid w:val="009012D5"/>
    <w:rsid w:val="009013B2"/>
    <w:rsid w:val="0090150A"/>
    <w:rsid w:val="00901546"/>
    <w:rsid w:val="009016E0"/>
    <w:rsid w:val="0090175A"/>
    <w:rsid w:val="009017C5"/>
    <w:rsid w:val="00901814"/>
    <w:rsid w:val="0090181F"/>
    <w:rsid w:val="0090183E"/>
    <w:rsid w:val="00901932"/>
    <w:rsid w:val="0090196E"/>
    <w:rsid w:val="00901AF8"/>
    <w:rsid w:val="00901BD6"/>
    <w:rsid w:val="00901D5F"/>
    <w:rsid w:val="00901D8E"/>
    <w:rsid w:val="00901E0B"/>
    <w:rsid w:val="00901FA5"/>
    <w:rsid w:val="0090210E"/>
    <w:rsid w:val="009021C8"/>
    <w:rsid w:val="0090222A"/>
    <w:rsid w:val="009023D2"/>
    <w:rsid w:val="009023EE"/>
    <w:rsid w:val="00902645"/>
    <w:rsid w:val="00902646"/>
    <w:rsid w:val="0090288D"/>
    <w:rsid w:val="009028FB"/>
    <w:rsid w:val="009029B7"/>
    <w:rsid w:val="00902C7F"/>
    <w:rsid w:val="00902E26"/>
    <w:rsid w:val="00903010"/>
    <w:rsid w:val="00903068"/>
    <w:rsid w:val="009030FE"/>
    <w:rsid w:val="0090320A"/>
    <w:rsid w:val="00903228"/>
    <w:rsid w:val="00903260"/>
    <w:rsid w:val="0090338A"/>
    <w:rsid w:val="00903443"/>
    <w:rsid w:val="00903485"/>
    <w:rsid w:val="009035CC"/>
    <w:rsid w:val="009035E2"/>
    <w:rsid w:val="009038A2"/>
    <w:rsid w:val="00903A61"/>
    <w:rsid w:val="00903ADA"/>
    <w:rsid w:val="00903BA7"/>
    <w:rsid w:val="00903C88"/>
    <w:rsid w:val="00903EA5"/>
    <w:rsid w:val="00903F1A"/>
    <w:rsid w:val="009041AE"/>
    <w:rsid w:val="00904572"/>
    <w:rsid w:val="009045A3"/>
    <w:rsid w:val="009046CB"/>
    <w:rsid w:val="009048FA"/>
    <w:rsid w:val="009048FE"/>
    <w:rsid w:val="009049A5"/>
    <w:rsid w:val="00904A3E"/>
    <w:rsid w:val="00904B0B"/>
    <w:rsid w:val="00904B17"/>
    <w:rsid w:val="00904BD0"/>
    <w:rsid w:val="00904D98"/>
    <w:rsid w:val="00904E7B"/>
    <w:rsid w:val="00904E90"/>
    <w:rsid w:val="00904EA6"/>
    <w:rsid w:val="00904EC3"/>
    <w:rsid w:val="00904F50"/>
    <w:rsid w:val="00904FA5"/>
    <w:rsid w:val="00904FD9"/>
    <w:rsid w:val="00904FE3"/>
    <w:rsid w:val="00904FF4"/>
    <w:rsid w:val="00905183"/>
    <w:rsid w:val="009051FF"/>
    <w:rsid w:val="00905209"/>
    <w:rsid w:val="00905327"/>
    <w:rsid w:val="00905383"/>
    <w:rsid w:val="009055B9"/>
    <w:rsid w:val="009055D3"/>
    <w:rsid w:val="00905601"/>
    <w:rsid w:val="00905690"/>
    <w:rsid w:val="0090570D"/>
    <w:rsid w:val="009057B5"/>
    <w:rsid w:val="0090583A"/>
    <w:rsid w:val="0090587F"/>
    <w:rsid w:val="00905A7A"/>
    <w:rsid w:val="00905ABC"/>
    <w:rsid w:val="00905C52"/>
    <w:rsid w:val="00905D48"/>
    <w:rsid w:val="00905D69"/>
    <w:rsid w:val="00905E32"/>
    <w:rsid w:val="00905F90"/>
    <w:rsid w:val="00905F9B"/>
    <w:rsid w:val="00906185"/>
    <w:rsid w:val="00906285"/>
    <w:rsid w:val="009062E5"/>
    <w:rsid w:val="00906335"/>
    <w:rsid w:val="0090635E"/>
    <w:rsid w:val="009063B6"/>
    <w:rsid w:val="00906490"/>
    <w:rsid w:val="0090655F"/>
    <w:rsid w:val="009065F6"/>
    <w:rsid w:val="009066C3"/>
    <w:rsid w:val="0090688F"/>
    <w:rsid w:val="0090692C"/>
    <w:rsid w:val="00906A10"/>
    <w:rsid w:val="00906A1C"/>
    <w:rsid w:val="00906B75"/>
    <w:rsid w:val="00906B8F"/>
    <w:rsid w:val="00906B96"/>
    <w:rsid w:val="00906C60"/>
    <w:rsid w:val="00906EA5"/>
    <w:rsid w:val="009070A8"/>
    <w:rsid w:val="009071A9"/>
    <w:rsid w:val="00907221"/>
    <w:rsid w:val="009075B2"/>
    <w:rsid w:val="0090763D"/>
    <w:rsid w:val="00907692"/>
    <w:rsid w:val="0090785D"/>
    <w:rsid w:val="009078CC"/>
    <w:rsid w:val="009079C5"/>
    <w:rsid w:val="00907BF1"/>
    <w:rsid w:val="00907C60"/>
    <w:rsid w:val="00907D96"/>
    <w:rsid w:val="00907E19"/>
    <w:rsid w:val="00907E5C"/>
    <w:rsid w:val="00907E7D"/>
    <w:rsid w:val="00907F56"/>
    <w:rsid w:val="00907FE6"/>
    <w:rsid w:val="00910096"/>
    <w:rsid w:val="009100D9"/>
    <w:rsid w:val="009100FE"/>
    <w:rsid w:val="009102C5"/>
    <w:rsid w:val="009102FA"/>
    <w:rsid w:val="0091035C"/>
    <w:rsid w:val="009105D9"/>
    <w:rsid w:val="009108F9"/>
    <w:rsid w:val="00910A37"/>
    <w:rsid w:val="00910BEF"/>
    <w:rsid w:val="00910BFA"/>
    <w:rsid w:val="00910C25"/>
    <w:rsid w:val="00910C4E"/>
    <w:rsid w:val="00910C63"/>
    <w:rsid w:val="00910C73"/>
    <w:rsid w:val="00910F3C"/>
    <w:rsid w:val="00910F4A"/>
    <w:rsid w:val="0091112F"/>
    <w:rsid w:val="009113B8"/>
    <w:rsid w:val="009113CF"/>
    <w:rsid w:val="00911438"/>
    <w:rsid w:val="009114A2"/>
    <w:rsid w:val="0091173D"/>
    <w:rsid w:val="0091184E"/>
    <w:rsid w:val="00911858"/>
    <w:rsid w:val="009118AD"/>
    <w:rsid w:val="00911ADE"/>
    <w:rsid w:val="00911CB2"/>
    <w:rsid w:val="00911D72"/>
    <w:rsid w:val="00911E17"/>
    <w:rsid w:val="00911E36"/>
    <w:rsid w:val="00911FC2"/>
    <w:rsid w:val="009121FB"/>
    <w:rsid w:val="0091233E"/>
    <w:rsid w:val="0091260F"/>
    <w:rsid w:val="009126E9"/>
    <w:rsid w:val="00912796"/>
    <w:rsid w:val="0091287D"/>
    <w:rsid w:val="00912926"/>
    <w:rsid w:val="009129C1"/>
    <w:rsid w:val="00912B14"/>
    <w:rsid w:val="00912C53"/>
    <w:rsid w:val="00912CB0"/>
    <w:rsid w:val="00912CD2"/>
    <w:rsid w:val="00912DEB"/>
    <w:rsid w:val="00912E18"/>
    <w:rsid w:val="00912E51"/>
    <w:rsid w:val="00912EE5"/>
    <w:rsid w:val="00912F3E"/>
    <w:rsid w:val="009131BE"/>
    <w:rsid w:val="009132CE"/>
    <w:rsid w:val="009135A5"/>
    <w:rsid w:val="00913642"/>
    <w:rsid w:val="009138FC"/>
    <w:rsid w:val="00913926"/>
    <w:rsid w:val="009139CA"/>
    <w:rsid w:val="009139D0"/>
    <w:rsid w:val="00913AA3"/>
    <w:rsid w:val="00913BDD"/>
    <w:rsid w:val="00913D6A"/>
    <w:rsid w:val="00913E95"/>
    <w:rsid w:val="00914024"/>
    <w:rsid w:val="00914140"/>
    <w:rsid w:val="0091427D"/>
    <w:rsid w:val="009142A3"/>
    <w:rsid w:val="009146EE"/>
    <w:rsid w:val="00914727"/>
    <w:rsid w:val="00914777"/>
    <w:rsid w:val="00914783"/>
    <w:rsid w:val="00914867"/>
    <w:rsid w:val="00914898"/>
    <w:rsid w:val="00914959"/>
    <w:rsid w:val="009149C8"/>
    <w:rsid w:val="00914A89"/>
    <w:rsid w:val="00914B0C"/>
    <w:rsid w:val="00914B39"/>
    <w:rsid w:val="00914BC5"/>
    <w:rsid w:val="00914D30"/>
    <w:rsid w:val="00914D6A"/>
    <w:rsid w:val="00914EB6"/>
    <w:rsid w:val="00914EC3"/>
    <w:rsid w:val="00914FEF"/>
    <w:rsid w:val="0091501C"/>
    <w:rsid w:val="00915118"/>
    <w:rsid w:val="0091518A"/>
    <w:rsid w:val="009151A1"/>
    <w:rsid w:val="00915250"/>
    <w:rsid w:val="0091526D"/>
    <w:rsid w:val="009152A8"/>
    <w:rsid w:val="00915333"/>
    <w:rsid w:val="009153AA"/>
    <w:rsid w:val="009153AF"/>
    <w:rsid w:val="009154C8"/>
    <w:rsid w:val="009155BD"/>
    <w:rsid w:val="0091567E"/>
    <w:rsid w:val="0091570A"/>
    <w:rsid w:val="00915783"/>
    <w:rsid w:val="0091587A"/>
    <w:rsid w:val="009158D4"/>
    <w:rsid w:val="0091597E"/>
    <w:rsid w:val="009159D3"/>
    <w:rsid w:val="009159E3"/>
    <w:rsid w:val="00915B07"/>
    <w:rsid w:val="00915B53"/>
    <w:rsid w:val="00915B60"/>
    <w:rsid w:val="00915EBF"/>
    <w:rsid w:val="00916090"/>
    <w:rsid w:val="009161D2"/>
    <w:rsid w:val="00916246"/>
    <w:rsid w:val="00916322"/>
    <w:rsid w:val="009163B1"/>
    <w:rsid w:val="009163E0"/>
    <w:rsid w:val="009164D8"/>
    <w:rsid w:val="0091655E"/>
    <w:rsid w:val="009165B2"/>
    <w:rsid w:val="009165E2"/>
    <w:rsid w:val="009165EA"/>
    <w:rsid w:val="009168E9"/>
    <w:rsid w:val="00916BEC"/>
    <w:rsid w:val="00916FA3"/>
    <w:rsid w:val="00917013"/>
    <w:rsid w:val="00917029"/>
    <w:rsid w:val="009170B9"/>
    <w:rsid w:val="0091721F"/>
    <w:rsid w:val="009172D7"/>
    <w:rsid w:val="009172F9"/>
    <w:rsid w:val="009173D0"/>
    <w:rsid w:val="0091745D"/>
    <w:rsid w:val="009174CC"/>
    <w:rsid w:val="0091757A"/>
    <w:rsid w:val="009175B3"/>
    <w:rsid w:val="00917618"/>
    <w:rsid w:val="00917650"/>
    <w:rsid w:val="009176AD"/>
    <w:rsid w:val="0091779D"/>
    <w:rsid w:val="00917805"/>
    <w:rsid w:val="00917811"/>
    <w:rsid w:val="0091787B"/>
    <w:rsid w:val="009178C6"/>
    <w:rsid w:val="0091790F"/>
    <w:rsid w:val="00917A1B"/>
    <w:rsid w:val="00917A2D"/>
    <w:rsid w:val="00917B6D"/>
    <w:rsid w:val="00917BE0"/>
    <w:rsid w:val="00917C7D"/>
    <w:rsid w:val="00917CAA"/>
    <w:rsid w:val="00917DB9"/>
    <w:rsid w:val="00917DCC"/>
    <w:rsid w:val="00917E39"/>
    <w:rsid w:val="00917ED2"/>
    <w:rsid w:val="00917F76"/>
    <w:rsid w:val="00920054"/>
    <w:rsid w:val="0092016E"/>
    <w:rsid w:val="0092020B"/>
    <w:rsid w:val="0092020C"/>
    <w:rsid w:val="00920251"/>
    <w:rsid w:val="00920279"/>
    <w:rsid w:val="009203D1"/>
    <w:rsid w:val="009204A9"/>
    <w:rsid w:val="0092052E"/>
    <w:rsid w:val="00920532"/>
    <w:rsid w:val="0092058F"/>
    <w:rsid w:val="00920598"/>
    <w:rsid w:val="009205E0"/>
    <w:rsid w:val="0092063E"/>
    <w:rsid w:val="0092069D"/>
    <w:rsid w:val="00920786"/>
    <w:rsid w:val="00920804"/>
    <w:rsid w:val="00920A7C"/>
    <w:rsid w:val="00920BDF"/>
    <w:rsid w:val="00920C27"/>
    <w:rsid w:val="00920CA9"/>
    <w:rsid w:val="00920E06"/>
    <w:rsid w:val="00920E86"/>
    <w:rsid w:val="00920F05"/>
    <w:rsid w:val="0092102F"/>
    <w:rsid w:val="00921039"/>
    <w:rsid w:val="0092103A"/>
    <w:rsid w:val="0092105F"/>
    <w:rsid w:val="00921072"/>
    <w:rsid w:val="0092124F"/>
    <w:rsid w:val="009212A3"/>
    <w:rsid w:val="00921459"/>
    <w:rsid w:val="00921624"/>
    <w:rsid w:val="00921693"/>
    <w:rsid w:val="009216A6"/>
    <w:rsid w:val="009216A8"/>
    <w:rsid w:val="009216D7"/>
    <w:rsid w:val="009217A9"/>
    <w:rsid w:val="009217DD"/>
    <w:rsid w:val="00921856"/>
    <w:rsid w:val="00921930"/>
    <w:rsid w:val="00921935"/>
    <w:rsid w:val="00921993"/>
    <w:rsid w:val="00921B24"/>
    <w:rsid w:val="00921CD6"/>
    <w:rsid w:val="00921DB4"/>
    <w:rsid w:val="0092204F"/>
    <w:rsid w:val="0092218F"/>
    <w:rsid w:val="00922231"/>
    <w:rsid w:val="009222FB"/>
    <w:rsid w:val="009224BE"/>
    <w:rsid w:val="00922597"/>
    <w:rsid w:val="009225AA"/>
    <w:rsid w:val="009225C2"/>
    <w:rsid w:val="009226BA"/>
    <w:rsid w:val="0092275E"/>
    <w:rsid w:val="0092285F"/>
    <w:rsid w:val="00922AB0"/>
    <w:rsid w:val="00922B25"/>
    <w:rsid w:val="00922BAB"/>
    <w:rsid w:val="00922C18"/>
    <w:rsid w:val="00922C44"/>
    <w:rsid w:val="00922D2B"/>
    <w:rsid w:val="00922E3F"/>
    <w:rsid w:val="00922ED4"/>
    <w:rsid w:val="0092301F"/>
    <w:rsid w:val="0092308D"/>
    <w:rsid w:val="009230FF"/>
    <w:rsid w:val="009237C1"/>
    <w:rsid w:val="00923811"/>
    <w:rsid w:val="00923A2A"/>
    <w:rsid w:val="00923A87"/>
    <w:rsid w:val="00923AAD"/>
    <w:rsid w:val="00923B03"/>
    <w:rsid w:val="00923BCA"/>
    <w:rsid w:val="00923C30"/>
    <w:rsid w:val="00923C4B"/>
    <w:rsid w:val="00923D5C"/>
    <w:rsid w:val="00923EC8"/>
    <w:rsid w:val="0092403E"/>
    <w:rsid w:val="009240BF"/>
    <w:rsid w:val="009241E2"/>
    <w:rsid w:val="00924330"/>
    <w:rsid w:val="0092452E"/>
    <w:rsid w:val="00924597"/>
    <w:rsid w:val="009245A0"/>
    <w:rsid w:val="009245A4"/>
    <w:rsid w:val="0092465B"/>
    <w:rsid w:val="009246EB"/>
    <w:rsid w:val="00924727"/>
    <w:rsid w:val="009247B5"/>
    <w:rsid w:val="00924961"/>
    <w:rsid w:val="009249EC"/>
    <w:rsid w:val="00924A2E"/>
    <w:rsid w:val="00924A5A"/>
    <w:rsid w:val="00924B78"/>
    <w:rsid w:val="00924C00"/>
    <w:rsid w:val="00924D5E"/>
    <w:rsid w:val="00924DDE"/>
    <w:rsid w:val="00924DE5"/>
    <w:rsid w:val="00924E7E"/>
    <w:rsid w:val="00924F1A"/>
    <w:rsid w:val="00924F52"/>
    <w:rsid w:val="00924F5B"/>
    <w:rsid w:val="00925484"/>
    <w:rsid w:val="009254D0"/>
    <w:rsid w:val="0092553F"/>
    <w:rsid w:val="00925556"/>
    <w:rsid w:val="00925584"/>
    <w:rsid w:val="009255C9"/>
    <w:rsid w:val="00925908"/>
    <w:rsid w:val="009259A9"/>
    <w:rsid w:val="00925AA2"/>
    <w:rsid w:val="00925B75"/>
    <w:rsid w:val="00925BB7"/>
    <w:rsid w:val="00925CCE"/>
    <w:rsid w:val="00925D2A"/>
    <w:rsid w:val="00925D38"/>
    <w:rsid w:val="00925D91"/>
    <w:rsid w:val="00925E08"/>
    <w:rsid w:val="00925FD8"/>
    <w:rsid w:val="0092600C"/>
    <w:rsid w:val="00926054"/>
    <w:rsid w:val="00926064"/>
    <w:rsid w:val="0092609D"/>
    <w:rsid w:val="00926135"/>
    <w:rsid w:val="00926154"/>
    <w:rsid w:val="00926296"/>
    <w:rsid w:val="009265CF"/>
    <w:rsid w:val="0092668A"/>
    <w:rsid w:val="00926826"/>
    <w:rsid w:val="00926858"/>
    <w:rsid w:val="00926888"/>
    <w:rsid w:val="00926B1A"/>
    <w:rsid w:val="00926D14"/>
    <w:rsid w:val="00926D3C"/>
    <w:rsid w:val="00926D75"/>
    <w:rsid w:val="00926DE5"/>
    <w:rsid w:val="00926E67"/>
    <w:rsid w:val="009271C6"/>
    <w:rsid w:val="009271C8"/>
    <w:rsid w:val="009272DC"/>
    <w:rsid w:val="00927324"/>
    <w:rsid w:val="00927390"/>
    <w:rsid w:val="00927408"/>
    <w:rsid w:val="0092745E"/>
    <w:rsid w:val="00927482"/>
    <w:rsid w:val="00927546"/>
    <w:rsid w:val="0092761F"/>
    <w:rsid w:val="00927690"/>
    <w:rsid w:val="0092770C"/>
    <w:rsid w:val="0092778C"/>
    <w:rsid w:val="00927862"/>
    <w:rsid w:val="00927A8D"/>
    <w:rsid w:val="00927AC9"/>
    <w:rsid w:val="00927AD5"/>
    <w:rsid w:val="00927DAF"/>
    <w:rsid w:val="00927F23"/>
    <w:rsid w:val="00927F4F"/>
    <w:rsid w:val="00927F5B"/>
    <w:rsid w:val="00927F67"/>
    <w:rsid w:val="00930014"/>
    <w:rsid w:val="00930081"/>
    <w:rsid w:val="0093017C"/>
    <w:rsid w:val="009302D8"/>
    <w:rsid w:val="0093031B"/>
    <w:rsid w:val="00930616"/>
    <w:rsid w:val="00930691"/>
    <w:rsid w:val="009306E9"/>
    <w:rsid w:val="00930873"/>
    <w:rsid w:val="0093088E"/>
    <w:rsid w:val="00930BA4"/>
    <w:rsid w:val="00930C6E"/>
    <w:rsid w:val="00930D8A"/>
    <w:rsid w:val="00930EE3"/>
    <w:rsid w:val="00930EE8"/>
    <w:rsid w:val="00930FC6"/>
    <w:rsid w:val="0093108E"/>
    <w:rsid w:val="00931227"/>
    <w:rsid w:val="0093123D"/>
    <w:rsid w:val="00931287"/>
    <w:rsid w:val="0093130D"/>
    <w:rsid w:val="009313A1"/>
    <w:rsid w:val="009314CC"/>
    <w:rsid w:val="0093169E"/>
    <w:rsid w:val="009318A2"/>
    <w:rsid w:val="00931913"/>
    <w:rsid w:val="00931926"/>
    <w:rsid w:val="00931AC7"/>
    <w:rsid w:val="00931AED"/>
    <w:rsid w:val="00931B4D"/>
    <w:rsid w:val="00931E3C"/>
    <w:rsid w:val="00931EDF"/>
    <w:rsid w:val="00931F8C"/>
    <w:rsid w:val="00931F96"/>
    <w:rsid w:val="00931FF8"/>
    <w:rsid w:val="0093201D"/>
    <w:rsid w:val="00932064"/>
    <w:rsid w:val="00932096"/>
    <w:rsid w:val="009321E3"/>
    <w:rsid w:val="00932290"/>
    <w:rsid w:val="009322A8"/>
    <w:rsid w:val="00932508"/>
    <w:rsid w:val="009325BE"/>
    <w:rsid w:val="00932609"/>
    <w:rsid w:val="0093274A"/>
    <w:rsid w:val="00932765"/>
    <w:rsid w:val="009327E3"/>
    <w:rsid w:val="00932926"/>
    <w:rsid w:val="00932953"/>
    <w:rsid w:val="00932C58"/>
    <w:rsid w:val="00932C68"/>
    <w:rsid w:val="00932D8A"/>
    <w:rsid w:val="00932E50"/>
    <w:rsid w:val="00932F78"/>
    <w:rsid w:val="00933144"/>
    <w:rsid w:val="00933150"/>
    <w:rsid w:val="00933180"/>
    <w:rsid w:val="009331A8"/>
    <w:rsid w:val="009331ED"/>
    <w:rsid w:val="00933235"/>
    <w:rsid w:val="009332D8"/>
    <w:rsid w:val="009335CB"/>
    <w:rsid w:val="00933920"/>
    <w:rsid w:val="00933A19"/>
    <w:rsid w:val="00933ACE"/>
    <w:rsid w:val="00933B1C"/>
    <w:rsid w:val="00933B64"/>
    <w:rsid w:val="00933D60"/>
    <w:rsid w:val="00933D6E"/>
    <w:rsid w:val="00933DA0"/>
    <w:rsid w:val="00933DE2"/>
    <w:rsid w:val="00933F56"/>
    <w:rsid w:val="00933F5D"/>
    <w:rsid w:val="00933FE4"/>
    <w:rsid w:val="00934121"/>
    <w:rsid w:val="00934131"/>
    <w:rsid w:val="00934249"/>
    <w:rsid w:val="0093426E"/>
    <w:rsid w:val="0093427C"/>
    <w:rsid w:val="009342F3"/>
    <w:rsid w:val="00934350"/>
    <w:rsid w:val="00934368"/>
    <w:rsid w:val="009343B2"/>
    <w:rsid w:val="009343F8"/>
    <w:rsid w:val="00934431"/>
    <w:rsid w:val="0093449E"/>
    <w:rsid w:val="009344EE"/>
    <w:rsid w:val="00934618"/>
    <w:rsid w:val="0093464B"/>
    <w:rsid w:val="0093472F"/>
    <w:rsid w:val="009347C9"/>
    <w:rsid w:val="009347F9"/>
    <w:rsid w:val="00934816"/>
    <w:rsid w:val="009348C4"/>
    <w:rsid w:val="009348F9"/>
    <w:rsid w:val="009349A7"/>
    <w:rsid w:val="00934A85"/>
    <w:rsid w:val="00934BC8"/>
    <w:rsid w:val="00934DB4"/>
    <w:rsid w:val="00934E80"/>
    <w:rsid w:val="00934FB6"/>
    <w:rsid w:val="00934FE4"/>
    <w:rsid w:val="0093542E"/>
    <w:rsid w:val="0093543D"/>
    <w:rsid w:val="00935485"/>
    <w:rsid w:val="009354C5"/>
    <w:rsid w:val="00935570"/>
    <w:rsid w:val="00935667"/>
    <w:rsid w:val="009356D8"/>
    <w:rsid w:val="0093595C"/>
    <w:rsid w:val="00935986"/>
    <w:rsid w:val="00935ABB"/>
    <w:rsid w:val="00935C64"/>
    <w:rsid w:val="00935CB6"/>
    <w:rsid w:val="00935CF5"/>
    <w:rsid w:val="00935F0C"/>
    <w:rsid w:val="0093601E"/>
    <w:rsid w:val="009361E8"/>
    <w:rsid w:val="00936223"/>
    <w:rsid w:val="0093644F"/>
    <w:rsid w:val="00936550"/>
    <w:rsid w:val="009365D2"/>
    <w:rsid w:val="0093687F"/>
    <w:rsid w:val="00936937"/>
    <w:rsid w:val="00936A44"/>
    <w:rsid w:val="00936A65"/>
    <w:rsid w:val="00936AC2"/>
    <w:rsid w:val="00936C81"/>
    <w:rsid w:val="00936E29"/>
    <w:rsid w:val="00936E60"/>
    <w:rsid w:val="00936F01"/>
    <w:rsid w:val="00936F32"/>
    <w:rsid w:val="00936FF5"/>
    <w:rsid w:val="00936FFA"/>
    <w:rsid w:val="00937062"/>
    <w:rsid w:val="00937250"/>
    <w:rsid w:val="009372DB"/>
    <w:rsid w:val="00937341"/>
    <w:rsid w:val="009373D7"/>
    <w:rsid w:val="0093744C"/>
    <w:rsid w:val="009374AC"/>
    <w:rsid w:val="00937512"/>
    <w:rsid w:val="0093757A"/>
    <w:rsid w:val="00937640"/>
    <w:rsid w:val="0093774A"/>
    <w:rsid w:val="0093778B"/>
    <w:rsid w:val="009378FD"/>
    <w:rsid w:val="00937A96"/>
    <w:rsid w:val="00937BF8"/>
    <w:rsid w:val="00937D30"/>
    <w:rsid w:val="00937D59"/>
    <w:rsid w:val="0093A404"/>
    <w:rsid w:val="0094000C"/>
    <w:rsid w:val="00940022"/>
    <w:rsid w:val="00940185"/>
    <w:rsid w:val="0094018C"/>
    <w:rsid w:val="0094026E"/>
    <w:rsid w:val="00940509"/>
    <w:rsid w:val="00940624"/>
    <w:rsid w:val="009407DB"/>
    <w:rsid w:val="009408D3"/>
    <w:rsid w:val="009408F7"/>
    <w:rsid w:val="00940900"/>
    <w:rsid w:val="00940A23"/>
    <w:rsid w:val="00940B0E"/>
    <w:rsid w:val="00940B18"/>
    <w:rsid w:val="00940B73"/>
    <w:rsid w:val="00940D75"/>
    <w:rsid w:val="00940D7D"/>
    <w:rsid w:val="00940DE9"/>
    <w:rsid w:val="00940E32"/>
    <w:rsid w:val="00940E56"/>
    <w:rsid w:val="00940F11"/>
    <w:rsid w:val="00940FA5"/>
    <w:rsid w:val="00940FC1"/>
    <w:rsid w:val="00941053"/>
    <w:rsid w:val="00941193"/>
    <w:rsid w:val="009412B7"/>
    <w:rsid w:val="0094133D"/>
    <w:rsid w:val="009413DF"/>
    <w:rsid w:val="00941577"/>
    <w:rsid w:val="00941597"/>
    <w:rsid w:val="00941715"/>
    <w:rsid w:val="00941727"/>
    <w:rsid w:val="009417DC"/>
    <w:rsid w:val="00941851"/>
    <w:rsid w:val="009418B6"/>
    <w:rsid w:val="009418C1"/>
    <w:rsid w:val="00941968"/>
    <w:rsid w:val="00941A3A"/>
    <w:rsid w:val="00941B8C"/>
    <w:rsid w:val="00941F82"/>
    <w:rsid w:val="00941FA9"/>
    <w:rsid w:val="009420C5"/>
    <w:rsid w:val="009420DA"/>
    <w:rsid w:val="009422A2"/>
    <w:rsid w:val="009422F5"/>
    <w:rsid w:val="009423B3"/>
    <w:rsid w:val="0094252E"/>
    <w:rsid w:val="0094267A"/>
    <w:rsid w:val="009427F4"/>
    <w:rsid w:val="0094280E"/>
    <w:rsid w:val="009429E6"/>
    <w:rsid w:val="009429EC"/>
    <w:rsid w:val="00942A92"/>
    <w:rsid w:val="00942B3C"/>
    <w:rsid w:val="00942CBA"/>
    <w:rsid w:val="00942EBC"/>
    <w:rsid w:val="00942ECD"/>
    <w:rsid w:val="00942F88"/>
    <w:rsid w:val="0094305A"/>
    <w:rsid w:val="00943154"/>
    <w:rsid w:val="00943208"/>
    <w:rsid w:val="00943498"/>
    <w:rsid w:val="00943503"/>
    <w:rsid w:val="009435BC"/>
    <w:rsid w:val="0094361F"/>
    <w:rsid w:val="0094364F"/>
    <w:rsid w:val="00943665"/>
    <w:rsid w:val="0094393A"/>
    <w:rsid w:val="00943AB4"/>
    <w:rsid w:val="00943BCF"/>
    <w:rsid w:val="00943C8C"/>
    <w:rsid w:val="00943CD1"/>
    <w:rsid w:val="00943D16"/>
    <w:rsid w:val="00943E5E"/>
    <w:rsid w:val="00943F00"/>
    <w:rsid w:val="00943FA9"/>
    <w:rsid w:val="009440C7"/>
    <w:rsid w:val="009441C4"/>
    <w:rsid w:val="009443A1"/>
    <w:rsid w:val="0094450A"/>
    <w:rsid w:val="009446B6"/>
    <w:rsid w:val="009447D9"/>
    <w:rsid w:val="009447E7"/>
    <w:rsid w:val="00944A18"/>
    <w:rsid w:val="00944A9A"/>
    <w:rsid w:val="00944CE6"/>
    <w:rsid w:val="00944D09"/>
    <w:rsid w:val="00944EA6"/>
    <w:rsid w:val="00944EF1"/>
    <w:rsid w:val="00945193"/>
    <w:rsid w:val="009453CC"/>
    <w:rsid w:val="009453F9"/>
    <w:rsid w:val="00945439"/>
    <w:rsid w:val="0094561B"/>
    <w:rsid w:val="00945712"/>
    <w:rsid w:val="0094582B"/>
    <w:rsid w:val="0094584A"/>
    <w:rsid w:val="009459C6"/>
    <w:rsid w:val="00945A09"/>
    <w:rsid w:val="00945A43"/>
    <w:rsid w:val="00945A6A"/>
    <w:rsid w:val="00945B30"/>
    <w:rsid w:val="00945BF8"/>
    <w:rsid w:val="00945C96"/>
    <w:rsid w:val="00945CBA"/>
    <w:rsid w:val="00945CCE"/>
    <w:rsid w:val="00945D4D"/>
    <w:rsid w:val="00945DDE"/>
    <w:rsid w:val="00945EB7"/>
    <w:rsid w:val="00946218"/>
    <w:rsid w:val="0094622A"/>
    <w:rsid w:val="00946287"/>
    <w:rsid w:val="0094636E"/>
    <w:rsid w:val="0094654B"/>
    <w:rsid w:val="0094655F"/>
    <w:rsid w:val="00946737"/>
    <w:rsid w:val="009467DC"/>
    <w:rsid w:val="0094688B"/>
    <w:rsid w:val="00946A14"/>
    <w:rsid w:val="00946A40"/>
    <w:rsid w:val="00946B38"/>
    <w:rsid w:val="00946B8E"/>
    <w:rsid w:val="00946D0E"/>
    <w:rsid w:val="00946D3B"/>
    <w:rsid w:val="00946D9A"/>
    <w:rsid w:val="00946F29"/>
    <w:rsid w:val="00946F38"/>
    <w:rsid w:val="00947053"/>
    <w:rsid w:val="009470CC"/>
    <w:rsid w:val="0094710F"/>
    <w:rsid w:val="00947259"/>
    <w:rsid w:val="00947444"/>
    <w:rsid w:val="00947469"/>
    <w:rsid w:val="00947476"/>
    <w:rsid w:val="009477BC"/>
    <w:rsid w:val="0094784A"/>
    <w:rsid w:val="00947887"/>
    <w:rsid w:val="009478BB"/>
    <w:rsid w:val="00947910"/>
    <w:rsid w:val="00947A8C"/>
    <w:rsid w:val="00947C5C"/>
    <w:rsid w:val="00947D06"/>
    <w:rsid w:val="00947D82"/>
    <w:rsid w:val="00947DA4"/>
    <w:rsid w:val="00947E1F"/>
    <w:rsid w:val="00950036"/>
    <w:rsid w:val="0095026B"/>
    <w:rsid w:val="0095028B"/>
    <w:rsid w:val="009503CA"/>
    <w:rsid w:val="009505B8"/>
    <w:rsid w:val="009506E4"/>
    <w:rsid w:val="009507D0"/>
    <w:rsid w:val="00950A04"/>
    <w:rsid w:val="00950A39"/>
    <w:rsid w:val="00950BD2"/>
    <w:rsid w:val="00950D1D"/>
    <w:rsid w:val="00950D8A"/>
    <w:rsid w:val="00950E5F"/>
    <w:rsid w:val="00950F0D"/>
    <w:rsid w:val="00950FEF"/>
    <w:rsid w:val="009510B4"/>
    <w:rsid w:val="0095112B"/>
    <w:rsid w:val="0095120A"/>
    <w:rsid w:val="0095120B"/>
    <w:rsid w:val="00951345"/>
    <w:rsid w:val="00951504"/>
    <w:rsid w:val="0095151C"/>
    <w:rsid w:val="00951582"/>
    <w:rsid w:val="009517A6"/>
    <w:rsid w:val="009518B6"/>
    <w:rsid w:val="009519AF"/>
    <w:rsid w:val="00951B5A"/>
    <w:rsid w:val="00951BE2"/>
    <w:rsid w:val="00951BEB"/>
    <w:rsid w:val="00951C4A"/>
    <w:rsid w:val="00951FAA"/>
    <w:rsid w:val="00952002"/>
    <w:rsid w:val="00952078"/>
    <w:rsid w:val="009521C0"/>
    <w:rsid w:val="009522A2"/>
    <w:rsid w:val="00952389"/>
    <w:rsid w:val="009523F9"/>
    <w:rsid w:val="009525A9"/>
    <w:rsid w:val="00952694"/>
    <w:rsid w:val="00952809"/>
    <w:rsid w:val="00952B47"/>
    <w:rsid w:val="00952B66"/>
    <w:rsid w:val="00952C86"/>
    <w:rsid w:val="00952DF3"/>
    <w:rsid w:val="00952E4D"/>
    <w:rsid w:val="00952E55"/>
    <w:rsid w:val="00952E9C"/>
    <w:rsid w:val="00953122"/>
    <w:rsid w:val="009531AE"/>
    <w:rsid w:val="0095344A"/>
    <w:rsid w:val="00953585"/>
    <w:rsid w:val="00953599"/>
    <w:rsid w:val="009535FA"/>
    <w:rsid w:val="00953772"/>
    <w:rsid w:val="00953784"/>
    <w:rsid w:val="00953811"/>
    <w:rsid w:val="009538FA"/>
    <w:rsid w:val="00953AB6"/>
    <w:rsid w:val="00953ADD"/>
    <w:rsid w:val="00953C69"/>
    <w:rsid w:val="00953C7E"/>
    <w:rsid w:val="00953C80"/>
    <w:rsid w:val="00953D66"/>
    <w:rsid w:val="00953EA3"/>
    <w:rsid w:val="00953EC6"/>
    <w:rsid w:val="00953F97"/>
    <w:rsid w:val="00953FDC"/>
    <w:rsid w:val="009542F3"/>
    <w:rsid w:val="00954324"/>
    <w:rsid w:val="0095434B"/>
    <w:rsid w:val="009543A7"/>
    <w:rsid w:val="009543E7"/>
    <w:rsid w:val="0095447F"/>
    <w:rsid w:val="009545CC"/>
    <w:rsid w:val="00954664"/>
    <w:rsid w:val="00954710"/>
    <w:rsid w:val="0095478A"/>
    <w:rsid w:val="009547BC"/>
    <w:rsid w:val="009548C7"/>
    <w:rsid w:val="00954A03"/>
    <w:rsid w:val="00954AF9"/>
    <w:rsid w:val="00954B2B"/>
    <w:rsid w:val="00954B78"/>
    <w:rsid w:val="00954C30"/>
    <w:rsid w:val="00954C31"/>
    <w:rsid w:val="00954D77"/>
    <w:rsid w:val="00954D9F"/>
    <w:rsid w:val="00954DB6"/>
    <w:rsid w:val="00954DF5"/>
    <w:rsid w:val="00954F41"/>
    <w:rsid w:val="00954FC1"/>
    <w:rsid w:val="009551FD"/>
    <w:rsid w:val="00955392"/>
    <w:rsid w:val="009553A1"/>
    <w:rsid w:val="009555F8"/>
    <w:rsid w:val="00955602"/>
    <w:rsid w:val="00955725"/>
    <w:rsid w:val="00955794"/>
    <w:rsid w:val="00955832"/>
    <w:rsid w:val="00955834"/>
    <w:rsid w:val="0095583E"/>
    <w:rsid w:val="0095596C"/>
    <w:rsid w:val="00955A7F"/>
    <w:rsid w:val="00955BBF"/>
    <w:rsid w:val="00955C41"/>
    <w:rsid w:val="00955D0E"/>
    <w:rsid w:val="00955D17"/>
    <w:rsid w:val="00955DBA"/>
    <w:rsid w:val="00955FA7"/>
    <w:rsid w:val="00955FAA"/>
    <w:rsid w:val="0095606E"/>
    <w:rsid w:val="009560A8"/>
    <w:rsid w:val="00956274"/>
    <w:rsid w:val="009562C7"/>
    <w:rsid w:val="0095630C"/>
    <w:rsid w:val="00956381"/>
    <w:rsid w:val="009563C6"/>
    <w:rsid w:val="009564DD"/>
    <w:rsid w:val="0095655D"/>
    <w:rsid w:val="00956575"/>
    <w:rsid w:val="0095666F"/>
    <w:rsid w:val="00956684"/>
    <w:rsid w:val="00956801"/>
    <w:rsid w:val="00956802"/>
    <w:rsid w:val="00956836"/>
    <w:rsid w:val="00956873"/>
    <w:rsid w:val="00956A1F"/>
    <w:rsid w:val="00956DE3"/>
    <w:rsid w:val="00956E96"/>
    <w:rsid w:val="00956F98"/>
    <w:rsid w:val="00956FB9"/>
    <w:rsid w:val="00957070"/>
    <w:rsid w:val="00957117"/>
    <w:rsid w:val="0095712A"/>
    <w:rsid w:val="00957266"/>
    <w:rsid w:val="009572E4"/>
    <w:rsid w:val="00957357"/>
    <w:rsid w:val="0095749A"/>
    <w:rsid w:val="009574A7"/>
    <w:rsid w:val="009574D1"/>
    <w:rsid w:val="0095757D"/>
    <w:rsid w:val="00957674"/>
    <w:rsid w:val="009576C5"/>
    <w:rsid w:val="00957A04"/>
    <w:rsid w:val="00957A13"/>
    <w:rsid w:val="00957A2E"/>
    <w:rsid w:val="00957B89"/>
    <w:rsid w:val="00957C23"/>
    <w:rsid w:val="00957DBD"/>
    <w:rsid w:val="00957E05"/>
    <w:rsid w:val="00957E4E"/>
    <w:rsid w:val="00957EC2"/>
    <w:rsid w:val="00957EFB"/>
    <w:rsid w:val="00957F77"/>
    <w:rsid w:val="00957F8C"/>
    <w:rsid w:val="00957F98"/>
    <w:rsid w:val="009600FB"/>
    <w:rsid w:val="0096012E"/>
    <w:rsid w:val="00960151"/>
    <w:rsid w:val="009603C2"/>
    <w:rsid w:val="009604D3"/>
    <w:rsid w:val="00960525"/>
    <w:rsid w:val="00960550"/>
    <w:rsid w:val="009606AC"/>
    <w:rsid w:val="009609A2"/>
    <w:rsid w:val="00960B55"/>
    <w:rsid w:val="00960BED"/>
    <w:rsid w:val="00960FF2"/>
    <w:rsid w:val="00961198"/>
    <w:rsid w:val="009611A2"/>
    <w:rsid w:val="009611B4"/>
    <w:rsid w:val="00961332"/>
    <w:rsid w:val="009613AD"/>
    <w:rsid w:val="00961518"/>
    <w:rsid w:val="009615F0"/>
    <w:rsid w:val="00961658"/>
    <w:rsid w:val="009616A9"/>
    <w:rsid w:val="0096181A"/>
    <w:rsid w:val="009618C4"/>
    <w:rsid w:val="00961935"/>
    <w:rsid w:val="00961936"/>
    <w:rsid w:val="0096198B"/>
    <w:rsid w:val="00961A82"/>
    <w:rsid w:val="00961AF1"/>
    <w:rsid w:val="00961B96"/>
    <w:rsid w:val="00961BB3"/>
    <w:rsid w:val="00961D18"/>
    <w:rsid w:val="00961D56"/>
    <w:rsid w:val="00961DA9"/>
    <w:rsid w:val="00961E4C"/>
    <w:rsid w:val="009621E7"/>
    <w:rsid w:val="009622A7"/>
    <w:rsid w:val="009623E7"/>
    <w:rsid w:val="00962566"/>
    <w:rsid w:val="0096256F"/>
    <w:rsid w:val="009625B6"/>
    <w:rsid w:val="0096267D"/>
    <w:rsid w:val="00962879"/>
    <w:rsid w:val="00962971"/>
    <w:rsid w:val="00962990"/>
    <w:rsid w:val="00962BC9"/>
    <w:rsid w:val="00962C98"/>
    <w:rsid w:val="00962CCD"/>
    <w:rsid w:val="00962EB5"/>
    <w:rsid w:val="00962F57"/>
    <w:rsid w:val="0096301F"/>
    <w:rsid w:val="009630C1"/>
    <w:rsid w:val="00963260"/>
    <w:rsid w:val="0096327F"/>
    <w:rsid w:val="009632ED"/>
    <w:rsid w:val="00963333"/>
    <w:rsid w:val="0096336F"/>
    <w:rsid w:val="00963378"/>
    <w:rsid w:val="0096344F"/>
    <w:rsid w:val="0096346C"/>
    <w:rsid w:val="00963471"/>
    <w:rsid w:val="00963884"/>
    <w:rsid w:val="00963997"/>
    <w:rsid w:val="00963BA1"/>
    <w:rsid w:val="00963D0C"/>
    <w:rsid w:val="00963D3D"/>
    <w:rsid w:val="00963F76"/>
    <w:rsid w:val="00964042"/>
    <w:rsid w:val="00964111"/>
    <w:rsid w:val="00964293"/>
    <w:rsid w:val="009642F6"/>
    <w:rsid w:val="009644CB"/>
    <w:rsid w:val="00964512"/>
    <w:rsid w:val="009645A7"/>
    <w:rsid w:val="009646A3"/>
    <w:rsid w:val="00964714"/>
    <w:rsid w:val="00964D37"/>
    <w:rsid w:val="00964D8F"/>
    <w:rsid w:val="00964DF3"/>
    <w:rsid w:val="00964F18"/>
    <w:rsid w:val="00964F90"/>
    <w:rsid w:val="00964FBB"/>
    <w:rsid w:val="00965132"/>
    <w:rsid w:val="00965272"/>
    <w:rsid w:val="00965304"/>
    <w:rsid w:val="0096536B"/>
    <w:rsid w:val="00965417"/>
    <w:rsid w:val="00965499"/>
    <w:rsid w:val="0096580C"/>
    <w:rsid w:val="0096583F"/>
    <w:rsid w:val="0096584A"/>
    <w:rsid w:val="0096589C"/>
    <w:rsid w:val="009659A6"/>
    <w:rsid w:val="00965B67"/>
    <w:rsid w:val="00965CFF"/>
    <w:rsid w:val="00965D74"/>
    <w:rsid w:val="00965DB8"/>
    <w:rsid w:val="00965FCA"/>
    <w:rsid w:val="00966110"/>
    <w:rsid w:val="0096632F"/>
    <w:rsid w:val="00966394"/>
    <w:rsid w:val="009663BE"/>
    <w:rsid w:val="009663E3"/>
    <w:rsid w:val="00966623"/>
    <w:rsid w:val="0096680D"/>
    <w:rsid w:val="00966820"/>
    <w:rsid w:val="00966A44"/>
    <w:rsid w:val="00966CAF"/>
    <w:rsid w:val="00966DF6"/>
    <w:rsid w:val="00966E34"/>
    <w:rsid w:val="0096704B"/>
    <w:rsid w:val="0096707E"/>
    <w:rsid w:val="00967321"/>
    <w:rsid w:val="0096744B"/>
    <w:rsid w:val="009674EC"/>
    <w:rsid w:val="009675F1"/>
    <w:rsid w:val="00967691"/>
    <w:rsid w:val="009676B0"/>
    <w:rsid w:val="00967712"/>
    <w:rsid w:val="009678AE"/>
    <w:rsid w:val="009679F0"/>
    <w:rsid w:val="00967BAB"/>
    <w:rsid w:val="00967C18"/>
    <w:rsid w:val="00967DF9"/>
    <w:rsid w:val="0096FBB4"/>
    <w:rsid w:val="0097006B"/>
    <w:rsid w:val="00970083"/>
    <w:rsid w:val="0097015B"/>
    <w:rsid w:val="009701DB"/>
    <w:rsid w:val="00970332"/>
    <w:rsid w:val="00970441"/>
    <w:rsid w:val="009704EB"/>
    <w:rsid w:val="009708B1"/>
    <w:rsid w:val="009708B4"/>
    <w:rsid w:val="009708CC"/>
    <w:rsid w:val="009709D2"/>
    <w:rsid w:val="00970AE1"/>
    <w:rsid w:val="00970C03"/>
    <w:rsid w:val="00970D7E"/>
    <w:rsid w:val="00970DAD"/>
    <w:rsid w:val="00970DFA"/>
    <w:rsid w:val="00970E8B"/>
    <w:rsid w:val="00970F30"/>
    <w:rsid w:val="00970F54"/>
    <w:rsid w:val="0097116D"/>
    <w:rsid w:val="0097117A"/>
    <w:rsid w:val="009711FA"/>
    <w:rsid w:val="0097129D"/>
    <w:rsid w:val="009712AA"/>
    <w:rsid w:val="0097130E"/>
    <w:rsid w:val="009713C9"/>
    <w:rsid w:val="009714C3"/>
    <w:rsid w:val="009714DD"/>
    <w:rsid w:val="00971619"/>
    <w:rsid w:val="009717BA"/>
    <w:rsid w:val="00971A2E"/>
    <w:rsid w:val="00971AC7"/>
    <w:rsid w:val="00971B79"/>
    <w:rsid w:val="00971C9B"/>
    <w:rsid w:val="00971D45"/>
    <w:rsid w:val="00971E34"/>
    <w:rsid w:val="00971F9E"/>
    <w:rsid w:val="00972007"/>
    <w:rsid w:val="009723F2"/>
    <w:rsid w:val="0097241C"/>
    <w:rsid w:val="0097257C"/>
    <w:rsid w:val="009726F9"/>
    <w:rsid w:val="009728FA"/>
    <w:rsid w:val="00972950"/>
    <w:rsid w:val="00972967"/>
    <w:rsid w:val="0097296E"/>
    <w:rsid w:val="00972E13"/>
    <w:rsid w:val="0097322F"/>
    <w:rsid w:val="00973281"/>
    <w:rsid w:val="00973340"/>
    <w:rsid w:val="00973362"/>
    <w:rsid w:val="009733F3"/>
    <w:rsid w:val="00973459"/>
    <w:rsid w:val="0097346D"/>
    <w:rsid w:val="009734D6"/>
    <w:rsid w:val="00973955"/>
    <w:rsid w:val="00973973"/>
    <w:rsid w:val="00973A37"/>
    <w:rsid w:val="00973A6D"/>
    <w:rsid w:val="00973ACE"/>
    <w:rsid w:val="00973B04"/>
    <w:rsid w:val="00973B4E"/>
    <w:rsid w:val="00973DF9"/>
    <w:rsid w:val="00973FBF"/>
    <w:rsid w:val="009741DB"/>
    <w:rsid w:val="00974237"/>
    <w:rsid w:val="0097424C"/>
    <w:rsid w:val="009742A8"/>
    <w:rsid w:val="00974300"/>
    <w:rsid w:val="0097431F"/>
    <w:rsid w:val="0097436E"/>
    <w:rsid w:val="0097438F"/>
    <w:rsid w:val="009743C8"/>
    <w:rsid w:val="0097442F"/>
    <w:rsid w:val="0097453D"/>
    <w:rsid w:val="00974632"/>
    <w:rsid w:val="009748F5"/>
    <w:rsid w:val="009748F9"/>
    <w:rsid w:val="0097498D"/>
    <w:rsid w:val="009749E4"/>
    <w:rsid w:val="00974A15"/>
    <w:rsid w:val="00974A81"/>
    <w:rsid w:val="00974C3F"/>
    <w:rsid w:val="00974F08"/>
    <w:rsid w:val="00974F6F"/>
    <w:rsid w:val="00974FB8"/>
    <w:rsid w:val="009751C0"/>
    <w:rsid w:val="009751CC"/>
    <w:rsid w:val="009752D2"/>
    <w:rsid w:val="0097533E"/>
    <w:rsid w:val="0097537A"/>
    <w:rsid w:val="009755AC"/>
    <w:rsid w:val="009756C3"/>
    <w:rsid w:val="00975700"/>
    <w:rsid w:val="009758FD"/>
    <w:rsid w:val="00975A3E"/>
    <w:rsid w:val="00975A8A"/>
    <w:rsid w:val="00975A8D"/>
    <w:rsid w:val="00975A95"/>
    <w:rsid w:val="00975C9B"/>
    <w:rsid w:val="00975DB1"/>
    <w:rsid w:val="00975F11"/>
    <w:rsid w:val="00975F6A"/>
    <w:rsid w:val="00975FBF"/>
    <w:rsid w:val="0097619C"/>
    <w:rsid w:val="009761BF"/>
    <w:rsid w:val="00976212"/>
    <w:rsid w:val="00976253"/>
    <w:rsid w:val="00976269"/>
    <w:rsid w:val="00976288"/>
    <w:rsid w:val="009764A2"/>
    <w:rsid w:val="009764E8"/>
    <w:rsid w:val="009767CB"/>
    <w:rsid w:val="009767F3"/>
    <w:rsid w:val="00976996"/>
    <w:rsid w:val="00976B65"/>
    <w:rsid w:val="00976C18"/>
    <w:rsid w:val="00976D5B"/>
    <w:rsid w:val="00976E84"/>
    <w:rsid w:val="00976EDF"/>
    <w:rsid w:val="00976FA8"/>
    <w:rsid w:val="00977013"/>
    <w:rsid w:val="0097703E"/>
    <w:rsid w:val="0097707C"/>
    <w:rsid w:val="00977261"/>
    <w:rsid w:val="00977320"/>
    <w:rsid w:val="00977349"/>
    <w:rsid w:val="00977655"/>
    <w:rsid w:val="009776A8"/>
    <w:rsid w:val="009776B0"/>
    <w:rsid w:val="009778B2"/>
    <w:rsid w:val="009779AC"/>
    <w:rsid w:val="00977A08"/>
    <w:rsid w:val="00977AAA"/>
    <w:rsid w:val="00977B34"/>
    <w:rsid w:val="00977C90"/>
    <w:rsid w:val="00977D0A"/>
    <w:rsid w:val="00977E83"/>
    <w:rsid w:val="00980038"/>
    <w:rsid w:val="0098003E"/>
    <w:rsid w:val="0098004A"/>
    <w:rsid w:val="00980096"/>
    <w:rsid w:val="00980152"/>
    <w:rsid w:val="00980233"/>
    <w:rsid w:val="009802FC"/>
    <w:rsid w:val="0098038B"/>
    <w:rsid w:val="00980390"/>
    <w:rsid w:val="009804E0"/>
    <w:rsid w:val="0098055E"/>
    <w:rsid w:val="00980585"/>
    <w:rsid w:val="009805FB"/>
    <w:rsid w:val="00980744"/>
    <w:rsid w:val="00980B53"/>
    <w:rsid w:val="00980D14"/>
    <w:rsid w:val="00980E89"/>
    <w:rsid w:val="00980EAB"/>
    <w:rsid w:val="009812F8"/>
    <w:rsid w:val="0098133C"/>
    <w:rsid w:val="00981444"/>
    <w:rsid w:val="0098147F"/>
    <w:rsid w:val="00981554"/>
    <w:rsid w:val="009815B8"/>
    <w:rsid w:val="009819B4"/>
    <w:rsid w:val="00981B3D"/>
    <w:rsid w:val="00981B4A"/>
    <w:rsid w:val="00981C9B"/>
    <w:rsid w:val="00981D2B"/>
    <w:rsid w:val="00981D76"/>
    <w:rsid w:val="00981DFF"/>
    <w:rsid w:val="0098212D"/>
    <w:rsid w:val="009821C9"/>
    <w:rsid w:val="00982294"/>
    <w:rsid w:val="009822DE"/>
    <w:rsid w:val="009823CB"/>
    <w:rsid w:val="009824E3"/>
    <w:rsid w:val="0098260A"/>
    <w:rsid w:val="00982650"/>
    <w:rsid w:val="009826CC"/>
    <w:rsid w:val="009827BF"/>
    <w:rsid w:val="009827EF"/>
    <w:rsid w:val="00982907"/>
    <w:rsid w:val="00982A30"/>
    <w:rsid w:val="00982BEA"/>
    <w:rsid w:val="00982C4D"/>
    <w:rsid w:val="00982D66"/>
    <w:rsid w:val="00982D77"/>
    <w:rsid w:val="00982DF4"/>
    <w:rsid w:val="009831C6"/>
    <w:rsid w:val="009831E0"/>
    <w:rsid w:val="009831EA"/>
    <w:rsid w:val="009832AE"/>
    <w:rsid w:val="00983391"/>
    <w:rsid w:val="009836D5"/>
    <w:rsid w:val="00983735"/>
    <w:rsid w:val="009837C1"/>
    <w:rsid w:val="0098387A"/>
    <w:rsid w:val="00983A27"/>
    <w:rsid w:val="00983B78"/>
    <w:rsid w:val="00983C18"/>
    <w:rsid w:val="00983C64"/>
    <w:rsid w:val="00983E0D"/>
    <w:rsid w:val="00983E3E"/>
    <w:rsid w:val="0098401B"/>
    <w:rsid w:val="00984096"/>
    <w:rsid w:val="009840D1"/>
    <w:rsid w:val="009841AA"/>
    <w:rsid w:val="0098430E"/>
    <w:rsid w:val="0098438D"/>
    <w:rsid w:val="0098453C"/>
    <w:rsid w:val="00984565"/>
    <w:rsid w:val="009846F0"/>
    <w:rsid w:val="00984754"/>
    <w:rsid w:val="00984841"/>
    <w:rsid w:val="00984869"/>
    <w:rsid w:val="009848D6"/>
    <w:rsid w:val="00984940"/>
    <w:rsid w:val="00984943"/>
    <w:rsid w:val="009849CA"/>
    <w:rsid w:val="00984C35"/>
    <w:rsid w:val="00984DEB"/>
    <w:rsid w:val="00984DF5"/>
    <w:rsid w:val="00984E85"/>
    <w:rsid w:val="00984F33"/>
    <w:rsid w:val="00985109"/>
    <w:rsid w:val="0098528E"/>
    <w:rsid w:val="0098529C"/>
    <w:rsid w:val="009852C6"/>
    <w:rsid w:val="009852F8"/>
    <w:rsid w:val="009855B0"/>
    <w:rsid w:val="0098561E"/>
    <w:rsid w:val="00985851"/>
    <w:rsid w:val="00985996"/>
    <w:rsid w:val="009859BE"/>
    <w:rsid w:val="00985A19"/>
    <w:rsid w:val="00985A6E"/>
    <w:rsid w:val="00985B77"/>
    <w:rsid w:val="00985B83"/>
    <w:rsid w:val="00985CD9"/>
    <w:rsid w:val="00985EA1"/>
    <w:rsid w:val="0098605A"/>
    <w:rsid w:val="00986118"/>
    <w:rsid w:val="00986150"/>
    <w:rsid w:val="009862AE"/>
    <w:rsid w:val="0098648D"/>
    <w:rsid w:val="009864BC"/>
    <w:rsid w:val="0098656A"/>
    <w:rsid w:val="009865AA"/>
    <w:rsid w:val="009866E8"/>
    <w:rsid w:val="00986720"/>
    <w:rsid w:val="0098686D"/>
    <w:rsid w:val="00986881"/>
    <w:rsid w:val="009868BB"/>
    <w:rsid w:val="00986A39"/>
    <w:rsid w:val="00986A65"/>
    <w:rsid w:val="00986B1B"/>
    <w:rsid w:val="00986BCB"/>
    <w:rsid w:val="00986D58"/>
    <w:rsid w:val="00986ECB"/>
    <w:rsid w:val="00986F77"/>
    <w:rsid w:val="00986FDB"/>
    <w:rsid w:val="00987073"/>
    <w:rsid w:val="00987080"/>
    <w:rsid w:val="009870ED"/>
    <w:rsid w:val="00987148"/>
    <w:rsid w:val="009872E7"/>
    <w:rsid w:val="0098765A"/>
    <w:rsid w:val="00987729"/>
    <w:rsid w:val="00987977"/>
    <w:rsid w:val="009879BA"/>
    <w:rsid w:val="00987AA5"/>
    <w:rsid w:val="00987B1C"/>
    <w:rsid w:val="00987B9D"/>
    <w:rsid w:val="00987BC7"/>
    <w:rsid w:val="00987E3D"/>
    <w:rsid w:val="00987E5B"/>
    <w:rsid w:val="00987F27"/>
    <w:rsid w:val="009900BE"/>
    <w:rsid w:val="00990130"/>
    <w:rsid w:val="009901CC"/>
    <w:rsid w:val="009901D8"/>
    <w:rsid w:val="00990206"/>
    <w:rsid w:val="009902F9"/>
    <w:rsid w:val="0099049E"/>
    <w:rsid w:val="009904BD"/>
    <w:rsid w:val="00990701"/>
    <w:rsid w:val="009909E6"/>
    <w:rsid w:val="00990A27"/>
    <w:rsid w:val="00990A61"/>
    <w:rsid w:val="00990BBB"/>
    <w:rsid w:val="00990DD4"/>
    <w:rsid w:val="00990E32"/>
    <w:rsid w:val="00990F3E"/>
    <w:rsid w:val="00990F89"/>
    <w:rsid w:val="0099121D"/>
    <w:rsid w:val="00991320"/>
    <w:rsid w:val="00991583"/>
    <w:rsid w:val="00991620"/>
    <w:rsid w:val="009916BB"/>
    <w:rsid w:val="009916C4"/>
    <w:rsid w:val="0099180F"/>
    <w:rsid w:val="00991858"/>
    <w:rsid w:val="00991A8E"/>
    <w:rsid w:val="00991B17"/>
    <w:rsid w:val="00991C1C"/>
    <w:rsid w:val="00991DD2"/>
    <w:rsid w:val="00991EDB"/>
    <w:rsid w:val="00991F2F"/>
    <w:rsid w:val="00992080"/>
    <w:rsid w:val="00992103"/>
    <w:rsid w:val="009922E7"/>
    <w:rsid w:val="00992325"/>
    <w:rsid w:val="0099239A"/>
    <w:rsid w:val="009923D0"/>
    <w:rsid w:val="0099244D"/>
    <w:rsid w:val="009924FF"/>
    <w:rsid w:val="00992552"/>
    <w:rsid w:val="00992569"/>
    <w:rsid w:val="009927FF"/>
    <w:rsid w:val="0099290D"/>
    <w:rsid w:val="0099294D"/>
    <w:rsid w:val="00992A53"/>
    <w:rsid w:val="00992AAA"/>
    <w:rsid w:val="00992AFF"/>
    <w:rsid w:val="00992B04"/>
    <w:rsid w:val="00992BC7"/>
    <w:rsid w:val="00992BEC"/>
    <w:rsid w:val="00992D5C"/>
    <w:rsid w:val="00992DF1"/>
    <w:rsid w:val="00992E80"/>
    <w:rsid w:val="00992F48"/>
    <w:rsid w:val="00992F7A"/>
    <w:rsid w:val="00992FD3"/>
    <w:rsid w:val="00993194"/>
    <w:rsid w:val="009931CF"/>
    <w:rsid w:val="009931ED"/>
    <w:rsid w:val="00993281"/>
    <w:rsid w:val="009933B2"/>
    <w:rsid w:val="009934F8"/>
    <w:rsid w:val="009937EF"/>
    <w:rsid w:val="00993844"/>
    <w:rsid w:val="009938F0"/>
    <w:rsid w:val="00993924"/>
    <w:rsid w:val="00993938"/>
    <w:rsid w:val="00993A84"/>
    <w:rsid w:val="00993D29"/>
    <w:rsid w:val="00993D4B"/>
    <w:rsid w:val="00993DF4"/>
    <w:rsid w:val="00993EE2"/>
    <w:rsid w:val="00993F4A"/>
    <w:rsid w:val="00994050"/>
    <w:rsid w:val="00994079"/>
    <w:rsid w:val="0099407E"/>
    <w:rsid w:val="0099421B"/>
    <w:rsid w:val="009943F9"/>
    <w:rsid w:val="009946CD"/>
    <w:rsid w:val="00994828"/>
    <w:rsid w:val="009948C3"/>
    <w:rsid w:val="00994C49"/>
    <w:rsid w:val="00994E79"/>
    <w:rsid w:val="00994F4C"/>
    <w:rsid w:val="00995172"/>
    <w:rsid w:val="0099524B"/>
    <w:rsid w:val="009952C9"/>
    <w:rsid w:val="0099532E"/>
    <w:rsid w:val="00995406"/>
    <w:rsid w:val="009954A0"/>
    <w:rsid w:val="00995774"/>
    <w:rsid w:val="00995860"/>
    <w:rsid w:val="00995881"/>
    <w:rsid w:val="00995966"/>
    <w:rsid w:val="00995989"/>
    <w:rsid w:val="00995A1E"/>
    <w:rsid w:val="00995A79"/>
    <w:rsid w:val="00995A84"/>
    <w:rsid w:val="00995AC8"/>
    <w:rsid w:val="00995CA9"/>
    <w:rsid w:val="00995D74"/>
    <w:rsid w:val="00995DB7"/>
    <w:rsid w:val="00995E92"/>
    <w:rsid w:val="00995E96"/>
    <w:rsid w:val="00995F28"/>
    <w:rsid w:val="00995F38"/>
    <w:rsid w:val="00995FC8"/>
    <w:rsid w:val="00996101"/>
    <w:rsid w:val="0099610F"/>
    <w:rsid w:val="00996146"/>
    <w:rsid w:val="0099616E"/>
    <w:rsid w:val="009961D1"/>
    <w:rsid w:val="009961D2"/>
    <w:rsid w:val="009961FE"/>
    <w:rsid w:val="00996221"/>
    <w:rsid w:val="00996360"/>
    <w:rsid w:val="00996400"/>
    <w:rsid w:val="0099642D"/>
    <w:rsid w:val="0099645E"/>
    <w:rsid w:val="00996525"/>
    <w:rsid w:val="0099653A"/>
    <w:rsid w:val="009965E3"/>
    <w:rsid w:val="009965EB"/>
    <w:rsid w:val="009966E4"/>
    <w:rsid w:val="009967B3"/>
    <w:rsid w:val="009967BF"/>
    <w:rsid w:val="0099682E"/>
    <w:rsid w:val="00996838"/>
    <w:rsid w:val="009968B0"/>
    <w:rsid w:val="00996928"/>
    <w:rsid w:val="00996ADE"/>
    <w:rsid w:val="00996C88"/>
    <w:rsid w:val="00996D7C"/>
    <w:rsid w:val="00996DBD"/>
    <w:rsid w:val="00996ECA"/>
    <w:rsid w:val="00996F54"/>
    <w:rsid w:val="00997057"/>
    <w:rsid w:val="009971E8"/>
    <w:rsid w:val="00997209"/>
    <w:rsid w:val="009972AB"/>
    <w:rsid w:val="00997308"/>
    <w:rsid w:val="00997320"/>
    <w:rsid w:val="00997480"/>
    <w:rsid w:val="009976CF"/>
    <w:rsid w:val="00997744"/>
    <w:rsid w:val="00997952"/>
    <w:rsid w:val="009979C9"/>
    <w:rsid w:val="009979FF"/>
    <w:rsid w:val="00997A36"/>
    <w:rsid w:val="00997A53"/>
    <w:rsid w:val="00997AFC"/>
    <w:rsid w:val="00997BBE"/>
    <w:rsid w:val="00997D49"/>
    <w:rsid w:val="00997E76"/>
    <w:rsid w:val="00997ED7"/>
    <w:rsid w:val="00997F20"/>
    <w:rsid w:val="00997F88"/>
    <w:rsid w:val="009A003D"/>
    <w:rsid w:val="009A004F"/>
    <w:rsid w:val="009A015A"/>
    <w:rsid w:val="009A01CD"/>
    <w:rsid w:val="009A01F1"/>
    <w:rsid w:val="009A0375"/>
    <w:rsid w:val="009A03F6"/>
    <w:rsid w:val="009A059F"/>
    <w:rsid w:val="009A064B"/>
    <w:rsid w:val="009A065C"/>
    <w:rsid w:val="009A0714"/>
    <w:rsid w:val="009A0737"/>
    <w:rsid w:val="009A07B7"/>
    <w:rsid w:val="009A091E"/>
    <w:rsid w:val="009A0B82"/>
    <w:rsid w:val="009A0BCC"/>
    <w:rsid w:val="009A0BF4"/>
    <w:rsid w:val="009A0D37"/>
    <w:rsid w:val="009A0D3A"/>
    <w:rsid w:val="009A0F9C"/>
    <w:rsid w:val="009A0FCD"/>
    <w:rsid w:val="009A0FEB"/>
    <w:rsid w:val="009A117E"/>
    <w:rsid w:val="009A120E"/>
    <w:rsid w:val="009A12F5"/>
    <w:rsid w:val="009A148C"/>
    <w:rsid w:val="009A15AE"/>
    <w:rsid w:val="009A16B7"/>
    <w:rsid w:val="009A1702"/>
    <w:rsid w:val="009A1787"/>
    <w:rsid w:val="009A17BA"/>
    <w:rsid w:val="009A1878"/>
    <w:rsid w:val="009A1947"/>
    <w:rsid w:val="009A19A1"/>
    <w:rsid w:val="009A19C2"/>
    <w:rsid w:val="009A19E8"/>
    <w:rsid w:val="009A1AD9"/>
    <w:rsid w:val="009A1B6F"/>
    <w:rsid w:val="009A1BA2"/>
    <w:rsid w:val="009A1C09"/>
    <w:rsid w:val="009A1C63"/>
    <w:rsid w:val="009A1CE3"/>
    <w:rsid w:val="009A1D15"/>
    <w:rsid w:val="009A1E98"/>
    <w:rsid w:val="009A1EE1"/>
    <w:rsid w:val="009A1FBF"/>
    <w:rsid w:val="009A20D5"/>
    <w:rsid w:val="009A2127"/>
    <w:rsid w:val="009A22C4"/>
    <w:rsid w:val="009A2341"/>
    <w:rsid w:val="009A24AA"/>
    <w:rsid w:val="009A24C0"/>
    <w:rsid w:val="009A253B"/>
    <w:rsid w:val="009A25C2"/>
    <w:rsid w:val="009A28CE"/>
    <w:rsid w:val="009A293E"/>
    <w:rsid w:val="009A2BBE"/>
    <w:rsid w:val="009A2BD5"/>
    <w:rsid w:val="009A2C4F"/>
    <w:rsid w:val="009A2C56"/>
    <w:rsid w:val="009A2E1B"/>
    <w:rsid w:val="009A2E2A"/>
    <w:rsid w:val="009A2E37"/>
    <w:rsid w:val="009A2F32"/>
    <w:rsid w:val="009A2FBB"/>
    <w:rsid w:val="009A313D"/>
    <w:rsid w:val="009A3414"/>
    <w:rsid w:val="009A35D8"/>
    <w:rsid w:val="009A35EA"/>
    <w:rsid w:val="009A378C"/>
    <w:rsid w:val="009A3933"/>
    <w:rsid w:val="009A39D3"/>
    <w:rsid w:val="009A3B07"/>
    <w:rsid w:val="009A3B25"/>
    <w:rsid w:val="009A3BC3"/>
    <w:rsid w:val="009A3CE3"/>
    <w:rsid w:val="009A3D70"/>
    <w:rsid w:val="009A3E5E"/>
    <w:rsid w:val="009A3EBA"/>
    <w:rsid w:val="009A4051"/>
    <w:rsid w:val="009A412A"/>
    <w:rsid w:val="009A4156"/>
    <w:rsid w:val="009A4164"/>
    <w:rsid w:val="009A41B6"/>
    <w:rsid w:val="009A444F"/>
    <w:rsid w:val="009A44EE"/>
    <w:rsid w:val="009A46F4"/>
    <w:rsid w:val="009A4816"/>
    <w:rsid w:val="009A4882"/>
    <w:rsid w:val="009A4930"/>
    <w:rsid w:val="009A4B1F"/>
    <w:rsid w:val="009A4D03"/>
    <w:rsid w:val="009A4D04"/>
    <w:rsid w:val="009A4E87"/>
    <w:rsid w:val="009A4F85"/>
    <w:rsid w:val="009A507C"/>
    <w:rsid w:val="009A5093"/>
    <w:rsid w:val="009A50DF"/>
    <w:rsid w:val="009A5178"/>
    <w:rsid w:val="009A51E5"/>
    <w:rsid w:val="009A5464"/>
    <w:rsid w:val="009A555A"/>
    <w:rsid w:val="009A57AB"/>
    <w:rsid w:val="009A593F"/>
    <w:rsid w:val="009A59D2"/>
    <w:rsid w:val="009A5DE4"/>
    <w:rsid w:val="009A61AD"/>
    <w:rsid w:val="009A627E"/>
    <w:rsid w:val="009A63A0"/>
    <w:rsid w:val="009A6647"/>
    <w:rsid w:val="009A695A"/>
    <w:rsid w:val="009A69A6"/>
    <w:rsid w:val="009A69BC"/>
    <w:rsid w:val="009A6A47"/>
    <w:rsid w:val="009A6AB9"/>
    <w:rsid w:val="009A6AEF"/>
    <w:rsid w:val="009A6CB2"/>
    <w:rsid w:val="009A6D5D"/>
    <w:rsid w:val="009A6E03"/>
    <w:rsid w:val="009A6F59"/>
    <w:rsid w:val="009A6FCA"/>
    <w:rsid w:val="009A73D3"/>
    <w:rsid w:val="009A73E6"/>
    <w:rsid w:val="009A74D2"/>
    <w:rsid w:val="009A767C"/>
    <w:rsid w:val="009A781F"/>
    <w:rsid w:val="009A78D3"/>
    <w:rsid w:val="009A7CA6"/>
    <w:rsid w:val="009A7E45"/>
    <w:rsid w:val="009A7E9D"/>
    <w:rsid w:val="009A7EE8"/>
    <w:rsid w:val="009A7EE9"/>
    <w:rsid w:val="009A7F32"/>
    <w:rsid w:val="009B0024"/>
    <w:rsid w:val="009B0095"/>
    <w:rsid w:val="009B00A6"/>
    <w:rsid w:val="009B012F"/>
    <w:rsid w:val="009B0141"/>
    <w:rsid w:val="009B01B7"/>
    <w:rsid w:val="009B0328"/>
    <w:rsid w:val="009B03B5"/>
    <w:rsid w:val="009B0524"/>
    <w:rsid w:val="009B05BE"/>
    <w:rsid w:val="009B05C8"/>
    <w:rsid w:val="009B0656"/>
    <w:rsid w:val="009B074D"/>
    <w:rsid w:val="009B079A"/>
    <w:rsid w:val="009B0804"/>
    <w:rsid w:val="009B0805"/>
    <w:rsid w:val="009B08C6"/>
    <w:rsid w:val="009B08DA"/>
    <w:rsid w:val="009B0982"/>
    <w:rsid w:val="009B09B1"/>
    <w:rsid w:val="009B09EC"/>
    <w:rsid w:val="009B0A32"/>
    <w:rsid w:val="009B0AAE"/>
    <w:rsid w:val="009B0B05"/>
    <w:rsid w:val="009B0BC6"/>
    <w:rsid w:val="009B0BF5"/>
    <w:rsid w:val="009B0D15"/>
    <w:rsid w:val="009B1047"/>
    <w:rsid w:val="009B10B6"/>
    <w:rsid w:val="009B11B6"/>
    <w:rsid w:val="009B11FC"/>
    <w:rsid w:val="009B12EA"/>
    <w:rsid w:val="009B135B"/>
    <w:rsid w:val="009B1383"/>
    <w:rsid w:val="009B146E"/>
    <w:rsid w:val="009B14D5"/>
    <w:rsid w:val="009B1506"/>
    <w:rsid w:val="009B154C"/>
    <w:rsid w:val="009B15DE"/>
    <w:rsid w:val="009B16F8"/>
    <w:rsid w:val="009B17C9"/>
    <w:rsid w:val="009B181D"/>
    <w:rsid w:val="009B1868"/>
    <w:rsid w:val="009B1945"/>
    <w:rsid w:val="009B1A58"/>
    <w:rsid w:val="009B1AB0"/>
    <w:rsid w:val="009B1AEA"/>
    <w:rsid w:val="009B1C0A"/>
    <w:rsid w:val="009B1C51"/>
    <w:rsid w:val="009B1F59"/>
    <w:rsid w:val="009B1F5A"/>
    <w:rsid w:val="009B1FEC"/>
    <w:rsid w:val="009B2069"/>
    <w:rsid w:val="009B2228"/>
    <w:rsid w:val="009B23C7"/>
    <w:rsid w:val="009B255E"/>
    <w:rsid w:val="009B267A"/>
    <w:rsid w:val="009B26C2"/>
    <w:rsid w:val="009B2813"/>
    <w:rsid w:val="009B2832"/>
    <w:rsid w:val="009B2840"/>
    <w:rsid w:val="009B29DE"/>
    <w:rsid w:val="009B2AD5"/>
    <w:rsid w:val="009B2BF5"/>
    <w:rsid w:val="009B2C7D"/>
    <w:rsid w:val="009B2CFB"/>
    <w:rsid w:val="009B2D6E"/>
    <w:rsid w:val="009B2F25"/>
    <w:rsid w:val="009B3117"/>
    <w:rsid w:val="009B3177"/>
    <w:rsid w:val="009B3210"/>
    <w:rsid w:val="009B326D"/>
    <w:rsid w:val="009B327A"/>
    <w:rsid w:val="009B33CE"/>
    <w:rsid w:val="009B3542"/>
    <w:rsid w:val="009B35DC"/>
    <w:rsid w:val="009B36D5"/>
    <w:rsid w:val="009B36E7"/>
    <w:rsid w:val="009B3711"/>
    <w:rsid w:val="009B3797"/>
    <w:rsid w:val="009B37BA"/>
    <w:rsid w:val="009B38BA"/>
    <w:rsid w:val="009B38C9"/>
    <w:rsid w:val="009B390A"/>
    <w:rsid w:val="009B3919"/>
    <w:rsid w:val="009B3AB6"/>
    <w:rsid w:val="009B3C02"/>
    <w:rsid w:val="009B3C6D"/>
    <w:rsid w:val="009B3DAF"/>
    <w:rsid w:val="009B3FA8"/>
    <w:rsid w:val="009B3FA9"/>
    <w:rsid w:val="009B40E8"/>
    <w:rsid w:val="009B4198"/>
    <w:rsid w:val="009B421C"/>
    <w:rsid w:val="009B42BC"/>
    <w:rsid w:val="009B43C3"/>
    <w:rsid w:val="009B44FC"/>
    <w:rsid w:val="009B45BE"/>
    <w:rsid w:val="009B4848"/>
    <w:rsid w:val="009B490C"/>
    <w:rsid w:val="009B49EC"/>
    <w:rsid w:val="009B4AD4"/>
    <w:rsid w:val="009B4AF3"/>
    <w:rsid w:val="009B4B98"/>
    <w:rsid w:val="009B4BE8"/>
    <w:rsid w:val="009B4C99"/>
    <w:rsid w:val="009B4DFA"/>
    <w:rsid w:val="009B4EB8"/>
    <w:rsid w:val="009B4F78"/>
    <w:rsid w:val="009B50CB"/>
    <w:rsid w:val="009B5142"/>
    <w:rsid w:val="009B5193"/>
    <w:rsid w:val="009B51E1"/>
    <w:rsid w:val="009B5241"/>
    <w:rsid w:val="009B5270"/>
    <w:rsid w:val="009B52E2"/>
    <w:rsid w:val="009B53FC"/>
    <w:rsid w:val="009B544B"/>
    <w:rsid w:val="009B54A0"/>
    <w:rsid w:val="009B553B"/>
    <w:rsid w:val="009B55D0"/>
    <w:rsid w:val="009B56F6"/>
    <w:rsid w:val="009B5733"/>
    <w:rsid w:val="009B5775"/>
    <w:rsid w:val="009B5910"/>
    <w:rsid w:val="009B5B2A"/>
    <w:rsid w:val="009B5B32"/>
    <w:rsid w:val="009B5BB6"/>
    <w:rsid w:val="009B5E01"/>
    <w:rsid w:val="009B5E6A"/>
    <w:rsid w:val="009B5EC6"/>
    <w:rsid w:val="009B5F8C"/>
    <w:rsid w:val="009B6056"/>
    <w:rsid w:val="009B60A2"/>
    <w:rsid w:val="009B636B"/>
    <w:rsid w:val="009B63D4"/>
    <w:rsid w:val="009B6421"/>
    <w:rsid w:val="009B643B"/>
    <w:rsid w:val="009B645B"/>
    <w:rsid w:val="009B64B7"/>
    <w:rsid w:val="009B654F"/>
    <w:rsid w:val="009B660A"/>
    <w:rsid w:val="009B675B"/>
    <w:rsid w:val="009B6859"/>
    <w:rsid w:val="009B6895"/>
    <w:rsid w:val="009B68FF"/>
    <w:rsid w:val="009B698D"/>
    <w:rsid w:val="009B6A1C"/>
    <w:rsid w:val="009B6B0D"/>
    <w:rsid w:val="009B6C33"/>
    <w:rsid w:val="009B6C67"/>
    <w:rsid w:val="009B6CB7"/>
    <w:rsid w:val="009B6DF2"/>
    <w:rsid w:val="009B6FB8"/>
    <w:rsid w:val="009B7170"/>
    <w:rsid w:val="009B71C6"/>
    <w:rsid w:val="009B7200"/>
    <w:rsid w:val="009B7215"/>
    <w:rsid w:val="009B7283"/>
    <w:rsid w:val="009B73A1"/>
    <w:rsid w:val="009B74EC"/>
    <w:rsid w:val="009B7756"/>
    <w:rsid w:val="009B7971"/>
    <w:rsid w:val="009B7A2F"/>
    <w:rsid w:val="009B7A6B"/>
    <w:rsid w:val="009B7AC9"/>
    <w:rsid w:val="009B7BAE"/>
    <w:rsid w:val="009B7C23"/>
    <w:rsid w:val="009B7C46"/>
    <w:rsid w:val="009B7E3A"/>
    <w:rsid w:val="009B7E55"/>
    <w:rsid w:val="009B7E56"/>
    <w:rsid w:val="009B7F33"/>
    <w:rsid w:val="009B7F56"/>
    <w:rsid w:val="009B7FD3"/>
    <w:rsid w:val="009C00D8"/>
    <w:rsid w:val="009C0318"/>
    <w:rsid w:val="009C0332"/>
    <w:rsid w:val="009C03D6"/>
    <w:rsid w:val="009C0423"/>
    <w:rsid w:val="009C0434"/>
    <w:rsid w:val="009C0559"/>
    <w:rsid w:val="009C0713"/>
    <w:rsid w:val="009C0820"/>
    <w:rsid w:val="009C085E"/>
    <w:rsid w:val="009C09C1"/>
    <w:rsid w:val="009C0A21"/>
    <w:rsid w:val="009C0BFB"/>
    <w:rsid w:val="009C0CB7"/>
    <w:rsid w:val="009C0DD3"/>
    <w:rsid w:val="009C0DE5"/>
    <w:rsid w:val="009C0DF0"/>
    <w:rsid w:val="009C0EAF"/>
    <w:rsid w:val="009C0F31"/>
    <w:rsid w:val="009C0FB3"/>
    <w:rsid w:val="009C104F"/>
    <w:rsid w:val="009C107D"/>
    <w:rsid w:val="009C1171"/>
    <w:rsid w:val="009C117B"/>
    <w:rsid w:val="009C1375"/>
    <w:rsid w:val="009C13A2"/>
    <w:rsid w:val="009C13C1"/>
    <w:rsid w:val="009C13FB"/>
    <w:rsid w:val="009C154C"/>
    <w:rsid w:val="009C181A"/>
    <w:rsid w:val="009C183C"/>
    <w:rsid w:val="009C1DE2"/>
    <w:rsid w:val="009C1DE5"/>
    <w:rsid w:val="009C1E6D"/>
    <w:rsid w:val="009C1EAE"/>
    <w:rsid w:val="009C1F06"/>
    <w:rsid w:val="009C1F1A"/>
    <w:rsid w:val="009C204A"/>
    <w:rsid w:val="009C2075"/>
    <w:rsid w:val="009C20C5"/>
    <w:rsid w:val="009C20CE"/>
    <w:rsid w:val="009C2112"/>
    <w:rsid w:val="009C21C8"/>
    <w:rsid w:val="009C226B"/>
    <w:rsid w:val="009C2413"/>
    <w:rsid w:val="009C24B2"/>
    <w:rsid w:val="009C24CC"/>
    <w:rsid w:val="009C257B"/>
    <w:rsid w:val="009C27E7"/>
    <w:rsid w:val="009C2BAD"/>
    <w:rsid w:val="009C2DA9"/>
    <w:rsid w:val="009C2DE4"/>
    <w:rsid w:val="009C2F84"/>
    <w:rsid w:val="009C2FED"/>
    <w:rsid w:val="009C3022"/>
    <w:rsid w:val="009C312B"/>
    <w:rsid w:val="009C3142"/>
    <w:rsid w:val="009C356B"/>
    <w:rsid w:val="009C363F"/>
    <w:rsid w:val="009C36AD"/>
    <w:rsid w:val="009C38F5"/>
    <w:rsid w:val="009C396E"/>
    <w:rsid w:val="009C3984"/>
    <w:rsid w:val="009C39E8"/>
    <w:rsid w:val="009C3C5A"/>
    <w:rsid w:val="009C3C86"/>
    <w:rsid w:val="009C3D77"/>
    <w:rsid w:val="009C3E12"/>
    <w:rsid w:val="009C3F8F"/>
    <w:rsid w:val="009C3FD9"/>
    <w:rsid w:val="009C40DA"/>
    <w:rsid w:val="009C42B6"/>
    <w:rsid w:val="009C430D"/>
    <w:rsid w:val="009C43A8"/>
    <w:rsid w:val="009C453F"/>
    <w:rsid w:val="009C4549"/>
    <w:rsid w:val="009C4670"/>
    <w:rsid w:val="009C4704"/>
    <w:rsid w:val="009C478D"/>
    <w:rsid w:val="009C479C"/>
    <w:rsid w:val="009C48EF"/>
    <w:rsid w:val="009C496C"/>
    <w:rsid w:val="009C4AAB"/>
    <w:rsid w:val="009C4E2D"/>
    <w:rsid w:val="009C4E6F"/>
    <w:rsid w:val="009C4E75"/>
    <w:rsid w:val="009C4E85"/>
    <w:rsid w:val="009C4E96"/>
    <w:rsid w:val="009C4EDD"/>
    <w:rsid w:val="009C4F0A"/>
    <w:rsid w:val="009C4FBC"/>
    <w:rsid w:val="009C5175"/>
    <w:rsid w:val="009C518F"/>
    <w:rsid w:val="009C526F"/>
    <w:rsid w:val="009C53A5"/>
    <w:rsid w:val="009C5513"/>
    <w:rsid w:val="009C5569"/>
    <w:rsid w:val="009C5707"/>
    <w:rsid w:val="009C5731"/>
    <w:rsid w:val="009C576D"/>
    <w:rsid w:val="009C5A5D"/>
    <w:rsid w:val="009C5A6E"/>
    <w:rsid w:val="009C5AB6"/>
    <w:rsid w:val="009C5D19"/>
    <w:rsid w:val="009C5D2B"/>
    <w:rsid w:val="009C5D45"/>
    <w:rsid w:val="009C5D64"/>
    <w:rsid w:val="009C5EDF"/>
    <w:rsid w:val="009C5F58"/>
    <w:rsid w:val="009C5F7F"/>
    <w:rsid w:val="009C6055"/>
    <w:rsid w:val="009C6096"/>
    <w:rsid w:val="009C60EF"/>
    <w:rsid w:val="009C6193"/>
    <w:rsid w:val="009C623A"/>
    <w:rsid w:val="009C62EC"/>
    <w:rsid w:val="009C6335"/>
    <w:rsid w:val="009C6543"/>
    <w:rsid w:val="009C6576"/>
    <w:rsid w:val="009C6674"/>
    <w:rsid w:val="009C6722"/>
    <w:rsid w:val="009C673E"/>
    <w:rsid w:val="009C67C5"/>
    <w:rsid w:val="009C68F6"/>
    <w:rsid w:val="009C6914"/>
    <w:rsid w:val="009C69EF"/>
    <w:rsid w:val="009C6A0E"/>
    <w:rsid w:val="009C6A5B"/>
    <w:rsid w:val="009C6BD0"/>
    <w:rsid w:val="009C6C3E"/>
    <w:rsid w:val="009C6CFE"/>
    <w:rsid w:val="009C6F58"/>
    <w:rsid w:val="009C7044"/>
    <w:rsid w:val="009C7082"/>
    <w:rsid w:val="009C71D1"/>
    <w:rsid w:val="009C7200"/>
    <w:rsid w:val="009C72F0"/>
    <w:rsid w:val="009C732B"/>
    <w:rsid w:val="009C734C"/>
    <w:rsid w:val="009C73DD"/>
    <w:rsid w:val="009C7467"/>
    <w:rsid w:val="009C7483"/>
    <w:rsid w:val="009C7622"/>
    <w:rsid w:val="009C764A"/>
    <w:rsid w:val="009C7753"/>
    <w:rsid w:val="009C7903"/>
    <w:rsid w:val="009C793E"/>
    <w:rsid w:val="009C7B0B"/>
    <w:rsid w:val="009C7BB5"/>
    <w:rsid w:val="009C7BD2"/>
    <w:rsid w:val="009C7E70"/>
    <w:rsid w:val="009C7EE5"/>
    <w:rsid w:val="009C7F2A"/>
    <w:rsid w:val="009C7F4B"/>
    <w:rsid w:val="009C7F92"/>
    <w:rsid w:val="009C7FAA"/>
    <w:rsid w:val="009D008B"/>
    <w:rsid w:val="009D0091"/>
    <w:rsid w:val="009D018A"/>
    <w:rsid w:val="009D049D"/>
    <w:rsid w:val="009D0532"/>
    <w:rsid w:val="009D053E"/>
    <w:rsid w:val="009D05C0"/>
    <w:rsid w:val="009D05E4"/>
    <w:rsid w:val="009D06DE"/>
    <w:rsid w:val="009D07A1"/>
    <w:rsid w:val="009D07CB"/>
    <w:rsid w:val="009D0835"/>
    <w:rsid w:val="009D0846"/>
    <w:rsid w:val="009D0D30"/>
    <w:rsid w:val="009D0E73"/>
    <w:rsid w:val="009D0EEA"/>
    <w:rsid w:val="009D0FA3"/>
    <w:rsid w:val="009D111E"/>
    <w:rsid w:val="009D118C"/>
    <w:rsid w:val="009D11F9"/>
    <w:rsid w:val="009D1218"/>
    <w:rsid w:val="009D1395"/>
    <w:rsid w:val="009D13C1"/>
    <w:rsid w:val="009D152F"/>
    <w:rsid w:val="009D169B"/>
    <w:rsid w:val="009D18A1"/>
    <w:rsid w:val="009D1960"/>
    <w:rsid w:val="009D1AEB"/>
    <w:rsid w:val="009D1B0F"/>
    <w:rsid w:val="009D1BEE"/>
    <w:rsid w:val="009D1C1D"/>
    <w:rsid w:val="009D1CB8"/>
    <w:rsid w:val="009D1CCA"/>
    <w:rsid w:val="009D1D63"/>
    <w:rsid w:val="009D1DD2"/>
    <w:rsid w:val="009D1EAD"/>
    <w:rsid w:val="009D1FA2"/>
    <w:rsid w:val="009D1FA8"/>
    <w:rsid w:val="009D218F"/>
    <w:rsid w:val="009D219E"/>
    <w:rsid w:val="009D2297"/>
    <w:rsid w:val="009D22C6"/>
    <w:rsid w:val="009D22EA"/>
    <w:rsid w:val="009D2414"/>
    <w:rsid w:val="009D246E"/>
    <w:rsid w:val="009D2697"/>
    <w:rsid w:val="009D271F"/>
    <w:rsid w:val="009D28CF"/>
    <w:rsid w:val="009D29DB"/>
    <w:rsid w:val="009D29E2"/>
    <w:rsid w:val="009D2A21"/>
    <w:rsid w:val="009D2A2B"/>
    <w:rsid w:val="009D2A37"/>
    <w:rsid w:val="009D2B4C"/>
    <w:rsid w:val="009D2F63"/>
    <w:rsid w:val="009D2FD1"/>
    <w:rsid w:val="009D306C"/>
    <w:rsid w:val="009D31BE"/>
    <w:rsid w:val="009D334A"/>
    <w:rsid w:val="009D34C2"/>
    <w:rsid w:val="009D35F4"/>
    <w:rsid w:val="009D3605"/>
    <w:rsid w:val="009D361C"/>
    <w:rsid w:val="009D3623"/>
    <w:rsid w:val="009D36DD"/>
    <w:rsid w:val="009D371D"/>
    <w:rsid w:val="009D38C7"/>
    <w:rsid w:val="009D3900"/>
    <w:rsid w:val="009D3951"/>
    <w:rsid w:val="009D3B7B"/>
    <w:rsid w:val="009D3BAF"/>
    <w:rsid w:val="009D3C2B"/>
    <w:rsid w:val="009D3C96"/>
    <w:rsid w:val="009D3D53"/>
    <w:rsid w:val="009D3DB6"/>
    <w:rsid w:val="009D3E89"/>
    <w:rsid w:val="009D3EFF"/>
    <w:rsid w:val="009D3F66"/>
    <w:rsid w:val="009D3F75"/>
    <w:rsid w:val="009D3FE0"/>
    <w:rsid w:val="009D4221"/>
    <w:rsid w:val="009D4243"/>
    <w:rsid w:val="009D4293"/>
    <w:rsid w:val="009D4350"/>
    <w:rsid w:val="009D43E0"/>
    <w:rsid w:val="009D443F"/>
    <w:rsid w:val="009D455B"/>
    <w:rsid w:val="009D45D9"/>
    <w:rsid w:val="009D46E2"/>
    <w:rsid w:val="009D4827"/>
    <w:rsid w:val="009D48F1"/>
    <w:rsid w:val="009D4A10"/>
    <w:rsid w:val="009D4B33"/>
    <w:rsid w:val="009D4B77"/>
    <w:rsid w:val="009D4C05"/>
    <w:rsid w:val="009D4DDD"/>
    <w:rsid w:val="009D4DEE"/>
    <w:rsid w:val="009D4EF5"/>
    <w:rsid w:val="009D4FA3"/>
    <w:rsid w:val="009D4FD2"/>
    <w:rsid w:val="009D5042"/>
    <w:rsid w:val="009D50CE"/>
    <w:rsid w:val="009D5175"/>
    <w:rsid w:val="009D5259"/>
    <w:rsid w:val="009D5280"/>
    <w:rsid w:val="009D5552"/>
    <w:rsid w:val="009D5561"/>
    <w:rsid w:val="009D5781"/>
    <w:rsid w:val="009D5B31"/>
    <w:rsid w:val="009D5B33"/>
    <w:rsid w:val="009D5BFD"/>
    <w:rsid w:val="009D5C2C"/>
    <w:rsid w:val="009D5C5C"/>
    <w:rsid w:val="009D5CE7"/>
    <w:rsid w:val="009D5D55"/>
    <w:rsid w:val="009D5D57"/>
    <w:rsid w:val="009D5D80"/>
    <w:rsid w:val="009D611E"/>
    <w:rsid w:val="009D6227"/>
    <w:rsid w:val="009D6257"/>
    <w:rsid w:val="009D628E"/>
    <w:rsid w:val="009D62D9"/>
    <w:rsid w:val="009D6310"/>
    <w:rsid w:val="009D63C1"/>
    <w:rsid w:val="009D6490"/>
    <w:rsid w:val="009D6579"/>
    <w:rsid w:val="009D666B"/>
    <w:rsid w:val="009D6747"/>
    <w:rsid w:val="009D689F"/>
    <w:rsid w:val="009D68D3"/>
    <w:rsid w:val="009D6934"/>
    <w:rsid w:val="009D6B42"/>
    <w:rsid w:val="009D6B7B"/>
    <w:rsid w:val="009D6D4F"/>
    <w:rsid w:val="009D6D85"/>
    <w:rsid w:val="009D6FE0"/>
    <w:rsid w:val="009D719C"/>
    <w:rsid w:val="009D71D4"/>
    <w:rsid w:val="009D71F3"/>
    <w:rsid w:val="009D71F6"/>
    <w:rsid w:val="009D7267"/>
    <w:rsid w:val="009D72BE"/>
    <w:rsid w:val="009D73BC"/>
    <w:rsid w:val="009D7520"/>
    <w:rsid w:val="009D790E"/>
    <w:rsid w:val="009D7A30"/>
    <w:rsid w:val="009D7AB8"/>
    <w:rsid w:val="009D7B6C"/>
    <w:rsid w:val="009D7C10"/>
    <w:rsid w:val="009D7D14"/>
    <w:rsid w:val="009D7EE8"/>
    <w:rsid w:val="009E00FD"/>
    <w:rsid w:val="009E015B"/>
    <w:rsid w:val="009E03FE"/>
    <w:rsid w:val="009E0412"/>
    <w:rsid w:val="009E0467"/>
    <w:rsid w:val="009E04DE"/>
    <w:rsid w:val="009E05A4"/>
    <w:rsid w:val="009E07C9"/>
    <w:rsid w:val="009E07D4"/>
    <w:rsid w:val="009E0863"/>
    <w:rsid w:val="009E087D"/>
    <w:rsid w:val="009E08C6"/>
    <w:rsid w:val="009E09B9"/>
    <w:rsid w:val="009E0A24"/>
    <w:rsid w:val="009E0A97"/>
    <w:rsid w:val="009E0B41"/>
    <w:rsid w:val="009E0CE9"/>
    <w:rsid w:val="009E0E66"/>
    <w:rsid w:val="009E0EE3"/>
    <w:rsid w:val="009E0F53"/>
    <w:rsid w:val="009E1191"/>
    <w:rsid w:val="009E1260"/>
    <w:rsid w:val="009E12A1"/>
    <w:rsid w:val="009E12C1"/>
    <w:rsid w:val="009E131E"/>
    <w:rsid w:val="009E13D8"/>
    <w:rsid w:val="009E142E"/>
    <w:rsid w:val="009E1485"/>
    <w:rsid w:val="009E158B"/>
    <w:rsid w:val="009E17A6"/>
    <w:rsid w:val="009E17E4"/>
    <w:rsid w:val="009E1971"/>
    <w:rsid w:val="009E1C5A"/>
    <w:rsid w:val="009E1D2F"/>
    <w:rsid w:val="009E1D55"/>
    <w:rsid w:val="009E1E7B"/>
    <w:rsid w:val="009E1F19"/>
    <w:rsid w:val="009E2099"/>
    <w:rsid w:val="009E218D"/>
    <w:rsid w:val="009E231E"/>
    <w:rsid w:val="009E259C"/>
    <w:rsid w:val="009E265B"/>
    <w:rsid w:val="009E27BB"/>
    <w:rsid w:val="009E29C9"/>
    <w:rsid w:val="009E2ABB"/>
    <w:rsid w:val="009E2B3C"/>
    <w:rsid w:val="009E2B55"/>
    <w:rsid w:val="009E2B62"/>
    <w:rsid w:val="009E2E53"/>
    <w:rsid w:val="009E2EE8"/>
    <w:rsid w:val="009E2EED"/>
    <w:rsid w:val="009E2F4E"/>
    <w:rsid w:val="009E2F97"/>
    <w:rsid w:val="009E327D"/>
    <w:rsid w:val="009E3307"/>
    <w:rsid w:val="009E3474"/>
    <w:rsid w:val="009E356E"/>
    <w:rsid w:val="009E3734"/>
    <w:rsid w:val="009E37C0"/>
    <w:rsid w:val="009E389D"/>
    <w:rsid w:val="009E38FA"/>
    <w:rsid w:val="009E392F"/>
    <w:rsid w:val="009E3A85"/>
    <w:rsid w:val="009E3ABD"/>
    <w:rsid w:val="009E3AE1"/>
    <w:rsid w:val="009E3D7B"/>
    <w:rsid w:val="009E3F38"/>
    <w:rsid w:val="009E3F96"/>
    <w:rsid w:val="009E4148"/>
    <w:rsid w:val="009E4186"/>
    <w:rsid w:val="009E42A5"/>
    <w:rsid w:val="009E4316"/>
    <w:rsid w:val="009E4362"/>
    <w:rsid w:val="009E449E"/>
    <w:rsid w:val="009E4518"/>
    <w:rsid w:val="009E45E9"/>
    <w:rsid w:val="009E478C"/>
    <w:rsid w:val="009E489E"/>
    <w:rsid w:val="009E48A7"/>
    <w:rsid w:val="009E49CF"/>
    <w:rsid w:val="009E4A08"/>
    <w:rsid w:val="009E4BF0"/>
    <w:rsid w:val="009E4C10"/>
    <w:rsid w:val="009E4C38"/>
    <w:rsid w:val="009E4DE8"/>
    <w:rsid w:val="009E4E1E"/>
    <w:rsid w:val="009E4F15"/>
    <w:rsid w:val="009E4F57"/>
    <w:rsid w:val="009E50DC"/>
    <w:rsid w:val="009E50E7"/>
    <w:rsid w:val="009E523D"/>
    <w:rsid w:val="009E52EC"/>
    <w:rsid w:val="009E54F0"/>
    <w:rsid w:val="009E55CF"/>
    <w:rsid w:val="009E5672"/>
    <w:rsid w:val="009E56D5"/>
    <w:rsid w:val="009E58E4"/>
    <w:rsid w:val="009E5980"/>
    <w:rsid w:val="009E5B37"/>
    <w:rsid w:val="009E5B90"/>
    <w:rsid w:val="009E5C7C"/>
    <w:rsid w:val="009E5CEA"/>
    <w:rsid w:val="009E5D36"/>
    <w:rsid w:val="009E5E16"/>
    <w:rsid w:val="009E5EA7"/>
    <w:rsid w:val="009E5F76"/>
    <w:rsid w:val="009E5FC0"/>
    <w:rsid w:val="009E6375"/>
    <w:rsid w:val="009E63A2"/>
    <w:rsid w:val="009E65E2"/>
    <w:rsid w:val="009E678E"/>
    <w:rsid w:val="009E682B"/>
    <w:rsid w:val="009E6958"/>
    <w:rsid w:val="009E6A11"/>
    <w:rsid w:val="009E6A45"/>
    <w:rsid w:val="009E6AF0"/>
    <w:rsid w:val="009E6C92"/>
    <w:rsid w:val="009E6E05"/>
    <w:rsid w:val="009E7021"/>
    <w:rsid w:val="009E7140"/>
    <w:rsid w:val="009E716D"/>
    <w:rsid w:val="009E7203"/>
    <w:rsid w:val="009E729D"/>
    <w:rsid w:val="009E7343"/>
    <w:rsid w:val="009E73E2"/>
    <w:rsid w:val="009E74C6"/>
    <w:rsid w:val="009E7508"/>
    <w:rsid w:val="009E751C"/>
    <w:rsid w:val="009E756F"/>
    <w:rsid w:val="009E7895"/>
    <w:rsid w:val="009E789F"/>
    <w:rsid w:val="009E78B1"/>
    <w:rsid w:val="009E7963"/>
    <w:rsid w:val="009E7A5F"/>
    <w:rsid w:val="009E7BBE"/>
    <w:rsid w:val="009E7C91"/>
    <w:rsid w:val="009E7CA0"/>
    <w:rsid w:val="009E7D27"/>
    <w:rsid w:val="009E7E52"/>
    <w:rsid w:val="009E7E61"/>
    <w:rsid w:val="009E7E7A"/>
    <w:rsid w:val="009E7F02"/>
    <w:rsid w:val="009F0021"/>
    <w:rsid w:val="009F01FE"/>
    <w:rsid w:val="009F02E6"/>
    <w:rsid w:val="009F0321"/>
    <w:rsid w:val="009F0407"/>
    <w:rsid w:val="009F05EA"/>
    <w:rsid w:val="009F06C6"/>
    <w:rsid w:val="009F088E"/>
    <w:rsid w:val="009F0909"/>
    <w:rsid w:val="009F09CA"/>
    <w:rsid w:val="009F0A11"/>
    <w:rsid w:val="009F0CCD"/>
    <w:rsid w:val="009F0E39"/>
    <w:rsid w:val="009F0F82"/>
    <w:rsid w:val="009F1043"/>
    <w:rsid w:val="009F1233"/>
    <w:rsid w:val="009F126D"/>
    <w:rsid w:val="009F12D2"/>
    <w:rsid w:val="009F132D"/>
    <w:rsid w:val="009F13DC"/>
    <w:rsid w:val="009F162E"/>
    <w:rsid w:val="009F1712"/>
    <w:rsid w:val="009F17D8"/>
    <w:rsid w:val="009F1867"/>
    <w:rsid w:val="009F186A"/>
    <w:rsid w:val="009F1931"/>
    <w:rsid w:val="009F1935"/>
    <w:rsid w:val="009F19B3"/>
    <w:rsid w:val="009F1BE1"/>
    <w:rsid w:val="009F1C22"/>
    <w:rsid w:val="009F1CB4"/>
    <w:rsid w:val="009F1CC1"/>
    <w:rsid w:val="009F1DD9"/>
    <w:rsid w:val="009F1DDB"/>
    <w:rsid w:val="009F1E65"/>
    <w:rsid w:val="009F1F41"/>
    <w:rsid w:val="009F1F53"/>
    <w:rsid w:val="009F1F6F"/>
    <w:rsid w:val="009F201F"/>
    <w:rsid w:val="009F2079"/>
    <w:rsid w:val="009F2143"/>
    <w:rsid w:val="009F233E"/>
    <w:rsid w:val="009F23EB"/>
    <w:rsid w:val="009F242B"/>
    <w:rsid w:val="009F2446"/>
    <w:rsid w:val="009F25AF"/>
    <w:rsid w:val="009F2722"/>
    <w:rsid w:val="009F2845"/>
    <w:rsid w:val="009F296A"/>
    <w:rsid w:val="009F29B6"/>
    <w:rsid w:val="009F2D95"/>
    <w:rsid w:val="009F2E5C"/>
    <w:rsid w:val="009F2E85"/>
    <w:rsid w:val="009F2F9F"/>
    <w:rsid w:val="009F3022"/>
    <w:rsid w:val="009F34EA"/>
    <w:rsid w:val="009F387C"/>
    <w:rsid w:val="009F389B"/>
    <w:rsid w:val="009F3A25"/>
    <w:rsid w:val="009F3A31"/>
    <w:rsid w:val="009F3B0B"/>
    <w:rsid w:val="009F3C6B"/>
    <w:rsid w:val="009F3D55"/>
    <w:rsid w:val="009F3EE2"/>
    <w:rsid w:val="009F4057"/>
    <w:rsid w:val="009F41CC"/>
    <w:rsid w:val="009F4240"/>
    <w:rsid w:val="009F42AC"/>
    <w:rsid w:val="009F44B9"/>
    <w:rsid w:val="009F45B2"/>
    <w:rsid w:val="009F45BD"/>
    <w:rsid w:val="009F464E"/>
    <w:rsid w:val="009F478A"/>
    <w:rsid w:val="009F47F4"/>
    <w:rsid w:val="009F4887"/>
    <w:rsid w:val="009F490B"/>
    <w:rsid w:val="009F4B5F"/>
    <w:rsid w:val="009F4C98"/>
    <w:rsid w:val="009F4CE8"/>
    <w:rsid w:val="009F4D95"/>
    <w:rsid w:val="009F4DA8"/>
    <w:rsid w:val="009F4F55"/>
    <w:rsid w:val="009F4FF8"/>
    <w:rsid w:val="009F50E1"/>
    <w:rsid w:val="009F5180"/>
    <w:rsid w:val="009F51C7"/>
    <w:rsid w:val="009F5208"/>
    <w:rsid w:val="009F52EB"/>
    <w:rsid w:val="009F53E1"/>
    <w:rsid w:val="009F5435"/>
    <w:rsid w:val="009F5449"/>
    <w:rsid w:val="009F55E4"/>
    <w:rsid w:val="009F55ED"/>
    <w:rsid w:val="009F575A"/>
    <w:rsid w:val="009F590B"/>
    <w:rsid w:val="009F596A"/>
    <w:rsid w:val="009F5995"/>
    <w:rsid w:val="009F5A30"/>
    <w:rsid w:val="009F5B99"/>
    <w:rsid w:val="009F5BEA"/>
    <w:rsid w:val="009F5C86"/>
    <w:rsid w:val="009F5F21"/>
    <w:rsid w:val="009F5FC1"/>
    <w:rsid w:val="009F60EF"/>
    <w:rsid w:val="009F62A1"/>
    <w:rsid w:val="009F6488"/>
    <w:rsid w:val="009F6523"/>
    <w:rsid w:val="009F6552"/>
    <w:rsid w:val="009F667F"/>
    <w:rsid w:val="009F66E4"/>
    <w:rsid w:val="009F674C"/>
    <w:rsid w:val="009F6753"/>
    <w:rsid w:val="009F68FB"/>
    <w:rsid w:val="009F6C18"/>
    <w:rsid w:val="009F6C51"/>
    <w:rsid w:val="009F6C69"/>
    <w:rsid w:val="009F6C91"/>
    <w:rsid w:val="009F6DBF"/>
    <w:rsid w:val="009F6DD6"/>
    <w:rsid w:val="009F6EDB"/>
    <w:rsid w:val="009F6F00"/>
    <w:rsid w:val="009F6FD0"/>
    <w:rsid w:val="009F7173"/>
    <w:rsid w:val="009F7254"/>
    <w:rsid w:val="009F729C"/>
    <w:rsid w:val="009F732C"/>
    <w:rsid w:val="009F7429"/>
    <w:rsid w:val="009F74A7"/>
    <w:rsid w:val="009F74FD"/>
    <w:rsid w:val="009F75FF"/>
    <w:rsid w:val="009F7863"/>
    <w:rsid w:val="009F79E1"/>
    <w:rsid w:val="009F7BB0"/>
    <w:rsid w:val="009F7D99"/>
    <w:rsid w:val="009F7E8B"/>
    <w:rsid w:val="009F7F44"/>
    <w:rsid w:val="009F7FE4"/>
    <w:rsid w:val="00A00099"/>
    <w:rsid w:val="00A00160"/>
    <w:rsid w:val="00A0024E"/>
    <w:rsid w:val="00A002EA"/>
    <w:rsid w:val="00A003E1"/>
    <w:rsid w:val="00A00459"/>
    <w:rsid w:val="00A005F0"/>
    <w:rsid w:val="00A00810"/>
    <w:rsid w:val="00A0087D"/>
    <w:rsid w:val="00A009A7"/>
    <w:rsid w:val="00A00AC3"/>
    <w:rsid w:val="00A00B25"/>
    <w:rsid w:val="00A00BE6"/>
    <w:rsid w:val="00A00C6B"/>
    <w:rsid w:val="00A00CF5"/>
    <w:rsid w:val="00A00D05"/>
    <w:rsid w:val="00A00D64"/>
    <w:rsid w:val="00A00DB8"/>
    <w:rsid w:val="00A0147A"/>
    <w:rsid w:val="00A015F2"/>
    <w:rsid w:val="00A0169C"/>
    <w:rsid w:val="00A0177D"/>
    <w:rsid w:val="00A01900"/>
    <w:rsid w:val="00A019A6"/>
    <w:rsid w:val="00A01B02"/>
    <w:rsid w:val="00A01D75"/>
    <w:rsid w:val="00A01DFE"/>
    <w:rsid w:val="00A01EDF"/>
    <w:rsid w:val="00A01F48"/>
    <w:rsid w:val="00A01F56"/>
    <w:rsid w:val="00A02000"/>
    <w:rsid w:val="00A02029"/>
    <w:rsid w:val="00A02081"/>
    <w:rsid w:val="00A020C7"/>
    <w:rsid w:val="00A0219E"/>
    <w:rsid w:val="00A021E8"/>
    <w:rsid w:val="00A0229A"/>
    <w:rsid w:val="00A02302"/>
    <w:rsid w:val="00A023C6"/>
    <w:rsid w:val="00A02407"/>
    <w:rsid w:val="00A02508"/>
    <w:rsid w:val="00A025D7"/>
    <w:rsid w:val="00A025F9"/>
    <w:rsid w:val="00A02712"/>
    <w:rsid w:val="00A02717"/>
    <w:rsid w:val="00A02760"/>
    <w:rsid w:val="00A027CA"/>
    <w:rsid w:val="00A02A16"/>
    <w:rsid w:val="00A02A85"/>
    <w:rsid w:val="00A02BF4"/>
    <w:rsid w:val="00A02CDA"/>
    <w:rsid w:val="00A02E9C"/>
    <w:rsid w:val="00A02F41"/>
    <w:rsid w:val="00A030CD"/>
    <w:rsid w:val="00A03122"/>
    <w:rsid w:val="00A03195"/>
    <w:rsid w:val="00A032BC"/>
    <w:rsid w:val="00A032DE"/>
    <w:rsid w:val="00A03334"/>
    <w:rsid w:val="00A033E3"/>
    <w:rsid w:val="00A03615"/>
    <w:rsid w:val="00A03616"/>
    <w:rsid w:val="00A036B6"/>
    <w:rsid w:val="00A03A3C"/>
    <w:rsid w:val="00A03A62"/>
    <w:rsid w:val="00A03B30"/>
    <w:rsid w:val="00A03C97"/>
    <w:rsid w:val="00A03D10"/>
    <w:rsid w:val="00A03EF1"/>
    <w:rsid w:val="00A04136"/>
    <w:rsid w:val="00A04180"/>
    <w:rsid w:val="00A04392"/>
    <w:rsid w:val="00A04446"/>
    <w:rsid w:val="00A04464"/>
    <w:rsid w:val="00A04496"/>
    <w:rsid w:val="00A044D7"/>
    <w:rsid w:val="00A0451A"/>
    <w:rsid w:val="00A0458C"/>
    <w:rsid w:val="00A045CE"/>
    <w:rsid w:val="00A0460A"/>
    <w:rsid w:val="00A04830"/>
    <w:rsid w:val="00A049D2"/>
    <w:rsid w:val="00A049F1"/>
    <w:rsid w:val="00A04A8B"/>
    <w:rsid w:val="00A04ACC"/>
    <w:rsid w:val="00A04C9E"/>
    <w:rsid w:val="00A05032"/>
    <w:rsid w:val="00A0518C"/>
    <w:rsid w:val="00A051F2"/>
    <w:rsid w:val="00A052AC"/>
    <w:rsid w:val="00A0530A"/>
    <w:rsid w:val="00A0536D"/>
    <w:rsid w:val="00A05401"/>
    <w:rsid w:val="00A05444"/>
    <w:rsid w:val="00A055F6"/>
    <w:rsid w:val="00A0565E"/>
    <w:rsid w:val="00A0578D"/>
    <w:rsid w:val="00A05850"/>
    <w:rsid w:val="00A0595A"/>
    <w:rsid w:val="00A059BA"/>
    <w:rsid w:val="00A059DC"/>
    <w:rsid w:val="00A05A82"/>
    <w:rsid w:val="00A05C69"/>
    <w:rsid w:val="00A05CC2"/>
    <w:rsid w:val="00A05D56"/>
    <w:rsid w:val="00A05EF7"/>
    <w:rsid w:val="00A060B9"/>
    <w:rsid w:val="00A061A7"/>
    <w:rsid w:val="00A0621A"/>
    <w:rsid w:val="00A06288"/>
    <w:rsid w:val="00A06469"/>
    <w:rsid w:val="00A06481"/>
    <w:rsid w:val="00A064B9"/>
    <w:rsid w:val="00A06623"/>
    <w:rsid w:val="00A0676D"/>
    <w:rsid w:val="00A06918"/>
    <w:rsid w:val="00A06934"/>
    <w:rsid w:val="00A069CE"/>
    <w:rsid w:val="00A069FE"/>
    <w:rsid w:val="00A06A68"/>
    <w:rsid w:val="00A06AD1"/>
    <w:rsid w:val="00A06B57"/>
    <w:rsid w:val="00A06CA0"/>
    <w:rsid w:val="00A06D4A"/>
    <w:rsid w:val="00A06D8A"/>
    <w:rsid w:val="00A06FF8"/>
    <w:rsid w:val="00A070B8"/>
    <w:rsid w:val="00A07154"/>
    <w:rsid w:val="00A072CF"/>
    <w:rsid w:val="00A07416"/>
    <w:rsid w:val="00A07454"/>
    <w:rsid w:val="00A07594"/>
    <w:rsid w:val="00A075D1"/>
    <w:rsid w:val="00A07616"/>
    <w:rsid w:val="00A0770A"/>
    <w:rsid w:val="00A07813"/>
    <w:rsid w:val="00A0798A"/>
    <w:rsid w:val="00A07C3E"/>
    <w:rsid w:val="00A07C75"/>
    <w:rsid w:val="00A07F33"/>
    <w:rsid w:val="00A0B39D"/>
    <w:rsid w:val="00A10109"/>
    <w:rsid w:val="00A10319"/>
    <w:rsid w:val="00A10353"/>
    <w:rsid w:val="00A103FF"/>
    <w:rsid w:val="00A10437"/>
    <w:rsid w:val="00A10439"/>
    <w:rsid w:val="00A104AF"/>
    <w:rsid w:val="00A10595"/>
    <w:rsid w:val="00A109D8"/>
    <w:rsid w:val="00A109FC"/>
    <w:rsid w:val="00A10A69"/>
    <w:rsid w:val="00A10A9E"/>
    <w:rsid w:val="00A10B49"/>
    <w:rsid w:val="00A10BDD"/>
    <w:rsid w:val="00A10CC3"/>
    <w:rsid w:val="00A10CD0"/>
    <w:rsid w:val="00A10D3A"/>
    <w:rsid w:val="00A10E0B"/>
    <w:rsid w:val="00A10ED6"/>
    <w:rsid w:val="00A10F63"/>
    <w:rsid w:val="00A10F75"/>
    <w:rsid w:val="00A10FB7"/>
    <w:rsid w:val="00A1117A"/>
    <w:rsid w:val="00A11203"/>
    <w:rsid w:val="00A11397"/>
    <w:rsid w:val="00A11461"/>
    <w:rsid w:val="00A11673"/>
    <w:rsid w:val="00A1169A"/>
    <w:rsid w:val="00A1179B"/>
    <w:rsid w:val="00A117B2"/>
    <w:rsid w:val="00A11915"/>
    <w:rsid w:val="00A1197A"/>
    <w:rsid w:val="00A119C6"/>
    <w:rsid w:val="00A11A4A"/>
    <w:rsid w:val="00A11A6E"/>
    <w:rsid w:val="00A11AAA"/>
    <w:rsid w:val="00A11B72"/>
    <w:rsid w:val="00A11EB1"/>
    <w:rsid w:val="00A11EF8"/>
    <w:rsid w:val="00A11FBC"/>
    <w:rsid w:val="00A12037"/>
    <w:rsid w:val="00A12187"/>
    <w:rsid w:val="00A121CB"/>
    <w:rsid w:val="00A12201"/>
    <w:rsid w:val="00A12457"/>
    <w:rsid w:val="00A124D5"/>
    <w:rsid w:val="00A12547"/>
    <w:rsid w:val="00A12659"/>
    <w:rsid w:val="00A126BB"/>
    <w:rsid w:val="00A126FE"/>
    <w:rsid w:val="00A127F3"/>
    <w:rsid w:val="00A12837"/>
    <w:rsid w:val="00A128E1"/>
    <w:rsid w:val="00A129AA"/>
    <w:rsid w:val="00A12A29"/>
    <w:rsid w:val="00A12A47"/>
    <w:rsid w:val="00A12B24"/>
    <w:rsid w:val="00A12BBD"/>
    <w:rsid w:val="00A12BCE"/>
    <w:rsid w:val="00A12BEC"/>
    <w:rsid w:val="00A12C3D"/>
    <w:rsid w:val="00A12DFF"/>
    <w:rsid w:val="00A12E77"/>
    <w:rsid w:val="00A12EEC"/>
    <w:rsid w:val="00A12F08"/>
    <w:rsid w:val="00A12F7E"/>
    <w:rsid w:val="00A12F85"/>
    <w:rsid w:val="00A1303C"/>
    <w:rsid w:val="00A1328B"/>
    <w:rsid w:val="00A132A5"/>
    <w:rsid w:val="00A133CC"/>
    <w:rsid w:val="00A1343E"/>
    <w:rsid w:val="00A134A8"/>
    <w:rsid w:val="00A13536"/>
    <w:rsid w:val="00A135B3"/>
    <w:rsid w:val="00A13633"/>
    <w:rsid w:val="00A136DC"/>
    <w:rsid w:val="00A136EE"/>
    <w:rsid w:val="00A1384E"/>
    <w:rsid w:val="00A13922"/>
    <w:rsid w:val="00A13AFD"/>
    <w:rsid w:val="00A13CE0"/>
    <w:rsid w:val="00A13CEF"/>
    <w:rsid w:val="00A13F4C"/>
    <w:rsid w:val="00A13F71"/>
    <w:rsid w:val="00A13FDF"/>
    <w:rsid w:val="00A14006"/>
    <w:rsid w:val="00A1401F"/>
    <w:rsid w:val="00A14134"/>
    <w:rsid w:val="00A1434E"/>
    <w:rsid w:val="00A144CD"/>
    <w:rsid w:val="00A144EC"/>
    <w:rsid w:val="00A14712"/>
    <w:rsid w:val="00A14728"/>
    <w:rsid w:val="00A1475A"/>
    <w:rsid w:val="00A14767"/>
    <w:rsid w:val="00A14928"/>
    <w:rsid w:val="00A149AA"/>
    <w:rsid w:val="00A14A70"/>
    <w:rsid w:val="00A14A72"/>
    <w:rsid w:val="00A14C1E"/>
    <w:rsid w:val="00A14CDB"/>
    <w:rsid w:val="00A14DEB"/>
    <w:rsid w:val="00A14DFB"/>
    <w:rsid w:val="00A14E42"/>
    <w:rsid w:val="00A14F27"/>
    <w:rsid w:val="00A14F57"/>
    <w:rsid w:val="00A14FF6"/>
    <w:rsid w:val="00A15003"/>
    <w:rsid w:val="00A15056"/>
    <w:rsid w:val="00A150B5"/>
    <w:rsid w:val="00A150FD"/>
    <w:rsid w:val="00A1516D"/>
    <w:rsid w:val="00A15287"/>
    <w:rsid w:val="00A15317"/>
    <w:rsid w:val="00A15360"/>
    <w:rsid w:val="00A15639"/>
    <w:rsid w:val="00A1569A"/>
    <w:rsid w:val="00A156B4"/>
    <w:rsid w:val="00A15784"/>
    <w:rsid w:val="00A15819"/>
    <w:rsid w:val="00A1589A"/>
    <w:rsid w:val="00A158A0"/>
    <w:rsid w:val="00A158B8"/>
    <w:rsid w:val="00A15986"/>
    <w:rsid w:val="00A15996"/>
    <w:rsid w:val="00A15A37"/>
    <w:rsid w:val="00A15AB5"/>
    <w:rsid w:val="00A15B20"/>
    <w:rsid w:val="00A15CE5"/>
    <w:rsid w:val="00A15D6D"/>
    <w:rsid w:val="00A15E8C"/>
    <w:rsid w:val="00A15EC7"/>
    <w:rsid w:val="00A16003"/>
    <w:rsid w:val="00A160AF"/>
    <w:rsid w:val="00A160D9"/>
    <w:rsid w:val="00A161AD"/>
    <w:rsid w:val="00A161E6"/>
    <w:rsid w:val="00A1638B"/>
    <w:rsid w:val="00A1648E"/>
    <w:rsid w:val="00A1649C"/>
    <w:rsid w:val="00A16513"/>
    <w:rsid w:val="00A16625"/>
    <w:rsid w:val="00A16709"/>
    <w:rsid w:val="00A1672F"/>
    <w:rsid w:val="00A167A2"/>
    <w:rsid w:val="00A167D7"/>
    <w:rsid w:val="00A1682A"/>
    <w:rsid w:val="00A16867"/>
    <w:rsid w:val="00A16912"/>
    <w:rsid w:val="00A169A5"/>
    <w:rsid w:val="00A16C95"/>
    <w:rsid w:val="00A16CC2"/>
    <w:rsid w:val="00A16E26"/>
    <w:rsid w:val="00A16E2B"/>
    <w:rsid w:val="00A16EF2"/>
    <w:rsid w:val="00A16F23"/>
    <w:rsid w:val="00A1717A"/>
    <w:rsid w:val="00A1722E"/>
    <w:rsid w:val="00A17272"/>
    <w:rsid w:val="00A17390"/>
    <w:rsid w:val="00A17496"/>
    <w:rsid w:val="00A17559"/>
    <w:rsid w:val="00A176B3"/>
    <w:rsid w:val="00A1771C"/>
    <w:rsid w:val="00A17923"/>
    <w:rsid w:val="00A17C92"/>
    <w:rsid w:val="00A17CFB"/>
    <w:rsid w:val="00A17D95"/>
    <w:rsid w:val="00A17E35"/>
    <w:rsid w:val="00A17F5A"/>
    <w:rsid w:val="00A17F67"/>
    <w:rsid w:val="00A17FD9"/>
    <w:rsid w:val="00A20011"/>
    <w:rsid w:val="00A20070"/>
    <w:rsid w:val="00A200A2"/>
    <w:rsid w:val="00A201C0"/>
    <w:rsid w:val="00A201F8"/>
    <w:rsid w:val="00A202F6"/>
    <w:rsid w:val="00A2030D"/>
    <w:rsid w:val="00A2074C"/>
    <w:rsid w:val="00A208D8"/>
    <w:rsid w:val="00A20963"/>
    <w:rsid w:val="00A20A30"/>
    <w:rsid w:val="00A20A5C"/>
    <w:rsid w:val="00A20BD9"/>
    <w:rsid w:val="00A20D7C"/>
    <w:rsid w:val="00A20F44"/>
    <w:rsid w:val="00A20FA2"/>
    <w:rsid w:val="00A2111B"/>
    <w:rsid w:val="00A21247"/>
    <w:rsid w:val="00A21739"/>
    <w:rsid w:val="00A21807"/>
    <w:rsid w:val="00A21918"/>
    <w:rsid w:val="00A2192A"/>
    <w:rsid w:val="00A21960"/>
    <w:rsid w:val="00A219DE"/>
    <w:rsid w:val="00A21A6E"/>
    <w:rsid w:val="00A21BA2"/>
    <w:rsid w:val="00A21C3C"/>
    <w:rsid w:val="00A21CE7"/>
    <w:rsid w:val="00A21F4D"/>
    <w:rsid w:val="00A21F79"/>
    <w:rsid w:val="00A21FEF"/>
    <w:rsid w:val="00A2205F"/>
    <w:rsid w:val="00A221AE"/>
    <w:rsid w:val="00A2237B"/>
    <w:rsid w:val="00A223F6"/>
    <w:rsid w:val="00A22701"/>
    <w:rsid w:val="00A227EE"/>
    <w:rsid w:val="00A22968"/>
    <w:rsid w:val="00A229B7"/>
    <w:rsid w:val="00A22A53"/>
    <w:rsid w:val="00A22BE6"/>
    <w:rsid w:val="00A22CBA"/>
    <w:rsid w:val="00A22DFB"/>
    <w:rsid w:val="00A23032"/>
    <w:rsid w:val="00A23287"/>
    <w:rsid w:val="00A232EE"/>
    <w:rsid w:val="00A23317"/>
    <w:rsid w:val="00A2349C"/>
    <w:rsid w:val="00A236E8"/>
    <w:rsid w:val="00A238CD"/>
    <w:rsid w:val="00A2392D"/>
    <w:rsid w:val="00A23950"/>
    <w:rsid w:val="00A23A7F"/>
    <w:rsid w:val="00A23A95"/>
    <w:rsid w:val="00A23D06"/>
    <w:rsid w:val="00A23D15"/>
    <w:rsid w:val="00A23D39"/>
    <w:rsid w:val="00A23D77"/>
    <w:rsid w:val="00A23D8A"/>
    <w:rsid w:val="00A23DA1"/>
    <w:rsid w:val="00A23EC2"/>
    <w:rsid w:val="00A23EE8"/>
    <w:rsid w:val="00A2412D"/>
    <w:rsid w:val="00A24141"/>
    <w:rsid w:val="00A24281"/>
    <w:rsid w:val="00A2428B"/>
    <w:rsid w:val="00A24352"/>
    <w:rsid w:val="00A24381"/>
    <w:rsid w:val="00A24382"/>
    <w:rsid w:val="00A2439E"/>
    <w:rsid w:val="00A24462"/>
    <w:rsid w:val="00A24472"/>
    <w:rsid w:val="00A24490"/>
    <w:rsid w:val="00A2472E"/>
    <w:rsid w:val="00A24945"/>
    <w:rsid w:val="00A24AC3"/>
    <w:rsid w:val="00A24AF5"/>
    <w:rsid w:val="00A24B41"/>
    <w:rsid w:val="00A24BBA"/>
    <w:rsid w:val="00A24DF7"/>
    <w:rsid w:val="00A24ED5"/>
    <w:rsid w:val="00A24F2A"/>
    <w:rsid w:val="00A24F59"/>
    <w:rsid w:val="00A24FBB"/>
    <w:rsid w:val="00A25126"/>
    <w:rsid w:val="00A253FB"/>
    <w:rsid w:val="00A25517"/>
    <w:rsid w:val="00A25530"/>
    <w:rsid w:val="00A2553D"/>
    <w:rsid w:val="00A25551"/>
    <w:rsid w:val="00A25697"/>
    <w:rsid w:val="00A257EA"/>
    <w:rsid w:val="00A258A6"/>
    <w:rsid w:val="00A2591D"/>
    <w:rsid w:val="00A259D0"/>
    <w:rsid w:val="00A259DD"/>
    <w:rsid w:val="00A259E5"/>
    <w:rsid w:val="00A25A03"/>
    <w:rsid w:val="00A25A58"/>
    <w:rsid w:val="00A25AA2"/>
    <w:rsid w:val="00A25AF7"/>
    <w:rsid w:val="00A25B73"/>
    <w:rsid w:val="00A25C7F"/>
    <w:rsid w:val="00A25CA4"/>
    <w:rsid w:val="00A25CC3"/>
    <w:rsid w:val="00A25E00"/>
    <w:rsid w:val="00A25E32"/>
    <w:rsid w:val="00A25FD4"/>
    <w:rsid w:val="00A26167"/>
    <w:rsid w:val="00A26608"/>
    <w:rsid w:val="00A2664D"/>
    <w:rsid w:val="00A2666D"/>
    <w:rsid w:val="00A26839"/>
    <w:rsid w:val="00A26960"/>
    <w:rsid w:val="00A269FD"/>
    <w:rsid w:val="00A26B91"/>
    <w:rsid w:val="00A26C6E"/>
    <w:rsid w:val="00A27026"/>
    <w:rsid w:val="00A27052"/>
    <w:rsid w:val="00A275E0"/>
    <w:rsid w:val="00A27722"/>
    <w:rsid w:val="00A2782A"/>
    <w:rsid w:val="00A27877"/>
    <w:rsid w:val="00A27895"/>
    <w:rsid w:val="00A2796F"/>
    <w:rsid w:val="00A27A99"/>
    <w:rsid w:val="00A27B23"/>
    <w:rsid w:val="00A27B5C"/>
    <w:rsid w:val="00A27B94"/>
    <w:rsid w:val="00A27BA5"/>
    <w:rsid w:val="00A27C1A"/>
    <w:rsid w:val="00A27D02"/>
    <w:rsid w:val="00A27D58"/>
    <w:rsid w:val="00A27F00"/>
    <w:rsid w:val="00A27F5A"/>
    <w:rsid w:val="00A30299"/>
    <w:rsid w:val="00A3037A"/>
    <w:rsid w:val="00A30460"/>
    <w:rsid w:val="00A3046E"/>
    <w:rsid w:val="00A3065A"/>
    <w:rsid w:val="00A30738"/>
    <w:rsid w:val="00A307A8"/>
    <w:rsid w:val="00A307B0"/>
    <w:rsid w:val="00A308F7"/>
    <w:rsid w:val="00A30916"/>
    <w:rsid w:val="00A30966"/>
    <w:rsid w:val="00A30AA2"/>
    <w:rsid w:val="00A30D29"/>
    <w:rsid w:val="00A3109A"/>
    <w:rsid w:val="00A31224"/>
    <w:rsid w:val="00A3131B"/>
    <w:rsid w:val="00A31381"/>
    <w:rsid w:val="00A313A5"/>
    <w:rsid w:val="00A314DA"/>
    <w:rsid w:val="00A31607"/>
    <w:rsid w:val="00A31967"/>
    <w:rsid w:val="00A31977"/>
    <w:rsid w:val="00A319AC"/>
    <w:rsid w:val="00A319C3"/>
    <w:rsid w:val="00A31A3E"/>
    <w:rsid w:val="00A31A47"/>
    <w:rsid w:val="00A31A65"/>
    <w:rsid w:val="00A31AE3"/>
    <w:rsid w:val="00A31B55"/>
    <w:rsid w:val="00A31BE9"/>
    <w:rsid w:val="00A31CF5"/>
    <w:rsid w:val="00A31DC3"/>
    <w:rsid w:val="00A31E52"/>
    <w:rsid w:val="00A3202F"/>
    <w:rsid w:val="00A32166"/>
    <w:rsid w:val="00A32178"/>
    <w:rsid w:val="00A322D3"/>
    <w:rsid w:val="00A32374"/>
    <w:rsid w:val="00A323DA"/>
    <w:rsid w:val="00A32447"/>
    <w:rsid w:val="00A32474"/>
    <w:rsid w:val="00A32491"/>
    <w:rsid w:val="00A32624"/>
    <w:rsid w:val="00A326A9"/>
    <w:rsid w:val="00A326EC"/>
    <w:rsid w:val="00A3272E"/>
    <w:rsid w:val="00A32819"/>
    <w:rsid w:val="00A32835"/>
    <w:rsid w:val="00A328D5"/>
    <w:rsid w:val="00A32952"/>
    <w:rsid w:val="00A32BFD"/>
    <w:rsid w:val="00A32CBD"/>
    <w:rsid w:val="00A32CE8"/>
    <w:rsid w:val="00A32E24"/>
    <w:rsid w:val="00A32E97"/>
    <w:rsid w:val="00A32EBB"/>
    <w:rsid w:val="00A32F0B"/>
    <w:rsid w:val="00A33050"/>
    <w:rsid w:val="00A33213"/>
    <w:rsid w:val="00A33293"/>
    <w:rsid w:val="00A332B1"/>
    <w:rsid w:val="00A3333A"/>
    <w:rsid w:val="00A33575"/>
    <w:rsid w:val="00A337FD"/>
    <w:rsid w:val="00A33899"/>
    <w:rsid w:val="00A33988"/>
    <w:rsid w:val="00A339ED"/>
    <w:rsid w:val="00A33ADD"/>
    <w:rsid w:val="00A33C18"/>
    <w:rsid w:val="00A33D2F"/>
    <w:rsid w:val="00A33D3E"/>
    <w:rsid w:val="00A33DC3"/>
    <w:rsid w:val="00A33E72"/>
    <w:rsid w:val="00A34017"/>
    <w:rsid w:val="00A3403C"/>
    <w:rsid w:val="00A34091"/>
    <w:rsid w:val="00A3420D"/>
    <w:rsid w:val="00A342A5"/>
    <w:rsid w:val="00A34311"/>
    <w:rsid w:val="00A34338"/>
    <w:rsid w:val="00A3453E"/>
    <w:rsid w:val="00A34581"/>
    <w:rsid w:val="00A345B1"/>
    <w:rsid w:val="00A34656"/>
    <w:rsid w:val="00A3473C"/>
    <w:rsid w:val="00A34813"/>
    <w:rsid w:val="00A348E8"/>
    <w:rsid w:val="00A34BBF"/>
    <w:rsid w:val="00A34C8B"/>
    <w:rsid w:val="00A34D8C"/>
    <w:rsid w:val="00A34D9F"/>
    <w:rsid w:val="00A3500F"/>
    <w:rsid w:val="00A35117"/>
    <w:rsid w:val="00A35171"/>
    <w:rsid w:val="00A35199"/>
    <w:rsid w:val="00A35257"/>
    <w:rsid w:val="00A3525A"/>
    <w:rsid w:val="00A352E8"/>
    <w:rsid w:val="00A35357"/>
    <w:rsid w:val="00A3537A"/>
    <w:rsid w:val="00A35461"/>
    <w:rsid w:val="00A355FE"/>
    <w:rsid w:val="00A3560C"/>
    <w:rsid w:val="00A35794"/>
    <w:rsid w:val="00A357CC"/>
    <w:rsid w:val="00A357DD"/>
    <w:rsid w:val="00A358E4"/>
    <w:rsid w:val="00A35975"/>
    <w:rsid w:val="00A359AA"/>
    <w:rsid w:val="00A35B1E"/>
    <w:rsid w:val="00A35C7D"/>
    <w:rsid w:val="00A35CF3"/>
    <w:rsid w:val="00A35D94"/>
    <w:rsid w:val="00A35F1C"/>
    <w:rsid w:val="00A36003"/>
    <w:rsid w:val="00A36088"/>
    <w:rsid w:val="00A360C8"/>
    <w:rsid w:val="00A36190"/>
    <w:rsid w:val="00A361B5"/>
    <w:rsid w:val="00A36200"/>
    <w:rsid w:val="00A362A8"/>
    <w:rsid w:val="00A362BB"/>
    <w:rsid w:val="00A364B7"/>
    <w:rsid w:val="00A364DF"/>
    <w:rsid w:val="00A36501"/>
    <w:rsid w:val="00A3653C"/>
    <w:rsid w:val="00A36590"/>
    <w:rsid w:val="00A366AD"/>
    <w:rsid w:val="00A36791"/>
    <w:rsid w:val="00A367A7"/>
    <w:rsid w:val="00A3689A"/>
    <w:rsid w:val="00A36B89"/>
    <w:rsid w:val="00A36C83"/>
    <w:rsid w:val="00A36CBA"/>
    <w:rsid w:val="00A36D45"/>
    <w:rsid w:val="00A36E12"/>
    <w:rsid w:val="00A36E15"/>
    <w:rsid w:val="00A36EF8"/>
    <w:rsid w:val="00A371EF"/>
    <w:rsid w:val="00A37259"/>
    <w:rsid w:val="00A37308"/>
    <w:rsid w:val="00A37665"/>
    <w:rsid w:val="00A3768A"/>
    <w:rsid w:val="00A3769F"/>
    <w:rsid w:val="00A37746"/>
    <w:rsid w:val="00A379A4"/>
    <w:rsid w:val="00A37A6F"/>
    <w:rsid w:val="00A37AE6"/>
    <w:rsid w:val="00A37B76"/>
    <w:rsid w:val="00A37BC6"/>
    <w:rsid w:val="00A37C50"/>
    <w:rsid w:val="00A37E54"/>
    <w:rsid w:val="00A37FBE"/>
    <w:rsid w:val="00A3B664"/>
    <w:rsid w:val="00A400F0"/>
    <w:rsid w:val="00A401D7"/>
    <w:rsid w:val="00A40227"/>
    <w:rsid w:val="00A40303"/>
    <w:rsid w:val="00A40306"/>
    <w:rsid w:val="00A4031E"/>
    <w:rsid w:val="00A40680"/>
    <w:rsid w:val="00A406FB"/>
    <w:rsid w:val="00A40994"/>
    <w:rsid w:val="00A40B1B"/>
    <w:rsid w:val="00A40CE0"/>
    <w:rsid w:val="00A40CE1"/>
    <w:rsid w:val="00A40E5A"/>
    <w:rsid w:val="00A40EC8"/>
    <w:rsid w:val="00A40F2B"/>
    <w:rsid w:val="00A41002"/>
    <w:rsid w:val="00A410A3"/>
    <w:rsid w:val="00A410F4"/>
    <w:rsid w:val="00A411EB"/>
    <w:rsid w:val="00A412DE"/>
    <w:rsid w:val="00A41409"/>
    <w:rsid w:val="00A41419"/>
    <w:rsid w:val="00A41438"/>
    <w:rsid w:val="00A4160B"/>
    <w:rsid w:val="00A41632"/>
    <w:rsid w:val="00A41636"/>
    <w:rsid w:val="00A41654"/>
    <w:rsid w:val="00A41831"/>
    <w:rsid w:val="00A418AF"/>
    <w:rsid w:val="00A418F0"/>
    <w:rsid w:val="00A41955"/>
    <w:rsid w:val="00A4196E"/>
    <w:rsid w:val="00A419C1"/>
    <w:rsid w:val="00A419E8"/>
    <w:rsid w:val="00A41B14"/>
    <w:rsid w:val="00A41BC9"/>
    <w:rsid w:val="00A41BCB"/>
    <w:rsid w:val="00A41DF0"/>
    <w:rsid w:val="00A41E15"/>
    <w:rsid w:val="00A41F25"/>
    <w:rsid w:val="00A41FF8"/>
    <w:rsid w:val="00A4222C"/>
    <w:rsid w:val="00A422B0"/>
    <w:rsid w:val="00A422C7"/>
    <w:rsid w:val="00A42357"/>
    <w:rsid w:val="00A424E9"/>
    <w:rsid w:val="00A4250B"/>
    <w:rsid w:val="00A42545"/>
    <w:rsid w:val="00A42765"/>
    <w:rsid w:val="00A42818"/>
    <w:rsid w:val="00A4285A"/>
    <w:rsid w:val="00A429B8"/>
    <w:rsid w:val="00A42A0C"/>
    <w:rsid w:val="00A42A1C"/>
    <w:rsid w:val="00A42A7D"/>
    <w:rsid w:val="00A42C49"/>
    <w:rsid w:val="00A42CCD"/>
    <w:rsid w:val="00A42D36"/>
    <w:rsid w:val="00A42DDB"/>
    <w:rsid w:val="00A42E0D"/>
    <w:rsid w:val="00A42E55"/>
    <w:rsid w:val="00A42E87"/>
    <w:rsid w:val="00A42EC5"/>
    <w:rsid w:val="00A42ED2"/>
    <w:rsid w:val="00A43004"/>
    <w:rsid w:val="00A43014"/>
    <w:rsid w:val="00A43059"/>
    <w:rsid w:val="00A4308B"/>
    <w:rsid w:val="00A430B0"/>
    <w:rsid w:val="00A430CC"/>
    <w:rsid w:val="00A431D1"/>
    <w:rsid w:val="00A43241"/>
    <w:rsid w:val="00A432E4"/>
    <w:rsid w:val="00A432F9"/>
    <w:rsid w:val="00A43347"/>
    <w:rsid w:val="00A43363"/>
    <w:rsid w:val="00A4336B"/>
    <w:rsid w:val="00A43397"/>
    <w:rsid w:val="00A433A0"/>
    <w:rsid w:val="00A433BB"/>
    <w:rsid w:val="00A43405"/>
    <w:rsid w:val="00A43406"/>
    <w:rsid w:val="00A43432"/>
    <w:rsid w:val="00A43631"/>
    <w:rsid w:val="00A436EF"/>
    <w:rsid w:val="00A438A4"/>
    <w:rsid w:val="00A4391E"/>
    <w:rsid w:val="00A43955"/>
    <w:rsid w:val="00A439EB"/>
    <w:rsid w:val="00A43A2A"/>
    <w:rsid w:val="00A43B2C"/>
    <w:rsid w:val="00A43B94"/>
    <w:rsid w:val="00A43C53"/>
    <w:rsid w:val="00A43CC7"/>
    <w:rsid w:val="00A43E04"/>
    <w:rsid w:val="00A43FEC"/>
    <w:rsid w:val="00A44008"/>
    <w:rsid w:val="00A44049"/>
    <w:rsid w:val="00A440A4"/>
    <w:rsid w:val="00A44280"/>
    <w:rsid w:val="00A442AD"/>
    <w:rsid w:val="00A442E0"/>
    <w:rsid w:val="00A4431F"/>
    <w:rsid w:val="00A4438C"/>
    <w:rsid w:val="00A44440"/>
    <w:rsid w:val="00A4453D"/>
    <w:rsid w:val="00A44631"/>
    <w:rsid w:val="00A446BD"/>
    <w:rsid w:val="00A44805"/>
    <w:rsid w:val="00A448B8"/>
    <w:rsid w:val="00A449D5"/>
    <w:rsid w:val="00A44A49"/>
    <w:rsid w:val="00A44B33"/>
    <w:rsid w:val="00A44BCD"/>
    <w:rsid w:val="00A44D0B"/>
    <w:rsid w:val="00A44F9E"/>
    <w:rsid w:val="00A44FD3"/>
    <w:rsid w:val="00A4505E"/>
    <w:rsid w:val="00A4512B"/>
    <w:rsid w:val="00A45270"/>
    <w:rsid w:val="00A45396"/>
    <w:rsid w:val="00A4551E"/>
    <w:rsid w:val="00A455A2"/>
    <w:rsid w:val="00A45A4F"/>
    <w:rsid w:val="00A45BB3"/>
    <w:rsid w:val="00A45C7A"/>
    <w:rsid w:val="00A45CA0"/>
    <w:rsid w:val="00A45E3B"/>
    <w:rsid w:val="00A45E7E"/>
    <w:rsid w:val="00A45F42"/>
    <w:rsid w:val="00A45FCF"/>
    <w:rsid w:val="00A45FE4"/>
    <w:rsid w:val="00A45FFA"/>
    <w:rsid w:val="00A4600D"/>
    <w:rsid w:val="00A46043"/>
    <w:rsid w:val="00A46099"/>
    <w:rsid w:val="00A463B5"/>
    <w:rsid w:val="00A46410"/>
    <w:rsid w:val="00A464CF"/>
    <w:rsid w:val="00A46853"/>
    <w:rsid w:val="00A4688F"/>
    <w:rsid w:val="00A46905"/>
    <w:rsid w:val="00A46933"/>
    <w:rsid w:val="00A469E6"/>
    <w:rsid w:val="00A46A91"/>
    <w:rsid w:val="00A46C42"/>
    <w:rsid w:val="00A46D1F"/>
    <w:rsid w:val="00A46D4C"/>
    <w:rsid w:val="00A46E7C"/>
    <w:rsid w:val="00A46EDA"/>
    <w:rsid w:val="00A46F6C"/>
    <w:rsid w:val="00A46FF4"/>
    <w:rsid w:val="00A47096"/>
    <w:rsid w:val="00A470F0"/>
    <w:rsid w:val="00A4723F"/>
    <w:rsid w:val="00A4735D"/>
    <w:rsid w:val="00A473DA"/>
    <w:rsid w:val="00A4744E"/>
    <w:rsid w:val="00A4749A"/>
    <w:rsid w:val="00A475AB"/>
    <w:rsid w:val="00A477E1"/>
    <w:rsid w:val="00A47853"/>
    <w:rsid w:val="00A478BE"/>
    <w:rsid w:val="00A4793D"/>
    <w:rsid w:val="00A47A51"/>
    <w:rsid w:val="00A47A76"/>
    <w:rsid w:val="00A47C26"/>
    <w:rsid w:val="00A47C72"/>
    <w:rsid w:val="00A47E15"/>
    <w:rsid w:val="00A47EAA"/>
    <w:rsid w:val="00A47F3D"/>
    <w:rsid w:val="00A47F4A"/>
    <w:rsid w:val="00A50078"/>
    <w:rsid w:val="00A5008E"/>
    <w:rsid w:val="00A5017D"/>
    <w:rsid w:val="00A502A0"/>
    <w:rsid w:val="00A504B3"/>
    <w:rsid w:val="00A504B7"/>
    <w:rsid w:val="00A50561"/>
    <w:rsid w:val="00A5059B"/>
    <w:rsid w:val="00A50704"/>
    <w:rsid w:val="00A50745"/>
    <w:rsid w:val="00A507AF"/>
    <w:rsid w:val="00A50888"/>
    <w:rsid w:val="00A508DE"/>
    <w:rsid w:val="00A50906"/>
    <w:rsid w:val="00A509FE"/>
    <w:rsid w:val="00A50A0C"/>
    <w:rsid w:val="00A50C41"/>
    <w:rsid w:val="00A50D0A"/>
    <w:rsid w:val="00A50DC6"/>
    <w:rsid w:val="00A50DEA"/>
    <w:rsid w:val="00A50E00"/>
    <w:rsid w:val="00A5101C"/>
    <w:rsid w:val="00A5107F"/>
    <w:rsid w:val="00A512A1"/>
    <w:rsid w:val="00A512D6"/>
    <w:rsid w:val="00A514DB"/>
    <w:rsid w:val="00A5160C"/>
    <w:rsid w:val="00A5161B"/>
    <w:rsid w:val="00A516E5"/>
    <w:rsid w:val="00A51A0C"/>
    <w:rsid w:val="00A51A61"/>
    <w:rsid w:val="00A51AF5"/>
    <w:rsid w:val="00A51B2D"/>
    <w:rsid w:val="00A51B50"/>
    <w:rsid w:val="00A51CC7"/>
    <w:rsid w:val="00A51E35"/>
    <w:rsid w:val="00A51E63"/>
    <w:rsid w:val="00A51E98"/>
    <w:rsid w:val="00A51F08"/>
    <w:rsid w:val="00A52087"/>
    <w:rsid w:val="00A520EA"/>
    <w:rsid w:val="00A5215D"/>
    <w:rsid w:val="00A521CA"/>
    <w:rsid w:val="00A52375"/>
    <w:rsid w:val="00A52408"/>
    <w:rsid w:val="00A524A8"/>
    <w:rsid w:val="00A52529"/>
    <w:rsid w:val="00A52611"/>
    <w:rsid w:val="00A5265F"/>
    <w:rsid w:val="00A52722"/>
    <w:rsid w:val="00A529A8"/>
    <w:rsid w:val="00A52A31"/>
    <w:rsid w:val="00A52AC8"/>
    <w:rsid w:val="00A52B16"/>
    <w:rsid w:val="00A52B2F"/>
    <w:rsid w:val="00A52BCD"/>
    <w:rsid w:val="00A52C33"/>
    <w:rsid w:val="00A52D69"/>
    <w:rsid w:val="00A52D6F"/>
    <w:rsid w:val="00A52F10"/>
    <w:rsid w:val="00A52F42"/>
    <w:rsid w:val="00A530BA"/>
    <w:rsid w:val="00A53241"/>
    <w:rsid w:val="00A53446"/>
    <w:rsid w:val="00A53455"/>
    <w:rsid w:val="00A535AF"/>
    <w:rsid w:val="00A53624"/>
    <w:rsid w:val="00A537C7"/>
    <w:rsid w:val="00A5382B"/>
    <w:rsid w:val="00A538D6"/>
    <w:rsid w:val="00A53903"/>
    <w:rsid w:val="00A53939"/>
    <w:rsid w:val="00A53C09"/>
    <w:rsid w:val="00A53C14"/>
    <w:rsid w:val="00A53C5C"/>
    <w:rsid w:val="00A53DB8"/>
    <w:rsid w:val="00A53E43"/>
    <w:rsid w:val="00A53E8B"/>
    <w:rsid w:val="00A5406C"/>
    <w:rsid w:val="00A5407F"/>
    <w:rsid w:val="00A5410F"/>
    <w:rsid w:val="00A541D2"/>
    <w:rsid w:val="00A54413"/>
    <w:rsid w:val="00A545B7"/>
    <w:rsid w:val="00A5477A"/>
    <w:rsid w:val="00A547DA"/>
    <w:rsid w:val="00A54A55"/>
    <w:rsid w:val="00A54B67"/>
    <w:rsid w:val="00A54B82"/>
    <w:rsid w:val="00A54BD4"/>
    <w:rsid w:val="00A54C6D"/>
    <w:rsid w:val="00A54D0A"/>
    <w:rsid w:val="00A54D89"/>
    <w:rsid w:val="00A54E04"/>
    <w:rsid w:val="00A5505B"/>
    <w:rsid w:val="00A550A5"/>
    <w:rsid w:val="00A55411"/>
    <w:rsid w:val="00A5545A"/>
    <w:rsid w:val="00A5551A"/>
    <w:rsid w:val="00A556AC"/>
    <w:rsid w:val="00A557A2"/>
    <w:rsid w:val="00A5588D"/>
    <w:rsid w:val="00A558A0"/>
    <w:rsid w:val="00A55A6F"/>
    <w:rsid w:val="00A55AF4"/>
    <w:rsid w:val="00A55B6F"/>
    <w:rsid w:val="00A55BCA"/>
    <w:rsid w:val="00A55C60"/>
    <w:rsid w:val="00A55E00"/>
    <w:rsid w:val="00A55E9C"/>
    <w:rsid w:val="00A55EAF"/>
    <w:rsid w:val="00A55F29"/>
    <w:rsid w:val="00A55F56"/>
    <w:rsid w:val="00A55FF9"/>
    <w:rsid w:val="00A5601B"/>
    <w:rsid w:val="00A56259"/>
    <w:rsid w:val="00A56327"/>
    <w:rsid w:val="00A5638B"/>
    <w:rsid w:val="00A5653D"/>
    <w:rsid w:val="00A5672A"/>
    <w:rsid w:val="00A568AC"/>
    <w:rsid w:val="00A5690F"/>
    <w:rsid w:val="00A56958"/>
    <w:rsid w:val="00A56AE2"/>
    <w:rsid w:val="00A56DE5"/>
    <w:rsid w:val="00A56EA4"/>
    <w:rsid w:val="00A56F2A"/>
    <w:rsid w:val="00A56F96"/>
    <w:rsid w:val="00A571CF"/>
    <w:rsid w:val="00A571F8"/>
    <w:rsid w:val="00A57488"/>
    <w:rsid w:val="00A574D5"/>
    <w:rsid w:val="00A575FE"/>
    <w:rsid w:val="00A5766B"/>
    <w:rsid w:val="00A57773"/>
    <w:rsid w:val="00A57775"/>
    <w:rsid w:val="00A57781"/>
    <w:rsid w:val="00A57824"/>
    <w:rsid w:val="00A57862"/>
    <w:rsid w:val="00A578C2"/>
    <w:rsid w:val="00A579C9"/>
    <w:rsid w:val="00A57A21"/>
    <w:rsid w:val="00A57B4D"/>
    <w:rsid w:val="00A57CC4"/>
    <w:rsid w:val="00A57DB9"/>
    <w:rsid w:val="00A57DF6"/>
    <w:rsid w:val="00A57EC2"/>
    <w:rsid w:val="00A57F07"/>
    <w:rsid w:val="00A57F84"/>
    <w:rsid w:val="00A5DA99"/>
    <w:rsid w:val="00A60023"/>
    <w:rsid w:val="00A600E5"/>
    <w:rsid w:val="00A600F5"/>
    <w:rsid w:val="00A6017F"/>
    <w:rsid w:val="00A60225"/>
    <w:rsid w:val="00A604CB"/>
    <w:rsid w:val="00A604EF"/>
    <w:rsid w:val="00A606A9"/>
    <w:rsid w:val="00A607C8"/>
    <w:rsid w:val="00A60862"/>
    <w:rsid w:val="00A60863"/>
    <w:rsid w:val="00A60877"/>
    <w:rsid w:val="00A6089F"/>
    <w:rsid w:val="00A608B1"/>
    <w:rsid w:val="00A60A82"/>
    <w:rsid w:val="00A60C51"/>
    <w:rsid w:val="00A60C64"/>
    <w:rsid w:val="00A60D21"/>
    <w:rsid w:val="00A60D46"/>
    <w:rsid w:val="00A60E10"/>
    <w:rsid w:val="00A61029"/>
    <w:rsid w:val="00A6102E"/>
    <w:rsid w:val="00A61090"/>
    <w:rsid w:val="00A611A1"/>
    <w:rsid w:val="00A61244"/>
    <w:rsid w:val="00A612D2"/>
    <w:rsid w:val="00A614EF"/>
    <w:rsid w:val="00A6155F"/>
    <w:rsid w:val="00A615C1"/>
    <w:rsid w:val="00A6168F"/>
    <w:rsid w:val="00A61721"/>
    <w:rsid w:val="00A618A7"/>
    <w:rsid w:val="00A61924"/>
    <w:rsid w:val="00A6196C"/>
    <w:rsid w:val="00A61D4E"/>
    <w:rsid w:val="00A61D5B"/>
    <w:rsid w:val="00A61F0A"/>
    <w:rsid w:val="00A61FD2"/>
    <w:rsid w:val="00A62036"/>
    <w:rsid w:val="00A62114"/>
    <w:rsid w:val="00A62127"/>
    <w:rsid w:val="00A621F2"/>
    <w:rsid w:val="00A622BB"/>
    <w:rsid w:val="00A627B0"/>
    <w:rsid w:val="00A62818"/>
    <w:rsid w:val="00A628F7"/>
    <w:rsid w:val="00A629D2"/>
    <w:rsid w:val="00A62A0B"/>
    <w:rsid w:val="00A62A37"/>
    <w:rsid w:val="00A62A4F"/>
    <w:rsid w:val="00A62BDE"/>
    <w:rsid w:val="00A62D43"/>
    <w:rsid w:val="00A62DC8"/>
    <w:rsid w:val="00A62DD5"/>
    <w:rsid w:val="00A62E34"/>
    <w:rsid w:val="00A62FF2"/>
    <w:rsid w:val="00A630C9"/>
    <w:rsid w:val="00A630CD"/>
    <w:rsid w:val="00A631E6"/>
    <w:rsid w:val="00A633BE"/>
    <w:rsid w:val="00A633D1"/>
    <w:rsid w:val="00A633F0"/>
    <w:rsid w:val="00A6348C"/>
    <w:rsid w:val="00A63504"/>
    <w:rsid w:val="00A637DF"/>
    <w:rsid w:val="00A6383A"/>
    <w:rsid w:val="00A63897"/>
    <w:rsid w:val="00A638C3"/>
    <w:rsid w:val="00A63902"/>
    <w:rsid w:val="00A63A76"/>
    <w:rsid w:val="00A63AE8"/>
    <w:rsid w:val="00A63AF1"/>
    <w:rsid w:val="00A63B71"/>
    <w:rsid w:val="00A63E84"/>
    <w:rsid w:val="00A63F3B"/>
    <w:rsid w:val="00A63FD5"/>
    <w:rsid w:val="00A63FEA"/>
    <w:rsid w:val="00A641DD"/>
    <w:rsid w:val="00A643F1"/>
    <w:rsid w:val="00A644D6"/>
    <w:rsid w:val="00A64689"/>
    <w:rsid w:val="00A647E3"/>
    <w:rsid w:val="00A64809"/>
    <w:rsid w:val="00A64826"/>
    <w:rsid w:val="00A64A86"/>
    <w:rsid w:val="00A64ACD"/>
    <w:rsid w:val="00A64B5A"/>
    <w:rsid w:val="00A64BCC"/>
    <w:rsid w:val="00A64CF2"/>
    <w:rsid w:val="00A64D65"/>
    <w:rsid w:val="00A64D66"/>
    <w:rsid w:val="00A64D85"/>
    <w:rsid w:val="00A64EEA"/>
    <w:rsid w:val="00A64F8B"/>
    <w:rsid w:val="00A65276"/>
    <w:rsid w:val="00A652A6"/>
    <w:rsid w:val="00A6539A"/>
    <w:rsid w:val="00A653BB"/>
    <w:rsid w:val="00A6540D"/>
    <w:rsid w:val="00A65573"/>
    <w:rsid w:val="00A655F3"/>
    <w:rsid w:val="00A65732"/>
    <w:rsid w:val="00A65AD8"/>
    <w:rsid w:val="00A65B47"/>
    <w:rsid w:val="00A65D3B"/>
    <w:rsid w:val="00A65E08"/>
    <w:rsid w:val="00A65E46"/>
    <w:rsid w:val="00A65F0B"/>
    <w:rsid w:val="00A65FD9"/>
    <w:rsid w:val="00A660B6"/>
    <w:rsid w:val="00A660FA"/>
    <w:rsid w:val="00A66123"/>
    <w:rsid w:val="00A66150"/>
    <w:rsid w:val="00A6619E"/>
    <w:rsid w:val="00A6642C"/>
    <w:rsid w:val="00A66535"/>
    <w:rsid w:val="00A66551"/>
    <w:rsid w:val="00A665C8"/>
    <w:rsid w:val="00A665F4"/>
    <w:rsid w:val="00A666E9"/>
    <w:rsid w:val="00A66821"/>
    <w:rsid w:val="00A66866"/>
    <w:rsid w:val="00A66871"/>
    <w:rsid w:val="00A669E4"/>
    <w:rsid w:val="00A66ACB"/>
    <w:rsid w:val="00A66AD9"/>
    <w:rsid w:val="00A66BBF"/>
    <w:rsid w:val="00A66C5C"/>
    <w:rsid w:val="00A66D27"/>
    <w:rsid w:val="00A66ED4"/>
    <w:rsid w:val="00A670D0"/>
    <w:rsid w:val="00A670F0"/>
    <w:rsid w:val="00A670F9"/>
    <w:rsid w:val="00A671A8"/>
    <w:rsid w:val="00A671DF"/>
    <w:rsid w:val="00A671F5"/>
    <w:rsid w:val="00A6721C"/>
    <w:rsid w:val="00A6755B"/>
    <w:rsid w:val="00A67697"/>
    <w:rsid w:val="00A6769B"/>
    <w:rsid w:val="00A676E2"/>
    <w:rsid w:val="00A677E5"/>
    <w:rsid w:val="00A679A0"/>
    <w:rsid w:val="00A679A6"/>
    <w:rsid w:val="00A67B2B"/>
    <w:rsid w:val="00A67B76"/>
    <w:rsid w:val="00A67C4A"/>
    <w:rsid w:val="00A67C92"/>
    <w:rsid w:val="00A67CA2"/>
    <w:rsid w:val="00A67CB1"/>
    <w:rsid w:val="00A67CF5"/>
    <w:rsid w:val="00A67DD1"/>
    <w:rsid w:val="00A67E1C"/>
    <w:rsid w:val="00A67EEB"/>
    <w:rsid w:val="00A67FA1"/>
    <w:rsid w:val="00A70000"/>
    <w:rsid w:val="00A700BE"/>
    <w:rsid w:val="00A70183"/>
    <w:rsid w:val="00A70211"/>
    <w:rsid w:val="00A7022D"/>
    <w:rsid w:val="00A7031A"/>
    <w:rsid w:val="00A70463"/>
    <w:rsid w:val="00A704DF"/>
    <w:rsid w:val="00A7058B"/>
    <w:rsid w:val="00A708BD"/>
    <w:rsid w:val="00A70B11"/>
    <w:rsid w:val="00A70B76"/>
    <w:rsid w:val="00A70BC8"/>
    <w:rsid w:val="00A70DC3"/>
    <w:rsid w:val="00A70DDC"/>
    <w:rsid w:val="00A70F5B"/>
    <w:rsid w:val="00A71398"/>
    <w:rsid w:val="00A715C9"/>
    <w:rsid w:val="00A715E6"/>
    <w:rsid w:val="00A717FE"/>
    <w:rsid w:val="00A71843"/>
    <w:rsid w:val="00A71A00"/>
    <w:rsid w:val="00A71A1C"/>
    <w:rsid w:val="00A71A1F"/>
    <w:rsid w:val="00A71AF3"/>
    <w:rsid w:val="00A71B4A"/>
    <w:rsid w:val="00A71CA8"/>
    <w:rsid w:val="00A71D23"/>
    <w:rsid w:val="00A71E71"/>
    <w:rsid w:val="00A71F79"/>
    <w:rsid w:val="00A71F91"/>
    <w:rsid w:val="00A71FBC"/>
    <w:rsid w:val="00A7216C"/>
    <w:rsid w:val="00A72179"/>
    <w:rsid w:val="00A72252"/>
    <w:rsid w:val="00A7232F"/>
    <w:rsid w:val="00A72370"/>
    <w:rsid w:val="00A724DD"/>
    <w:rsid w:val="00A72660"/>
    <w:rsid w:val="00A7269E"/>
    <w:rsid w:val="00A726AA"/>
    <w:rsid w:val="00A726B8"/>
    <w:rsid w:val="00A72718"/>
    <w:rsid w:val="00A7272A"/>
    <w:rsid w:val="00A727A4"/>
    <w:rsid w:val="00A728CA"/>
    <w:rsid w:val="00A729EF"/>
    <w:rsid w:val="00A72B1B"/>
    <w:rsid w:val="00A72DC8"/>
    <w:rsid w:val="00A72F59"/>
    <w:rsid w:val="00A72FC1"/>
    <w:rsid w:val="00A73096"/>
    <w:rsid w:val="00A73248"/>
    <w:rsid w:val="00A73290"/>
    <w:rsid w:val="00A7338D"/>
    <w:rsid w:val="00A73405"/>
    <w:rsid w:val="00A73573"/>
    <w:rsid w:val="00A735AC"/>
    <w:rsid w:val="00A735DA"/>
    <w:rsid w:val="00A7366B"/>
    <w:rsid w:val="00A736D2"/>
    <w:rsid w:val="00A738B9"/>
    <w:rsid w:val="00A73929"/>
    <w:rsid w:val="00A73D18"/>
    <w:rsid w:val="00A73D60"/>
    <w:rsid w:val="00A73DCA"/>
    <w:rsid w:val="00A73E07"/>
    <w:rsid w:val="00A73ED5"/>
    <w:rsid w:val="00A73F26"/>
    <w:rsid w:val="00A73F59"/>
    <w:rsid w:val="00A74038"/>
    <w:rsid w:val="00A7407B"/>
    <w:rsid w:val="00A740F2"/>
    <w:rsid w:val="00A7417C"/>
    <w:rsid w:val="00A741D9"/>
    <w:rsid w:val="00A74261"/>
    <w:rsid w:val="00A742C7"/>
    <w:rsid w:val="00A7442F"/>
    <w:rsid w:val="00A74551"/>
    <w:rsid w:val="00A74606"/>
    <w:rsid w:val="00A74643"/>
    <w:rsid w:val="00A74657"/>
    <w:rsid w:val="00A74771"/>
    <w:rsid w:val="00A74A0E"/>
    <w:rsid w:val="00A74A37"/>
    <w:rsid w:val="00A74AEE"/>
    <w:rsid w:val="00A74BB3"/>
    <w:rsid w:val="00A74E4A"/>
    <w:rsid w:val="00A74FCE"/>
    <w:rsid w:val="00A750F3"/>
    <w:rsid w:val="00A751B3"/>
    <w:rsid w:val="00A752A3"/>
    <w:rsid w:val="00A75376"/>
    <w:rsid w:val="00A7561B"/>
    <w:rsid w:val="00A75673"/>
    <w:rsid w:val="00A756BC"/>
    <w:rsid w:val="00A75811"/>
    <w:rsid w:val="00A7599B"/>
    <w:rsid w:val="00A7599D"/>
    <w:rsid w:val="00A75A22"/>
    <w:rsid w:val="00A75A30"/>
    <w:rsid w:val="00A75B87"/>
    <w:rsid w:val="00A75C93"/>
    <w:rsid w:val="00A75ECD"/>
    <w:rsid w:val="00A75FAB"/>
    <w:rsid w:val="00A75FBC"/>
    <w:rsid w:val="00A76045"/>
    <w:rsid w:val="00A7640C"/>
    <w:rsid w:val="00A76432"/>
    <w:rsid w:val="00A764E7"/>
    <w:rsid w:val="00A7675A"/>
    <w:rsid w:val="00A76819"/>
    <w:rsid w:val="00A7691C"/>
    <w:rsid w:val="00A7695F"/>
    <w:rsid w:val="00A76BB0"/>
    <w:rsid w:val="00A76D50"/>
    <w:rsid w:val="00A76EAF"/>
    <w:rsid w:val="00A770DC"/>
    <w:rsid w:val="00A77332"/>
    <w:rsid w:val="00A773B8"/>
    <w:rsid w:val="00A773FB"/>
    <w:rsid w:val="00A77512"/>
    <w:rsid w:val="00A77529"/>
    <w:rsid w:val="00A77554"/>
    <w:rsid w:val="00A7758E"/>
    <w:rsid w:val="00A77595"/>
    <w:rsid w:val="00A775AF"/>
    <w:rsid w:val="00A775E6"/>
    <w:rsid w:val="00A77662"/>
    <w:rsid w:val="00A776D2"/>
    <w:rsid w:val="00A77789"/>
    <w:rsid w:val="00A7778A"/>
    <w:rsid w:val="00A7791E"/>
    <w:rsid w:val="00A779F5"/>
    <w:rsid w:val="00A77B86"/>
    <w:rsid w:val="00A77B8F"/>
    <w:rsid w:val="00A77C19"/>
    <w:rsid w:val="00A77C45"/>
    <w:rsid w:val="00A77C6F"/>
    <w:rsid w:val="00A77C7A"/>
    <w:rsid w:val="00A77DB8"/>
    <w:rsid w:val="00A77F3D"/>
    <w:rsid w:val="00A8009C"/>
    <w:rsid w:val="00A801EA"/>
    <w:rsid w:val="00A804FA"/>
    <w:rsid w:val="00A805DC"/>
    <w:rsid w:val="00A80649"/>
    <w:rsid w:val="00A8086C"/>
    <w:rsid w:val="00A808C7"/>
    <w:rsid w:val="00A808E8"/>
    <w:rsid w:val="00A80917"/>
    <w:rsid w:val="00A8093C"/>
    <w:rsid w:val="00A80966"/>
    <w:rsid w:val="00A80973"/>
    <w:rsid w:val="00A80AD7"/>
    <w:rsid w:val="00A80B84"/>
    <w:rsid w:val="00A80C8A"/>
    <w:rsid w:val="00A8102F"/>
    <w:rsid w:val="00A81146"/>
    <w:rsid w:val="00A812A9"/>
    <w:rsid w:val="00A813F6"/>
    <w:rsid w:val="00A8144E"/>
    <w:rsid w:val="00A81678"/>
    <w:rsid w:val="00A816E9"/>
    <w:rsid w:val="00A81718"/>
    <w:rsid w:val="00A8183A"/>
    <w:rsid w:val="00A818AB"/>
    <w:rsid w:val="00A819DF"/>
    <w:rsid w:val="00A81A96"/>
    <w:rsid w:val="00A81C2A"/>
    <w:rsid w:val="00A81C8F"/>
    <w:rsid w:val="00A81C9A"/>
    <w:rsid w:val="00A81D2C"/>
    <w:rsid w:val="00A81E75"/>
    <w:rsid w:val="00A81F04"/>
    <w:rsid w:val="00A81FB8"/>
    <w:rsid w:val="00A81FF5"/>
    <w:rsid w:val="00A82003"/>
    <w:rsid w:val="00A8217E"/>
    <w:rsid w:val="00A82212"/>
    <w:rsid w:val="00A822A3"/>
    <w:rsid w:val="00A823AA"/>
    <w:rsid w:val="00A82437"/>
    <w:rsid w:val="00A8248A"/>
    <w:rsid w:val="00A82540"/>
    <w:rsid w:val="00A82579"/>
    <w:rsid w:val="00A82583"/>
    <w:rsid w:val="00A825EB"/>
    <w:rsid w:val="00A8267D"/>
    <w:rsid w:val="00A8279B"/>
    <w:rsid w:val="00A828CC"/>
    <w:rsid w:val="00A828E0"/>
    <w:rsid w:val="00A82A2D"/>
    <w:rsid w:val="00A82A65"/>
    <w:rsid w:val="00A82B09"/>
    <w:rsid w:val="00A82CB9"/>
    <w:rsid w:val="00A82D49"/>
    <w:rsid w:val="00A82D91"/>
    <w:rsid w:val="00A82DDB"/>
    <w:rsid w:val="00A82DFC"/>
    <w:rsid w:val="00A82E80"/>
    <w:rsid w:val="00A82F02"/>
    <w:rsid w:val="00A82F5A"/>
    <w:rsid w:val="00A82FCA"/>
    <w:rsid w:val="00A83011"/>
    <w:rsid w:val="00A83025"/>
    <w:rsid w:val="00A83219"/>
    <w:rsid w:val="00A832F7"/>
    <w:rsid w:val="00A83331"/>
    <w:rsid w:val="00A83356"/>
    <w:rsid w:val="00A833EB"/>
    <w:rsid w:val="00A83478"/>
    <w:rsid w:val="00A8348E"/>
    <w:rsid w:val="00A834B3"/>
    <w:rsid w:val="00A834E9"/>
    <w:rsid w:val="00A83506"/>
    <w:rsid w:val="00A836BD"/>
    <w:rsid w:val="00A836DF"/>
    <w:rsid w:val="00A83747"/>
    <w:rsid w:val="00A83810"/>
    <w:rsid w:val="00A8383B"/>
    <w:rsid w:val="00A83896"/>
    <w:rsid w:val="00A83953"/>
    <w:rsid w:val="00A839AA"/>
    <w:rsid w:val="00A83ABB"/>
    <w:rsid w:val="00A83B03"/>
    <w:rsid w:val="00A83B12"/>
    <w:rsid w:val="00A83B3C"/>
    <w:rsid w:val="00A83BA2"/>
    <w:rsid w:val="00A83C2D"/>
    <w:rsid w:val="00A83F6C"/>
    <w:rsid w:val="00A84025"/>
    <w:rsid w:val="00A84087"/>
    <w:rsid w:val="00A840C2"/>
    <w:rsid w:val="00A8411D"/>
    <w:rsid w:val="00A841A1"/>
    <w:rsid w:val="00A84234"/>
    <w:rsid w:val="00A84241"/>
    <w:rsid w:val="00A84355"/>
    <w:rsid w:val="00A84531"/>
    <w:rsid w:val="00A845A3"/>
    <w:rsid w:val="00A845A4"/>
    <w:rsid w:val="00A84639"/>
    <w:rsid w:val="00A84774"/>
    <w:rsid w:val="00A84948"/>
    <w:rsid w:val="00A84959"/>
    <w:rsid w:val="00A849A6"/>
    <w:rsid w:val="00A84A59"/>
    <w:rsid w:val="00A84AFC"/>
    <w:rsid w:val="00A84BB2"/>
    <w:rsid w:val="00A84C6A"/>
    <w:rsid w:val="00A84C6F"/>
    <w:rsid w:val="00A84CAA"/>
    <w:rsid w:val="00A84D4B"/>
    <w:rsid w:val="00A84DE4"/>
    <w:rsid w:val="00A84E8E"/>
    <w:rsid w:val="00A84E91"/>
    <w:rsid w:val="00A84FF9"/>
    <w:rsid w:val="00A85145"/>
    <w:rsid w:val="00A85210"/>
    <w:rsid w:val="00A852F3"/>
    <w:rsid w:val="00A85324"/>
    <w:rsid w:val="00A85342"/>
    <w:rsid w:val="00A853DB"/>
    <w:rsid w:val="00A85422"/>
    <w:rsid w:val="00A85567"/>
    <w:rsid w:val="00A855E2"/>
    <w:rsid w:val="00A85621"/>
    <w:rsid w:val="00A85706"/>
    <w:rsid w:val="00A857C8"/>
    <w:rsid w:val="00A85ACB"/>
    <w:rsid w:val="00A85B16"/>
    <w:rsid w:val="00A85C1E"/>
    <w:rsid w:val="00A85C34"/>
    <w:rsid w:val="00A85CE7"/>
    <w:rsid w:val="00A85D66"/>
    <w:rsid w:val="00A85DD0"/>
    <w:rsid w:val="00A85DDA"/>
    <w:rsid w:val="00A85DFE"/>
    <w:rsid w:val="00A85EE7"/>
    <w:rsid w:val="00A85F3B"/>
    <w:rsid w:val="00A85F7C"/>
    <w:rsid w:val="00A85FA4"/>
    <w:rsid w:val="00A860CB"/>
    <w:rsid w:val="00A86167"/>
    <w:rsid w:val="00A86177"/>
    <w:rsid w:val="00A861D4"/>
    <w:rsid w:val="00A86254"/>
    <w:rsid w:val="00A86258"/>
    <w:rsid w:val="00A86327"/>
    <w:rsid w:val="00A863A8"/>
    <w:rsid w:val="00A863E3"/>
    <w:rsid w:val="00A8641C"/>
    <w:rsid w:val="00A86422"/>
    <w:rsid w:val="00A86476"/>
    <w:rsid w:val="00A86517"/>
    <w:rsid w:val="00A8666C"/>
    <w:rsid w:val="00A86678"/>
    <w:rsid w:val="00A86747"/>
    <w:rsid w:val="00A8682A"/>
    <w:rsid w:val="00A868B3"/>
    <w:rsid w:val="00A86ABD"/>
    <w:rsid w:val="00A86BD2"/>
    <w:rsid w:val="00A86E5C"/>
    <w:rsid w:val="00A87271"/>
    <w:rsid w:val="00A874DE"/>
    <w:rsid w:val="00A8750F"/>
    <w:rsid w:val="00A876AC"/>
    <w:rsid w:val="00A87896"/>
    <w:rsid w:val="00A87B45"/>
    <w:rsid w:val="00A87BB7"/>
    <w:rsid w:val="00A87C02"/>
    <w:rsid w:val="00A87DA4"/>
    <w:rsid w:val="00A87DB2"/>
    <w:rsid w:val="00A87DE9"/>
    <w:rsid w:val="00A87EBC"/>
    <w:rsid w:val="00A87EC5"/>
    <w:rsid w:val="00A87F25"/>
    <w:rsid w:val="00A87F3C"/>
    <w:rsid w:val="00A9028D"/>
    <w:rsid w:val="00A902DB"/>
    <w:rsid w:val="00A902EE"/>
    <w:rsid w:val="00A903A2"/>
    <w:rsid w:val="00A904CE"/>
    <w:rsid w:val="00A90639"/>
    <w:rsid w:val="00A907A9"/>
    <w:rsid w:val="00A90841"/>
    <w:rsid w:val="00A90933"/>
    <w:rsid w:val="00A9096D"/>
    <w:rsid w:val="00A90AAB"/>
    <w:rsid w:val="00A90B89"/>
    <w:rsid w:val="00A90BD7"/>
    <w:rsid w:val="00A90C2D"/>
    <w:rsid w:val="00A90C3A"/>
    <w:rsid w:val="00A90D07"/>
    <w:rsid w:val="00A90D6C"/>
    <w:rsid w:val="00A90DC5"/>
    <w:rsid w:val="00A90E98"/>
    <w:rsid w:val="00A9101C"/>
    <w:rsid w:val="00A91229"/>
    <w:rsid w:val="00A912BC"/>
    <w:rsid w:val="00A9137B"/>
    <w:rsid w:val="00A913DB"/>
    <w:rsid w:val="00A9154E"/>
    <w:rsid w:val="00A9183B"/>
    <w:rsid w:val="00A918EB"/>
    <w:rsid w:val="00A91A97"/>
    <w:rsid w:val="00A91AE6"/>
    <w:rsid w:val="00A91AF4"/>
    <w:rsid w:val="00A91C25"/>
    <w:rsid w:val="00A91C98"/>
    <w:rsid w:val="00A91E05"/>
    <w:rsid w:val="00A91E3F"/>
    <w:rsid w:val="00A92103"/>
    <w:rsid w:val="00A92112"/>
    <w:rsid w:val="00A92181"/>
    <w:rsid w:val="00A92206"/>
    <w:rsid w:val="00A922E1"/>
    <w:rsid w:val="00A9237B"/>
    <w:rsid w:val="00A924AA"/>
    <w:rsid w:val="00A9269D"/>
    <w:rsid w:val="00A926D7"/>
    <w:rsid w:val="00A92761"/>
    <w:rsid w:val="00A92911"/>
    <w:rsid w:val="00A9295A"/>
    <w:rsid w:val="00A92984"/>
    <w:rsid w:val="00A929A6"/>
    <w:rsid w:val="00A929DC"/>
    <w:rsid w:val="00A92C2B"/>
    <w:rsid w:val="00A92D02"/>
    <w:rsid w:val="00A92D03"/>
    <w:rsid w:val="00A92DA7"/>
    <w:rsid w:val="00A92E19"/>
    <w:rsid w:val="00A92E9A"/>
    <w:rsid w:val="00A92EAB"/>
    <w:rsid w:val="00A92EC6"/>
    <w:rsid w:val="00A9308F"/>
    <w:rsid w:val="00A93145"/>
    <w:rsid w:val="00A9318A"/>
    <w:rsid w:val="00A93233"/>
    <w:rsid w:val="00A934D0"/>
    <w:rsid w:val="00A935DF"/>
    <w:rsid w:val="00A935EB"/>
    <w:rsid w:val="00A9365E"/>
    <w:rsid w:val="00A93918"/>
    <w:rsid w:val="00A93A3E"/>
    <w:rsid w:val="00A93A58"/>
    <w:rsid w:val="00A93AED"/>
    <w:rsid w:val="00A93B3F"/>
    <w:rsid w:val="00A93BD8"/>
    <w:rsid w:val="00A93C10"/>
    <w:rsid w:val="00A93C49"/>
    <w:rsid w:val="00A93D16"/>
    <w:rsid w:val="00A93EA5"/>
    <w:rsid w:val="00A93FAB"/>
    <w:rsid w:val="00A94012"/>
    <w:rsid w:val="00A9404D"/>
    <w:rsid w:val="00A94161"/>
    <w:rsid w:val="00A94259"/>
    <w:rsid w:val="00A9432F"/>
    <w:rsid w:val="00A9438A"/>
    <w:rsid w:val="00A9442F"/>
    <w:rsid w:val="00A94661"/>
    <w:rsid w:val="00A94675"/>
    <w:rsid w:val="00A946A6"/>
    <w:rsid w:val="00A946CA"/>
    <w:rsid w:val="00A94709"/>
    <w:rsid w:val="00A9491E"/>
    <w:rsid w:val="00A94986"/>
    <w:rsid w:val="00A949A5"/>
    <w:rsid w:val="00A94D18"/>
    <w:rsid w:val="00A94D89"/>
    <w:rsid w:val="00A94E50"/>
    <w:rsid w:val="00A94EE4"/>
    <w:rsid w:val="00A95005"/>
    <w:rsid w:val="00A950D6"/>
    <w:rsid w:val="00A95124"/>
    <w:rsid w:val="00A9519E"/>
    <w:rsid w:val="00A951FF"/>
    <w:rsid w:val="00A95244"/>
    <w:rsid w:val="00A9533E"/>
    <w:rsid w:val="00A95453"/>
    <w:rsid w:val="00A9546A"/>
    <w:rsid w:val="00A9549F"/>
    <w:rsid w:val="00A956C1"/>
    <w:rsid w:val="00A9579D"/>
    <w:rsid w:val="00A95843"/>
    <w:rsid w:val="00A95918"/>
    <w:rsid w:val="00A95ABE"/>
    <w:rsid w:val="00A95B80"/>
    <w:rsid w:val="00A95BF1"/>
    <w:rsid w:val="00A95C0A"/>
    <w:rsid w:val="00A95C40"/>
    <w:rsid w:val="00A95C63"/>
    <w:rsid w:val="00A95C72"/>
    <w:rsid w:val="00A95E35"/>
    <w:rsid w:val="00A95FEF"/>
    <w:rsid w:val="00A9602E"/>
    <w:rsid w:val="00A960B6"/>
    <w:rsid w:val="00A961C6"/>
    <w:rsid w:val="00A962A0"/>
    <w:rsid w:val="00A962F5"/>
    <w:rsid w:val="00A964D8"/>
    <w:rsid w:val="00A964E5"/>
    <w:rsid w:val="00A967B5"/>
    <w:rsid w:val="00A9680F"/>
    <w:rsid w:val="00A96847"/>
    <w:rsid w:val="00A9684F"/>
    <w:rsid w:val="00A9685B"/>
    <w:rsid w:val="00A968A5"/>
    <w:rsid w:val="00A96972"/>
    <w:rsid w:val="00A96A08"/>
    <w:rsid w:val="00A96A2B"/>
    <w:rsid w:val="00A96A49"/>
    <w:rsid w:val="00A96D1C"/>
    <w:rsid w:val="00A96D65"/>
    <w:rsid w:val="00A96DA7"/>
    <w:rsid w:val="00A96E36"/>
    <w:rsid w:val="00A96F37"/>
    <w:rsid w:val="00A96FC0"/>
    <w:rsid w:val="00A9704E"/>
    <w:rsid w:val="00A9716A"/>
    <w:rsid w:val="00A97184"/>
    <w:rsid w:val="00A97191"/>
    <w:rsid w:val="00A9729D"/>
    <w:rsid w:val="00A97319"/>
    <w:rsid w:val="00A9748D"/>
    <w:rsid w:val="00A9755A"/>
    <w:rsid w:val="00A97616"/>
    <w:rsid w:val="00A97652"/>
    <w:rsid w:val="00A976AE"/>
    <w:rsid w:val="00A978E3"/>
    <w:rsid w:val="00A97961"/>
    <w:rsid w:val="00A979B2"/>
    <w:rsid w:val="00A97A14"/>
    <w:rsid w:val="00A97A31"/>
    <w:rsid w:val="00A97B38"/>
    <w:rsid w:val="00A97BFB"/>
    <w:rsid w:val="00A97C8E"/>
    <w:rsid w:val="00A97E35"/>
    <w:rsid w:val="00A97E5A"/>
    <w:rsid w:val="00A97F35"/>
    <w:rsid w:val="00A97F96"/>
    <w:rsid w:val="00A97FC7"/>
    <w:rsid w:val="00AA007B"/>
    <w:rsid w:val="00AA015B"/>
    <w:rsid w:val="00AA0332"/>
    <w:rsid w:val="00AA038B"/>
    <w:rsid w:val="00AA03BF"/>
    <w:rsid w:val="00AA058E"/>
    <w:rsid w:val="00AA0759"/>
    <w:rsid w:val="00AA07BC"/>
    <w:rsid w:val="00AA091E"/>
    <w:rsid w:val="00AA096D"/>
    <w:rsid w:val="00AA0ABD"/>
    <w:rsid w:val="00AA0C66"/>
    <w:rsid w:val="00AA0E62"/>
    <w:rsid w:val="00AA0ED9"/>
    <w:rsid w:val="00AA0F7D"/>
    <w:rsid w:val="00AA1044"/>
    <w:rsid w:val="00AA115C"/>
    <w:rsid w:val="00AA1386"/>
    <w:rsid w:val="00AA141A"/>
    <w:rsid w:val="00AA1423"/>
    <w:rsid w:val="00AA14A5"/>
    <w:rsid w:val="00AA1672"/>
    <w:rsid w:val="00AA16DC"/>
    <w:rsid w:val="00AA174B"/>
    <w:rsid w:val="00AA17DA"/>
    <w:rsid w:val="00AA1B55"/>
    <w:rsid w:val="00AA1D98"/>
    <w:rsid w:val="00AA1DAD"/>
    <w:rsid w:val="00AA1DB8"/>
    <w:rsid w:val="00AA1EDB"/>
    <w:rsid w:val="00AA1EF0"/>
    <w:rsid w:val="00AA1FCC"/>
    <w:rsid w:val="00AA1FDD"/>
    <w:rsid w:val="00AA202A"/>
    <w:rsid w:val="00AA20A9"/>
    <w:rsid w:val="00AA225C"/>
    <w:rsid w:val="00AA2389"/>
    <w:rsid w:val="00AA24D3"/>
    <w:rsid w:val="00AA25DE"/>
    <w:rsid w:val="00AA262E"/>
    <w:rsid w:val="00AA264E"/>
    <w:rsid w:val="00AA2A63"/>
    <w:rsid w:val="00AA2AA7"/>
    <w:rsid w:val="00AA2CCA"/>
    <w:rsid w:val="00AA2D2A"/>
    <w:rsid w:val="00AA2DFE"/>
    <w:rsid w:val="00AA2E3F"/>
    <w:rsid w:val="00AA2EDE"/>
    <w:rsid w:val="00AA3487"/>
    <w:rsid w:val="00AA34E1"/>
    <w:rsid w:val="00AA385F"/>
    <w:rsid w:val="00AA3903"/>
    <w:rsid w:val="00AA3AB8"/>
    <w:rsid w:val="00AA3C78"/>
    <w:rsid w:val="00AA3CE0"/>
    <w:rsid w:val="00AA3EA4"/>
    <w:rsid w:val="00AA3F27"/>
    <w:rsid w:val="00AA3F64"/>
    <w:rsid w:val="00AA4073"/>
    <w:rsid w:val="00AA412D"/>
    <w:rsid w:val="00AA41E3"/>
    <w:rsid w:val="00AA449B"/>
    <w:rsid w:val="00AA45DF"/>
    <w:rsid w:val="00AA4640"/>
    <w:rsid w:val="00AA473C"/>
    <w:rsid w:val="00AA4751"/>
    <w:rsid w:val="00AA476A"/>
    <w:rsid w:val="00AA477F"/>
    <w:rsid w:val="00AA47E5"/>
    <w:rsid w:val="00AA4852"/>
    <w:rsid w:val="00AA48CA"/>
    <w:rsid w:val="00AA4905"/>
    <w:rsid w:val="00AA49A4"/>
    <w:rsid w:val="00AA49A6"/>
    <w:rsid w:val="00AA4AB4"/>
    <w:rsid w:val="00AA4B14"/>
    <w:rsid w:val="00AA4E02"/>
    <w:rsid w:val="00AA52EF"/>
    <w:rsid w:val="00AA5319"/>
    <w:rsid w:val="00AA54AD"/>
    <w:rsid w:val="00AA54AE"/>
    <w:rsid w:val="00AA55F7"/>
    <w:rsid w:val="00AA5615"/>
    <w:rsid w:val="00AA56A9"/>
    <w:rsid w:val="00AA5723"/>
    <w:rsid w:val="00AA5725"/>
    <w:rsid w:val="00AA575B"/>
    <w:rsid w:val="00AA5C5C"/>
    <w:rsid w:val="00AA5EC0"/>
    <w:rsid w:val="00AA5ED2"/>
    <w:rsid w:val="00AA6009"/>
    <w:rsid w:val="00AA6015"/>
    <w:rsid w:val="00AA6101"/>
    <w:rsid w:val="00AA6210"/>
    <w:rsid w:val="00AA622B"/>
    <w:rsid w:val="00AA62C8"/>
    <w:rsid w:val="00AA634D"/>
    <w:rsid w:val="00AA636D"/>
    <w:rsid w:val="00AA6409"/>
    <w:rsid w:val="00AA648E"/>
    <w:rsid w:val="00AA64A1"/>
    <w:rsid w:val="00AA64FA"/>
    <w:rsid w:val="00AA658F"/>
    <w:rsid w:val="00AA6718"/>
    <w:rsid w:val="00AA6720"/>
    <w:rsid w:val="00AA6764"/>
    <w:rsid w:val="00AA6932"/>
    <w:rsid w:val="00AA69B1"/>
    <w:rsid w:val="00AA6A74"/>
    <w:rsid w:val="00AA6BCC"/>
    <w:rsid w:val="00AA6BD2"/>
    <w:rsid w:val="00AA6C00"/>
    <w:rsid w:val="00AA6C09"/>
    <w:rsid w:val="00AA6C4C"/>
    <w:rsid w:val="00AA6D12"/>
    <w:rsid w:val="00AA6D80"/>
    <w:rsid w:val="00AA6E5C"/>
    <w:rsid w:val="00AA6F4C"/>
    <w:rsid w:val="00AA6F6E"/>
    <w:rsid w:val="00AA6F8A"/>
    <w:rsid w:val="00AA7122"/>
    <w:rsid w:val="00AA7260"/>
    <w:rsid w:val="00AA7288"/>
    <w:rsid w:val="00AA73C6"/>
    <w:rsid w:val="00AA751C"/>
    <w:rsid w:val="00AA767D"/>
    <w:rsid w:val="00AA777C"/>
    <w:rsid w:val="00AA788C"/>
    <w:rsid w:val="00AA78F1"/>
    <w:rsid w:val="00AA793B"/>
    <w:rsid w:val="00AA7955"/>
    <w:rsid w:val="00AA7BDE"/>
    <w:rsid w:val="00AA7BE4"/>
    <w:rsid w:val="00AA7C00"/>
    <w:rsid w:val="00AA7C32"/>
    <w:rsid w:val="00AA7C9D"/>
    <w:rsid w:val="00AA7D53"/>
    <w:rsid w:val="00AA7D65"/>
    <w:rsid w:val="00AA7E0F"/>
    <w:rsid w:val="00AA7E47"/>
    <w:rsid w:val="00AA7EE3"/>
    <w:rsid w:val="00AA7F63"/>
    <w:rsid w:val="00AA7FF0"/>
    <w:rsid w:val="00AB014C"/>
    <w:rsid w:val="00AB016A"/>
    <w:rsid w:val="00AB0245"/>
    <w:rsid w:val="00AB034C"/>
    <w:rsid w:val="00AB0411"/>
    <w:rsid w:val="00AB056E"/>
    <w:rsid w:val="00AB05F4"/>
    <w:rsid w:val="00AB0691"/>
    <w:rsid w:val="00AB06B1"/>
    <w:rsid w:val="00AB070C"/>
    <w:rsid w:val="00AB08AD"/>
    <w:rsid w:val="00AB0939"/>
    <w:rsid w:val="00AB099B"/>
    <w:rsid w:val="00AB0B78"/>
    <w:rsid w:val="00AB0B98"/>
    <w:rsid w:val="00AB0BA8"/>
    <w:rsid w:val="00AB0BBC"/>
    <w:rsid w:val="00AB0BD3"/>
    <w:rsid w:val="00AB0CB4"/>
    <w:rsid w:val="00AB0FE5"/>
    <w:rsid w:val="00AB108A"/>
    <w:rsid w:val="00AB1161"/>
    <w:rsid w:val="00AB1222"/>
    <w:rsid w:val="00AB1225"/>
    <w:rsid w:val="00AB1375"/>
    <w:rsid w:val="00AB1628"/>
    <w:rsid w:val="00AB16DE"/>
    <w:rsid w:val="00AB179A"/>
    <w:rsid w:val="00AB1A7E"/>
    <w:rsid w:val="00AB1ADA"/>
    <w:rsid w:val="00AB1D2B"/>
    <w:rsid w:val="00AB1D40"/>
    <w:rsid w:val="00AB1DFA"/>
    <w:rsid w:val="00AB1E52"/>
    <w:rsid w:val="00AB1F03"/>
    <w:rsid w:val="00AB1FA3"/>
    <w:rsid w:val="00AB1FB5"/>
    <w:rsid w:val="00AB2048"/>
    <w:rsid w:val="00AB20B8"/>
    <w:rsid w:val="00AB225B"/>
    <w:rsid w:val="00AB2350"/>
    <w:rsid w:val="00AB2486"/>
    <w:rsid w:val="00AB2500"/>
    <w:rsid w:val="00AB257E"/>
    <w:rsid w:val="00AB27A4"/>
    <w:rsid w:val="00AB2834"/>
    <w:rsid w:val="00AB291E"/>
    <w:rsid w:val="00AB29FC"/>
    <w:rsid w:val="00AB2A2B"/>
    <w:rsid w:val="00AB2B8C"/>
    <w:rsid w:val="00AB2C82"/>
    <w:rsid w:val="00AB2D8B"/>
    <w:rsid w:val="00AB2E1C"/>
    <w:rsid w:val="00AB2E58"/>
    <w:rsid w:val="00AB2F76"/>
    <w:rsid w:val="00AB3173"/>
    <w:rsid w:val="00AB31E0"/>
    <w:rsid w:val="00AB3247"/>
    <w:rsid w:val="00AB346B"/>
    <w:rsid w:val="00AB3774"/>
    <w:rsid w:val="00AB37AA"/>
    <w:rsid w:val="00AB37F4"/>
    <w:rsid w:val="00AB388E"/>
    <w:rsid w:val="00AB38C6"/>
    <w:rsid w:val="00AB3967"/>
    <w:rsid w:val="00AB39C2"/>
    <w:rsid w:val="00AB3A12"/>
    <w:rsid w:val="00AB3A92"/>
    <w:rsid w:val="00AB3BBA"/>
    <w:rsid w:val="00AB3C47"/>
    <w:rsid w:val="00AB3C65"/>
    <w:rsid w:val="00AB3F7E"/>
    <w:rsid w:val="00AB3FF7"/>
    <w:rsid w:val="00AB4110"/>
    <w:rsid w:val="00AB42E3"/>
    <w:rsid w:val="00AB43B2"/>
    <w:rsid w:val="00AB478B"/>
    <w:rsid w:val="00AB4793"/>
    <w:rsid w:val="00AB47AC"/>
    <w:rsid w:val="00AB47C6"/>
    <w:rsid w:val="00AB47F4"/>
    <w:rsid w:val="00AB4825"/>
    <w:rsid w:val="00AB49C2"/>
    <w:rsid w:val="00AB4A3A"/>
    <w:rsid w:val="00AB4AD9"/>
    <w:rsid w:val="00AB4AE6"/>
    <w:rsid w:val="00AB4E17"/>
    <w:rsid w:val="00AB4E3C"/>
    <w:rsid w:val="00AB5006"/>
    <w:rsid w:val="00AB5299"/>
    <w:rsid w:val="00AB533B"/>
    <w:rsid w:val="00AB5412"/>
    <w:rsid w:val="00AB542D"/>
    <w:rsid w:val="00AB56DF"/>
    <w:rsid w:val="00AB578D"/>
    <w:rsid w:val="00AB588B"/>
    <w:rsid w:val="00AB5909"/>
    <w:rsid w:val="00AB5A72"/>
    <w:rsid w:val="00AB5BB1"/>
    <w:rsid w:val="00AB5BDA"/>
    <w:rsid w:val="00AB5CA7"/>
    <w:rsid w:val="00AB5D6A"/>
    <w:rsid w:val="00AB5DD1"/>
    <w:rsid w:val="00AB5FAF"/>
    <w:rsid w:val="00AB6007"/>
    <w:rsid w:val="00AB601B"/>
    <w:rsid w:val="00AB6084"/>
    <w:rsid w:val="00AB63E2"/>
    <w:rsid w:val="00AB657F"/>
    <w:rsid w:val="00AB65D1"/>
    <w:rsid w:val="00AB665E"/>
    <w:rsid w:val="00AB666D"/>
    <w:rsid w:val="00AB669C"/>
    <w:rsid w:val="00AB66BA"/>
    <w:rsid w:val="00AB67DF"/>
    <w:rsid w:val="00AB6871"/>
    <w:rsid w:val="00AB6908"/>
    <w:rsid w:val="00AB695A"/>
    <w:rsid w:val="00AB6A07"/>
    <w:rsid w:val="00AB6B05"/>
    <w:rsid w:val="00AB6B96"/>
    <w:rsid w:val="00AB6C73"/>
    <w:rsid w:val="00AB6F31"/>
    <w:rsid w:val="00AB6F58"/>
    <w:rsid w:val="00AB702E"/>
    <w:rsid w:val="00AB7096"/>
    <w:rsid w:val="00AB7275"/>
    <w:rsid w:val="00AB73F6"/>
    <w:rsid w:val="00AB740B"/>
    <w:rsid w:val="00AB74A4"/>
    <w:rsid w:val="00AB74D0"/>
    <w:rsid w:val="00AB7523"/>
    <w:rsid w:val="00AB759A"/>
    <w:rsid w:val="00AB75B0"/>
    <w:rsid w:val="00AB77C5"/>
    <w:rsid w:val="00AB77DC"/>
    <w:rsid w:val="00AB77F7"/>
    <w:rsid w:val="00AB7833"/>
    <w:rsid w:val="00AB795A"/>
    <w:rsid w:val="00AB7972"/>
    <w:rsid w:val="00AB7998"/>
    <w:rsid w:val="00AB7C17"/>
    <w:rsid w:val="00AB7C6B"/>
    <w:rsid w:val="00AB7D37"/>
    <w:rsid w:val="00AB7DA4"/>
    <w:rsid w:val="00AB7DA8"/>
    <w:rsid w:val="00AB7DDB"/>
    <w:rsid w:val="00AB7EEC"/>
    <w:rsid w:val="00AB7EF3"/>
    <w:rsid w:val="00AB7F55"/>
    <w:rsid w:val="00AB7FF6"/>
    <w:rsid w:val="00AC024E"/>
    <w:rsid w:val="00AC0363"/>
    <w:rsid w:val="00AC03F3"/>
    <w:rsid w:val="00AC042E"/>
    <w:rsid w:val="00AC061B"/>
    <w:rsid w:val="00AC0701"/>
    <w:rsid w:val="00AC0B5E"/>
    <w:rsid w:val="00AC0B72"/>
    <w:rsid w:val="00AC0BCB"/>
    <w:rsid w:val="00AC0C8B"/>
    <w:rsid w:val="00AC0E50"/>
    <w:rsid w:val="00AC0FD0"/>
    <w:rsid w:val="00AC11B0"/>
    <w:rsid w:val="00AC11E0"/>
    <w:rsid w:val="00AC122F"/>
    <w:rsid w:val="00AC13A7"/>
    <w:rsid w:val="00AC13D6"/>
    <w:rsid w:val="00AC1479"/>
    <w:rsid w:val="00AC14DA"/>
    <w:rsid w:val="00AC1530"/>
    <w:rsid w:val="00AC16B2"/>
    <w:rsid w:val="00AC1762"/>
    <w:rsid w:val="00AC17A9"/>
    <w:rsid w:val="00AC181B"/>
    <w:rsid w:val="00AC18AA"/>
    <w:rsid w:val="00AC1981"/>
    <w:rsid w:val="00AC1B89"/>
    <w:rsid w:val="00AC1CDC"/>
    <w:rsid w:val="00AC1F1D"/>
    <w:rsid w:val="00AC1F97"/>
    <w:rsid w:val="00AC22AE"/>
    <w:rsid w:val="00AC253C"/>
    <w:rsid w:val="00AC255D"/>
    <w:rsid w:val="00AC257A"/>
    <w:rsid w:val="00AC2760"/>
    <w:rsid w:val="00AC27BB"/>
    <w:rsid w:val="00AC28DD"/>
    <w:rsid w:val="00AC2969"/>
    <w:rsid w:val="00AC29A7"/>
    <w:rsid w:val="00AC2A93"/>
    <w:rsid w:val="00AC2B02"/>
    <w:rsid w:val="00AC2B66"/>
    <w:rsid w:val="00AC2B68"/>
    <w:rsid w:val="00AC2BF6"/>
    <w:rsid w:val="00AC2C9F"/>
    <w:rsid w:val="00AC2FDA"/>
    <w:rsid w:val="00AC3307"/>
    <w:rsid w:val="00AC363B"/>
    <w:rsid w:val="00AC36FD"/>
    <w:rsid w:val="00AC37D7"/>
    <w:rsid w:val="00AC38B1"/>
    <w:rsid w:val="00AC38B2"/>
    <w:rsid w:val="00AC38EB"/>
    <w:rsid w:val="00AC3B3E"/>
    <w:rsid w:val="00AC3D6B"/>
    <w:rsid w:val="00AC3E19"/>
    <w:rsid w:val="00AC405B"/>
    <w:rsid w:val="00AC4071"/>
    <w:rsid w:val="00AC4201"/>
    <w:rsid w:val="00AC42BC"/>
    <w:rsid w:val="00AC42DC"/>
    <w:rsid w:val="00AC4341"/>
    <w:rsid w:val="00AC445C"/>
    <w:rsid w:val="00AC4495"/>
    <w:rsid w:val="00AC4533"/>
    <w:rsid w:val="00AC455A"/>
    <w:rsid w:val="00AC4565"/>
    <w:rsid w:val="00AC459F"/>
    <w:rsid w:val="00AC4669"/>
    <w:rsid w:val="00AC47C1"/>
    <w:rsid w:val="00AC48B4"/>
    <w:rsid w:val="00AC4B16"/>
    <w:rsid w:val="00AC4B24"/>
    <w:rsid w:val="00AC4BA2"/>
    <w:rsid w:val="00AC4C3B"/>
    <w:rsid w:val="00AC4C9B"/>
    <w:rsid w:val="00AC505E"/>
    <w:rsid w:val="00AC50A2"/>
    <w:rsid w:val="00AC543B"/>
    <w:rsid w:val="00AC54A2"/>
    <w:rsid w:val="00AC54D9"/>
    <w:rsid w:val="00AC561C"/>
    <w:rsid w:val="00AC56D4"/>
    <w:rsid w:val="00AC5730"/>
    <w:rsid w:val="00AC5780"/>
    <w:rsid w:val="00AC5A53"/>
    <w:rsid w:val="00AC5BA3"/>
    <w:rsid w:val="00AC5C18"/>
    <w:rsid w:val="00AC5CE1"/>
    <w:rsid w:val="00AC5E91"/>
    <w:rsid w:val="00AC5F04"/>
    <w:rsid w:val="00AC600D"/>
    <w:rsid w:val="00AC61B0"/>
    <w:rsid w:val="00AC6247"/>
    <w:rsid w:val="00AC6291"/>
    <w:rsid w:val="00AC6536"/>
    <w:rsid w:val="00AC65A6"/>
    <w:rsid w:val="00AC65E1"/>
    <w:rsid w:val="00AC683B"/>
    <w:rsid w:val="00AC687F"/>
    <w:rsid w:val="00AC694F"/>
    <w:rsid w:val="00AC6ABF"/>
    <w:rsid w:val="00AC6C12"/>
    <w:rsid w:val="00AC6D54"/>
    <w:rsid w:val="00AC6DC3"/>
    <w:rsid w:val="00AC6EB1"/>
    <w:rsid w:val="00AC71DE"/>
    <w:rsid w:val="00AC73A1"/>
    <w:rsid w:val="00AC73A3"/>
    <w:rsid w:val="00AC7459"/>
    <w:rsid w:val="00AC74DB"/>
    <w:rsid w:val="00AC759E"/>
    <w:rsid w:val="00AC75F2"/>
    <w:rsid w:val="00AC7687"/>
    <w:rsid w:val="00AC76D8"/>
    <w:rsid w:val="00AC76EA"/>
    <w:rsid w:val="00AC7762"/>
    <w:rsid w:val="00AC7764"/>
    <w:rsid w:val="00AC77F5"/>
    <w:rsid w:val="00AC77FB"/>
    <w:rsid w:val="00AC785B"/>
    <w:rsid w:val="00AC794F"/>
    <w:rsid w:val="00AC7B66"/>
    <w:rsid w:val="00AC7B67"/>
    <w:rsid w:val="00AC7C51"/>
    <w:rsid w:val="00AC7D06"/>
    <w:rsid w:val="00AC7F91"/>
    <w:rsid w:val="00AD001D"/>
    <w:rsid w:val="00AD011A"/>
    <w:rsid w:val="00AD012A"/>
    <w:rsid w:val="00AD0204"/>
    <w:rsid w:val="00AD030F"/>
    <w:rsid w:val="00AD03D8"/>
    <w:rsid w:val="00AD03F2"/>
    <w:rsid w:val="00AD048A"/>
    <w:rsid w:val="00AD0657"/>
    <w:rsid w:val="00AD0771"/>
    <w:rsid w:val="00AD0850"/>
    <w:rsid w:val="00AD08CF"/>
    <w:rsid w:val="00AD0930"/>
    <w:rsid w:val="00AD0A2F"/>
    <w:rsid w:val="00AD0B9B"/>
    <w:rsid w:val="00AD0CC6"/>
    <w:rsid w:val="00AD0D3C"/>
    <w:rsid w:val="00AD0D6E"/>
    <w:rsid w:val="00AD0DCC"/>
    <w:rsid w:val="00AD0E25"/>
    <w:rsid w:val="00AD0E93"/>
    <w:rsid w:val="00AD0EAA"/>
    <w:rsid w:val="00AD0F01"/>
    <w:rsid w:val="00AD0F70"/>
    <w:rsid w:val="00AD111E"/>
    <w:rsid w:val="00AD1283"/>
    <w:rsid w:val="00AD1347"/>
    <w:rsid w:val="00AD1414"/>
    <w:rsid w:val="00AD1474"/>
    <w:rsid w:val="00AD15AA"/>
    <w:rsid w:val="00AD15D3"/>
    <w:rsid w:val="00AD1619"/>
    <w:rsid w:val="00AD162A"/>
    <w:rsid w:val="00AD1644"/>
    <w:rsid w:val="00AD16E9"/>
    <w:rsid w:val="00AD1705"/>
    <w:rsid w:val="00AD18DA"/>
    <w:rsid w:val="00AD19C6"/>
    <w:rsid w:val="00AD1A32"/>
    <w:rsid w:val="00AD1BEE"/>
    <w:rsid w:val="00AD1D98"/>
    <w:rsid w:val="00AD1E09"/>
    <w:rsid w:val="00AD1E76"/>
    <w:rsid w:val="00AD1FA3"/>
    <w:rsid w:val="00AD1FF9"/>
    <w:rsid w:val="00AD20E2"/>
    <w:rsid w:val="00AD216B"/>
    <w:rsid w:val="00AD2298"/>
    <w:rsid w:val="00AD2344"/>
    <w:rsid w:val="00AD25DA"/>
    <w:rsid w:val="00AD2699"/>
    <w:rsid w:val="00AD2720"/>
    <w:rsid w:val="00AD2765"/>
    <w:rsid w:val="00AD27F3"/>
    <w:rsid w:val="00AD2AF2"/>
    <w:rsid w:val="00AD2B7C"/>
    <w:rsid w:val="00AD2CC8"/>
    <w:rsid w:val="00AD2E3C"/>
    <w:rsid w:val="00AD2E8F"/>
    <w:rsid w:val="00AD2F62"/>
    <w:rsid w:val="00AD3185"/>
    <w:rsid w:val="00AD3273"/>
    <w:rsid w:val="00AD329B"/>
    <w:rsid w:val="00AD331B"/>
    <w:rsid w:val="00AD33B6"/>
    <w:rsid w:val="00AD3490"/>
    <w:rsid w:val="00AD349A"/>
    <w:rsid w:val="00AD365E"/>
    <w:rsid w:val="00AD375A"/>
    <w:rsid w:val="00AD3793"/>
    <w:rsid w:val="00AD37F5"/>
    <w:rsid w:val="00AD38D8"/>
    <w:rsid w:val="00AD39DD"/>
    <w:rsid w:val="00AD39F4"/>
    <w:rsid w:val="00AD3AB8"/>
    <w:rsid w:val="00AD3B38"/>
    <w:rsid w:val="00AD3D73"/>
    <w:rsid w:val="00AD3F59"/>
    <w:rsid w:val="00AD3F7A"/>
    <w:rsid w:val="00AD3FC4"/>
    <w:rsid w:val="00AD411E"/>
    <w:rsid w:val="00AD41B8"/>
    <w:rsid w:val="00AD4213"/>
    <w:rsid w:val="00AD423A"/>
    <w:rsid w:val="00AD42DB"/>
    <w:rsid w:val="00AD4485"/>
    <w:rsid w:val="00AD44B2"/>
    <w:rsid w:val="00AD44C5"/>
    <w:rsid w:val="00AD45CD"/>
    <w:rsid w:val="00AD4621"/>
    <w:rsid w:val="00AD4732"/>
    <w:rsid w:val="00AD47DA"/>
    <w:rsid w:val="00AD48DB"/>
    <w:rsid w:val="00AD4957"/>
    <w:rsid w:val="00AD4A24"/>
    <w:rsid w:val="00AD4A46"/>
    <w:rsid w:val="00AD4C09"/>
    <w:rsid w:val="00AD4C28"/>
    <w:rsid w:val="00AD4CAC"/>
    <w:rsid w:val="00AD4D00"/>
    <w:rsid w:val="00AD4DD0"/>
    <w:rsid w:val="00AD4E3A"/>
    <w:rsid w:val="00AD4F79"/>
    <w:rsid w:val="00AD4F9B"/>
    <w:rsid w:val="00AD506A"/>
    <w:rsid w:val="00AD50B1"/>
    <w:rsid w:val="00AD5143"/>
    <w:rsid w:val="00AD5209"/>
    <w:rsid w:val="00AD5378"/>
    <w:rsid w:val="00AD53E8"/>
    <w:rsid w:val="00AD54A3"/>
    <w:rsid w:val="00AD55DF"/>
    <w:rsid w:val="00AD5666"/>
    <w:rsid w:val="00AD5682"/>
    <w:rsid w:val="00AD57C3"/>
    <w:rsid w:val="00AD5A43"/>
    <w:rsid w:val="00AD5A99"/>
    <w:rsid w:val="00AD5B08"/>
    <w:rsid w:val="00AD5B2A"/>
    <w:rsid w:val="00AD5B86"/>
    <w:rsid w:val="00AD5C23"/>
    <w:rsid w:val="00AD5C43"/>
    <w:rsid w:val="00AD5CB0"/>
    <w:rsid w:val="00AD5D39"/>
    <w:rsid w:val="00AD5DD9"/>
    <w:rsid w:val="00AD5E64"/>
    <w:rsid w:val="00AD5F9F"/>
    <w:rsid w:val="00AD5FE3"/>
    <w:rsid w:val="00AD607E"/>
    <w:rsid w:val="00AD61A8"/>
    <w:rsid w:val="00AD63F3"/>
    <w:rsid w:val="00AD653D"/>
    <w:rsid w:val="00AD677C"/>
    <w:rsid w:val="00AD68B0"/>
    <w:rsid w:val="00AD6A85"/>
    <w:rsid w:val="00AD6CF4"/>
    <w:rsid w:val="00AD6D67"/>
    <w:rsid w:val="00AD6E3F"/>
    <w:rsid w:val="00AD6E77"/>
    <w:rsid w:val="00AD6F72"/>
    <w:rsid w:val="00AD6FAC"/>
    <w:rsid w:val="00AD6FC4"/>
    <w:rsid w:val="00AD6FC7"/>
    <w:rsid w:val="00AD7039"/>
    <w:rsid w:val="00AD7128"/>
    <w:rsid w:val="00AD71B9"/>
    <w:rsid w:val="00AD72EF"/>
    <w:rsid w:val="00AD736D"/>
    <w:rsid w:val="00AD74F7"/>
    <w:rsid w:val="00AD751D"/>
    <w:rsid w:val="00AD76B6"/>
    <w:rsid w:val="00AD77AD"/>
    <w:rsid w:val="00AD784D"/>
    <w:rsid w:val="00AD7896"/>
    <w:rsid w:val="00AD794F"/>
    <w:rsid w:val="00AD7A25"/>
    <w:rsid w:val="00AD7E4A"/>
    <w:rsid w:val="00AE0000"/>
    <w:rsid w:val="00AE0099"/>
    <w:rsid w:val="00AE00B4"/>
    <w:rsid w:val="00AE00CA"/>
    <w:rsid w:val="00AE00D2"/>
    <w:rsid w:val="00AE0184"/>
    <w:rsid w:val="00AE0263"/>
    <w:rsid w:val="00AE031D"/>
    <w:rsid w:val="00AE0417"/>
    <w:rsid w:val="00AE041D"/>
    <w:rsid w:val="00AE0476"/>
    <w:rsid w:val="00AE04A1"/>
    <w:rsid w:val="00AE04EE"/>
    <w:rsid w:val="00AE055C"/>
    <w:rsid w:val="00AE05BC"/>
    <w:rsid w:val="00AE07C2"/>
    <w:rsid w:val="00AE08A0"/>
    <w:rsid w:val="00AE0BB1"/>
    <w:rsid w:val="00AE0BF5"/>
    <w:rsid w:val="00AE0C01"/>
    <w:rsid w:val="00AE0C6C"/>
    <w:rsid w:val="00AE0CC7"/>
    <w:rsid w:val="00AE0E5B"/>
    <w:rsid w:val="00AE12BC"/>
    <w:rsid w:val="00AE1357"/>
    <w:rsid w:val="00AE13FB"/>
    <w:rsid w:val="00AE1477"/>
    <w:rsid w:val="00AE14D7"/>
    <w:rsid w:val="00AE15F4"/>
    <w:rsid w:val="00AE162C"/>
    <w:rsid w:val="00AE167D"/>
    <w:rsid w:val="00AE1746"/>
    <w:rsid w:val="00AE18AD"/>
    <w:rsid w:val="00AE1A1A"/>
    <w:rsid w:val="00AE1A94"/>
    <w:rsid w:val="00AE1AF8"/>
    <w:rsid w:val="00AE1B75"/>
    <w:rsid w:val="00AE1BC1"/>
    <w:rsid w:val="00AE1C0C"/>
    <w:rsid w:val="00AE1C35"/>
    <w:rsid w:val="00AE1E48"/>
    <w:rsid w:val="00AE1EF3"/>
    <w:rsid w:val="00AE2183"/>
    <w:rsid w:val="00AE219D"/>
    <w:rsid w:val="00AE21A0"/>
    <w:rsid w:val="00AE247A"/>
    <w:rsid w:val="00AE249D"/>
    <w:rsid w:val="00AE2640"/>
    <w:rsid w:val="00AE2665"/>
    <w:rsid w:val="00AE2666"/>
    <w:rsid w:val="00AE2726"/>
    <w:rsid w:val="00AE277C"/>
    <w:rsid w:val="00AE29A0"/>
    <w:rsid w:val="00AE29BC"/>
    <w:rsid w:val="00AE2C48"/>
    <w:rsid w:val="00AE2D10"/>
    <w:rsid w:val="00AE2D32"/>
    <w:rsid w:val="00AE2E34"/>
    <w:rsid w:val="00AE2FA0"/>
    <w:rsid w:val="00AE31AD"/>
    <w:rsid w:val="00AE31CC"/>
    <w:rsid w:val="00AE32EF"/>
    <w:rsid w:val="00AE33C2"/>
    <w:rsid w:val="00AE340C"/>
    <w:rsid w:val="00AE34E5"/>
    <w:rsid w:val="00AE3568"/>
    <w:rsid w:val="00AE36E4"/>
    <w:rsid w:val="00AE37BB"/>
    <w:rsid w:val="00AE3897"/>
    <w:rsid w:val="00AE38CB"/>
    <w:rsid w:val="00AE3AAF"/>
    <w:rsid w:val="00AE3B31"/>
    <w:rsid w:val="00AE3C68"/>
    <w:rsid w:val="00AE3CC6"/>
    <w:rsid w:val="00AE4060"/>
    <w:rsid w:val="00AE411B"/>
    <w:rsid w:val="00AE426D"/>
    <w:rsid w:val="00AE435C"/>
    <w:rsid w:val="00AE4385"/>
    <w:rsid w:val="00AE43BA"/>
    <w:rsid w:val="00AE44E7"/>
    <w:rsid w:val="00AE4553"/>
    <w:rsid w:val="00AE45B0"/>
    <w:rsid w:val="00AE478C"/>
    <w:rsid w:val="00AE4996"/>
    <w:rsid w:val="00AE49D1"/>
    <w:rsid w:val="00AE49D3"/>
    <w:rsid w:val="00AE4A3C"/>
    <w:rsid w:val="00AE4B45"/>
    <w:rsid w:val="00AE4C3A"/>
    <w:rsid w:val="00AE4DE1"/>
    <w:rsid w:val="00AE4E8E"/>
    <w:rsid w:val="00AE4EE9"/>
    <w:rsid w:val="00AE4EF2"/>
    <w:rsid w:val="00AE4F4D"/>
    <w:rsid w:val="00AE4FB7"/>
    <w:rsid w:val="00AE5158"/>
    <w:rsid w:val="00AE5242"/>
    <w:rsid w:val="00AE5262"/>
    <w:rsid w:val="00AE5397"/>
    <w:rsid w:val="00AE54B8"/>
    <w:rsid w:val="00AE5614"/>
    <w:rsid w:val="00AE566A"/>
    <w:rsid w:val="00AE5689"/>
    <w:rsid w:val="00AE584F"/>
    <w:rsid w:val="00AE5995"/>
    <w:rsid w:val="00AE5A21"/>
    <w:rsid w:val="00AE5B2A"/>
    <w:rsid w:val="00AE5C65"/>
    <w:rsid w:val="00AE5CAB"/>
    <w:rsid w:val="00AE5F14"/>
    <w:rsid w:val="00AE601D"/>
    <w:rsid w:val="00AE621E"/>
    <w:rsid w:val="00AE63E0"/>
    <w:rsid w:val="00AE64A0"/>
    <w:rsid w:val="00AE65DC"/>
    <w:rsid w:val="00AE6794"/>
    <w:rsid w:val="00AE68E8"/>
    <w:rsid w:val="00AE6908"/>
    <w:rsid w:val="00AE69ED"/>
    <w:rsid w:val="00AE6B5F"/>
    <w:rsid w:val="00AE6B9C"/>
    <w:rsid w:val="00AE6C1D"/>
    <w:rsid w:val="00AE6D72"/>
    <w:rsid w:val="00AE6E47"/>
    <w:rsid w:val="00AE6EAE"/>
    <w:rsid w:val="00AE7193"/>
    <w:rsid w:val="00AE722A"/>
    <w:rsid w:val="00AE7321"/>
    <w:rsid w:val="00AE743B"/>
    <w:rsid w:val="00AE7518"/>
    <w:rsid w:val="00AE7574"/>
    <w:rsid w:val="00AE75D1"/>
    <w:rsid w:val="00AE7607"/>
    <w:rsid w:val="00AE7997"/>
    <w:rsid w:val="00AE7A6F"/>
    <w:rsid w:val="00AE7C85"/>
    <w:rsid w:val="00AE7E9C"/>
    <w:rsid w:val="00AE7F1E"/>
    <w:rsid w:val="00AE7FDD"/>
    <w:rsid w:val="00AF001A"/>
    <w:rsid w:val="00AF021A"/>
    <w:rsid w:val="00AF04CD"/>
    <w:rsid w:val="00AF0648"/>
    <w:rsid w:val="00AF06B3"/>
    <w:rsid w:val="00AF06CC"/>
    <w:rsid w:val="00AF080F"/>
    <w:rsid w:val="00AF08A8"/>
    <w:rsid w:val="00AF09BD"/>
    <w:rsid w:val="00AF0A8D"/>
    <w:rsid w:val="00AF0AA7"/>
    <w:rsid w:val="00AF0ACA"/>
    <w:rsid w:val="00AF0AF3"/>
    <w:rsid w:val="00AF0D3D"/>
    <w:rsid w:val="00AF0D54"/>
    <w:rsid w:val="00AF0E73"/>
    <w:rsid w:val="00AF0E88"/>
    <w:rsid w:val="00AF10CE"/>
    <w:rsid w:val="00AF1207"/>
    <w:rsid w:val="00AF1262"/>
    <w:rsid w:val="00AF127B"/>
    <w:rsid w:val="00AF1318"/>
    <w:rsid w:val="00AF13F7"/>
    <w:rsid w:val="00AF14B9"/>
    <w:rsid w:val="00AF1630"/>
    <w:rsid w:val="00AF16FB"/>
    <w:rsid w:val="00AF1805"/>
    <w:rsid w:val="00AF1AB4"/>
    <w:rsid w:val="00AF1B8F"/>
    <w:rsid w:val="00AF1BC6"/>
    <w:rsid w:val="00AF1C34"/>
    <w:rsid w:val="00AF1D54"/>
    <w:rsid w:val="00AF206A"/>
    <w:rsid w:val="00AF2146"/>
    <w:rsid w:val="00AF2540"/>
    <w:rsid w:val="00AF2591"/>
    <w:rsid w:val="00AF25A0"/>
    <w:rsid w:val="00AF2954"/>
    <w:rsid w:val="00AF2A8C"/>
    <w:rsid w:val="00AF2B1A"/>
    <w:rsid w:val="00AF2B53"/>
    <w:rsid w:val="00AF2D17"/>
    <w:rsid w:val="00AF2D81"/>
    <w:rsid w:val="00AF2DB8"/>
    <w:rsid w:val="00AF2E53"/>
    <w:rsid w:val="00AF2EC3"/>
    <w:rsid w:val="00AF3012"/>
    <w:rsid w:val="00AF3280"/>
    <w:rsid w:val="00AF3292"/>
    <w:rsid w:val="00AF33E3"/>
    <w:rsid w:val="00AF33F1"/>
    <w:rsid w:val="00AF3692"/>
    <w:rsid w:val="00AF36C8"/>
    <w:rsid w:val="00AF3857"/>
    <w:rsid w:val="00AF393C"/>
    <w:rsid w:val="00AF3A05"/>
    <w:rsid w:val="00AF3A5A"/>
    <w:rsid w:val="00AF3A89"/>
    <w:rsid w:val="00AF3B11"/>
    <w:rsid w:val="00AF3BC5"/>
    <w:rsid w:val="00AF3C57"/>
    <w:rsid w:val="00AF3C5D"/>
    <w:rsid w:val="00AF3C96"/>
    <w:rsid w:val="00AF3CF6"/>
    <w:rsid w:val="00AF3E15"/>
    <w:rsid w:val="00AF3E96"/>
    <w:rsid w:val="00AF3EC8"/>
    <w:rsid w:val="00AF3EDF"/>
    <w:rsid w:val="00AF400C"/>
    <w:rsid w:val="00AF40B4"/>
    <w:rsid w:val="00AF416F"/>
    <w:rsid w:val="00AF42CA"/>
    <w:rsid w:val="00AF42E7"/>
    <w:rsid w:val="00AF44CF"/>
    <w:rsid w:val="00AF4747"/>
    <w:rsid w:val="00AF498C"/>
    <w:rsid w:val="00AF4ACB"/>
    <w:rsid w:val="00AF4B35"/>
    <w:rsid w:val="00AF4E32"/>
    <w:rsid w:val="00AF4ED4"/>
    <w:rsid w:val="00AF50D6"/>
    <w:rsid w:val="00AF5108"/>
    <w:rsid w:val="00AF5218"/>
    <w:rsid w:val="00AF5333"/>
    <w:rsid w:val="00AF5379"/>
    <w:rsid w:val="00AF5386"/>
    <w:rsid w:val="00AF53DF"/>
    <w:rsid w:val="00AF5412"/>
    <w:rsid w:val="00AF55CA"/>
    <w:rsid w:val="00AF5715"/>
    <w:rsid w:val="00AF572E"/>
    <w:rsid w:val="00AF57C9"/>
    <w:rsid w:val="00AF5829"/>
    <w:rsid w:val="00AF597E"/>
    <w:rsid w:val="00AF5AE3"/>
    <w:rsid w:val="00AF5B5C"/>
    <w:rsid w:val="00AF5BD4"/>
    <w:rsid w:val="00AF5DB6"/>
    <w:rsid w:val="00AF60A0"/>
    <w:rsid w:val="00AF63C4"/>
    <w:rsid w:val="00AF645D"/>
    <w:rsid w:val="00AF6560"/>
    <w:rsid w:val="00AF68B8"/>
    <w:rsid w:val="00AF6ADA"/>
    <w:rsid w:val="00AF6C65"/>
    <w:rsid w:val="00AF6DC1"/>
    <w:rsid w:val="00AF6DDC"/>
    <w:rsid w:val="00AF6E2F"/>
    <w:rsid w:val="00AF6ED3"/>
    <w:rsid w:val="00AF6F5E"/>
    <w:rsid w:val="00AF6FCE"/>
    <w:rsid w:val="00AF7098"/>
    <w:rsid w:val="00AF7219"/>
    <w:rsid w:val="00AF7340"/>
    <w:rsid w:val="00AF73F8"/>
    <w:rsid w:val="00AF7402"/>
    <w:rsid w:val="00AF7568"/>
    <w:rsid w:val="00AF760D"/>
    <w:rsid w:val="00AF78F2"/>
    <w:rsid w:val="00AF7A43"/>
    <w:rsid w:val="00AF7AEC"/>
    <w:rsid w:val="00AF7B09"/>
    <w:rsid w:val="00AF7B64"/>
    <w:rsid w:val="00AF7BF1"/>
    <w:rsid w:val="00AF7D18"/>
    <w:rsid w:val="00AF7D4E"/>
    <w:rsid w:val="00AF7D4F"/>
    <w:rsid w:val="00AF7DA5"/>
    <w:rsid w:val="00AF7F58"/>
    <w:rsid w:val="00B0003E"/>
    <w:rsid w:val="00B0013D"/>
    <w:rsid w:val="00B0023E"/>
    <w:rsid w:val="00B00298"/>
    <w:rsid w:val="00B002D8"/>
    <w:rsid w:val="00B002DC"/>
    <w:rsid w:val="00B00304"/>
    <w:rsid w:val="00B00373"/>
    <w:rsid w:val="00B005C4"/>
    <w:rsid w:val="00B005F0"/>
    <w:rsid w:val="00B00649"/>
    <w:rsid w:val="00B0065E"/>
    <w:rsid w:val="00B00674"/>
    <w:rsid w:val="00B0070B"/>
    <w:rsid w:val="00B00774"/>
    <w:rsid w:val="00B00A2B"/>
    <w:rsid w:val="00B00C7D"/>
    <w:rsid w:val="00B00C90"/>
    <w:rsid w:val="00B00D67"/>
    <w:rsid w:val="00B00DB1"/>
    <w:rsid w:val="00B00E2F"/>
    <w:rsid w:val="00B00E3E"/>
    <w:rsid w:val="00B00E68"/>
    <w:rsid w:val="00B00F42"/>
    <w:rsid w:val="00B00F7E"/>
    <w:rsid w:val="00B010C6"/>
    <w:rsid w:val="00B0112F"/>
    <w:rsid w:val="00B01240"/>
    <w:rsid w:val="00B0151F"/>
    <w:rsid w:val="00B01586"/>
    <w:rsid w:val="00B01617"/>
    <w:rsid w:val="00B017F9"/>
    <w:rsid w:val="00B018D2"/>
    <w:rsid w:val="00B01979"/>
    <w:rsid w:val="00B019A6"/>
    <w:rsid w:val="00B01A6F"/>
    <w:rsid w:val="00B01A75"/>
    <w:rsid w:val="00B01B47"/>
    <w:rsid w:val="00B01BDA"/>
    <w:rsid w:val="00B01C2B"/>
    <w:rsid w:val="00B01C56"/>
    <w:rsid w:val="00B01C71"/>
    <w:rsid w:val="00B01EA4"/>
    <w:rsid w:val="00B01EE5"/>
    <w:rsid w:val="00B01F53"/>
    <w:rsid w:val="00B02049"/>
    <w:rsid w:val="00B0204F"/>
    <w:rsid w:val="00B02116"/>
    <w:rsid w:val="00B02194"/>
    <w:rsid w:val="00B021CC"/>
    <w:rsid w:val="00B021D6"/>
    <w:rsid w:val="00B02220"/>
    <w:rsid w:val="00B0236A"/>
    <w:rsid w:val="00B0241F"/>
    <w:rsid w:val="00B024FE"/>
    <w:rsid w:val="00B02668"/>
    <w:rsid w:val="00B026C0"/>
    <w:rsid w:val="00B02960"/>
    <w:rsid w:val="00B029CA"/>
    <w:rsid w:val="00B02B5F"/>
    <w:rsid w:val="00B02BB1"/>
    <w:rsid w:val="00B02CEB"/>
    <w:rsid w:val="00B02D69"/>
    <w:rsid w:val="00B02E47"/>
    <w:rsid w:val="00B02F43"/>
    <w:rsid w:val="00B0304B"/>
    <w:rsid w:val="00B030E0"/>
    <w:rsid w:val="00B031CA"/>
    <w:rsid w:val="00B032A3"/>
    <w:rsid w:val="00B0344A"/>
    <w:rsid w:val="00B0356C"/>
    <w:rsid w:val="00B0357F"/>
    <w:rsid w:val="00B035EC"/>
    <w:rsid w:val="00B03620"/>
    <w:rsid w:val="00B03746"/>
    <w:rsid w:val="00B0391C"/>
    <w:rsid w:val="00B03C17"/>
    <w:rsid w:val="00B03DDE"/>
    <w:rsid w:val="00B03F25"/>
    <w:rsid w:val="00B04020"/>
    <w:rsid w:val="00B0404F"/>
    <w:rsid w:val="00B0427B"/>
    <w:rsid w:val="00B0440B"/>
    <w:rsid w:val="00B04488"/>
    <w:rsid w:val="00B044CB"/>
    <w:rsid w:val="00B044F6"/>
    <w:rsid w:val="00B046D5"/>
    <w:rsid w:val="00B0480E"/>
    <w:rsid w:val="00B04836"/>
    <w:rsid w:val="00B049B6"/>
    <w:rsid w:val="00B04AC5"/>
    <w:rsid w:val="00B04AFF"/>
    <w:rsid w:val="00B04C53"/>
    <w:rsid w:val="00B04C76"/>
    <w:rsid w:val="00B04C81"/>
    <w:rsid w:val="00B04D9B"/>
    <w:rsid w:val="00B04E17"/>
    <w:rsid w:val="00B04EDC"/>
    <w:rsid w:val="00B04F9A"/>
    <w:rsid w:val="00B04FC7"/>
    <w:rsid w:val="00B05040"/>
    <w:rsid w:val="00B0517D"/>
    <w:rsid w:val="00B051E2"/>
    <w:rsid w:val="00B051E3"/>
    <w:rsid w:val="00B0520E"/>
    <w:rsid w:val="00B053D5"/>
    <w:rsid w:val="00B0542E"/>
    <w:rsid w:val="00B0544F"/>
    <w:rsid w:val="00B054D6"/>
    <w:rsid w:val="00B05683"/>
    <w:rsid w:val="00B056F8"/>
    <w:rsid w:val="00B05882"/>
    <w:rsid w:val="00B058C2"/>
    <w:rsid w:val="00B058CC"/>
    <w:rsid w:val="00B059FC"/>
    <w:rsid w:val="00B05A16"/>
    <w:rsid w:val="00B05B9A"/>
    <w:rsid w:val="00B05BD2"/>
    <w:rsid w:val="00B05C76"/>
    <w:rsid w:val="00B05CD2"/>
    <w:rsid w:val="00B05D95"/>
    <w:rsid w:val="00B05E32"/>
    <w:rsid w:val="00B05EBE"/>
    <w:rsid w:val="00B05FF7"/>
    <w:rsid w:val="00B06086"/>
    <w:rsid w:val="00B060AE"/>
    <w:rsid w:val="00B0620F"/>
    <w:rsid w:val="00B06261"/>
    <w:rsid w:val="00B062FF"/>
    <w:rsid w:val="00B06384"/>
    <w:rsid w:val="00B06600"/>
    <w:rsid w:val="00B0661F"/>
    <w:rsid w:val="00B06628"/>
    <w:rsid w:val="00B066B8"/>
    <w:rsid w:val="00B0677A"/>
    <w:rsid w:val="00B06D4E"/>
    <w:rsid w:val="00B06DFC"/>
    <w:rsid w:val="00B070BB"/>
    <w:rsid w:val="00B07322"/>
    <w:rsid w:val="00B07445"/>
    <w:rsid w:val="00B07555"/>
    <w:rsid w:val="00B075D3"/>
    <w:rsid w:val="00B07696"/>
    <w:rsid w:val="00B0774D"/>
    <w:rsid w:val="00B07762"/>
    <w:rsid w:val="00B077D6"/>
    <w:rsid w:val="00B0795E"/>
    <w:rsid w:val="00B07A16"/>
    <w:rsid w:val="00B07B18"/>
    <w:rsid w:val="00B07BB9"/>
    <w:rsid w:val="00B07BE1"/>
    <w:rsid w:val="00B07D53"/>
    <w:rsid w:val="00B07E90"/>
    <w:rsid w:val="00B1026A"/>
    <w:rsid w:val="00B1026B"/>
    <w:rsid w:val="00B103C8"/>
    <w:rsid w:val="00B10617"/>
    <w:rsid w:val="00B1067A"/>
    <w:rsid w:val="00B107C4"/>
    <w:rsid w:val="00B107DF"/>
    <w:rsid w:val="00B1086A"/>
    <w:rsid w:val="00B109C7"/>
    <w:rsid w:val="00B10A76"/>
    <w:rsid w:val="00B10AF0"/>
    <w:rsid w:val="00B10B99"/>
    <w:rsid w:val="00B10BBA"/>
    <w:rsid w:val="00B10D41"/>
    <w:rsid w:val="00B10FA0"/>
    <w:rsid w:val="00B11011"/>
    <w:rsid w:val="00B1107B"/>
    <w:rsid w:val="00B11088"/>
    <w:rsid w:val="00B11150"/>
    <w:rsid w:val="00B1119B"/>
    <w:rsid w:val="00B11217"/>
    <w:rsid w:val="00B11282"/>
    <w:rsid w:val="00B1154B"/>
    <w:rsid w:val="00B1157C"/>
    <w:rsid w:val="00B117AB"/>
    <w:rsid w:val="00B117C9"/>
    <w:rsid w:val="00B11B41"/>
    <w:rsid w:val="00B11C15"/>
    <w:rsid w:val="00B11F3F"/>
    <w:rsid w:val="00B11FC9"/>
    <w:rsid w:val="00B12098"/>
    <w:rsid w:val="00B12276"/>
    <w:rsid w:val="00B1238B"/>
    <w:rsid w:val="00B123A8"/>
    <w:rsid w:val="00B1241D"/>
    <w:rsid w:val="00B12464"/>
    <w:rsid w:val="00B12474"/>
    <w:rsid w:val="00B1268C"/>
    <w:rsid w:val="00B126A2"/>
    <w:rsid w:val="00B12791"/>
    <w:rsid w:val="00B12805"/>
    <w:rsid w:val="00B1282C"/>
    <w:rsid w:val="00B1282F"/>
    <w:rsid w:val="00B128B1"/>
    <w:rsid w:val="00B128E6"/>
    <w:rsid w:val="00B12918"/>
    <w:rsid w:val="00B12965"/>
    <w:rsid w:val="00B129F7"/>
    <w:rsid w:val="00B12A7F"/>
    <w:rsid w:val="00B12AEA"/>
    <w:rsid w:val="00B12E1F"/>
    <w:rsid w:val="00B12F0D"/>
    <w:rsid w:val="00B12F15"/>
    <w:rsid w:val="00B12F6E"/>
    <w:rsid w:val="00B13078"/>
    <w:rsid w:val="00B1308C"/>
    <w:rsid w:val="00B13134"/>
    <w:rsid w:val="00B1333D"/>
    <w:rsid w:val="00B134AD"/>
    <w:rsid w:val="00B13542"/>
    <w:rsid w:val="00B136B4"/>
    <w:rsid w:val="00B136CB"/>
    <w:rsid w:val="00B137A1"/>
    <w:rsid w:val="00B137D4"/>
    <w:rsid w:val="00B13818"/>
    <w:rsid w:val="00B138D7"/>
    <w:rsid w:val="00B13943"/>
    <w:rsid w:val="00B13BD5"/>
    <w:rsid w:val="00B13BFE"/>
    <w:rsid w:val="00B13C4B"/>
    <w:rsid w:val="00B13D2F"/>
    <w:rsid w:val="00B13D43"/>
    <w:rsid w:val="00B13D9A"/>
    <w:rsid w:val="00B13F2D"/>
    <w:rsid w:val="00B14118"/>
    <w:rsid w:val="00B145D4"/>
    <w:rsid w:val="00B145ED"/>
    <w:rsid w:val="00B1482A"/>
    <w:rsid w:val="00B148AB"/>
    <w:rsid w:val="00B1491F"/>
    <w:rsid w:val="00B14C3C"/>
    <w:rsid w:val="00B14C7C"/>
    <w:rsid w:val="00B14CBF"/>
    <w:rsid w:val="00B14DB7"/>
    <w:rsid w:val="00B14DEC"/>
    <w:rsid w:val="00B150C6"/>
    <w:rsid w:val="00B15186"/>
    <w:rsid w:val="00B152D0"/>
    <w:rsid w:val="00B1530C"/>
    <w:rsid w:val="00B154E6"/>
    <w:rsid w:val="00B1562D"/>
    <w:rsid w:val="00B15925"/>
    <w:rsid w:val="00B1597F"/>
    <w:rsid w:val="00B15A12"/>
    <w:rsid w:val="00B15A30"/>
    <w:rsid w:val="00B15C0A"/>
    <w:rsid w:val="00B15C7F"/>
    <w:rsid w:val="00B15DB8"/>
    <w:rsid w:val="00B15FD2"/>
    <w:rsid w:val="00B161F2"/>
    <w:rsid w:val="00B16532"/>
    <w:rsid w:val="00B166A4"/>
    <w:rsid w:val="00B166F6"/>
    <w:rsid w:val="00B16AD3"/>
    <w:rsid w:val="00B16B35"/>
    <w:rsid w:val="00B16B47"/>
    <w:rsid w:val="00B16B78"/>
    <w:rsid w:val="00B16E42"/>
    <w:rsid w:val="00B1705B"/>
    <w:rsid w:val="00B1706D"/>
    <w:rsid w:val="00B170A6"/>
    <w:rsid w:val="00B1714A"/>
    <w:rsid w:val="00B1718F"/>
    <w:rsid w:val="00B17269"/>
    <w:rsid w:val="00B17282"/>
    <w:rsid w:val="00B172F2"/>
    <w:rsid w:val="00B17412"/>
    <w:rsid w:val="00B17447"/>
    <w:rsid w:val="00B17478"/>
    <w:rsid w:val="00B1761D"/>
    <w:rsid w:val="00B17691"/>
    <w:rsid w:val="00B1773B"/>
    <w:rsid w:val="00B177F5"/>
    <w:rsid w:val="00B178B7"/>
    <w:rsid w:val="00B1794B"/>
    <w:rsid w:val="00B1794E"/>
    <w:rsid w:val="00B17A1A"/>
    <w:rsid w:val="00B17DA4"/>
    <w:rsid w:val="00B17E61"/>
    <w:rsid w:val="00B17EEA"/>
    <w:rsid w:val="00B17EF3"/>
    <w:rsid w:val="00B17F41"/>
    <w:rsid w:val="00B1EE6D"/>
    <w:rsid w:val="00B201A7"/>
    <w:rsid w:val="00B201D9"/>
    <w:rsid w:val="00B20218"/>
    <w:rsid w:val="00B20346"/>
    <w:rsid w:val="00B2038A"/>
    <w:rsid w:val="00B206E9"/>
    <w:rsid w:val="00B2076D"/>
    <w:rsid w:val="00B20864"/>
    <w:rsid w:val="00B208F8"/>
    <w:rsid w:val="00B20B4B"/>
    <w:rsid w:val="00B20BFF"/>
    <w:rsid w:val="00B20C65"/>
    <w:rsid w:val="00B20CBE"/>
    <w:rsid w:val="00B20CDD"/>
    <w:rsid w:val="00B20E32"/>
    <w:rsid w:val="00B20FAA"/>
    <w:rsid w:val="00B210CF"/>
    <w:rsid w:val="00B2111A"/>
    <w:rsid w:val="00B21166"/>
    <w:rsid w:val="00B211EC"/>
    <w:rsid w:val="00B21357"/>
    <w:rsid w:val="00B21376"/>
    <w:rsid w:val="00B213B5"/>
    <w:rsid w:val="00B213EF"/>
    <w:rsid w:val="00B214E6"/>
    <w:rsid w:val="00B216A4"/>
    <w:rsid w:val="00B217D5"/>
    <w:rsid w:val="00B21863"/>
    <w:rsid w:val="00B218DC"/>
    <w:rsid w:val="00B21A5D"/>
    <w:rsid w:val="00B21A66"/>
    <w:rsid w:val="00B21ACD"/>
    <w:rsid w:val="00B21C90"/>
    <w:rsid w:val="00B21DA4"/>
    <w:rsid w:val="00B21DC7"/>
    <w:rsid w:val="00B21DFE"/>
    <w:rsid w:val="00B21E44"/>
    <w:rsid w:val="00B220C2"/>
    <w:rsid w:val="00B220E4"/>
    <w:rsid w:val="00B22132"/>
    <w:rsid w:val="00B22253"/>
    <w:rsid w:val="00B22270"/>
    <w:rsid w:val="00B22426"/>
    <w:rsid w:val="00B2257B"/>
    <w:rsid w:val="00B227C2"/>
    <w:rsid w:val="00B2285F"/>
    <w:rsid w:val="00B228B8"/>
    <w:rsid w:val="00B228C2"/>
    <w:rsid w:val="00B229B2"/>
    <w:rsid w:val="00B22A11"/>
    <w:rsid w:val="00B22A93"/>
    <w:rsid w:val="00B22B4F"/>
    <w:rsid w:val="00B22B95"/>
    <w:rsid w:val="00B22BA5"/>
    <w:rsid w:val="00B22BF3"/>
    <w:rsid w:val="00B22C4A"/>
    <w:rsid w:val="00B22C6D"/>
    <w:rsid w:val="00B22D84"/>
    <w:rsid w:val="00B23066"/>
    <w:rsid w:val="00B23096"/>
    <w:rsid w:val="00B23188"/>
    <w:rsid w:val="00B2322A"/>
    <w:rsid w:val="00B23422"/>
    <w:rsid w:val="00B2359B"/>
    <w:rsid w:val="00B235FA"/>
    <w:rsid w:val="00B236FC"/>
    <w:rsid w:val="00B2376E"/>
    <w:rsid w:val="00B237B0"/>
    <w:rsid w:val="00B238B2"/>
    <w:rsid w:val="00B238BC"/>
    <w:rsid w:val="00B23B0A"/>
    <w:rsid w:val="00B23BF8"/>
    <w:rsid w:val="00B23D4D"/>
    <w:rsid w:val="00B23F9D"/>
    <w:rsid w:val="00B23FA6"/>
    <w:rsid w:val="00B240E7"/>
    <w:rsid w:val="00B241EC"/>
    <w:rsid w:val="00B2422D"/>
    <w:rsid w:val="00B242AD"/>
    <w:rsid w:val="00B24356"/>
    <w:rsid w:val="00B244E5"/>
    <w:rsid w:val="00B2465A"/>
    <w:rsid w:val="00B2488E"/>
    <w:rsid w:val="00B2496E"/>
    <w:rsid w:val="00B249FF"/>
    <w:rsid w:val="00B24A67"/>
    <w:rsid w:val="00B24A82"/>
    <w:rsid w:val="00B24A8F"/>
    <w:rsid w:val="00B24D4A"/>
    <w:rsid w:val="00B24E20"/>
    <w:rsid w:val="00B24E28"/>
    <w:rsid w:val="00B24FBE"/>
    <w:rsid w:val="00B24FCE"/>
    <w:rsid w:val="00B25082"/>
    <w:rsid w:val="00B251E1"/>
    <w:rsid w:val="00B251E7"/>
    <w:rsid w:val="00B251FE"/>
    <w:rsid w:val="00B25259"/>
    <w:rsid w:val="00B25348"/>
    <w:rsid w:val="00B25361"/>
    <w:rsid w:val="00B25377"/>
    <w:rsid w:val="00B25770"/>
    <w:rsid w:val="00B25773"/>
    <w:rsid w:val="00B257A6"/>
    <w:rsid w:val="00B259A5"/>
    <w:rsid w:val="00B25ADA"/>
    <w:rsid w:val="00B25BA6"/>
    <w:rsid w:val="00B25BD9"/>
    <w:rsid w:val="00B25D47"/>
    <w:rsid w:val="00B25ECB"/>
    <w:rsid w:val="00B25F06"/>
    <w:rsid w:val="00B26029"/>
    <w:rsid w:val="00B262B4"/>
    <w:rsid w:val="00B26379"/>
    <w:rsid w:val="00B263AE"/>
    <w:rsid w:val="00B263F7"/>
    <w:rsid w:val="00B266CB"/>
    <w:rsid w:val="00B26A15"/>
    <w:rsid w:val="00B26A62"/>
    <w:rsid w:val="00B26C6C"/>
    <w:rsid w:val="00B26D5B"/>
    <w:rsid w:val="00B26E08"/>
    <w:rsid w:val="00B26E30"/>
    <w:rsid w:val="00B26E65"/>
    <w:rsid w:val="00B26F55"/>
    <w:rsid w:val="00B26F57"/>
    <w:rsid w:val="00B2719D"/>
    <w:rsid w:val="00B273BD"/>
    <w:rsid w:val="00B27401"/>
    <w:rsid w:val="00B2758C"/>
    <w:rsid w:val="00B27714"/>
    <w:rsid w:val="00B277B1"/>
    <w:rsid w:val="00B27931"/>
    <w:rsid w:val="00B279B3"/>
    <w:rsid w:val="00B279F2"/>
    <w:rsid w:val="00B27A90"/>
    <w:rsid w:val="00B27B8A"/>
    <w:rsid w:val="00B27BF8"/>
    <w:rsid w:val="00B27CE6"/>
    <w:rsid w:val="00B27D31"/>
    <w:rsid w:val="00B27D60"/>
    <w:rsid w:val="00B27F22"/>
    <w:rsid w:val="00B27F8D"/>
    <w:rsid w:val="00B302F2"/>
    <w:rsid w:val="00B3040C"/>
    <w:rsid w:val="00B306EA"/>
    <w:rsid w:val="00B30719"/>
    <w:rsid w:val="00B30765"/>
    <w:rsid w:val="00B30802"/>
    <w:rsid w:val="00B30880"/>
    <w:rsid w:val="00B30897"/>
    <w:rsid w:val="00B309A2"/>
    <w:rsid w:val="00B309BA"/>
    <w:rsid w:val="00B30A35"/>
    <w:rsid w:val="00B30A3E"/>
    <w:rsid w:val="00B30C27"/>
    <w:rsid w:val="00B30C41"/>
    <w:rsid w:val="00B30D88"/>
    <w:rsid w:val="00B30D8E"/>
    <w:rsid w:val="00B30DED"/>
    <w:rsid w:val="00B30EB0"/>
    <w:rsid w:val="00B30F7E"/>
    <w:rsid w:val="00B31375"/>
    <w:rsid w:val="00B31697"/>
    <w:rsid w:val="00B31771"/>
    <w:rsid w:val="00B31883"/>
    <w:rsid w:val="00B318EE"/>
    <w:rsid w:val="00B31BF5"/>
    <w:rsid w:val="00B31BFD"/>
    <w:rsid w:val="00B31C18"/>
    <w:rsid w:val="00B31C80"/>
    <w:rsid w:val="00B31D55"/>
    <w:rsid w:val="00B31E7B"/>
    <w:rsid w:val="00B31FB1"/>
    <w:rsid w:val="00B3202B"/>
    <w:rsid w:val="00B322FC"/>
    <w:rsid w:val="00B3235E"/>
    <w:rsid w:val="00B3236D"/>
    <w:rsid w:val="00B323E9"/>
    <w:rsid w:val="00B3243A"/>
    <w:rsid w:val="00B3248B"/>
    <w:rsid w:val="00B32545"/>
    <w:rsid w:val="00B32551"/>
    <w:rsid w:val="00B325A7"/>
    <w:rsid w:val="00B325C5"/>
    <w:rsid w:val="00B32796"/>
    <w:rsid w:val="00B3285C"/>
    <w:rsid w:val="00B32D58"/>
    <w:rsid w:val="00B32E90"/>
    <w:rsid w:val="00B32F1D"/>
    <w:rsid w:val="00B32F34"/>
    <w:rsid w:val="00B32F8D"/>
    <w:rsid w:val="00B333BF"/>
    <w:rsid w:val="00B3351B"/>
    <w:rsid w:val="00B33549"/>
    <w:rsid w:val="00B33560"/>
    <w:rsid w:val="00B33594"/>
    <w:rsid w:val="00B33615"/>
    <w:rsid w:val="00B337FD"/>
    <w:rsid w:val="00B339CC"/>
    <w:rsid w:val="00B339F6"/>
    <w:rsid w:val="00B33A6C"/>
    <w:rsid w:val="00B33C0E"/>
    <w:rsid w:val="00B33C1C"/>
    <w:rsid w:val="00B33C1F"/>
    <w:rsid w:val="00B33C52"/>
    <w:rsid w:val="00B33C9A"/>
    <w:rsid w:val="00B33D15"/>
    <w:rsid w:val="00B33EAB"/>
    <w:rsid w:val="00B33FC8"/>
    <w:rsid w:val="00B33FCA"/>
    <w:rsid w:val="00B341D7"/>
    <w:rsid w:val="00B3422F"/>
    <w:rsid w:val="00B34385"/>
    <w:rsid w:val="00B344CC"/>
    <w:rsid w:val="00B345AA"/>
    <w:rsid w:val="00B34648"/>
    <w:rsid w:val="00B346DF"/>
    <w:rsid w:val="00B3473B"/>
    <w:rsid w:val="00B34747"/>
    <w:rsid w:val="00B34985"/>
    <w:rsid w:val="00B34A87"/>
    <w:rsid w:val="00B34C18"/>
    <w:rsid w:val="00B34D4F"/>
    <w:rsid w:val="00B34DB2"/>
    <w:rsid w:val="00B34EB1"/>
    <w:rsid w:val="00B34EC7"/>
    <w:rsid w:val="00B34F6B"/>
    <w:rsid w:val="00B34F8C"/>
    <w:rsid w:val="00B35244"/>
    <w:rsid w:val="00B35293"/>
    <w:rsid w:val="00B35341"/>
    <w:rsid w:val="00B35366"/>
    <w:rsid w:val="00B35418"/>
    <w:rsid w:val="00B35784"/>
    <w:rsid w:val="00B3578D"/>
    <w:rsid w:val="00B357FE"/>
    <w:rsid w:val="00B358A7"/>
    <w:rsid w:val="00B35B0D"/>
    <w:rsid w:val="00B35C79"/>
    <w:rsid w:val="00B35CA3"/>
    <w:rsid w:val="00B35D5A"/>
    <w:rsid w:val="00B35DD0"/>
    <w:rsid w:val="00B35E4E"/>
    <w:rsid w:val="00B35E6C"/>
    <w:rsid w:val="00B35E96"/>
    <w:rsid w:val="00B35EC7"/>
    <w:rsid w:val="00B3603B"/>
    <w:rsid w:val="00B36081"/>
    <w:rsid w:val="00B3616C"/>
    <w:rsid w:val="00B36222"/>
    <w:rsid w:val="00B36301"/>
    <w:rsid w:val="00B36416"/>
    <w:rsid w:val="00B364D7"/>
    <w:rsid w:val="00B3655C"/>
    <w:rsid w:val="00B36592"/>
    <w:rsid w:val="00B36622"/>
    <w:rsid w:val="00B36623"/>
    <w:rsid w:val="00B36628"/>
    <w:rsid w:val="00B36640"/>
    <w:rsid w:val="00B368A7"/>
    <w:rsid w:val="00B368C3"/>
    <w:rsid w:val="00B3690B"/>
    <w:rsid w:val="00B36940"/>
    <w:rsid w:val="00B369F3"/>
    <w:rsid w:val="00B36AD7"/>
    <w:rsid w:val="00B36B8F"/>
    <w:rsid w:val="00B36D6E"/>
    <w:rsid w:val="00B36DB7"/>
    <w:rsid w:val="00B36DD8"/>
    <w:rsid w:val="00B36F32"/>
    <w:rsid w:val="00B36F8D"/>
    <w:rsid w:val="00B3703A"/>
    <w:rsid w:val="00B370C8"/>
    <w:rsid w:val="00B37134"/>
    <w:rsid w:val="00B3736B"/>
    <w:rsid w:val="00B37371"/>
    <w:rsid w:val="00B373C6"/>
    <w:rsid w:val="00B373FC"/>
    <w:rsid w:val="00B37456"/>
    <w:rsid w:val="00B37475"/>
    <w:rsid w:val="00B37488"/>
    <w:rsid w:val="00B37528"/>
    <w:rsid w:val="00B37583"/>
    <w:rsid w:val="00B3763C"/>
    <w:rsid w:val="00B3766E"/>
    <w:rsid w:val="00B3796B"/>
    <w:rsid w:val="00B3796E"/>
    <w:rsid w:val="00B37B80"/>
    <w:rsid w:val="00B37D28"/>
    <w:rsid w:val="00B37FE2"/>
    <w:rsid w:val="00B400B5"/>
    <w:rsid w:val="00B400F1"/>
    <w:rsid w:val="00B400F3"/>
    <w:rsid w:val="00B40183"/>
    <w:rsid w:val="00B40312"/>
    <w:rsid w:val="00B40347"/>
    <w:rsid w:val="00B404AC"/>
    <w:rsid w:val="00B40596"/>
    <w:rsid w:val="00B405FF"/>
    <w:rsid w:val="00B4065B"/>
    <w:rsid w:val="00B40760"/>
    <w:rsid w:val="00B40968"/>
    <w:rsid w:val="00B4099C"/>
    <w:rsid w:val="00B409A5"/>
    <w:rsid w:val="00B40B5F"/>
    <w:rsid w:val="00B40C7C"/>
    <w:rsid w:val="00B40CE3"/>
    <w:rsid w:val="00B40F29"/>
    <w:rsid w:val="00B40F64"/>
    <w:rsid w:val="00B40FAF"/>
    <w:rsid w:val="00B4101D"/>
    <w:rsid w:val="00B410A7"/>
    <w:rsid w:val="00B41197"/>
    <w:rsid w:val="00B411ED"/>
    <w:rsid w:val="00B411F0"/>
    <w:rsid w:val="00B4136D"/>
    <w:rsid w:val="00B41504"/>
    <w:rsid w:val="00B416EF"/>
    <w:rsid w:val="00B41703"/>
    <w:rsid w:val="00B41794"/>
    <w:rsid w:val="00B417C1"/>
    <w:rsid w:val="00B4189E"/>
    <w:rsid w:val="00B418F5"/>
    <w:rsid w:val="00B4191F"/>
    <w:rsid w:val="00B41924"/>
    <w:rsid w:val="00B41A26"/>
    <w:rsid w:val="00B41A8F"/>
    <w:rsid w:val="00B41AE2"/>
    <w:rsid w:val="00B41AF9"/>
    <w:rsid w:val="00B41B24"/>
    <w:rsid w:val="00B41BCB"/>
    <w:rsid w:val="00B41C32"/>
    <w:rsid w:val="00B41C4F"/>
    <w:rsid w:val="00B41CAD"/>
    <w:rsid w:val="00B41EEB"/>
    <w:rsid w:val="00B421B1"/>
    <w:rsid w:val="00B421F8"/>
    <w:rsid w:val="00B42316"/>
    <w:rsid w:val="00B42394"/>
    <w:rsid w:val="00B423C6"/>
    <w:rsid w:val="00B423DE"/>
    <w:rsid w:val="00B424E4"/>
    <w:rsid w:val="00B424F3"/>
    <w:rsid w:val="00B425B2"/>
    <w:rsid w:val="00B4291C"/>
    <w:rsid w:val="00B42A16"/>
    <w:rsid w:val="00B42A3C"/>
    <w:rsid w:val="00B42D1F"/>
    <w:rsid w:val="00B42E3D"/>
    <w:rsid w:val="00B42EB4"/>
    <w:rsid w:val="00B42F17"/>
    <w:rsid w:val="00B42F27"/>
    <w:rsid w:val="00B42F9A"/>
    <w:rsid w:val="00B42FC9"/>
    <w:rsid w:val="00B430C8"/>
    <w:rsid w:val="00B4319E"/>
    <w:rsid w:val="00B43238"/>
    <w:rsid w:val="00B432C2"/>
    <w:rsid w:val="00B43414"/>
    <w:rsid w:val="00B43510"/>
    <w:rsid w:val="00B43532"/>
    <w:rsid w:val="00B438A5"/>
    <w:rsid w:val="00B43900"/>
    <w:rsid w:val="00B43942"/>
    <w:rsid w:val="00B4396E"/>
    <w:rsid w:val="00B43A02"/>
    <w:rsid w:val="00B43A76"/>
    <w:rsid w:val="00B43C97"/>
    <w:rsid w:val="00B43E28"/>
    <w:rsid w:val="00B43E3E"/>
    <w:rsid w:val="00B43E51"/>
    <w:rsid w:val="00B43ECE"/>
    <w:rsid w:val="00B43EF3"/>
    <w:rsid w:val="00B43F88"/>
    <w:rsid w:val="00B4402E"/>
    <w:rsid w:val="00B44041"/>
    <w:rsid w:val="00B440E2"/>
    <w:rsid w:val="00B44181"/>
    <w:rsid w:val="00B4427A"/>
    <w:rsid w:val="00B44455"/>
    <w:rsid w:val="00B4447C"/>
    <w:rsid w:val="00B444C3"/>
    <w:rsid w:val="00B445F6"/>
    <w:rsid w:val="00B44797"/>
    <w:rsid w:val="00B4486B"/>
    <w:rsid w:val="00B448E6"/>
    <w:rsid w:val="00B44961"/>
    <w:rsid w:val="00B449B4"/>
    <w:rsid w:val="00B449D0"/>
    <w:rsid w:val="00B44A7A"/>
    <w:rsid w:val="00B44B45"/>
    <w:rsid w:val="00B44B8F"/>
    <w:rsid w:val="00B44CC4"/>
    <w:rsid w:val="00B44CD2"/>
    <w:rsid w:val="00B44E01"/>
    <w:rsid w:val="00B44E03"/>
    <w:rsid w:val="00B44E4C"/>
    <w:rsid w:val="00B44E7C"/>
    <w:rsid w:val="00B44F08"/>
    <w:rsid w:val="00B44F62"/>
    <w:rsid w:val="00B45014"/>
    <w:rsid w:val="00B45495"/>
    <w:rsid w:val="00B45618"/>
    <w:rsid w:val="00B456D4"/>
    <w:rsid w:val="00B45842"/>
    <w:rsid w:val="00B458EE"/>
    <w:rsid w:val="00B459C3"/>
    <w:rsid w:val="00B45A23"/>
    <w:rsid w:val="00B45C10"/>
    <w:rsid w:val="00B45C23"/>
    <w:rsid w:val="00B45C8B"/>
    <w:rsid w:val="00B45CE1"/>
    <w:rsid w:val="00B45D8A"/>
    <w:rsid w:val="00B45E80"/>
    <w:rsid w:val="00B46019"/>
    <w:rsid w:val="00B4610B"/>
    <w:rsid w:val="00B461D0"/>
    <w:rsid w:val="00B461F5"/>
    <w:rsid w:val="00B46269"/>
    <w:rsid w:val="00B46368"/>
    <w:rsid w:val="00B463E9"/>
    <w:rsid w:val="00B46460"/>
    <w:rsid w:val="00B464E6"/>
    <w:rsid w:val="00B4652F"/>
    <w:rsid w:val="00B46657"/>
    <w:rsid w:val="00B466B7"/>
    <w:rsid w:val="00B466C1"/>
    <w:rsid w:val="00B46884"/>
    <w:rsid w:val="00B46C44"/>
    <w:rsid w:val="00B46C65"/>
    <w:rsid w:val="00B46CC5"/>
    <w:rsid w:val="00B46F36"/>
    <w:rsid w:val="00B46F74"/>
    <w:rsid w:val="00B46F7E"/>
    <w:rsid w:val="00B46F99"/>
    <w:rsid w:val="00B4705D"/>
    <w:rsid w:val="00B4706C"/>
    <w:rsid w:val="00B47091"/>
    <w:rsid w:val="00B470E2"/>
    <w:rsid w:val="00B471F3"/>
    <w:rsid w:val="00B47227"/>
    <w:rsid w:val="00B47230"/>
    <w:rsid w:val="00B47367"/>
    <w:rsid w:val="00B47478"/>
    <w:rsid w:val="00B474EF"/>
    <w:rsid w:val="00B4757D"/>
    <w:rsid w:val="00B4775D"/>
    <w:rsid w:val="00B4778B"/>
    <w:rsid w:val="00B478A7"/>
    <w:rsid w:val="00B479BB"/>
    <w:rsid w:val="00B479CA"/>
    <w:rsid w:val="00B47ADB"/>
    <w:rsid w:val="00B47BBC"/>
    <w:rsid w:val="00B47C94"/>
    <w:rsid w:val="00B47E15"/>
    <w:rsid w:val="00B47EB0"/>
    <w:rsid w:val="00B47F03"/>
    <w:rsid w:val="00B47F89"/>
    <w:rsid w:val="00B47F9C"/>
    <w:rsid w:val="00B47FA6"/>
    <w:rsid w:val="00B502E8"/>
    <w:rsid w:val="00B504FB"/>
    <w:rsid w:val="00B50718"/>
    <w:rsid w:val="00B5086B"/>
    <w:rsid w:val="00B508E7"/>
    <w:rsid w:val="00B509A1"/>
    <w:rsid w:val="00B50A1E"/>
    <w:rsid w:val="00B50AEB"/>
    <w:rsid w:val="00B50B39"/>
    <w:rsid w:val="00B50B84"/>
    <w:rsid w:val="00B50C3C"/>
    <w:rsid w:val="00B50D23"/>
    <w:rsid w:val="00B50D5B"/>
    <w:rsid w:val="00B50DAC"/>
    <w:rsid w:val="00B50DF1"/>
    <w:rsid w:val="00B50DFF"/>
    <w:rsid w:val="00B50EB1"/>
    <w:rsid w:val="00B50EF0"/>
    <w:rsid w:val="00B50F40"/>
    <w:rsid w:val="00B50FE1"/>
    <w:rsid w:val="00B50FED"/>
    <w:rsid w:val="00B510C8"/>
    <w:rsid w:val="00B51132"/>
    <w:rsid w:val="00B511FB"/>
    <w:rsid w:val="00B51257"/>
    <w:rsid w:val="00B51259"/>
    <w:rsid w:val="00B512F1"/>
    <w:rsid w:val="00B513B8"/>
    <w:rsid w:val="00B5140F"/>
    <w:rsid w:val="00B515A8"/>
    <w:rsid w:val="00B515EC"/>
    <w:rsid w:val="00B515FD"/>
    <w:rsid w:val="00B5172A"/>
    <w:rsid w:val="00B51B98"/>
    <w:rsid w:val="00B51C78"/>
    <w:rsid w:val="00B51F3C"/>
    <w:rsid w:val="00B51F40"/>
    <w:rsid w:val="00B51FA8"/>
    <w:rsid w:val="00B51FF6"/>
    <w:rsid w:val="00B52007"/>
    <w:rsid w:val="00B5209A"/>
    <w:rsid w:val="00B521D0"/>
    <w:rsid w:val="00B521DF"/>
    <w:rsid w:val="00B5222C"/>
    <w:rsid w:val="00B52340"/>
    <w:rsid w:val="00B523D1"/>
    <w:rsid w:val="00B523E0"/>
    <w:rsid w:val="00B52606"/>
    <w:rsid w:val="00B52614"/>
    <w:rsid w:val="00B52687"/>
    <w:rsid w:val="00B526A3"/>
    <w:rsid w:val="00B526AB"/>
    <w:rsid w:val="00B526D8"/>
    <w:rsid w:val="00B5278D"/>
    <w:rsid w:val="00B527F6"/>
    <w:rsid w:val="00B528F1"/>
    <w:rsid w:val="00B52920"/>
    <w:rsid w:val="00B5296E"/>
    <w:rsid w:val="00B52980"/>
    <w:rsid w:val="00B52C63"/>
    <w:rsid w:val="00B52CDC"/>
    <w:rsid w:val="00B52D06"/>
    <w:rsid w:val="00B52E94"/>
    <w:rsid w:val="00B52F09"/>
    <w:rsid w:val="00B52FE4"/>
    <w:rsid w:val="00B53046"/>
    <w:rsid w:val="00B53199"/>
    <w:rsid w:val="00B531BE"/>
    <w:rsid w:val="00B531DC"/>
    <w:rsid w:val="00B5325A"/>
    <w:rsid w:val="00B5325E"/>
    <w:rsid w:val="00B532A6"/>
    <w:rsid w:val="00B532BB"/>
    <w:rsid w:val="00B5353F"/>
    <w:rsid w:val="00B53658"/>
    <w:rsid w:val="00B536E6"/>
    <w:rsid w:val="00B53765"/>
    <w:rsid w:val="00B5376A"/>
    <w:rsid w:val="00B539C1"/>
    <w:rsid w:val="00B539C9"/>
    <w:rsid w:val="00B539DC"/>
    <w:rsid w:val="00B53A18"/>
    <w:rsid w:val="00B53B11"/>
    <w:rsid w:val="00B53C46"/>
    <w:rsid w:val="00B53D79"/>
    <w:rsid w:val="00B53FC8"/>
    <w:rsid w:val="00B53FCE"/>
    <w:rsid w:val="00B5412B"/>
    <w:rsid w:val="00B541F9"/>
    <w:rsid w:val="00B54308"/>
    <w:rsid w:val="00B54353"/>
    <w:rsid w:val="00B543C6"/>
    <w:rsid w:val="00B5444D"/>
    <w:rsid w:val="00B54452"/>
    <w:rsid w:val="00B54466"/>
    <w:rsid w:val="00B545A4"/>
    <w:rsid w:val="00B545C6"/>
    <w:rsid w:val="00B54803"/>
    <w:rsid w:val="00B549F9"/>
    <w:rsid w:val="00B54A0E"/>
    <w:rsid w:val="00B54A5C"/>
    <w:rsid w:val="00B54CDE"/>
    <w:rsid w:val="00B54EF7"/>
    <w:rsid w:val="00B54F06"/>
    <w:rsid w:val="00B54F98"/>
    <w:rsid w:val="00B5513A"/>
    <w:rsid w:val="00B55179"/>
    <w:rsid w:val="00B551C7"/>
    <w:rsid w:val="00B55467"/>
    <w:rsid w:val="00B555A3"/>
    <w:rsid w:val="00B555ED"/>
    <w:rsid w:val="00B556EB"/>
    <w:rsid w:val="00B556FD"/>
    <w:rsid w:val="00B55709"/>
    <w:rsid w:val="00B55735"/>
    <w:rsid w:val="00B5599B"/>
    <w:rsid w:val="00B55A1C"/>
    <w:rsid w:val="00B55B28"/>
    <w:rsid w:val="00B55E01"/>
    <w:rsid w:val="00B56019"/>
    <w:rsid w:val="00B5614A"/>
    <w:rsid w:val="00B561E7"/>
    <w:rsid w:val="00B562AA"/>
    <w:rsid w:val="00B563C6"/>
    <w:rsid w:val="00B563F1"/>
    <w:rsid w:val="00B564DF"/>
    <w:rsid w:val="00B564FD"/>
    <w:rsid w:val="00B56534"/>
    <w:rsid w:val="00B5662E"/>
    <w:rsid w:val="00B56638"/>
    <w:rsid w:val="00B5670D"/>
    <w:rsid w:val="00B56919"/>
    <w:rsid w:val="00B569BE"/>
    <w:rsid w:val="00B56A4C"/>
    <w:rsid w:val="00B56B52"/>
    <w:rsid w:val="00B56B9B"/>
    <w:rsid w:val="00B56BE7"/>
    <w:rsid w:val="00B56C20"/>
    <w:rsid w:val="00B56DB9"/>
    <w:rsid w:val="00B56E35"/>
    <w:rsid w:val="00B57036"/>
    <w:rsid w:val="00B570FF"/>
    <w:rsid w:val="00B571E4"/>
    <w:rsid w:val="00B57229"/>
    <w:rsid w:val="00B57252"/>
    <w:rsid w:val="00B5731D"/>
    <w:rsid w:val="00B57343"/>
    <w:rsid w:val="00B57367"/>
    <w:rsid w:val="00B57570"/>
    <w:rsid w:val="00B575E7"/>
    <w:rsid w:val="00B5766A"/>
    <w:rsid w:val="00B576AB"/>
    <w:rsid w:val="00B576FF"/>
    <w:rsid w:val="00B5775C"/>
    <w:rsid w:val="00B577B3"/>
    <w:rsid w:val="00B5780D"/>
    <w:rsid w:val="00B5788B"/>
    <w:rsid w:val="00B578B2"/>
    <w:rsid w:val="00B578D0"/>
    <w:rsid w:val="00B579AF"/>
    <w:rsid w:val="00B579D9"/>
    <w:rsid w:val="00B57A21"/>
    <w:rsid w:val="00B57A8D"/>
    <w:rsid w:val="00B57C25"/>
    <w:rsid w:val="00B57D41"/>
    <w:rsid w:val="00B57D9F"/>
    <w:rsid w:val="00B57DE5"/>
    <w:rsid w:val="00B57E8E"/>
    <w:rsid w:val="00B57F06"/>
    <w:rsid w:val="00B57F7A"/>
    <w:rsid w:val="00B60001"/>
    <w:rsid w:val="00B60095"/>
    <w:rsid w:val="00B60101"/>
    <w:rsid w:val="00B601BF"/>
    <w:rsid w:val="00B60245"/>
    <w:rsid w:val="00B6041A"/>
    <w:rsid w:val="00B60512"/>
    <w:rsid w:val="00B6054A"/>
    <w:rsid w:val="00B605ED"/>
    <w:rsid w:val="00B605F1"/>
    <w:rsid w:val="00B60624"/>
    <w:rsid w:val="00B60944"/>
    <w:rsid w:val="00B60975"/>
    <w:rsid w:val="00B609FE"/>
    <w:rsid w:val="00B60B11"/>
    <w:rsid w:val="00B60B4D"/>
    <w:rsid w:val="00B60D67"/>
    <w:rsid w:val="00B60F4B"/>
    <w:rsid w:val="00B60F88"/>
    <w:rsid w:val="00B610C9"/>
    <w:rsid w:val="00B61225"/>
    <w:rsid w:val="00B6126A"/>
    <w:rsid w:val="00B612CA"/>
    <w:rsid w:val="00B61404"/>
    <w:rsid w:val="00B61444"/>
    <w:rsid w:val="00B61550"/>
    <w:rsid w:val="00B615EB"/>
    <w:rsid w:val="00B61651"/>
    <w:rsid w:val="00B6172A"/>
    <w:rsid w:val="00B61867"/>
    <w:rsid w:val="00B6193B"/>
    <w:rsid w:val="00B61A51"/>
    <w:rsid w:val="00B61AD1"/>
    <w:rsid w:val="00B61AF9"/>
    <w:rsid w:val="00B61C9B"/>
    <w:rsid w:val="00B61D1F"/>
    <w:rsid w:val="00B61D2E"/>
    <w:rsid w:val="00B61EE6"/>
    <w:rsid w:val="00B61F34"/>
    <w:rsid w:val="00B61FD6"/>
    <w:rsid w:val="00B62026"/>
    <w:rsid w:val="00B6227C"/>
    <w:rsid w:val="00B6228B"/>
    <w:rsid w:val="00B622AC"/>
    <w:rsid w:val="00B6235C"/>
    <w:rsid w:val="00B62466"/>
    <w:rsid w:val="00B625DF"/>
    <w:rsid w:val="00B62843"/>
    <w:rsid w:val="00B6285E"/>
    <w:rsid w:val="00B6288A"/>
    <w:rsid w:val="00B62A04"/>
    <w:rsid w:val="00B62A8E"/>
    <w:rsid w:val="00B62B44"/>
    <w:rsid w:val="00B62C3E"/>
    <w:rsid w:val="00B62C43"/>
    <w:rsid w:val="00B62C83"/>
    <w:rsid w:val="00B62D6E"/>
    <w:rsid w:val="00B62E29"/>
    <w:rsid w:val="00B62EFB"/>
    <w:rsid w:val="00B6301A"/>
    <w:rsid w:val="00B630A2"/>
    <w:rsid w:val="00B63169"/>
    <w:rsid w:val="00B632B7"/>
    <w:rsid w:val="00B63375"/>
    <w:rsid w:val="00B63413"/>
    <w:rsid w:val="00B6341F"/>
    <w:rsid w:val="00B634D1"/>
    <w:rsid w:val="00B634F2"/>
    <w:rsid w:val="00B63550"/>
    <w:rsid w:val="00B63556"/>
    <w:rsid w:val="00B635CD"/>
    <w:rsid w:val="00B636EC"/>
    <w:rsid w:val="00B63969"/>
    <w:rsid w:val="00B6396A"/>
    <w:rsid w:val="00B639B3"/>
    <w:rsid w:val="00B63B86"/>
    <w:rsid w:val="00B63DBD"/>
    <w:rsid w:val="00B63DDA"/>
    <w:rsid w:val="00B63DE9"/>
    <w:rsid w:val="00B63DF9"/>
    <w:rsid w:val="00B64087"/>
    <w:rsid w:val="00B642E1"/>
    <w:rsid w:val="00B642ED"/>
    <w:rsid w:val="00B64512"/>
    <w:rsid w:val="00B645DE"/>
    <w:rsid w:val="00B64859"/>
    <w:rsid w:val="00B64865"/>
    <w:rsid w:val="00B64904"/>
    <w:rsid w:val="00B64923"/>
    <w:rsid w:val="00B64A4C"/>
    <w:rsid w:val="00B64AB1"/>
    <w:rsid w:val="00B64B44"/>
    <w:rsid w:val="00B64C31"/>
    <w:rsid w:val="00B64D51"/>
    <w:rsid w:val="00B64EC6"/>
    <w:rsid w:val="00B64F3F"/>
    <w:rsid w:val="00B65064"/>
    <w:rsid w:val="00B650D1"/>
    <w:rsid w:val="00B6521D"/>
    <w:rsid w:val="00B652B0"/>
    <w:rsid w:val="00B652CD"/>
    <w:rsid w:val="00B654A4"/>
    <w:rsid w:val="00B655D5"/>
    <w:rsid w:val="00B65857"/>
    <w:rsid w:val="00B658FE"/>
    <w:rsid w:val="00B65985"/>
    <w:rsid w:val="00B659C6"/>
    <w:rsid w:val="00B65A1F"/>
    <w:rsid w:val="00B65A91"/>
    <w:rsid w:val="00B65AAC"/>
    <w:rsid w:val="00B65BA6"/>
    <w:rsid w:val="00B65BCC"/>
    <w:rsid w:val="00B65C2D"/>
    <w:rsid w:val="00B65D65"/>
    <w:rsid w:val="00B65DB6"/>
    <w:rsid w:val="00B65E05"/>
    <w:rsid w:val="00B65E6F"/>
    <w:rsid w:val="00B66038"/>
    <w:rsid w:val="00B6605B"/>
    <w:rsid w:val="00B66100"/>
    <w:rsid w:val="00B66338"/>
    <w:rsid w:val="00B663EF"/>
    <w:rsid w:val="00B663F7"/>
    <w:rsid w:val="00B66434"/>
    <w:rsid w:val="00B664AD"/>
    <w:rsid w:val="00B665AF"/>
    <w:rsid w:val="00B665FF"/>
    <w:rsid w:val="00B66654"/>
    <w:rsid w:val="00B66698"/>
    <w:rsid w:val="00B666D2"/>
    <w:rsid w:val="00B66703"/>
    <w:rsid w:val="00B6671C"/>
    <w:rsid w:val="00B6674E"/>
    <w:rsid w:val="00B6680F"/>
    <w:rsid w:val="00B6684A"/>
    <w:rsid w:val="00B66924"/>
    <w:rsid w:val="00B66B50"/>
    <w:rsid w:val="00B66B5F"/>
    <w:rsid w:val="00B66DC5"/>
    <w:rsid w:val="00B66DCD"/>
    <w:rsid w:val="00B66F3D"/>
    <w:rsid w:val="00B670FB"/>
    <w:rsid w:val="00B671DA"/>
    <w:rsid w:val="00B672BF"/>
    <w:rsid w:val="00B67363"/>
    <w:rsid w:val="00B6736C"/>
    <w:rsid w:val="00B6736F"/>
    <w:rsid w:val="00B6748E"/>
    <w:rsid w:val="00B674F3"/>
    <w:rsid w:val="00B675EF"/>
    <w:rsid w:val="00B6765B"/>
    <w:rsid w:val="00B676DC"/>
    <w:rsid w:val="00B67734"/>
    <w:rsid w:val="00B67788"/>
    <w:rsid w:val="00B677D8"/>
    <w:rsid w:val="00B677FB"/>
    <w:rsid w:val="00B678A7"/>
    <w:rsid w:val="00B6791A"/>
    <w:rsid w:val="00B67963"/>
    <w:rsid w:val="00B679A4"/>
    <w:rsid w:val="00B67A39"/>
    <w:rsid w:val="00B67A50"/>
    <w:rsid w:val="00B67AC3"/>
    <w:rsid w:val="00B67BE1"/>
    <w:rsid w:val="00B67BE6"/>
    <w:rsid w:val="00B67C7B"/>
    <w:rsid w:val="00B67DA2"/>
    <w:rsid w:val="00B67DF5"/>
    <w:rsid w:val="00B67E90"/>
    <w:rsid w:val="00B70127"/>
    <w:rsid w:val="00B7022F"/>
    <w:rsid w:val="00B702E2"/>
    <w:rsid w:val="00B70364"/>
    <w:rsid w:val="00B70449"/>
    <w:rsid w:val="00B7052E"/>
    <w:rsid w:val="00B70538"/>
    <w:rsid w:val="00B70543"/>
    <w:rsid w:val="00B706DE"/>
    <w:rsid w:val="00B708A1"/>
    <w:rsid w:val="00B709B6"/>
    <w:rsid w:val="00B70A9C"/>
    <w:rsid w:val="00B70B06"/>
    <w:rsid w:val="00B70D71"/>
    <w:rsid w:val="00B70D9C"/>
    <w:rsid w:val="00B70E1A"/>
    <w:rsid w:val="00B70E65"/>
    <w:rsid w:val="00B70E73"/>
    <w:rsid w:val="00B70ECF"/>
    <w:rsid w:val="00B70EEC"/>
    <w:rsid w:val="00B70F1A"/>
    <w:rsid w:val="00B70F53"/>
    <w:rsid w:val="00B70F9C"/>
    <w:rsid w:val="00B70FAF"/>
    <w:rsid w:val="00B711F6"/>
    <w:rsid w:val="00B712A3"/>
    <w:rsid w:val="00B712E3"/>
    <w:rsid w:val="00B71334"/>
    <w:rsid w:val="00B71388"/>
    <w:rsid w:val="00B71498"/>
    <w:rsid w:val="00B714CB"/>
    <w:rsid w:val="00B7152E"/>
    <w:rsid w:val="00B71547"/>
    <w:rsid w:val="00B71619"/>
    <w:rsid w:val="00B71696"/>
    <w:rsid w:val="00B716DD"/>
    <w:rsid w:val="00B71833"/>
    <w:rsid w:val="00B7198C"/>
    <w:rsid w:val="00B71C17"/>
    <w:rsid w:val="00B71C47"/>
    <w:rsid w:val="00B71C80"/>
    <w:rsid w:val="00B71D7C"/>
    <w:rsid w:val="00B71E94"/>
    <w:rsid w:val="00B71FF6"/>
    <w:rsid w:val="00B720F6"/>
    <w:rsid w:val="00B720FC"/>
    <w:rsid w:val="00B722E2"/>
    <w:rsid w:val="00B72328"/>
    <w:rsid w:val="00B7233C"/>
    <w:rsid w:val="00B72511"/>
    <w:rsid w:val="00B7260F"/>
    <w:rsid w:val="00B72750"/>
    <w:rsid w:val="00B72795"/>
    <w:rsid w:val="00B728A4"/>
    <w:rsid w:val="00B728B7"/>
    <w:rsid w:val="00B728D8"/>
    <w:rsid w:val="00B728E1"/>
    <w:rsid w:val="00B728F8"/>
    <w:rsid w:val="00B7292F"/>
    <w:rsid w:val="00B729A5"/>
    <w:rsid w:val="00B72B06"/>
    <w:rsid w:val="00B72EC7"/>
    <w:rsid w:val="00B72ED1"/>
    <w:rsid w:val="00B72EE5"/>
    <w:rsid w:val="00B72F52"/>
    <w:rsid w:val="00B730FA"/>
    <w:rsid w:val="00B73198"/>
    <w:rsid w:val="00B7323E"/>
    <w:rsid w:val="00B733C8"/>
    <w:rsid w:val="00B73479"/>
    <w:rsid w:val="00B73535"/>
    <w:rsid w:val="00B736F9"/>
    <w:rsid w:val="00B73AD7"/>
    <w:rsid w:val="00B73B15"/>
    <w:rsid w:val="00B73B17"/>
    <w:rsid w:val="00B73BC9"/>
    <w:rsid w:val="00B73BE2"/>
    <w:rsid w:val="00B73C50"/>
    <w:rsid w:val="00B73D5F"/>
    <w:rsid w:val="00B74206"/>
    <w:rsid w:val="00B744BE"/>
    <w:rsid w:val="00B745DC"/>
    <w:rsid w:val="00B7469E"/>
    <w:rsid w:val="00B74750"/>
    <w:rsid w:val="00B74767"/>
    <w:rsid w:val="00B74845"/>
    <w:rsid w:val="00B749CD"/>
    <w:rsid w:val="00B74BD3"/>
    <w:rsid w:val="00B74C44"/>
    <w:rsid w:val="00B74EBA"/>
    <w:rsid w:val="00B74ECF"/>
    <w:rsid w:val="00B74F3D"/>
    <w:rsid w:val="00B74F7E"/>
    <w:rsid w:val="00B74FC8"/>
    <w:rsid w:val="00B74FF6"/>
    <w:rsid w:val="00B7505E"/>
    <w:rsid w:val="00B7512B"/>
    <w:rsid w:val="00B75566"/>
    <w:rsid w:val="00B75580"/>
    <w:rsid w:val="00B7562C"/>
    <w:rsid w:val="00B75684"/>
    <w:rsid w:val="00B7578A"/>
    <w:rsid w:val="00B758DD"/>
    <w:rsid w:val="00B7595B"/>
    <w:rsid w:val="00B75A7F"/>
    <w:rsid w:val="00B75AD8"/>
    <w:rsid w:val="00B75B27"/>
    <w:rsid w:val="00B75B71"/>
    <w:rsid w:val="00B75D75"/>
    <w:rsid w:val="00B75E95"/>
    <w:rsid w:val="00B75EF5"/>
    <w:rsid w:val="00B760A5"/>
    <w:rsid w:val="00B761E0"/>
    <w:rsid w:val="00B76261"/>
    <w:rsid w:val="00B76269"/>
    <w:rsid w:val="00B76391"/>
    <w:rsid w:val="00B7644F"/>
    <w:rsid w:val="00B76490"/>
    <w:rsid w:val="00B764AC"/>
    <w:rsid w:val="00B764C0"/>
    <w:rsid w:val="00B76599"/>
    <w:rsid w:val="00B76605"/>
    <w:rsid w:val="00B7678D"/>
    <w:rsid w:val="00B76842"/>
    <w:rsid w:val="00B7686E"/>
    <w:rsid w:val="00B76CB2"/>
    <w:rsid w:val="00B76E7C"/>
    <w:rsid w:val="00B76E8C"/>
    <w:rsid w:val="00B76F37"/>
    <w:rsid w:val="00B7705A"/>
    <w:rsid w:val="00B770CA"/>
    <w:rsid w:val="00B77215"/>
    <w:rsid w:val="00B772F7"/>
    <w:rsid w:val="00B77362"/>
    <w:rsid w:val="00B7740C"/>
    <w:rsid w:val="00B77499"/>
    <w:rsid w:val="00B77572"/>
    <w:rsid w:val="00B77874"/>
    <w:rsid w:val="00B778DA"/>
    <w:rsid w:val="00B77921"/>
    <w:rsid w:val="00B77AC6"/>
    <w:rsid w:val="00B77B53"/>
    <w:rsid w:val="00B77B5E"/>
    <w:rsid w:val="00B77B81"/>
    <w:rsid w:val="00B77C27"/>
    <w:rsid w:val="00B77CD0"/>
    <w:rsid w:val="00B77D2A"/>
    <w:rsid w:val="00B77E06"/>
    <w:rsid w:val="00B77E1A"/>
    <w:rsid w:val="00B77E98"/>
    <w:rsid w:val="00B77FF3"/>
    <w:rsid w:val="00B8001F"/>
    <w:rsid w:val="00B8025E"/>
    <w:rsid w:val="00B802E2"/>
    <w:rsid w:val="00B8039E"/>
    <w:rsid w:val="00B8049D"/>
    <w:rsid w:val="00B80507"/>
    <w:rsid w:val="00B80569"/>
    <w:rsid w:val="00B8074D"/>
    <w:rsid w:val="00B808E0"/>
    <w:rsid w:val="00B80ABA"/>
    <w:rsid w:val="00B80B45"/>
    <w:rsid w:val="00B80BA1"/>
    <w:rsid w:val="00B80C88"/>
    <w:rsid w:val="00B80D0E"/>
    <w:rsid w:val="00B80DFC"/>
    <w:rsid w:val="00B80EB3"/>
    <w:rsid w:val="00B80FBF"/>
    <w:rsid w:val="00B81037"/>
    <w:rsid w:val="00B81108"/>
    <w:rsid w:val="00B8136B"/>
    <w:rsid w:val="00B81451"/>
    <w:rsid w:val="00B81457"/>
    <w:rsid w:val="00B81894"/>
    <w:rsid w:val="00B818B3"/>
    <w:rsid w:val="00B818D5"/>
    <w:rsid w:val="00B819D1"/>
    <w:rsid w:val="00B819D2"/>
    <w:rsid w:val="00B81D1F"/>
    <w:rsid w:val="00B81D42"/>
    <w:rsid w:val="00B81E0A"/>
    <w:rsid w:val="00B81FF8"/>
    <w:rsid w:val="00B82024"/>
    <w:rsid w:val="00B82030"/>
    <w:rsid w:val="00B820CA"/>
    <w:rsid w:val="00B82113"/>
    <w:rsid w:val="00B82133"/>
    <w:rsid w:val="00B821D9"/>
    <w:rsid w:val="00B8231F"/>
    <w:rsid w:val="00B82341"/>
    <w:rsid w:val="00B82391"/>
    <w:rsid w:val="00B8251A"/>
    <w:rsid w:val="00B8260A"/>
    <w:rsid w:val="00B826B9"/>
    <w:rsid w:val="00B82861"/>
    <w:rsid w:val="00B82992"/>
    <w:rsid w:val="00B829B1"/>
    <w:rsid w:val="00B82C3B"/>
    <w:rsid w:val="00B82CF0"/>
    <w:rsid w:val="00B82D31"/>
    <w:rsid w:val="00B82DC8"/>
    <w:rsid w:val="00B82E1C"/>
    <w:rsid w:val="00B82E1D"/>
    <w:rsid w:val="00B82E1F"/>
    <w:rsid w:val="00B82E81"/>
    <w:rsid w:val="00B82EF9"/>
    <w:rsid w:val="00B82F32"/>
    <w:rsid w:val="00B8310E"/>
    <w:rsid w:val="00B8317B"/>
    <w:rsid w:val="00B831F8"/>
    <w:rsid w:val="00B831FD"/>
    <w:rsid w:val="00B8334B"/>
    <w:rsid w:val="00B8348D"/>
    <w:rsid w:val="00B834DE"/>
    <w:rsid w:val="00B834F0"/>
    <w:rsid w:val="00B835CC"/>
    <w:rsid w:val="00B8368B"/>
    <w:rsid w:val="00B836FA"/>
    <w:rsid w:val="00B83868"/>
    <w:rsid w:val="00B838C3"/>
    <w:rsid w:val="00B83A1E"/>
    <w:rsid w:val="00B83D06"/>
    <w:rsid w:val="00B83D79"/>
    <w:rsid w:val="00B83E6D"/>
    <w:rsid w:val="00B83EBE"/>
    <w:rsid w:val="00B83F35"/>
    <w:rsid w:val="00B83F8F"/>
    <w:rsid w:val="00B84045"/>
    <w:rsid w:val="00B84074"/>
    <w:rsid w:val="00B840E4"/>
    <w:rsid w:val="00B84117"/>
    <w:rsid w:val="00B8414A"/>
    <w:rsid w:val="00B84295"/>
    <w:rsid w:val="00B842BD"/>
    <w:rsid w:val="00B84350"/>
    <w:rsid w:val="00B84419"/>
    <w:rsid w:val="00B8475D"/>
    <w:rsid w:val="00B8488E"/>
    <w:rsid w:val="00B848B4"/>
    <w:rsid w:val="00B84973"/>
    <w:rsid w:val="00B84A92"/>
    <w:rsid w:val="00B85074"/>
    <w:rsid w:val="00B850C2"/>
    <w:rsid w:val="00B850CB"/>
    <w:rsid w:val="00B85118"/>
    <w:rsid w:val="00B85215"/>
    <w:rsid w:val="00B85255"/>
    <w:rsid w:val="00B854EF"/>
    <w:rsid w:val="00B855A6"/>
    <w:rsid w:val="00B855F2"/>
    <w:rsid w:val="00B85779"/>
    <w:rsid w:val="00B8577D"/>
    <w:rsid w:val="00B85833"/>
    <w:rsid w:val="00B85875"/>
    <w:rsid w:val="00B859BA"/>
    <w:rsid w:val="00B85A59"/>
    <w:rsid w:val="00B85AF9"/>
    <w:rsid w:val="00B85FBB"/>
    <w:rsid w:val="00B85FCA"/>
    <w:rsid w:val="00B860DF"/>
    <w:rsid w:val="00B860FA"/>
    <w:rsid w:val="00B86101"/>
    <w:rsid w:val="00B86276"/>
    <w:rsid w:val="00B862B8"/>
    <w:rsid w:val="00B8637F"/>
    <w:rsid w:val="00B864A7"/>
    <w:rsid w:val="00B865B9"/>
    <w:rsid w:val="00B865F0"/>
    <w:rsid w:val="00B8665F"/>
    <w:rsid w:val="00B866B1"/>
    <w:rsid w:val="00B866DD"/>
    <w:rsid w:val="00B86842"/>
    <w:rsid w:val="00B8684F"/>
    <w:rsid w:val="00B869F2"/>
    <w:rsid w:val="00B86BB6"/>
    <w:rsid w:val="00B86BED"/>
    <w:rsid w:val="00B86D0D"/>
    <w:rsid w:val="00B86D49"/>
    <w:rsid w:val="00B86DA0"/>
    <w:rsid w:val="00B86F41"/>
    <w:rsid w:val="00B86F47"/>
    <w:rsid w:val="00B870F6"/>
    <w:rsid w:val="00B8711D"/>
    <w:rsid w:val="00B87357"/>
    <w:rsid w:val="00B873C1"/>
    <w:rsid w:val="00B873E9"/>
    <w:rsid w:val="00B876D6"/>
    <w:rsid w:val="00B877CF"/>
    <w:rsid w:val="00B87853"/>
    <w:rsid w:val="00B87876"/>
    <w:rsid w:val="00B87A6B"/>
    <w:rsid w:val="00B87E66"/>
    <w:rsid w:val="00B87F28"/>
    <w:rsid w:val="00B90011"/>
    <w:rsid w:val="00B9003A"/>
    <w:rsid w:val="00B90125"/>
    <w:rsid w:val="00B90187"/>
    <w:rsid w:val="00B9029C"/>
    <w:rsid w:val="00B902D9"/>
    <w:rsid w:val="00B90407"/>
    <w:rsid w:val="00B9044B"/>
    <w:rsid w:val="00B9049C"/>
    <w:rsid w:val="00B90778"/>
    <w:rsid w:val="00B90818"/>
    <w:rsid w:val="00B909A5"/>
    <w:rsid w:val="00B90A93"/>
    <w:rsid w:val="00B90B08"/>
    <w:rsid w:val="00B90B46"/>
    <w:rsid w:val="00B90BDB"/>
    <w:rsid w:val="00B90C9F"/>
    <w:rsid w:val="00B90DBE"/>
    <w:rsid w:val="00B90E7E"/>
    <w:rsid w:val="00B90E9F"/>
    <w:rsid w:val="00B90FA8"/>
    <w:rsid w:val="00B91003"/>
    <w:rsid w:val="00B91098"/>
    <w:rsid w:val="00B9109E"/>
    <w:rsid w:val="00B911ED"/>
    <w:rsid w:val="00B913B5"/>
    <w:rsid w:val="00B913DB"/>
    <w:rsid w:val="00B91417"/>
    <w:rsid w:val="00B91484"/>
    <w:rsid w:val="00B917C7"/>
    <w:rsid w:val="00B917E4"/>
    <w:rsid w:val="00B91904"/>
    <w:rsid w:val="00B91938"/>
    <w:rsid w:val="00B919EE"/>
    <w:rsid w:val="00B919F2"/>
    <w:rsid w:val="00B91AE7"/>
    <w:rsid w:val="00B91B32"/>
    <w:rsid w:val="00B91CC5"/>
    <w:rsid w:val="00B91D80"/>
    <w:rsid w:val="00B91F0B"/>
    <w:rsid w:val="00B91FF5"/>
    <w:rsid w:val="00B92124"/>
    <w:rsid w:val="00B921CA"/>
    <w:rsid w:val="00B922F9"/>
    <w:rsid w:val="00B92355"/>
    <w:rsid w:val="00B92548"/>
    <w:rsid w:val="00B92589"/>
    <w:rsid w:val="00B925B5"/>
    <w:rsid w:val="00B926D4"/>
    <w:rsid w:val="00B92735"/>
    <w:rsid w:val="00B927A7"/>
    <w:rsid w:val="00B927C8"/>
    <w:rsid w:val="00B9286C"/>
    <w:rsid w:val="00B92887"/>
    <w:rsid w:val="00B92983"/>
    <w:rsid w:val="00B92A48"/>
    <w:rsid w:val="00B92B26"/>
    <w:rsid w:val="00B92B33"/>
    <w:rsid w:val="00B92B55"/>
    <w:rsid w:val="00B92BA3"/>
    <w:rsid w:val="00B92C1A"/>
    <w:rsid w:val="00B92C6B"/>
    <w:rsid w:val="00B92CEA"/>
    <w:rsid w:val="00B92E59"/>
    <w:rsid w:val="00B92E83"/>
    <w:rsid w:val="00B92EE3"/>
    <w:rsid w:val="00B92EF1"/>
    <w:rsid w:val="00B92FA8"/>
    <w:rsid w:val="00B930F3"/>
    <w:rsid w:val="00B9313E"/>
    <w:rsid w:val="00B93244"/>
    <w:rsid w:val="00B93302"/>
    <w:rsid w:val="00B93345"/>
    <w:rsid w:val="00B934B4"/>
    <w:rsid w:val="00B9351C"/>
    <w:rsid w:val="00B935CD"/>
    <w:rsid w:val="00B9375C"/>
    <w:rsid w:val="00B937D7"/>
    <w:rsid w:val="00B93ADA"/>
    <w:rsid w:val="00B93B9B"/>
    <w:rsid w:val="00B93C6F"/>
    <w:rsid w:val="00B93EF4"/>
    <w:rsid w:val="00B93F02"/>
    <w:rsid w:val="00B93FD5"/>
    <w:rsid w:val="00B94035"/>
    <w:rsid w:val="00B940BB"/>
    <w:rsid w:val="00B9412E"/>
    <w:rsid w:val="00B94273"/>
    <w:rsid w:val="00B94301"/>
    <w:rsid w:val="00B943F6"/>
    <w:rsid w:val="00B944B4"/>
    <w:rsid w:val="00B9458A"/>
    <w:rsid w:val="00B94895"/>
    <w:rsid w:val="00B9495D"/>
    <w:rsid w:val="00B94A54"/>
    <w:rsid w:val="00B94AB8"/>
    <w:rsid w:val="00B94AC3"/>
    <w:rsid w:val="00B94B34"/>
    <w:rsid w:val="00B94D0D"/>
    <w:rsid w:val="00B94EC9"/>
    <w:rsid w:val="00B94F7A"/>
    <w:rsid w:val="00B95052"/>
    <w:rsid w:val="00B950C2"/>
    <w:rsid w:val="00B952FE"/>
    <w:rsid w:val="00B95429"/>
    <w:rsid w:val="00B95652"/>
    <w:rsid w:val="00B956ED"/>
    <w:rsid w:val="00B95B10"/>
    <w:rsid w:val="00B95B65"/>
    <w:rsid w:val="00B95C97"/>
    <w:rsid w:val="00B95CC2"/>
    <w:rsid w:val="00B95D6A"/>
    <w:rsid w:val="00B95D8C"/>
    <w:rsid w:val="00B95EED"/>
    <w:rsid w:val="00B95F54"/>
    <w:rsid w:val="00B95FC2"/>
    <w:rsid w:val="00B96125"/>
    <w:rsid w:val="00B96158"/>
    <w:rsid w:val="00B96397"/>
    <w:rsid w:val="00B964EA"/>
    <w:rsid w:val="00B968D3"/>
    <w:rsid w:val="00B9693C"/>
    <w:rsid w:val="00B969B8"/>
    <w:rsid w:val="00B969ED"/>
    <w:rsid w:val="00B96B6C"/>
    <w:rsid w:val="00B96B7C"/>
    <w:rsid w:val="00B96DBE"/>
    <w:rsid w:val="00B96E84"/>
    <w:rsid w:val="00B96FAD"/>
    <w:rsid w:val="00B97220"/>
    <w:rsid w:val="00B9743E"/>
    <w:rsid w:val="00B97497"/>
    <w:rsid w:val="00B974FC"/>
    <w:rsid w:val="00B97669"/>
    <w:rsid w:val="00B976CF"/>
    <w:rsid w:val="00B97828"/>
    <w:rsid w:val="00B97921"/>
    <w:rsid w:val="00B979CC"/>
    <w:rsid w:val="00B97CA2"/>
    <w:rsid w:val="00B97F37"/>
    <w:rsid w:val="00B97F94"/>
    <w:rsid w:val="00BA0077"/>
    <w:rsid w:val="00BA00D0"/>
    <w:rsid w:val="00BA0249"/>
    <w:rsid w:val="00BA0298"/>
    <w:rsid w:val="00BA02D1"/>
    <w:rsid w:val="00BA02E9"/>
    <w:rsid w:val="00BA03F9"/>
    <w:rsid w:val="00BA0601"/>
    <w:rsid w:val="00BA0664"/>
    <w:rsid w:val="00BA06AB"/>
    <w:rsid w:val="00BA0825"/>
    <w:rsid w:val="00BA0B0A"/>
    <w:rsid w:val="00BA0B54"/>
    <w:rsid w:val="00BA1007"/>
    <w:rsid w:val="00BA11B1"/>
    <w:rsid w:val="00BA1200"/>
    <w:rsid w:val="00BA126E"/>
    <w:rsid w:val="00BA13A9"/>
    <w:rsid w:val="00BA1407"/>
    <w:rsid w:val="00BA142C"/>
    <w:rsid w:val="00BA1559"/>
    <w:rsid w:val="00BA1583"/>
    <w:rsid w:val="00BA164B"/>
    <w:rsid w:val="00BA1749"/>
    <w:rsid w:val="00BA18E3"/>
    <w:rsid w:val="00BA1957"/>
    <w:rsid w:val="00BA1A0D"/>
    <w:rsid w:val="00BA1AE6"/>
    <w:rsid w:val="00BA1B08"/>
    <w:rsid w:val="00BA1B45"/>
    <w:rsid w:val="00BA1CEE"/>
    <w:rsid w:val="00BA1DE9"/>
    <w:rsid w:val="00BA1F80"/>
    <w:rsid w:val="00BA1F8D"/>
    <w:rsid w:val="00BA2179"/>
    <w:rsid w:val="00BA2199"/>
    <w:rsid w:val="00BA2245"/>
    <w:rsid w:val="00BA2776"/>
    <w:rsid w:val="00BA2791"/>
    <w:rsid w:val="00BA27EF"/>
    <w:rsid w:val="00BA2833"/>
    <w:rsid w:val="00BA28C6"/>
    <w:rsid w:val="00BA2919"/>
    <w:rsid w:val="00BA2988"/>
    <w:rsid w:val="00BA2A45"/>
    <w:rsid w:val="00BA2B20"/>
    <w:rsid w:val="00BA2BB3"/>
    <w:rsid w:val="00BA2CA4"/>
    <w:rsid w:val="00BA2D83"/>
    <w:rsid w:val="00BA2E04"/>
    <w:rsid w:val="00BA2F7C"/>
    <w:rsid w:val="00BA3022"/>
    <w:rsid w:val="00BA304A"/>
    <w:rsid w:val="00BA3073"/>
    <w:rsid w:val="00BA3078"/>
    <w:rsid w:val="00BA3090"/>
    <w:rsid w:val="00BA30B2"/>
    <w:rsid w:val="00BA31A4"/>
    <w:rsid w:val="00BA31F0"/>
    <w:rsid w:val="00BA32EA"/>
    <w:rsid w:val="00BA3605"/>
    <w:rsid w:val="00BA36F6"/>
    <w:rsid w:val="00BA3797"/>
    <w:rsid w:val="00BA379B"/>
    <w:rsid w:val="00BA388B"/>
    <w:rsid w:val="00BA38AD"/>
    <w:rsid w:val="00BA38CF"/>
    <w:rsid w:val="00BA3943"/>
    <w:rsid w:val="00BA3A29"/>
    <w:rsid w:val="00BA3A54"/>
    <w:rsid w:val="00BA3B58"/>
    <w:rsid w:val="00BA3C3B"/>
    <w:rsid w:val="00BA3CDF"/>
    <w:rsid w:val="00BA3D4C"/>
    <w:rsid w:val="00BA3DDE"/>
    <w:rsid w:val="00BA4061"/>
    <w:rsid w:val="00BA4074"/>
    <w:rsid w:val="00BA40F4"/>
    <w:rsid w:val="00BA4106"/>
    <w:rsid w:val="00BA4264"/>
    <w:rsid w:val="00BA42BD"/>
    <w:rsid w:val="00BA43D7"/>
    <w:rsid w:val="00BA45CF"/>
    <w:rsid w:val="00BA47AA"/>
    <w:rsid w:val="00BA47B9"/>
    <w:rsid w:val="00BA490E"/>
    <w:rsid w:val="00BA4AB8"/>
    <w:rsid w:val="00BA4AEC"/>
    <w:rsid w:val="00BA4B0B"/>
    <w:rsid w:val="00BA4C56"/>
    <w:rsid w:val="00BA4C94"/>
    <w:rsid w:val="00BA4CD8"/>
    <w:rsid w:val="00BA4EC4"/>
    <w:rsid w:val="00BA500F"/>
    <w:rsid w:val="00BA53C0"/>
    <w:rsid w:val="00BA540C"/>
    <w:rsid w:val="00BA543C"/>
    <w:rsid w:val="00BA548F"/>
    <w:rsid w:val="00BA54B3"/>
    <w:rsid w:val="00BA552A"/>
    <w:rsid w:val="00BA5621"/>
    <w:rsid w:val="00BA5694"/>
    <w:rsid w:val="00BA56D4"/>
    <w:rsid w:val="00BA56F1"/>
    <w:rsid w:val="00BA57A3"/>
    <w:rsid w:val="00BA57AC"/>
    <w:rsid w:val="00BA57DA"/>
    <w:rsid w:val="00BA5AC2"/>
    <w:rsid w:val="00BA5AC3"/>
    <w:rsid w:val="00BA5B0E"/>
    <w:rsid w:val="00BA5D43"/>
    <w:rsid w:val="00BA5D78"/>
    <w:rsid w:val="00BA5F75"/>
    <w:rsid w:val="00BA6046"/>
    <w:rsid w:val="00BA617F"/>
    <w:rsid w:val="00BA61AB"/>
    <w:rsid w:val="00BA6392"/>
    <w:rsid w:val="00BA63D0"/>
    <w:rsid w:val="00BA6468"/>
    <w:rsid w:val="00BA664F"/>
    <w:rsid w:val="00BA6766"/>
    <w:rsid w:val="00BA677D"/>
    <w:rsid w:val="00BA6858"/>
    <w:rsid w:val="00BA691A"/>
    <w:rsid w:val="00BA69DF"/>
    <w:rsid w:val="00BA6B06"/>
    <w:rsid w:val="00BA6B65"/>
    <w:rsid w:val="00BA6BD7"/>
    <w:rsid w:val="00BA6F06"/>
    <w:rsid w:val="00BA6F20"/>
    <w:rsid w:val="00BA6F8F"/>
    <w:rsid w:val="00BA701B"/>
    <w:rsid w:val="00BA7125"/>
    <w:rsid w:val="00BA71C7"/>
    <w:rsid w:val="00BA7201"/>
    <w:rsid w:val="00BA746A"/>
    <w:rsid w:val="00BA7560"/>
    <w:rsid w:val="00BA75CD"/>
    <w:rsid w:val="00BA7758"/>
    <w:rsid w:val="00BA77D5"/>
    <w:rsid w:val="00BA77F1"/>
    <w:rsid w:val="00BA7831"/>
    <w:rsid w:val="00BA79E4"/>
    <w:rsid w:val="00BA7A38"/>
    <w:rsid w:val="00BA7AAF"/>
    <w:rsid w:val="00BA7CDB"/>
    <w:rsid w:val="00BA7D9C"/>
    <w:rsid w:val="00BA7DB6"/>
    <w:rsid w:val="00BA7DC0"/>
    <w:rsid w:val="00BA7E1B"/>
    <w:rsid w:val="00BA7F15"/>
    <w:rsid w:val="00BA7F7E"/>
    <w:rsid w:val="00BB001A"/>
    <w:rsid w:val="00BB004B"/>
    <w:rsid w:val="00BB00A4"/>
    <w:rsid w:val="00BB0148"/>
    <w:rsid w:val="00BB01CD"/>
    <w:rsid w:val="00BB01D2"/>
    <w:rsid w:val="00BB0518"/>
    <w:rsid w:val="00BB070E"/>
    <w:rsid w:val="00BB07BC"/>
    <w:rsid w:val="00BB085B"/>
    <w:rsid w:val="00BB09FF"/>
    <w:rsid w:val="00BB0C8D"/>
    <w:rsid w:val="00BB0D74"/>
    <w:rsid w:val="00BB0D90"/>
    <w:rsid w:val="00BB0D92"/>
    <w:rsid w:val="00BB0DF9"/>
    <w:rsid w:val="00BB0E0F"/>
    <w:rsid w:val="00BB11F5"/>
    <w:rsid w:val="00BB13A7"/>
    <w:rsid w:val="00BB159E"/>
    <w:rsid w:val="00BB1610"/>
    <w:rsid w:val="00BB1796"/>
    <w:rsid w:val="00BB17D2"/>
    <w:rsid w:val="00BB1811"/>
    <w:rsid w:val="00BB1B4B"/>
    <w:rsid w:val="00BB1C2D"/>
    <w:rsid w:val="00BB1C50"/>
    <w:rsid w:val="00BB1CA3"/>
    <w:rsid w:val="00BB1CB9"/>
    <w:rsid w:val="00BB1D2A"/>
    <w:rsid w:val="00BB1D4F"/>
    <w:rsid w:val="00BB1D55"/>
    <w:rsid w:val="00BB1EC2"/>
    <w:rsid w:val="00BB1F71"/>
    <w:rsid w:val="00BB1FE0"/>
    <w:rsid w:val="00BB1FF1"/>
    <w:rsid w:val="00BB20B8"/>
    <w:rsid w:val="00BB2134"/>
    <w:rsid w:val="00BB22AD"/>
    <w:rsid w:val="00BB231A"/>
    <w:rsid w:val="00BB25D5"/>
    <w:rsid w:val="00BB2646"/>
    <w:rsid w:val="00BB266A"/>
    <w:rsid w:val="00BB27B0"/>
    <w:rsid w:val="00BB2822"/>
    <w:rsid w:val="00BB299F"/>
    <w:rsid w:val="00BB2B51"/>
    <w:rsid w:val="00BB2C12"/>
    <w:rsid w:val="00BB2C2D"/>
    <w:rsid w:val="00BB2D7F"/>
    <w:rsid w:val="00BB2DD2"/>
    <w:rsid w:val="00BB2E5E"/>
    <w:rsid w:val="00BB2F36"/>
    <w:rsid w:val="00BB2FB8"/>
    <w:rsid w:val="00BB3077"/>
    <w:rsid w:val="00BB3099"/>
    <w:rsid w:val="00BB30DB"/>
    <w:rsid w:val="00BB3101"/>
    <w:rsid w:val="00BB312B"/>
    <w:rsid w:val="00BB31E5"/>
    <w:rsid w:val="00BB32CF"/>
    <w:rsid w:val="00BB32E4"/>
    <w:rsid w:val="00BB3336"/>
    <w:rsid w:val="00BB345D"/>
    <w:rsid w:val="00BB349B"/>
    <w:rsid w:val="00BB365B"/>
    <w:rsid w:val="00BB36AC"/>
    <w:rsid w:val="00BB36B4"/>
    <w:rsid w:val="00BB36D5"/>
    <w:rsid w:val="00BB3778"/>
    <w:rsid w:val="00BB385D"/>
    <w:rsid w:val="00BB38CC"/>
    <w:rsid w:val="00BB3989"/>
    <w:rsid w:val="00BB3992"/>
    <w:rsid w:val="00BB39D4"/>
    <w:rsid w:val="00BB3AEC"/>
    <w:rsid w:val="00BB3B55"/>
    <w:rsid w:val="00BB3C6C"/>
    <w:rsid w:val="00BB3D46"/>
    <w:rsid w:val="00BB3E6F"/>
    <w:rsid w:val="00BB3F2A"/>
    <w:rsid w:val="00BB4197"/>
    <w:rsid w:val="00BB42F2"/>
    <w:rsid w:val="00BB43F7"/>
    <w:rsid w:val="00BB44CA"/>
    <w:rsid w:val="00BB45BB"/>
    <w:rsid w:val="00BB463B"/>
    <w:rsid w:val="00BB465C"/>
    <w:rsid w:val="00BB473D"/>
    <w:rsid w:val="00BB4AC4"/>
    <w:rsid w:val="00BB4ADB"/>
    <w:rsid w:val="00BB4B90"/>
    <w:rsid w:val="00BB4CC0"/>
    <w:rsid w:val="00BB4DAD"/>
    <w:rsid w:val="00BB4E64"/>
    <w:rsid w:val="00BB4E76"/>
    <w:rsid w:val="00BB4EFB"/>
    <w:rsid w:val="00BB502F"/>
    <w:rsid w:val="00BB50A3"/>
    <w:rsid w:val="00BB5242"/>
    <w:rsid w:val="00BB5404"/>
    <w:rsid w:val="00BB5697"/>
    <w:rsid w:val="00BB56F7"/>
    <w:rsid w:val="00BB579D"/>
    <w:rsid w:val="00BB5A51"/>
    <w:rsid w:val="00BB5B92"/>
    <w:rsid w:val="00BB5C42"/>
    <w:rsid w:val="00BB5FE5"/>
    <w:rsid w:val="00BB5FF2"/>
    <w:rsid w:val="00BB608B"/>
    <w:rsid w:val="00BB60C6"/>
    <w:rsid w:val="00BB60D3"/>
    <w:rsid w:val="00BB6107"/>
    <w:rsid w:val="00BB629A"/>
    <w:rsid w:val="00BB639B"/>
    <w:rsid w:val="00BB63B9"/>
    <w:rsid w:val="00BB64C7"/>
    <w:rsid w:val="00BB6578"/>
    <w:rsid w:val="00BB65EE"/>
    <w:rsid w:val="00BB666F"/>
    <w:rsid w:val="00BB6686"/>
    <w:rsid w:val="00BB6715"/>
    <w:rsid w:val="00BB6A33"/>
    <w:rsid w:val="00BB6AA6"/>
    <w:rsid w:val="00BB6DE2"/>
    <w:rsid w:val="00BB6E9B"/>
    <w:rsid w:val="00BB6EE2"/>
    <w:rsid w:val="00BB6F51"/>
    <w:rsid w:val="00BB724E"/>
    <w:rsid w:val="00BB7269"/>
    <w:rsid w:val="00BB72C7"/>
    <w:rsid w:val="00BB72D2"/>
    <w:rsid w:val="00BB7310"/>
    <w:rsid w:val="00BB740A"/>
    <w:rsid w:val="00BB7433"/>
    <w:rsid w:val="00BB750C"/>
    <w:rsid w:val="00BB7732"/>
    <w:rsid w:val="00BB7764"/>
    <w:rsid w:val="00BB77E5"/>
    <w:rsid w:val="00BB7834"/>
    <w:rsid w:val="00BB7984"/>
    <w:rsid w:val="00BB79CE"/>
    <w:rsid w:val="00BB7B7C"/>
    <w:rsid w:val="00BB7BD1"/>
    <w:rsid w:val="00BB7BFA"/>
    <w:rsid w:val="00BB7CD5"/>
    <w:rsid w:val="00BB7D4D"/>
    <w:rsid w:val="00BB7DD7"/>
    <w:rsid w:val="00BB7E28"/>
    <w:rsid w:val="00BB7E3F"/>
    <w:rsid w:val="00BB7E54"/>
    <w:rsid w:val="00BB7F40"/>
    <w:rsid w:val="00BBA33D"/>
    <w:rsid w:val="00BC0024"/>
    <w:rsid w:val="00BC01D1"/>
    <w:rsid w:val="00BC02CE"/>
    <w:rsid w:val="00BC0384"/>
    <w:rsid w:val="00BC070A"/>
    <w:rsid w:val="00BC0BC5"/>
    <w:rsid w:val="00BC0C88"/>
    <w:rsid w:val="00BC0D18"/>
    <w:rsid w:val="00BC0D29"/>
    <w:rsid w:val="00BC0D30"/>
    <w:rsid w:val="00BC0D3E"/>
    <w:rsid w:val="00BC0E53"/>
    <w:rsid w:val="00BC0F95"/>
    <w:rsid w:val="00BC0FAF"/>
    <w:rsid w:val="00BC1049"/>
    <w:rsid w:val="00BC1098"/>
    <w:rsid w:val="00BC10B9"/>
    <w:rsid w:val="00BC10C6"/>
    <w:rsid w:val="00BC10F4"/>
    <w:rsid w:val="00BC11A3"/>
    <w:rsid w:val="00BC12D3"/>
    <w:rsid w:val="00BC1440"/>
    <w:rsid w:val="00BC14DF"/>
    <w:rsid w:val="00BC14EC"/>
    <w:rsid w:val="00BC166B"/>
    <w:rsid w:val="00BC187E"/>
    <w:rsid w:val="00BC18B0"/>
    <w:rsid w:val="00BC1945"/>
    <w:rsid w:val="00BC1A55"/>
    <w:rsid w:val="00BC1C0A"/>
    <w:rsid w:val="00BC1C27"/>
    <w:rsid w:val="00BC1D3D"/>
    <w:rsid w:val="00BC1DEE"/>
    <w:rsid w:val="00BC1FE0"/>
    <w:rsid w:val="00BC20AE"/>
    <w:rsid w:val="00BC20F7"/>
    <w:rsid w:val="00BC2223"/>
    <w:rsid w:val="00BC229E"/>
    <w:rsid w:val="00BC2304"/>
    <w:rsid w:val="00BC24A7"/>
    <w:rsid w:val="00BC24EB"/>
    <w:rsid w:val="00BC24F9"/>
    <w:rsid w:val="00BC25F0"/>
    <w:rsid w:val="00BC261A"/>
    <w:rsid w:val="00BC267C"/>
    <w:rsid w:val="00BC26C9"/>
    <w:rsid w:val="00BC288C"/>
    <w:rsid w:val="00BC28E7"/>
    <w:rsid w:val="00BC290D"/>
    <w:rsid w:val="00BC29C0"/>
    <w:rsid w:val="00BC29CE"/>
    <w:rsid w:val="00BC2A17"/>
    <w:rsid w:val="00BC2E27"/>
    <w:rsid w:val="00BC2E50"/>
    <w:rsid w:val="00BC2F45"/>
    <w:rsid w:val="00BC2F56"/>
    <w:rsid w:val="00BC3121"/>
    <w:rsid w:val="00BC320D"/>
    <w:rsid w:val="00BC3469"/>
    <w:rsid w:val="00BC350B"/>
    <w:rsid w:val="00BC35DA"/>
    <w:rsid w:val="00BC3697"/>
    <w:rsid w:val="00BC36BE"/>
    <w:rsid w:val="00BC380F"/>
    <w:rsid w:val="00BC387A"/>
    <w:rsid w:val="00BC395A"/>
    <w:rsid w:val="00BC3978"/>
    <w:rsid w:val="00BC3AED"/>
    <w:rsid w:val="00BC3B79"/>
    <w:rsid w:val="00BC3D13"/>
    <w:rsid w:val="00BC3D50"/>
    <w:rsid w:val="00BC3DF8"/>
    <w:rsid w:val="00BC3FC4"/>
    <w:rsid w:val="00BC40A7"/>
    <w:rsid w:val="00BC40E0"/>
    <w:rsid w:val="00BC4188"/>
    <w:rsid w:val="00BC4247"/>
    <w:rsid w:val="00BC42BF"/>
    <w:rsid w:val="00BC4359"/>
    <w:rsid w:val="00BC439C"/>
    <w:rsid w:val="00BC4432"/>
    <w:rsid w:val="00BC4451"/>
    <w:rsid w:val="00BC4497"/>
    <w:rsid w:val="00BC453B"/>
    <w:rsid w:val="00BC4545"/>
    <w:rsid w:val="00BC45F7"/>
    <w:rsid w:val="00BC4622"/>
    <w:rsid w:val="00BC466A"/>
    <w:rsid w:val="00BC466F"/>
    <w:rsid w:val="00BC49B0"/>
    <w:rsid w:val="00BC49DF"/>
    <w:rsid w:val="00BC4B22"/>
    <w:rsid w:val="00BC4BC9"/>
    <w:rsid w:val="00BC4C83"/>
    <w:rsid w:val="00BC4CB4"/>
    <w:rsid w:val="00BC4CB8"/>
    <w:rsid w:val="00BC4D21"/>
    <w:rsid w:val="00BC4D68"/>
    <w:rsid w:val="00BC4DA8"/>
    <w:rsid w:val="00BC4E32"/>
    <w:rsid w:val="00BC4E6B"/>
    <w:rsid w:val="00BC4FEA"/>
    <w:rsid w:val="00BC5172"/>
    <w:rsid w:val="00BC5376"/>
    <w:rsid w:val="00BC5418"/>
    <w:rsid w:val="00BC55E9"/>
    <w:rsid w:val="00BC577D"/>
    <w:rsid w:val="00BC5930"/>
    <w:rsid w:val="00BC59D0"/>
    <w:rsid w:val="00BC5ACB"/>
    <w:rsid w:val="00BC5ADC"/>
    <w:rsid w:val="00BC5B28"/>
    <w:rsid w:val="00BC5B71"/>
    <w:rsid w:val="00BC5B75"/>
    <w:rsid w:val="00BC5D32"/>
    <w:rsid w:val="00BC5D64"/>
    <w:rsid w:val="00BC5F38"/>
    <w:rsid w:val="00BC5F67"/>
    <w:rsid w:val="00BC60D7"/>
    <w:rsid w:val="00BC6134"/>
    <w:rsid w:val="00BC61F8"/>
    <w:rsid w:val="00BC6229"/>
    <w:rsid w:val="00BC64EE"/>
    <w:rsid w:val="00BC6508"/>
    <w:rsid w:val="00BC65E0"/>
    <w:rsid w:val="00BC65E9"/>
    <w:rsid w:val="00BC6669"/>
    <w:rsid w:val="00BC667B"/>
    <w:rsid w:val="00BC667E"/>
    <w:rsid w:val="00BC6859"/>
    <w:rsid w:val="00BC6A06"/>
    <w:rsid w:val="00BC6A9F"/>
    <w:rsid w:val="00BC6C3C"/>
    <w:rsid w:val="00BC6D7B"/>
    <w:rsid w:val="00BC6F05"/>
    <w:rsid w:val="00BC7002"/>
    <w:rsid w:val="00BC70E0"/>
    <w:rsid w:val="00BC7186"/>
    <w:rsid w:val="00BC7250"/>
    <w:rsid w:val="00BC748A"/>
    <w:rsid w:val="00BC7490"/>
    <w:rsid w:val="00BC7499"/>
    <w:rsid w:val="00BC7629"/>
    <w:rsid w:val="00BC76B0"/>
    <w:rsid w:val="00BC7809"/>
    <w:rsid w:val="00BC784D"/>
    <w:rsid w:val="00BC785B"/>
    <w:rsid w:val="00BC78A1"/>
    <w:rsid w:val="00BC791E"/>
    <w:rsid w:val="00BC7976"/>
    <w:rsid w:val="00BC7984"/>
    <w:rsid w:val="00BC7B20"/>
    <w:rsid w:val="00BC7CF8"/>
    <w:rsid w:val="00BC7D0D"/>
    <w:rsid w:val="00BC7D1C"/>
    <w:rsid w:val="00BC7D2A"/>
    <w:rsid w:val="00BC7E93"/>
    <w:rsid w:val="00BD0054"/>
    <w:rsid w:val="00BD00ED"/>
    <w:rsid w:val="00BD00F1"/>
    <w:rsid w:val="00BD0166"/>
    <w:rsid w:val="00BD01DA"/>
    <w:rsid w:val="00BD02D9"/>
    <w:rsid w:val="00BD02ED"/>
    <w:rsid w:val="00BD03E8"/>
    <w:rsid w:val="00BD054D"/>
    <w:rsid w:val="00BD056D"/>
    <w:rsid w:val="00BD0836"/>
    <w:rsid w:val="00BD09B4"/>
    <w:rsid w:val="00BD09EC"/>
    <w:rsid w:val="00BD0A90"/>
    <w:rsid w:val="00BD0AC9"/>
    <w:rsid w:val="00BD0ACA"/>
    <w:rsid w:val="00BD0B7C"/>
    <w:rsid w:val="00BD0B99"/>
    <w:rsid w:val="00BD0C97"/>
    <w:rsid w:val="00BD0D65"/>
    <w:rsid w:val="00BD0DFF"/>
    <w:rsid w:val="00BD0E1A"/>
    <w:rsid w:val="00BD0E8C"/>
    <w:rsid w:val="00BD0F1E"/>
    <w:rsid w:val="00BD0F21"/>
    <w:rsid w:val="00BD10BB"/>
    <w:rsid w:val="00BD1129"/>
    <w:rsid w:val="00BD1160"/>
    <w:rsid w:val="00BD127B"/>
    <w:rsid w:val="00BD129A"/>
    <w:rsid w:val="00BD137C"/>
    <w:rsid w:val="00BD1387"/>
    <w:rsid w:val="00BD13DA"/>
    <w:rsid w:val="00BD13FE"/>
    <w:rsid w:val="00BD1448"/>
    <w:rsid w:val="00BD1486"/>
    <w:rsid w:val="00BD1488"/>
    <w:rsid w:val="00BD1672"/>
    <w:rsid w:val="00BD1808"/>
    <w:rsid w:val="00BD1823"/>
    <w:rsid w:val="00BD18C8"/>
    <w:rsid w:val="00BD1914"/>
    <w:rsid w:val="00BD1A9D"/>
    <w:rsid w:val="00BD1ABB"/>
    <w:rsid w:val="00BD1B0E"/>
    <w:rsid w:val="00BD1BFF"/>
    <w:rsid w:val="00BD1C18"/>
    <w:rsid w:val="00BD1C5C"/>
    <w:rsid w:val="00BD1DA3"/>
    <w:rsid w:val="00BD1FBB"/>
    <w:rsid w:val="00BD2026"/>
    <w:rsid w:val="00BD2043"/>
    <w:rsid w:val="00BD2048"/>
    <w:rsid w:val="00BD20DC"/>
    <w:rsid w:val="00BD215B"/>
    <w:rsid w:val="00BD21C6"/>
    <w:rsid w:val="00BD21D0"/>
    <w:rsid w:val="00BD23C7"/>
    <w:rsid w:val="00BD25D0"/>
    <w:rsid w:val="00BD2629"/>
    <w:rsid w:val="00BD2683"/>
    <w:rsid w:val="00BD279B"/>
    <w:rsid w:val="00BD27C7"/>
    <w:rsid w:val="00BD2AFE"/>
    <w:rsid w:val="00BD2B6D"/>
    <w:rsid w:val="00BD2CF0"/>
    <w:rsid w:val="00BD2DD0"/>
    <w:rsid w:val="00BD2E2D"/>
    <w:rsid w:val="00BD2EEC"/>
    <w:rsid w:val="00BD2F21"/>
    <w:rsid w:val="00BD31A1"/>
    <w:rsid w:val="00BD31AE"/>
    <w:rsid w:val="00BD329F"/>
    <w:rsid w:val="00BD32FA"/>
    <w:rsid w:val="00BD335F"/>
    <w:rsid w:val="00BD336B"/>
    <w:rsid w:val="00BD3552"/>
    <w:rsid w:val="00BD35BD"/>
    <w:rsid w:val="00BD3604"/>
    <w:rsid w:val="00BD362D"/>
    <w:rsid w:val="00BD3680"/>
    <w:rsid w:val="00BD3754"/>
    <w:rsid w:val="00BD3774"/>
    <w:rsid w:val="00BD37D3"/>
    <w:rsid w:val="00BD38F1"/>
    <w:rsid w:val="00BD3998"/>
    <w:rsid w:val="00BD39B5"/>
    <w:rsid w:val="00BD3A16"/>
    <w:rsid w:val="00BD3A5A"/>
    <w:rsid w:val="00BD3B64"/>
    <w:rsid w:val="00BD3DB7"/>
    <w:rsid w:val="00BD408D"/>
    <w:rsid w:val="00BD4172"/>
    <w:rsid w:val="00BD45D8"/>
    <w:rsid w:val="00BD46F5"/>
    <w:rsid w:val="00BD4764"/>
    <w:rsid w:val="00BD47CA"/>
    <w:rsid w:val="00BD480A"/>
    <w:rsid w:val="00BD481D"/>
    <w:rsid w:val="00BD48D5"/>
    <w:rsid w:val="00BD4931"/>
    <w:rsid w:val="00BD4A6A"/>
    <w:rsid w:val="00BD4B95"/>
    <w:rsid w:val="00BD4B9F"/>
    <w:rsid w:val="00BD4C34"/>
    <w:rsid w:val="00BD4DB2"/>
    <w:rsid w:val="00BD4E1E"/>
    <w:rsid w:val="00BD4E71"/>
    <w:rsid w:val="00BD4EA2"/>
    <w:rsid w:val="00BD4F7F"/>
    <w:rsid w:val="00BD5036"/>
    <w:rsid w:val="00BD5146"/>
    <w:rsid w:val="00BD514B"/>
    <w:rsid w:val="00BD517A"/>
    <w:rsid w:val="00BD51FB"/>
    <w:rsid w:val="00BD5253"/>
    <w:rsid w:val="00BD5299"/>
    <w:rsid w:val="00BD52B8"/>
    <w:rsid w:val="00BD5391"/>
    <w:rsid w:val="00BD53DB"/>
    <w:rsid w:val="00BD556D"/>
    <w:rsid w:val="00BD559F"/>
    <w:rsid w:val="00BD560B"/>
    <w:rsid w:val="00BD567A"/>
    <w:rsid w:val="00BD56FE"/>
    <w:rsid w:val="00BD5783"/>
    <w:rsid w:val="00BD57F2"/>
    <w:rsid w:val="00BD58A0"/>
    <w:rsid w:val="00BD58CD"/>
    <w:rsid w:val="00BD591E"/>
    <w:rsid w:val="00BD59AD"/>
    <w:rsid w:val="00BD5A5E"/>
    <w:rsid w:val="00BD5B3A"/>
    <w:rsid w:val="00BD5D37"/>
    <w:rsid w:val="00BD5D4B"/>
    <w:rsid w:val="00BD5E3A"/>
    <w:rsid w:val="00BD5EF5"/>
    <w:rsid w:val="00BD61A3"/>
    <w:rsid w:val="00BD6234"/>
    <w:rsid w:val="00BD62B8"/>
    <w:rsid w:val="00BD6579"/>
    <w:rsid w:val="00BD6600"/>
    <w:rsid w:val="00BD6664"/>
    <w:rsid w:val="00BD6772"/>
    <w:rsid w:val="00BD69F9"/>
    <w:rsid w:val="00BD6A31"/>
    <w:rsid w:val="00BD6B11"/>
    <w:rsid w:val="00BD6B74"/>
    <w:rsid w:val="00BD6BFB"/>
    <w:rsid w:val="00BD6E9E"/>
    <w:rsid w:val="00BD6F85"/>
    <w:rsid w:val="00BD7127"/>
    <w:rsid w:val="00BD7236"/>
    <w:rsid w:val="00BD7439"/>
    <w:rsid w:val="00BD7646"/>
    <w:rsid w:val="00BD7699"/>
    <w:rsid w:val="00BD776E"/>
    <w:rsid w:val="00BD7784"/>
    <w:rsid w:val="00BD7934"/>
    <w:rsid w:val="00BD7BB9"/>
    <w:rsid w:val="00BD7CCD"/>
    <w:rsid w:val="00BD7D37"/>
    <w:rsid w:val="00BD7E90"/>
    <w:rsid w:val="00BDD866"/>
    <w:rsid w:val="00BDF27E"/>
    <w:rsid w:val="00BE0068"/>
    <w:rsid w:val="00BE014E"/>
    <w:rsid w:val="00BE022E"/>
    <w:rsid w:val="00BE02F1"/>
    <w:rsid w:val="00BE049B"/>
    <w:rsid w:val="00BE04DF"/>
    <w:rsid w:val="00BE053F"/>
    <w:rsid w:val="00BE059B"/>
    <w:rsid w:val="00BE0708"/>
    <w:rsid w:val="00BE0749"/>
    <w:rsid w:val="00BE084C"/>
    <w:rsid w:val="00BE0917"/>
    <w:rsid w:val="00BE0933"/>
    <w:rsid w:val="00BE0946"/>
    <w:rsid w:val="00BE0A31"/>
    <w:rsid w:val="00BE0C63"/>
    <w:rsid w:val="00BE0CB9"/>
    <w:rsid w:val="00BE0D57"/>
    <w:rsid w:val="00BE0D67"/>
    <w:rsid w:val="00BE0D8E"/>
    <w:rsid w:val="00BE0DD9"/>
    <w:rsid w:val="00BE0E1A"/>
    <w:rsid w:val="00BE0E94"/>
    <w:rsid w:val="00BE1068"/>
    <w:rsid w:val="00BE1171"/>
    <w:rsid w:val="00BE11AF"/>
    <w:rsid w:val="00BE12DF"/>
    <w:rsid w:val="00BE1306"/>
    <w:rsid w:val="00BE1410"/>
    <w:rsid w:val="00BE14FC"/>
    <w:rsid w:val="00BE1541"/>
    <w:rsid w:val="00BE15CD"/>
    <w:rsid w:val="00BE1691"/>
    <w:rsid w:val="00BE1A54"/>
    <w:rsid w:val="00BE1AE7"/>
    <w:rsid w:val="00BE1B15"/>
    <w:rsid w:val="00BE1C8C"/>
    <w:rsid w:val="00BE1D7D"/>
    <w:rsid w:val="00BE1D93"/>
    <w:rsid w:val="00BE1DAC"/>
    <w:rsid w:val="00BE1DED"/>
    <w:rsid w:val="00BE1DF9"/>
    <w:rsid w:val="00BE1EA4"/>
    <w:rsid w:val="00BE1F4C"/>
    <w:rsid w:val="00BE225B"/>
    <w:rsid w:val="00BE226E"/>
    <w:rsid w:val="00BE238C"/>
    <w:rsid w:val="00BE239B"/>
    <w:rsid w:val="00BE240D"/>
    <w:rsid w:val="00BE251D"/>
    <w:rsid w:val="00BE2575"/>
    <w:rsid w:val="00BE2583"/>
    <w:rsid w:val="00BE27BB"/>
    <w:rsid w:val="00BE28FD"/>
    <w:rsid w:val="00BE2A83"/>
    <w:rsid w:val="00BE2B86"/>
    <w:rsid w:val="00BE2BA9"/>
    <w:rsid w:val="00BE2BB0"/>
    <w:rsid w:val="00BE2BEA"/>
    <w:rsid w:val="00BE2CA7"/>
    <w:rsid w:val="00BE2E34"/>
    <w:rsid w:val="00BE2FEA"/>
    <w:rsid w:val="00BE313F"/>
    <w:rsid w:val="00BE3177"/>
    <w:rsid w:val="00BE3296"/>
    <w:rsid w:val="00BE3303"/>
    <w:rsid w:val="00BE3399"/>
    <w:rsid w:val="00BE3431"/>
    <w:rsid w:val="00BE3448"/>
    <w:rsid w:val="00BE34C3"/>
    <w:rsid w:val="00BE36DF"/>
    <w:rsid w:val="00BE3836"/>
    <w:rsid w:val="00BE3BC7"/>
    <w:rsid w:val="00BE3C4A"/>
    <w:rsid w:val="00BE3CDF"/>
    <w:rsid w:val="00BE3F3C"/>
    <w:rsid w:val="00BE4145"/>
    <w:rsid w:val="00BE41C9"/>
    <w:rsid w:val="00BE429D"/>
    <w:rsid w:val="00BE4328"/>
    <w:rsid w:val="00BE435A"/>
    <w:rsid w:val="00BE4535"/>
    <w:rsid w:val="00BE45CB"/>
    <w:rsid w:val="00BE4727"/>
    <w:rsid w:val="00BE4980"/>
    <w:rsid w:val="00BE49FF"/>
    <w:rsid w:val="00BE4A13"/>
    <w:rsid w:val="00BE4A1E"/>
    <w:rsid w:val="00BE4C80"/>
    <w:rsid w:val="00BE4D9B"/>
    <w:rsid w:val="00BE4F24"/>
    <w:rsid w:val="00BE4F49"/>
    <w:rsid w:val="00BE4F9C"/>
    <w:rsid w:val="00BE506D"/>
    <w:rsid w:val="00BE50B5"/>
    <w:rsid w:val="00BE51B9"/>
    <w:rsid w:val="00BE5257"/>
    <w:rsid w:val="00BE529E"/>
    <w:rsid w:val="00BE5331"/>
    <w:rsid w:val="00BE5668"/>
    <w:rsid w:val="00BE5BE0"/>
    <w:rsid w:val="00BE5BEA"/>
    <w:rsid w:val="00BE5D94"/>
    <w:rsid w:val="00BE5E37"/>
    <w:rsid w:val="00BE5EBC"/>
    <w:rsid w:val="00BE5EC7"/>
    <w:rsid w:val="00BE5F1F"/>
    <w:rsid w:val="00BE6181"/>
    <w:rsid w:val="00BE6458"/>
    <w:rsid w:val="00BE647D"/>
    <w:rsid w:val="00BE653D"/>
    <w:rsid w:val="00BE659E"/>
    <w:rsid w:val="00BE6785"/>
    <w:rsid w:val="00BE693D"/>
    <w:rsid w:val="00BE6A2F"/>
    <w:rsid w:val="00BE6B0E"/>
    <w:rsid w:val="00BE6C4B"/>
    <w:rsid w:val="00BE6C6A"/>
    <w:rsid w:val="00BE6C85"/>
    <w:rsid w:val="00BE6E41"/>
    <w:rsid w:val="00BE6EF5"/>
    <w:rsid w:val="00BE6F52"/>
    <w:rsid w:val="00BE6FF9"/>
    <w:rsid w:val="00BE703C"/>
    <w:rsid w:val="00BE7603"/>
    <w:rsid w:val="00BE78AC"/>
    <w:rsid w:val="00BE78E0"/>
    <w:rsid w:val="00BE78F4"/>
    <w:rsid w:val="00BE790D"/>
    <w:rsid w:val="00BE795D"/>
    <w:rsid w:val="00BE7975"/>
    <w:rsid w:val="00BE79B8"/>
    <w:rsid w:val="00BE79C9"/>
    <w:rsid w:val="00BE7B0D"/>
    <w:rsid w:val="00BE7BF5"/>
    <w:rsid w:val="00BE7E34"/>
    <w:rsid w:val="00BE7FD3"/>
    <w:rsid w:val="00BF0108"/>
    <w:rsid w:val="00BF01DB"/>
    <w:rsid w:val="00BF025B"/>
    <w:rsid w:val="00BF0278"/>
    <w:rsid w:val="00BF03A9"/>
    <w:rsid w:val="00BF03BB"/>
    <w:rsid w:val="00BF049E"/>
    <w:rsid w:val="00BF054D"/>
    <w:rsid w:val="00BF0652"/>
    <w:rsid w:val="00BF0776"/>
    <w:rsid w:val="00BF08AE"/>
    <w:rsid w:val="00BF08F7"/>
    <w:rsid w:val="00BF0A51"/>
    <w:rsid w:val="00BF0B70"/>
    <w:rsid w:val="00BF0BBE"/>
    <w:rsid w:val="00BF0BC0"/>
    <w:rsid w:val="00BF0D0C"/>
    <w:rsid w:val="00BF0E49"/>
    <w:rsid w:val="00BF0F01"/>
    <w:rsid w:val="00BF0F0B"/>
    <w:rsid w:val="00BF0F13"/>
    <w:rsid w:val="00BF0F2F"/>
    <w:rsid w:val="00BF0FF9"/>
    <w:rsid w:val="00BF103A"/>
    <w:rsid w:val="00BF1086"/>
    <w:rsid w:val="00BF1257"/>
    <w:rsid w:val="00BF1383"/>
    <w:rsid w:val="00BF13D6"/>
    <w:rsid w:val="00BF13E5"/>
    <w:rsid w:val="00BF15A7"/>
    <w:rsid w:val="00BF16D9"/>
    <w:rsid w:val="00BF17BB"/>
    <w:rsid w:val="00BF1847"/>
    <w:rsid w:val="00BF18D7"/>
    <w:rsid w:val="00BF196E"/>
    <w:rsid w:val="00BF19CC"/>
    <w:rsid w:val="00BF1A41"/>
    <w:rsid w:val="00BF1AB7"/>
    <w:rsid w:val="00BF1AE2"/>
    <w:rsid w:val="00BF1B3B"/>
    <w:rsid w:val="00BF1BE1"/>
    <w:rsid w:val="00BF1C91"/>
    <w:rsid w:val="00BF1CA9"/>
    <w:rsid w:val="00BF1D2E"/>
    <w:rsid w:val="00BF1DF1"/>
    <w:rsid w:val="00BF1E65"/>
    <w:rsid w:val="00BF1E6E"/>
    <w:rsid w:val="00BF1F76"/>
    <w:rsid w:val="00BF1FE0"/>
    <w:rsid w:val="00BF1FE8"/>
    <w:rsid w:val="00BF2043"/>
    <w:rsid w:val="00BF20C6"/>
    <w:rsid w:val="00BF218E"/>
    <w:rsid w:val="00BF235B"/>
    <w:rsid w:val="00BF2388"/>
    <w:rsid w:val="00BF24C4"/>
    <w:rsid w:val="00BF25CB"/>
    <w:rsid w:val="00BF26F3"/>
    <w:rsid w:val="00BF27ED"/>
    <w:rsid w:val="00BF28EF"/>
    <w:rsid w:val="00BF293D"/>
    <w:rsid w:val="00BF2948"/>
    <w:rsid w:val="00BF2AE3"/>
    <w:rsid w:val="00BF2B1E"/>
    <w:rsid w:val="00BF2B89"/>
    <w:rsid w:val="00BF2C90"/>
    <w:rsid w:val="00BF2D44"/>
    <w:rsid w:val="00BF2F74"/>
    <w:rsid w:val="00BF3006"/>
    <w:rsid w:val="00BF3011"/>
    <w:rsid w:val="00BF307B"/>
    <w:rsid w:val="00BF30F1"/>
    <w:rsid w:val="00BF3120"/>
    <w:rsid w:val="00BF3181"/>
    <w:rsid w:val="00BF319D"/>
    <w:rsid w:val="00BF31E2"/>
    <w:rsid w:val="00BF34EE"/>
    <w:rsid w:val="00BF361D"/>
    <w:rsid w:val="00BF3626"/>
    <w:rsid w:val="00BF3992"/>
    <w:rsid w:val="00BF3BF8"/>
    <w:rsid w:val="00BF3C3D"/>
    <w:rsid w:val="00BF3CCF"/>
    <w:rsid w:val="00BF3E8B"/>
    <w:rsid w:val="00BF3EEF"/>
    <w:rsid w:val="00BF3F83"/>
    <w:rsid w:val="00BF4070"/>
    <w:rsid w:val="00BF4244"/>
    <w:rsid w:val="00BF42AC"/>
    <w:rsid w:val="00BF42F9"/>
    <w:rsid w:val="00BF461B"/>
    <w:rsid w:val="00BF46AC"/>
    <w:rsid w:val="00BF4954"/>
    <w:rsid w:val="00BF49BF"/>
    <w:rsid w:val="00BF4A54"/>
    <w:rsid w:val="00BF4BDC"/>
    <w:rsid w:val="00BF4CA9"/>
    <w:rsid w:val="00BF4D3C"/>
    <w:rsid w:val="00BF4DA4"/>
    <w:rsid w:val="00BF4E6E"/>
    <w:rsid w:val="00BF4E79"/>
    <w:rsid w:val="00BF4FDD"/>
    <w:rsid w:val="00BF512F"/>
    <w:rsid w:val="00BF5305"/>
    <w:rsid w:val="00BF539A"/>
    <w:rsid w:val="00BF53D7"/>
    <w:rsid w:val="00BF5445"/>
    <w:rsid w:val="00BF5519"/>
    <w:rsid w:val="00BF551F"/>
    <w:rsid w:val="00BF554B"/>
    <w:rsid w:val="00BF5744"/>
    <w:rsid w:val="00BF576C"/>
    <w:rsid w:val="00BF58DC"/>
    <w:rsid w:val="00BF594A"/>
    <w:rsid w:val="00BF59A7"/>
    <w:rsid w:val="00BF59CF"/>
    <w:rsid w:val="00BF5BB3"/>
    <w:rsid w:val="00BF5C45"/>
    <w:rsid w:val="00BF5C58"/>
    <w:rsid w:val="00BF5C85"/>
    <w:rsid w:val="00BF5CEF"/>
    <w:rsid w:val="00BF5F37"/>
    <w:rsid w:val="00BF6018"/>
    <w:rsid w:val="00BF608A"/>
    <w:rsid w:val="00BF611F"/>
    <w:rsid w:val="00BF628B"/>
    <w:rsid w:val="00BF6360"/>
    <w:rsid w:val="00BF6371"/>
    <w:rsid w:val="00BF63B1"/>
    <w:rsid w:val="00BF63EA"/>
    <w:rsid w:val="00BF656A"/>
    <w:rsid w:val="00BF656D"/>
    <w:rsid w:val="00BF6621"/>
    <w:rsid w:val="00BF6708"/>
    <w:rsid w:val="00BF674C"/>
    <w:rsid w:val="00BF6B61"/>
    <w:rsid w:val="00BF6BF7"/>
    <w:rsid w:val="00BF6CC9"/>
    <w:rsid w:val="00BF6D1A"/>
    <w:rsid w:val="00BF6F53"/>
    <w:rsid w:val="00BF719D"/>
    <w:rsid w:val="00BF72A5"/>
    <w:rsid w:val="00BF7344"/>
    <w:rsid w:val="00BF749B"/>
    <w:rsid w:val="00BF75C4"/>
    <w:rsid w:val="00BF781C"/>
    <w:rsid w:val="00BF792D"/>
    <w:rsid w:val="00BF79E8"/>
    <w:rsid w:val="00BF7AC0"/>
    <w:rsid w:val="00BF7B43"/>
    <w:rsid w:val="00BF7C3F"/>
    <w:rsid w:val="00BF7FE9"/>
    <w:rsid w:val="00C000F1"/>
    <w:rsid w:val="00C00391"/>
    <w:rsid w:val="00C004C2"/>
    <w:rsid w:val="00C004CE"/>
    <w:rsid w:val="00C00689"/>
    <w:rsid w:val="00C007F8"/>
    <w:rsid w:val="00C00877"/>
    <w:rsid w:val="00C008B9"/>
    <w:rsid w:val="00C009A9"/>
    <w:rsid w:val="00C009AC"/>
    <w:rsid w:val="00C009DA"/>
    <w:rsid w:val="00C00A59"/>
    <w:rsid w:val="00C00A60"/>
    <w:rsid w:val="00C00AA6"/>
    <w:rsid w:val="00C00E42"/>
    <w:rsid w:val="00C00E53"/>
    <w:rsid w:val="00C00F56"/>
    <w:rsid w:val="00C00FC0"/>
    <w:rsid w:val="00C00FD2"/>
    <w:rsid w:val="00C01038"/>
    <w:rsid w:val="00C0104F"/>
    <w:rsid w:val="00C01134"/>
    <w:rsid w:val="00C01309"/>
    <w:rsid w:val="00C0138C"/>
    <w:rsid w:val="00C013A5"/>
    <w:rsid w:val="00C013A8"/>
    <w:rsid w:val="00C013F2"/>
    <w:rsid w:val="00C0149B"/>
    <w:rsid w:val="00C014C8"/>
    <w:rsid w:val="00C0154F"/>
    <w:rsid w:val="00C01562"/>
    <w:rsid w:val="00C017C0"/>
    <w:rsid w:val="00C0183B"/>
    <w:rsid w:val="00C018A0"/>
    <w:rsid w:val="00C018D3"/>
    <w:rsid w:val="00C01AD5"/>
    <w:rsid w:val="00C01BCB"/>
    <w:rsid w:val="00C01C22"/>
    <w:rsid w:val="00C01CF8"/>
    <w:rsid w:val="00C01D25"/>
    <w:rsid w:val="00C01DB6"/>
    <w:rsid w:val="00C01E0F"/>
    <w:rsid w:val="00C01E30"/>
    <w:rsid w:val="00C01EAF"/>
    <w:rsid w:val="00C01F49"/>
    <w:rsid w:val="00C01F89"/>
    <w:rsid w:val="00C020C6"/>
    <w:rsid w:val="00C020CC"/>
    <w:rsid w:val="00C02101"/>
    <w:rsid w:val="00C02210"/>
    <w:rsid w:val="00C02225"/>
    <w:rsid w:val="00C02353"/>
    <w:rsid w:val="00C023B2"/>
    <w:rsid w:val="00C0241E"/>
    <w:rsid w:val="00C024CF"/>
    <w:rsid w:val="00C0254B"/>
    <w:rsid w:val="00C02677"/>
    <w:rsid w:val="00C0277A"/>
    <w:rsid w:val="00C0289F"/>
    <w:rsid w:val="00C028A4"/>
    <w:rsid w:val="00C029E1"/>
    <w:rsid w:val="00C02C18"/>
    <w:rsid w:val="00C02C66"/>
    <w:rsid w:val="00C02CF0"/>
    <w:rsid w:val="00C02D1A"/>
    <w:rsid w:val="00C02E2F"/>
    <w:rsid w:val="00C02E72"/>
    <w:rsid w:val="00C030DA"/>
    <w:rsid w:val="00C03152"/>
    <w:rsid w:val="00C03289"/>
    <w:rsid w:val="00C03374"/>
    <w:rsid w:val="00C03438"/>
    <w:rsid w:val="00C034A3"/>
    <w:rsid w:val="00C03596"/>
    <w:rsid w:val="00C036A1"/>
    <w:rsid w:val="00C03735"/>
    <w:rsid w:val="00C037E0"/>
    <w:rsid w:val="00C03961"/>
    <w:rsid w:val="00C03995"/>
    <w:rsid w:val="00C039DB"/>
    <w:rsid w:val="00C03A14"/>
    <w:rsid w:val="00C03A52"/>
    <w:rsid w:val="00C03A9B"/>
    <w:rsid w:val="00C03AF8"/>
    <w:rsid w:val="00C03C1C"/>
    <w:rsid w:val="00C03D17"/>
    <w:rsid w:val="00C03DB6"/>
    <w:rsid w:val="00C03EED"/>
    <w:rsid w:val="00C03F14"/>
    <w:rsid w:val="00C041BB"/>
    <w:rsid w:val="00C04AEC"/>
    <w:rsid w:val="00C04B23"/>
    <w:rsid w:val="00C04B83"/>
    <w:rsid w:val="00C04F5F"/>
    <w:rsid w:val="00C05102"/>
    <w:rsid w:val="00C0527B"/>
    <w:rsid w:val="00C052AD"/>
    <w:rsid w:val="00C05357"/>
    <w:rsid w:val="00C05375"/>
    <w:rsid w:val="00C053FB"/>
    <w:rsid w:val="00C05573"/>
    <w:rsid w:val="00C05574"/>
    <w:rsid w:val="00C0558D"/>
    <w:rsid w:val="00C055B7"/>
    <w:rsid w:val="00C057D4"/>
    <w:rsid w:val="00C05820"/>
    <w:rsid w:val="00C0592C"/>
    <w:rsid w:val="00C05954"/>
    <w:rsid w:val="00C05958"/>
    <w:rsid w:val="00C05A9A"/>
    <w:rsid w:val="00C05C16"/>
    <w:rsid w:val="00C05C1F"/>
    <w:rsid w:val="00C05D82"/>
    <w:rsid w:val="00C05E3E"/>
    <w:rsid w:val="00C05EEC"/>
    <w:rsid w:val="00C05FB8"/>
    <w:rsid w:val="00C060F1"/>
    <w:rsid w:val="00C062E6"/>
    <w:rsid w:val="00C063A9"/>
    <w:rsid w:val="00C063F6"/>
    <w:rsid w:val="00C065A2"/>
    <w:rsid w:val="00C06845"/>
    <w:rsid w:val="00C0689C"/>
    <w:rsid w:val="00C06926"/>
    <w:rsid w:val="00C069D2"/>
    <w:rsid w:val="00C06A52"/>
    <w:rsid w:val="00C06B09"/>
    <w:rsid w:val="00C06CED"/>
    <w:rsid w:val="00C06E8C"/>
    <w:rsid w:val="00C06FAB"/>
    <w:rsid w:val="00C070A4"/>
    <w:rsid w:val="00C07149"/>
    <w:rsid w:val="00C07314"/>
    <w:rsid w:val="00C07340"/>
    <w:rsid w:val="00C0739B"/>
    <w:rsid w:val="00C073AE"/>
    <w:rsid w:val="00C07419"/>
    <w:rsid w:val="00C074EB"/>
    <w:rsid w:val="00C0755F"/>
    <w:rsid w:val="00C075F5"/>
    <w:rsid w:val="00C07692"/>
    <w:rsid w:val="00C07695"/>
    <w:rsid w:val="00C078E7"/>
    <w:rsid w:val="00C078EE"/>
    <w:rsid w:val="00C07929"/>
    <w:rsid w:val="00C07B40"/>
    <w:rsid w:val="00C07B81"/>
    <w:rsid w:val="00C07EDB"/>
    <w:rsid w:val="00C07F09"/>
    <w:rsid w:val="00C10138"/>
    <w:rsid w:val="00C101C4"/>
    <w:rsid w:val="00C102A3"/>
    <w:rsid w:val="00C1056B"/>
    <w:rsid w:val="00C105D7"/>
    <w:rsid w:val="00C10614"/>
    <w:rsid w:val="00C10629"/>
    <w:rsid w:val="00C1062A"/>
    <w:rsid w:val="00C10630"/>
    <w:rsid w:val="00C106BF"/>
    <w:rsid w:val="00C10876"/>
    <w:rsid w:val="00C1093E"/>
    <w:rsid w:val="00C10945"/>
    <w:rsid w:val="00C109BE"/>
    <w:rsid w:val="00C109D9"/>
    <w:rsid w:val="00C10BC5"/>
    <w:rsid w:val="00C10C1B"/>
    <w:rsid w:val="00C10C41"/>
    <w:rsid w:val="00C10D95"/>
    <w:rsid w:val="00C10EDC"/>
    <w:rsid w:val="00C10F05"/>
    <w:rsid w:val="00C10F52"/>
    <w:rsid w:val="00C10F9A"/>
    <w:rsid w:val="00C11079"/>
    <w:rsid w:val="00C111F9"/>
    <w:rsid w:val="00C11429"/>
    <w:rsid w:val="00C114EA"/>
    <w:rsid w:val="00C1153D"/>
    <w:rsid w:val="00C115B5"/>
    <w:rsid w:val="00C116A9"/>
    <w:rsid w:val="00C116F9"/>
    <w:rsid w:val="00C11735"/>
    <w:rsid w:val="00C11979"/>
    <w:rsid w:val="00C11A37"/>
    <w:rsid w:val="00C11AD8"/>
    <w:rsid w:val="00C11BA5"/>
    <w:rsid w:val="00C11BB0"/>
    <w:rsid w:val="00C11C0A"/>
    <w:rsid w:val="00C11CD3"/>
    <w:rsid w:val="00C11CDE"/>
    <w:rsid w:val="00C11D8E"/>
    <w:rsid w:val="00C11EA4"/>
    <w:rsid w:val="00C11F88"/>
    <w:rsid w:val="00C11FC0"/>
    <w:rsid w:val="00C120ED"/>
    <w:rsid w:val="00C12151"/>
    <w:rsid w:val="00C1217D"/>
    <w:rsid w:val="00C12235"/>
    <w:rsid w:val="00C1223F"/>
    <w:rsid w:val="00C122A1"/>
    <w:rsid w:val="00C122D7"/>
    <w:rsid w:val="00C124F7"/>
    <w:rsid w:val="00C12569"/>
    <w:rsid w:val="00C125AE"/>
    <w:rsid w:val="00C12613"/>
    <w:rsid w:val="00C12672"/>
    <w:rsid w:val="00C126E1"/>
    <w:rsid w:val="00C12712"/>
    <w:rsid w:val="00C12812"/>
    <w:rsid w:val="00C12819"/>
    <w:rsid w:val="00C128DC"/>
    <w:rsid w:val="00C1294E"/>
    <w:rsid w:val="00C129F1"/>
    <w:rsid w:val="00C12C56"/>
    <w:rsid w:val="00C13055"/>
    <w:rsid w:val="00C130F6"/>
    <w:rsid w:val="00C13151"/>
    <w:rsid w:val="00C13280"/>
    <w:rsid w:val="00C132AD"/>
    <w:rsid w:val="00C132D3"/>
    <w:rsid w:val="00C133CF"/>
    <w:rsid w:val="00C13580"/>
    <w:rsid w:val="00C136E0"/>
    <w:rsid w:val="00C1388A"/>
    <w:rsid w:val="00C13908"/>
    <w:rsid w:val="00C13982"/>
    <w:rsid w:val="00C13AB3"/>
    <w:rsid w:val="00C13AE0"/>
    <w:rsid w:val="00C13B29"/>
    <w:rsid w:val="00C13C23"/>
    <w:rsid w:val="00C13C87"/>
    <w:rsid w:val="00C13DAB"/>
    <w:rsid w:val="00C13DC9"/>
    <w:rsid w:val="00C13FC0"/>
    <w:rsid w:val="00C14173"/>
    <w:rsid w:val="00C141EA"/>
    <w:rsid w:val="00C14382"/>
    <w:rsid w:val="00C143AD"/>
    <w:rsid w:val="00C1443A"/>
    <w:rsid w:val="00C144E3"/>
    <w:rsid w:val="00C14500"/>
    <w:rsid w:val="00C14561"/>
    <w:rsid w:val="00C14764"/>
    <w:rsid w:val="00C1477C"/>
    <w:rsid w:val="00C14785"/>
    <w:rsid w:val="00C149EC"/>
    <w:rsid w:val="00C14A19"/>
    <w:rsid w:val="00C14ACC"/>
    <w:rsid w:val="00C14BA1"/>
    <w:rsid w:val="00C14BD5"/>
    <w:rsid w:val="00C14D35"/>
    <w:rsid w:val="00C14D95"/>
    <w:rsid w:val="00C14E06"/>
    <w:rsid w:val="00C14E93"/>
    <w:rsid w:val="00C15027"/>
    <w:rsid w:val="00C1520E"/>
    <w:rsid w:val="00C1523C"/>
    <w:rsid w:val="00C15290"/>
    <w:rsid w:val="00C152B3"/>
    <w:rsid w:val="00C152C9"/>
    <w:rsid w:val="00C15310"/>
    <w:rsid w:val="00C155E9"/>
    <w:rsid w:val="00C15628"/>
    <w:rsid w:val="00C15631"/>
    <w:rsid w:val="00C15792"/>
    <w:rsid w:val="00C15826"/>
    <w:rsid w:val="00C1588E"/>
    <w:rsid w:val="00C15A13"/>
    <w:rsid w:val="00C15B0A"/>
    <w:rsid w:val="00C15B5B"/>
    <w:rsid w:val="00C15BD2"/>
    <w:rsid w:val="00C15C1E"/>
    <w:rsid w:val="00C15C8B"/>
    <w:rsid w:val="00C15E54"/>
    <w:rsid w:val="00C15EEC"/>
    <w:rsid w:val="00C1606C"/>
    <w:rsid w:val="00C16081"/>
    <w:rsid w:val="00C160E1"/>
    <w:rsid w:val="00C16292"/>
    <w:rsid w:val="00C162EF"/>
    <w:rsid w:val="00C16741"/>
    <w:rsid w:val="00C167EE"/>
    <w:rsid w:val="00C16887"/>
    <w:rsid w:val="00C1694B"/>
    <w:rsid w:val="00C16B0F"/>
    <w:rsid w:val="00C16BAD"/>
    <w:rsid w:val="00C16BBD"/>
    <w:rsid w:val="00C16D1F"/>
    <w:rsid w:val="00C16D40"/>
    <w:rsid w:val="00C1704A"/>
    <w:rsid w:val="00C170C2"/>
    <w:rsid w:val="00C17192"/>
    <w:rsid w:val="00C1732A"/>
    <w:rsid w:val="00C17369"/>
    <w:rsid w:val="00C17484"/>
    <w:rsid w:val="00C1750C"/>
    <w:rsid w:val="00C176D8"/>
    <w:rsid w:val="00C17854"/>
    <w:rsid w:val="00C178E0"/>
    <w:rsid w:val="00C179F8"/>
    <w:rsid w:val="00C17BF6"/>
    <w:rsid w:val="00C17C1A"/>
    <w:rsid w:val="00C17C47"/>
    <w:rsid w:val="00C17C51"/>
    <w:rsid w:val="00C17C91"/>
    <w:rsid w:val="00C17D31"/>
    <w:rsid w:val="00C17D6D"/>
    <w:rsid w:val="00C20260"/>
    <w:rsid w:val="00C20282"/>
    <w:rsid w:val="00C20382"/>
    <w:rsid w:val="00C20385"/>
    <w:rsid w:val="00C20494"/>
    <w:rsid w:val="00C206DE"/>
    <w:rsid w:val="00C207BB"/>
    <w:rsid w:val="00C20812"/>
    <w:rsid w:val="00C209DB"/>
    <w:rsid w:val="00C20B25"/>
    <w:rsid w:val="00C20B41"/>
    <w:rsid w:val="00C20C5D"/>
    <w:rsid w:val="00C20F90"/>
    <w:rsid w:val="00C21126"/>
    <w:rsid w:val="00C2129C"/>
    <w:rsid w:val="00C21332"/>
    <w:rsid w:val="00C215CE"/>
    <w:rsid w:val="00C21758"/>
    <w:rsid w:val="00C21814"/>
    <w:rsid w:val="00C21905"/>
    <w:rsid w:val="00C21961"/>
    <w:rsid w:val="00C21965"/>
    <w:rsid w:val="00C219CB"/>
    <w:rsid w:val="00C21A45"/>
    <w:rsid w:val="00C21B99"/>
    <w:rsid w:val="00C21BD1"/>
    <w:rsid w:val="00C21C4A"/>
    <w:rsid w:val="00C21E9E"/>
    <w:rsid w:val="00C21F28"/>
    <w:rsid w:val="00C21F7C"/>
    <w:rsid w:val="00C221C0"/>
    <w:rsid w:val="00C221D6"/>
    <w:rsid w:val="00C22239"/>
    <w:rsid w:val="00C22240"/>
    <w:rsid w:val="00C222A6"/>
    <w:rsid w:val="00C22590"/>
    <w:rsid w:val="00C22665"/>
    <w:rsid w:val="00C22680"/>
    <w:rsid w:val="00C22695"/>
    <w:rsid w:val="00C227B8"/>
    <w:rsid w:val="00C228DA"/>
    <w:rsid w:val="00C22AF5"/>
    <w:rsid w:val="00C22B67"/>
    <w:rsid w:val="00C22B80"/>
    <w:rsid w:val="00C22EEC"/>
    <w:rsid w:val="00C22F38"/>
    <w:rsid w:val="00C22F5A"/>
    <w:rsid w:val="00C23066"/>
    <w:rsid w:val="00C23139"/>
    <w:rsid w:val="00C2329F"/>
    <w:rsid w:val="00C23661"/>
    <w:rsid w:val="00C2367B"/>
    <w:rsid w:val="00C2369D"/>
    <w:rsid w:val="00C236D0"/>
    <w:rsid w:val="00C236FF"/>
    <w:rsid w:val="00C23757"/>
    <w:rsid w:val="00C237AD"/>
    <w:rsid w:val="00C237ED"/>
    <w:rsid w:val="00C23835"/>
    <w:rsid w:val="00C2387D"/>
    <w:rsid w:val="00C238D9"/>
    <w:rsid w:val="00C238EC"/>
    <w:rsid w:val="00C23910"/>
    <w:rsid w:val="00C23A26"/>
    <w:rsid w:val="00C23AAF"/>
    <w:rsid w:val="00C23C81"/>
    <w:rsid w:val="00C23D9F"/>
    <w:rsid w:val="00C23E24"/>
    <w:rsid w:val="00C23ECA"/>
    <w:rsid w:val="00C23F75"/>
    <w:rsid w:val="00C23F92"/>
    <w:rsid w:val="00C23FED"/>
    <w:rsid w:val="00C24026"/>
    <w:rsid w:val="00C24097"/>
    <w:rsid w:val="00C240B4"/>
    <w:rsid w:val="00C24239"/>
    <w:rsid w:val="00C242C4"/>
    <w:rsid w:val="00C244A4"/>
    <w:rsid w:val="00C2465D"/>
    <w:rsid w:val="00C246AF"/>
    <w:rsid w:val="00C246FB"/>
    <w:rsid w:val="00C2470B"/>
    <w:rsid w:val="00C24791"/>
    <w:rsid w:val="00C248E5"/>
    <w:rsid w:val="00C24936"/>
    <w:rsid w:val="00C2496D"/>
    <w:rsid w:val="00C24A06"/>
    <w:rsid w:val="00C24A9D"/>
    <w:rsid w:val="00C24BC4"/>
    <w:rsid w:val="00C24BFC"/>
    <w:rsid w:val="00C24D0F"/>
    <w:rsid w:val="00C24E37"/>
    <w:rsid w:val="00C24E84"/>
    <w:rsid w:val="00C24FC6"/>
    <w:rsid w:val="00C2518B"/>
    <w:rsid w:val="00C25242"/>
    <w:rsid w:val="00C2532B"/>
    <w:rsid w:val="00C253AF"/>
    <w:rsid w:val="00C253F1"/>
    <w:rsid w:val="00C25448"/>
    <w:rsid w:val="00C25628"/>
    <w:rsid w:val="00C2563E"/>
    <w:rsid w:val="00C258DA"/>
    <w:rsid w:val="00C2592D"/>
    <w:rsid w:val="00C25B09"/>
    <w:rsid w:val="00C25BEF"/>
    <w:rsid w:val="00C25C15"/>
    <w:rsid w:val="00C25D86"/>
    <w:rsid w:val="00C25E0C"/>
    <w:rsid w:val="00C25E46"/>
    <w:rsid w:val="00C25ED0"/>
    <w:rsid w:val="00C25F05"/>
    <w:rsid w:val="00C25F2D"/>
    <w:rsid w:val="00C26016"/>
    <w:rsid w:val="00C26069"/>
    <w:rsid w:val="00C260CB"/>
    <w:rsid w:val="00C260D8"/>
    <w:rsid w:val="00C260F9"/>
    <w:rsid w:val="00C26332"/>
    <w:rsid w:val="00C263DA"/>
    <w:rsid w:val="00C26456"/>
    <w:rsid w:val="00C26589"/>
    <w:rsid w:val="00C2661D"/>
    <w:rsid w:val="00C2677E"/>
    <w:rsid w:val="00C267D5"/>
    <w:rsid w:val="00C268E3"/>
    <w:rsid w:val="00C26958"/>
    <w:rsid w:val="00C26D55"/>
    <w:rsid w:val="00C26D8B"/>
    <w:rsid w:val="00C26E18"/>
    <w:rsid w:val="00C26F48"/>
    <w:rsid w:val="00C26FD0"/>
    <w:rsid w:val="00C27038"/>
    <w:rsid w:val="00C27061"/>
    <w:rsid w:val="00C27121"/>
    <w:rsid w:val="00C27196"/>
    <w:rsid w:val="00C27337"/>
    <w:rsid w:val="00C273B4"/>
    <w:rsid w:val="00C27400"/>
    <w:rsid w:val="00C274B8"/>
    <w:rsid w:val="00C275AF"/>
    <w:rsid w:val="00C2764B"/>
    <w:rsid w:val="00C2772A"/>
    <w:rsid w:val="00C279B2"/>
    <w:rsid w:val="00C27A87"/>
    <w:rsid w:val="00C27B85"/>
    <w:rsid w:val="00C27D3D"/>
    <w:rsid w:val="00C27DEF"/>
    <w:rsid w:val="00C27E12"/>
    <w:rsid w:val="00C27F05"/>
    <w:rsid w:val="00C300DD"/>
    <w:rsid w:val="00C3013B"/>
    <w:rsid w:val="00C304B4"/>
    <w:rsid w:val="00C305E2"/>
    <w:rsid w:val="00C305EC"/>
    <w:rsid w:val="00C30659"/>
    <w:rsid w:val="00C306A7"/>
    <w:rsid w:val="00C30715"/>
    <w:rsid w:val="00C307B6"/>
    <w:rsid w:val="00C3080B"/>
    <w:rsid w:val="00C30A20"/>
    <w:rsid w:val="00C30BD9"/>
    <w:rsid w:val="00C30D3C"/>
    <w:rsid w:val="00C30D65"/>
    <w:rsid w:val="00C30E8B"/>
    <w:rsid w:val="00C30F63"/>
    <w:rsid w:val="00C311F1"/>
    <w:rsid w:val="00C31313"/>
    <w:rsid w:val="00C31412"/>
    <w:rsid w:val="00C31466"/>
    <w:rsid w:val="00C31542"/>
    <w:rsid w:val="00C315F3"/>
    <w:rsid w:val="00C3163B"/>
    <w:rsid w:val="00C3166F"/>
    <w:rsid w:val="00C319D0"/>
    <w:rsid w:val="00C31AAA"/>
    <w:rsid w:val="00C31AE0"/>
    <w:rsid w:val="00C31CBA"/>
    <w:rsid w:val="00C31D4C"/>
    <w:rsid w:val="00C31E5B"/>
    <w:rsid w:val="00C31E9D"/>
    <w:rsid w:val="00C32032"/>
    <w:rsid w:val="00C32050"/>
    <w:rsid w:val="00C32080"/>
    <w:rsid w:val="00C320CE"/>
    <w:rsid w:val="00C3215C"/>
    <w:rsid w:val="00C32185"/>
    <w:rsid w:val="00C323CC"/>
    <w:rsid w:val="00C32431"/>
    <w:rsid w:val="00C324CE"/>
    <w:rsid w:val="00C3254B"/>
    <w:rsid w:val="00C32606"/>
    <w:rsid w:val="00C32614"/>
    <w:rsid w:val="00C3267D"/>
    <w:rsid w:val="00C3273D"/>
    <w:rsid w:val="00C32772"/>
    <w:rsid w:val="00C327B9"/>
    <w:rsid w:val="00C3280C"/>
    <w:rsid w:val="00C3287D"/>
    <w:rsid w:val="00C328B0"/>
    <w:rsid w:val="00C3299E"/>
    <w:rsid w:val="00C329F9"/>
    <w:rsid w:val="00C32AB5"/>
    <w:rsid w:val="00C32AD1"/>
    <w:rsid w:val="00C32CF1"/>
    <w:rsid w:val="00C32D4C"/>
    <w:rsid w:val="00C32D63"/>
    <w:rsid w:val="00C32E29"/>
    <w:rsid w:val="00C32E31"/>
    <w:rsid w:val="00C32E74"/>
    <w:rsid w:val="00C32F13"/>
    <w:rsid w:val="00C32F8F"/>
    <w:rsid w:val="00C32FF8"/>
    <w:rsid w:val="00C33041"/>
    <w:rsid w:val="00C330CF"/>
    <w:rsid w:val="00C330F7"/>
    <w:rsid w:val="00C33144"/>
    <w:rsid w:val="00C33166"/>
    <w:rsid w:val="00C331FB"/>
    <w:rsid w:val="00C33215"/>
    <w:rsid w:val="00C33348"/>
    <w:rsid w:val="00C33496"/>
    <w:rsid w:val="00C334DD"/>
    <w:rsid w:val="00C33645"/>
    <w:rsid w:val="00C3394C"/>
    <w:rsid w:val="00C33993"/>
    <w:rsid w:val="00C33A90"/>
    <w:rsid w:val="00C33AB9"/>
    <w:rsid w:val="00C33C02"/>
    <w:rsid w:val="00C33CAF"/>
    <w:rsid w:val="00C33CEF"/>
    <w:rsid w:val="00C33FAB"/>
    <w:rsid w:val="00C33FD1"/>
    <w:rsid w:val="00C34014"/>
    <w:rsid w:val="00C34095"/>
    <w:rsid w:val="00C341E1"/>
    <w:rsid w:val="00C34386"/>
    <w:rsid w:val="00C343CC"/>
    <w:rsid w:val="00C343FC"/>
    <w:rsid w:val="00C3448C"/>
    <w:rsid w:val="00C34548"/>
    <w:rsid w:val="00C34576"/>
    <w:rsid w:val="00C34632"/>
    <w:rsid w:val="00C3480E"/>
    <w:rsid w:val="00C3490C"/>
    <w:rsid w:val="00C34ABA"/>
    <w:rsid w:val="00C34B70"/>
    <w:rsid w:val="00C34BE8"/>
    <w:rsid w:val="00C34D90"/>
    <w:rsid w:val="00C34DCF"/>
    <w:rsid w:val="00C34E3B"/>
    <w:rsid w:val="00C350E7"/>
    <w:rsid w:val="00C35105"/>
    <w:rsid w:val="00C351D6"/>
    <w:rsid w:val="00C35262"/>
    <w:rsid w:val="00C35285"/>
    <w:rsid w:val="00C35436"/>
    <w:rsid w:val="00C354B1"/>
    <w:rsid w:val="00C3557A"/>
    <w:rsid w:val="00C3562A"/>
    <w:rsid w:val="00C35738"/>
    <w:rsid w:val="00C357B5"/>
    <w:rsid w:val="00C357D7"/>
    <w:rsid w:val="00C3593A"/>
    <w:rsid w:val="00C359A1"/>
    <w:rsid w:val="00C359EE"/>
    <w:rsid w:val="00C35A2D"/>
    <w:rsid w:val="00C35C1D"/>
    <w:rsid w:val="00C35DF8"/>
    <w:rsid w:val="00C35E42"/>
    <w:rsid w:val="00C35F3D"/>
    <w:rsid w:val="00C3601A"/>
    <w:rsid w:val="00C36069"/>
    <w:rsid w:val="00C360A4"/>
    <w:rsid w:val="00C3614C"/>
    <w:rsid w:val="00C36191"/>
    <w:rsid w:val="00C36325"/>
    <w:rsid w:val="00C3645E"/>
    <w:rsid w:val="00C365FD"/>
    <w:rsid w:val="00C36635"/>
    <w:rsid w:val="00C369F3"/>
    <w:rsid w:val="00C36AEE"/>
    <w:rsid w:val="00C36C23"/>
    <w:rsid w:val="00C36C3C"/>
    <w:rsid w:val="00C36E40"/>
    <w:rsid w:val="00C36EB0"/>
    <w:rsid w:val="00C36EBB"/>
    <w:rsid w:val="00C37279"/>
    <w:rsid w:val="00C372C3"/>
    <w:rsid w:val="00C37604"/>
    <w:rsid w:val="00C3765D"/>
    <w:rsid w:val="00C37724"/>
    <w:rsid w:val="00C37954"/>
    <w:rsid w:val="00C37A1A"/>
    <w:rsid w:val="00C37A1D"/>
    <w:rsid w:val="00C37A75"/>
    <w:rsid w:val="00C37BC5"/>
    <w:rsid w:val="00C37EBB"/>
    <w:rsid w:val="00C37FD7"/>
    <w:rsid w:val="00C40084"/>
    <w:rsid w:val="00C40207"/>
    <w:rsid w:val="00C40279"/>
    <w:rsid w:val="00C402B6"/>
    <w:rsid w:val="00C402BC"/>
    <w:rsid w:val="00C4039C"/>
    <w:rsid w:val="00C403CC"/>
    <w:rsid w:val="00C4043F"/>
    <w:rsid w:val="00C4055A"/>
    <w:rsid w:val="00C408D4"/>
    <w:rsid w:val="00C40A2F"/>
    <w:rsid w:val="00C40A64"/>
    <w:rsid w:val="00C40AB2"/>
    <w:rsid w:val="00C40B30"/>
    <w:rsid w:val="00C40C3C"/>
    <w:rsid w:val="00C40C92"/>
    <w:rsid w:val="00C40D54"/>
    <w:rsid w:val="00C40E72"/>
    <w:rsid w:val="00C4108E"/>
    <w:rsid w:val="00C411B4"/>
    <w:rsid w:val="00C41222"/>
    <w:rsid w:val="00C413E4"/>
    <w:rsid w:val="00C41405"/>
    <w:rsid w:val="00C4152E"/>
    <w:rsid w:val="00C41558"/>
    <w:rsid w:val="00C41622"/>
    <w:rsid w:val="00C41634"/>
    <w:rsid w:val="00C4163C"/>
    <w:rsid w:val="00C416BC"/>
    <w:rsid w:val="00C41713"/>
    <w:rsid w:val="00C4176D"/>
    <w:rsid w:val="00C41887"/>
    <w:rsid w:val="00C41970"/>
    <w:rsid w:val="00C419B1"/>
    <w:rsid w:val="00C41A17"/>
    <w:rsid w:val="00C41A60"/>
    <w:rsid w:val="00C41AB0"/>
    <w:rsid w:val="00C41AE4"/>
    <w:rsid w:val="00C41D75"/>
    <w:rsid w:val="00C420C0"/>
    <w:rsid w:val="00C420CB"/>
    <w:rsid w:val="00C4211D"/>
    <w:rsid w:val="00C42253"/>
    <w:rsid w:val="00C422E3"/>
    <w:rsid w:val="00C4233E"/>
    <w:rsid w:val="00C42343"/>
    <w:rsid w:val="00C423EF"/>
    <w:rsid w:val="00C424D5"/>
    <w:rsid w:val="00C4258C"/>
    <w:rsid w:val="00C4266E"/>
    <w:rsid w:val="00C4291B"/>
    <w:rsid w:val="00C429BE"/>
    <w:rsid w:val="00C42A8A"/>
    <w:rsid w:val="00C42AEA"/>
    <w:rsid w:val="00C42B9D"/>
    <w:rsid w:val="00C42E14"/>
    <w:rsid w:val="00C42E60"/>
    <w:rsid w:val="00C42FCB"/>
    <w:rsid w:val="00C4301A"/>
    <w:rsid w:val="00C43085"/>
    <w:rsid w:val="00C430BB"/>
    <w:rsid w:val="00C431E1"/>
    <w:rsid w:val="00C431F8"/>
    <w:rsid w:val="00C43269"/>
    <w:rsid w:val="00C4339E"/>
    <w:rsid w:val="00C433FD"/>
    <w:rsid w:val="00C43457"/>
    <w:rsid w:val="00C43545"/>
    <w:rsid w:val="00C4359B"/>
    <w:rsid w:val="00C43672"/>
    <w:rsid w:val="00C4368A"/>
    <w:rsid w:val="00C43761"/>
    <w:rsid w:val="00C43BF2"/>
    <w:rsid w:val="00C43C3B"/>
    <w:rsid w:val="00C43C3D"/>
    <w:rsid w:val="00C43CBE"/>
    <w:rsid w:val="00C43E42"/>
    <w:rsid w:val="00C43E60"/>
    <w:rsid w:val="00C43E75"/>
    <w:rsid w:val="00C44014"/>
    <w:rsid w:val="00C441E2"/>
    <w:rsid w:val="00C44304"/>
    <w:rsid w:val="00C44367"/>
    <w:rsid w:val="00C443C7"/>
    <w:rsid w:val="00C443EB"/>
    <w:rsid w:val="00C443FF"/>
    <w:rsid w:val="00C44481"/>
    <w:rsid w:val="00C44483"/>
    <w:rsid w:val="00C4459C"/>
    <w:rsid w:val="00C446BE"/>
    <w:rsid w:val="00C44882"/>
    <w:rsid w:val="00C4491E"/>
    <w:rsid w:val="00C449A9"/>
    <w:rsid w:val="00C44ABA"/>
    <w:rsid w:val="00C44C7E"/>
    <w:rsid w:val="00C44D6B"/>
    <w:rsid w:val="00C44F86"/>
    <w:rsid w:val="00C44FB1"/>
    <w:rsid w:val="00C44FC3"/>
    <w:rsid w:val="00C45012"/>
    <w:rsid w:val="00C4509A"/>
    <w:rsid w:val="00C45148"/>
    <w:rsid w:val="00C4545B"/>
    <w:rsid w:val="00C45647"/>
    <w:rsid w:val="00C45711"/>
    <w:rsid w:val="00C457B0"/>
    <w:rsid w:val="00C459B4"/>
    <w:rsid w:val="00C459BF"/>
    <w:rsid w:val="00C45B2C"/>
    <w:rsid w:val="00C45C16"/>
    <w:rsid w:val="00C45D67"/>
    <w:rsid w:val="00C45E36"/>
    <w:rsid w:val="00C45E8D"/>
    <w:rsid w:val="00C45FF2"/>
    <w:rsid w:val="00C460C8"/>
    <w:rsid w:val="00C460DF"/>
    <w:rsid w:val="00C4622C"/>
    <w:rsid w:val="00C462C4"/>
    <w:rsid w:val="00C462F8"/>
    <w:rsid w:val="00C46447"/>
    <w:rsid w:val="00C46651"/>
    <w:rsid w:val="00C466A2"/>
    <w:rsid w:val="00C4670D"/>
    <w:rsid w:val="00C4675E"/>
    <w:rsid w:val="00C467A2"/>
    <w:rsid w:val="00C467B0"/>
    <w:rsid w:val="00C46814"/>
    <w:rsid w:val="00C46852"/>
    <w:rsid w:val="00C468C6"/>
    <w:rsid w:val="00C46A25"/>
    <w:rsid w:val="00C46CA9"/>
    <w:rsid w:val="00C46E2F"/>
    <w:rsid w:val="00C46EC2"/>
    <w:rsid w:val="00C46EC8"/>
    <w:rsid w:val="00C46F38"/>
    <w:rsid w:val="00C47122"/>
    <w:rsid w:val="00C47236"/>
    <w:rsid w:val="00C473ED"/>
    <w:rsid w:val="00C473F1"/>
    <w:rsid w:val="00C4741E"/>
    <w:rsid w:val="00C47469"/>
    <w:rsid w:val="00C474B2"/>
    <w:rsid w:val="00C47545"/>
    <w:rsid w:val="00C475D3"/>
    <w:rsid w:val="00C47650"/>
    <w:rsid w:val="00C4767B"/>
    <w:rsid w:val="00C476BD"/>
    <w:rsid w:val="00C476ED"/>
    <w:rsid w:val="00C47791"/>
    <w:rsid w:val="00C47840"/>
    <w:rsid w:val="00C4788E"/>
    <w:rsid w:val="00C4795E"/>
    <w:rsid w:val="00C47AAE"/>
    <w:rsid w:val="00C47AF5"/>
    <w:rsid w:val="00C47B0D"/>
    <w:rsid w:val="00C47C55"/>
    <w:rsid w:val="00C47E07"/>
    <w:rsid w:val="00C47E62"/>
    <w:rsid w:val="00C47EED"/>
    <w:rsid w:val="00C47FB9"/>
    <w:rsid w:val="00C4BBE3"/>
    <w:rsid w:val="00C500A2"/>
    <w:rsid w:val="00C5017D"/>
    <w:rsid w:val="00C5024E"/>
    <w:rsid w:val="00C5028E"/>
    <w:rsid w:val="00C502A7"/>
    <w:rsid w:val="00C50441"/>
    <w:rsid w:val="00C50485"/>
    <w:rsid w:val="00C5050E"/>
    <w:rsid w:val="00C505FF"/>
    <w:rsid w:val="00C50755"/>
    <w:rsid w:val="00C5097B"/>
    <w:rsid w:val="00C509D5"/>
    <w:rsid w:val="00C509EE"/>
    <w:rsid w:val="00C50A04"/>
    <w:rsid w:val="00C50A48"/>
    <w:rsid w:val="00C50ACE"/>
    <w:rsid w:val="00C50BE2"/>
    <w:rsid w:val="00C50C4B"/>
    <w:rsid w:val="00C50CE9"/>
    <w:rsid w:val="00C50D4A"/>
    <w:rsid w:val="00C50D7B"/>
    <w:rsid w:val="00C50D9D"/>
    <w:rsid w:val="00C50E32"/>
    <w:rsid w:val="00C50EFE"/>
    <w:rsid w:val="00C50F92"/>
    <w:rsid w:val="00C5108B"/>
    <w:rsid w:val="00C510B7"/>
    <w:rsid w:val="00C511A8"/>
    <w:rsid w:val="00C511B4"/>
    <w:rsid w:val="00C51276"/>
    <w:rsid w:val="00C51319"/>
    <w:rsid w:val="00C515C9"/>
    <w:rsid w:val="00C51616"/>
    <w:rsid w:val="00C51695"/>
    <w:rsid w:val="00C516FC"/>
    <w:rsid w:val="00C5175D"/>
    <w:rsid w:val="00C5179A"/>
    <w:rsid w:val="00C517BF"/>
    <w:rsid w:val="00C517DB"/>
    <w:rsid w:val="00C5183F"/>
    <w:rsid w:val="00C51873"/>
    <w:rsid w:val="00C51B86"/>
    <w:rsid w:val="00C51BB3"/>
    <w:rsid w:val="00C51BB8"/>
    <w:rsid w:val="00C51C17"/>
    <w:rsid w:val="00C51CFD"/>
    <w:rsid w:val="00C51DE3"/>
    <w:rsid w:val="00C51E22"/>
    <w:rsid w:val="00C51E39"/>
    <w:rsid w:val="00C51FAF"/>
    <w:rsid w:val="00C52032"/>
    <w:rsid w:val="00C52035"/>
    <w:rsid w:val="00C52109"/>
    <w:rsid w:val="00C5222B"/>
    <w:rsid w:val="00C5239D"/>
    <w:rsid w:val="00C523B6"/>
    <w:rsid w:val="00C5256F"/>
    <w:rsid w:val="00C52962"/>
    <w:rsid w:val="00C52AA5"/>
    <w:rsid w:val="00C52C2C"/>
    <w:rsid w:val="00C52CBB"/>
    <w:rsid w:val="00C52E1A"/>
    <w:rsid w:val="00C52E2E"/>
    <w:rsid w:val="00C52E4B"/>
    <w:rsid w:val="00C52F56"/>
    <w:rsid w:val="00C52F84"/>
    <w:rsid w:val="00C53025"/>
    <w:rsid w:val="00C53027"/>
    <w:rsid w:val="00C5305E"/>
    <w:rsid w:val="00C53114"/>
    <w:rsid w:val="00C53182"/>
    <w:rsid w:val="00C531BD"/>
    <w:rsid w:val="00C53234"/>
    <w:rsid w:val="00C53361"/>
    <w:rsid w:val="00C533D0"/>
    <w:rsid w:val="00C53567"/>
    <w:rsid w:val="00C5374F"/>
    <w:rsid w:val="00C538A3"/>
    <w:rsid w:val="00C53941"/>
    <w:rsid w:val="00C53958"/>
    <w:rsid w:val="00C539B8"/>
    <w:rsid w:val="00C539D9"/>
    <w:rsid w:val="00C53BE6"/>
    <w:rsid w:val="00C53E4B"/>
    <w:rsid w:val="00C53E57"/>
    <w:rsid w:val="00C53E5B"/>
    <w:rsid w:val="00C54033"/>
    <w:rsid w:val="00C540FC"/>
    <w:rsid w:val="00C542E9"/>
    <w:rsid w:val="00C542EE"/>
    <w:rsid w:val="00C5449D"/>
    <w:rsid w:val="00C5453B"/>
    <w:rsid w:val="00C546F4"/>
    <w:rsid w:val="00C5479A"/>
    <w:rsid w:val="00C547A6"/>
    <w:rsid w:val="00C547F3"/>
    <w:rsid w:val="00C54827"/>
    <w:rsid w:val="00C54A09"/>
    <w:rsid w:val="00C54A23"/>
    <w:rsid w:val="00C54AC1"/>
    <w:rsid w:val="00C54B10"/>
    <w:rsid w:val="00C54C56"/>
    <w:rsid w:val="00C54D04"/>
    <w:rsid w:val="00C54E78"/>
    <w:rsid w:val="00C54EBB"/>
    <w:rsid w:val="00C5507A"/>
    <w:rsid w:val="00C5507C"/>
    <w:rsid w:val="00C55144"/>
    <w:rsid w:val="00C551BA"/>
    <w:rsid w:val="00C55211"/>
    <w:rsid w:val="00C55215"/>
    <w:rsid w:val="00C5541B"/>
    <w:rsid w:val="00C55428"/>
    <w:rsid w:val="00C554D9"/>
    <w:rsid w:val="00C55612"/>
    <w:rsid w:val="00C5564B"/>
    <w:rsid w:val="00C557DF"/>
    <w:rsid w:val="00C557E2"/>
    <w:rsid w:val="00C5586A"/>
    <w:rsid w:val="00C5588F"/>
    <w:rsid w:val="00C55A1C"/>
    <w:rsid w:val="00C55AD0"/>
    <w:rsid w:val="00C55B15"/>
    <w:rsid w:val="00C55C48"/>
    <w:rsid w:val="00C55D0A"/>
    <w:rsid w:val="00C55D76"/>
    <w:rsid w:val="00C55F9C"/>
    <w:rsid w:val="00C5602E"/>
    <w:rsid w:val="00C56065"/>
    <w:rsid w:val="00C56310"/>
    <w:rsid w:val="00C563B0"/>
    <w:rsid w:val="00C56661"/>
    <w:rsid w:val="00C566DE"/>
    <w:rsid w:val="00C56AE6"/>
    <w:rsid w:val="00C56C5F"/>
    <w:rsid w:val="00C56DEE"/>
    <w:rsid w:val="00C56EA7"/>
    <w:rsid w:val="00C57015"/>
    <w:rsid w:val="00C5702F"/>
    <w:rsid w:val="00C57281"/>
    <w:rsid w:val="00C572F4"/>
    <w:rsid w:val="00C57358"/>
    <w:rsid w:val="00C57528"/>
    <w:rsid w:val="00C575DD"/>
    <w:rsid w:val="00C576AF"/>
    <w:rsid w:val="00C57721"/>
    <w:rsid w:val="00C577F2"/>
    <w:rsid w:val="00C57877"/>
    <w:rsid w:val="00C57902"/>
    <w:rsid w:val="00C5790E"/>
    <w:rsid w:val="00C57A25"/>
    <w:rsid w:val="00C57ABE"/>
    <w:rsid w:val="00C57B1C"/>
    <w:rsid w:val="00C57B21"/>
    <w:rsid w:val="00C57CF9"/>
    <w:rsid w:val="00C57FD0"/>
    <w:rsid w:val="00C6001E"/>
    <w:rsid w:val="00C600DB"/>
    <w:rsid w:val="00C60105"/>
    <w:rsid w:val="00C60111"/>
    <w:rsid w:val="00C602EA"/>
    <w:rsid w:val="00C60323"/>
    <w:rsid w:val="00C60480"/>
    <w:rsid w:val="00C605A6"/>
    <w:rsid w:val="00C60668"/>
    <w:rsid w:val="00C6078D"/>
    <w:rsid w:val="00C607A2"/>
    <w:rsid w:val="00C607B0"/>
    <w:rsid w:val="00C607BD"/>
    <w:rsid w:val="00C607C8"/>
    <w:rsid w:val="00C60A99"/>
    <w:rsid w:val="00C60AFE"/>
    <w:rsid w:val="00C60B00"/>
    <w:rsid w:val="00C60BA0"/>
    <w:rsid w:val="00C60D09"/>
    <w:rsid w:val="00C60FDD"/>
    <w:rsid w:val="00C61081"/>
    <w:rsid w:val="00C611A1"/>
    <w:rsid w:val="00C611C3"/>
    <w:rsid w:val="00C61215"/>
    <w:rsid w:val="00C612F1"/>
    <w:rsid w:val="00C61456"/>
    <w:rsid w:val="00C61649"/>
    <w:rsid w:val="00C61863"/>
    <w:rsid w:val="00C6189C"/>
    <w:rsid w:val="00C61ABA"/>
    <w:rsid w:val="00C61BE4"/>
    <w:rsid w:val="00C61C57"/>
    <w:rsid w:val="00C61C8C"/>
    <w:rsid w:val="00C61CAA"/>
    <w:rsid w:val="00C61E4C"/>
    <w:rsid w:val="00C62012"/>
    <w:rsid w:val="00C6204F"/>
    <w:rsid w:val="00C6207B"/>
    <w:rsid w:val="00C620CA"/>
    <w:rsid w:val="00C621A3"/>
    <w:rsid w:val="00C622EF"/>
    <w:rsid w:val="00C62321"/>
    <w:rsid w:val="00C6247A"/>
    <w:rsid w:val="00C624F7"/>
    <w:rsid w:val="00C62565"/>
    <w:rsid w:val="00C6276B"/>
    <w:rsid w:val="00C627F4"/>
    <w:rsid w:val="00C628AB"/>
    <w:rsid w:val="00C628F3"/>
    <w:rsid w:val="00C62938"/>
    <w:rsid w:val="00C62B7B"/>
    <w:rsid w:val="00C62CEC"/>
    <w:rsid w:val="00C62D47"/>
    <w:rsid w:val="00C62D56"/>
    <w:rsid w:val="00C63047"/>
    <w:rsid w:val="00C630BD"/>
    <w:rsid w:val="00C63132"/>
    <w:rsid w:val="00C6314C"/>
    <w:rsid w:val="00C63283"/>
    <w:rsid w:val="00C63403"/>
    <w:rsid w:val="00C634EB"/>
    <w:rsid w:val="00C63518"/>
    <w:rsid w:val="00C635A9"/>
    <w:rsid w:val="00C6365D"/>
    <w:rsid w:val="00C636E9"/>
    <w:rsid w:val="00C63775"/>
    <w:rsid w:val="00C63777"/>
    <w:rsid w:val="00C6393C"/>
    <w:rsid w:val="00C639FE"/>
    <w:rsid w:val="00C63A06"/>
    <w:rsid w:val="00C63A64"/>
    <w:rsid w:val="00C63ACE"/>
    <w:rsid w:val="00C63B4B"/>
    <w:rsid w:val="00C63C3D"/>
    <w:rsid w:val="00C63C81"/>
    <w:rsid w:val="00C63E53"/>
    <w:rsid w:val="00C63E89"/>
    <w:rsid w:val="00C63FAF"/>
    <w:rsid w:val="00C64087"/>
    <w:rsid w:val="00C64615"/>
    <w:rsid w:val="00C6462E"/>
    <w:rsid w:val="00C646CA"/>
    <w:rsid w:val="00C648CC"/>
    <w:rsid w:val="00C649AB"/>
    <w:rsid w:val="00C64A75"/>
    <w:rsid w:val="00C64AFF"/>
    <w:rsid w:val="00C64B2B"/>
    <w:rsid w:val="00C64C10"/>
    <w:rsid w:val="00C64CB5"/>
    <w:rsid w:val="00C64D78"/>
    <w:rsid w:val="00C64E5C"/>
    <w:rsid w:val="00C650BB"/>
    <w:rsid w:val="00C650BC"/>
    <w:rsid w:val="00C6537E"/>
    <w:rsid w:val="00C65381"/>
    <w:rsid w:val="00C653C6"/>
    <w:rsid w:val="00C65437"/>
    <w:rsid w:val="00C655CF"/>
    <w:rsid w:val="00C65756"/>
    <w:rsid w:val="00C657B3"/>
    <w:rsid w:val="00C657CF"/>
    <w:rsid w:val="00C658CF"/>
    <w:rsid w:val="00C658F6"/>
    <w:rsid w:val="00C65919"/>
    <w:rsid w:val="00C659F3"/>
    <w:rsid w:val="00C65A43"/>
    <w:rsid w:val="00C65AAC"/>
    <w:rsid w:val="00C65C54"/>
    <w:rsid w:val="00C65D4D"/>
    <w:rsid w:val="00C65E2E"/>
    <w:rsid w:val="00C65EF7"/>
    <w:rsid w:val="00C65F62"/>
    <w:rsid w:val="00C66277"/>
    <w:rsid w:val="00C663F6"/>
    <w:rsid w:val="00C66431"/>
    <w:rsid w:val="00C6659C"/>
    <w:rsid w:val="00C666B2"/>
    <w:rsid w:val="00C66884"/>
    <w:rsid w:val="00C668C7"/>
    <w:rsid w:val="00C66978"/>
    <w:rsid w:val="00C6698E"/>
    <w:rsid w:val="00C66B43"/>
    <w:rsid w:val="00C66ECB"/>
    <w:rsid w:val="00C66EE6"/>
    <w:rsid w:val="00C66EE8"/>
    <w:rsid w:val="00C66F3F"/>
    <w:rsid w:val="00C66FAD"/>
    <w:rsid w:val="00C66FE2"/>
    <w:rsid w:val="00C66FF6"/>
    <w:rsid w:val="00C670BE"/>
    <w:rsid w:val="00C67102"/>
    <w:rsid w:val="00C67227"/>
    <w:rsid w:val="00C672BD"/>
    <w:rsid w:val="00C672D3"/>
    <w:rsid w:val="00C6737E"/>
    <w:rsid w:val="00C673EB"/>
    <w:rsid w:val="00C67403"/>
    <w:rsid w:val="00C67449"/>
    <w:rsid w:val="00C674D8"/>
    <w:rsid w:val="00C674E5"/>
    <w:rsid w:val="00C675C6"/>
    <w:rsid w:val="00C67681"/>
    <w:rsid w:val="00C676AC"/>
    <w:rsid w:val="00C677F7"/>
    <w:rsid w:val="00C67895"/>
    <w:rsid w:val="00C679AF"/>
    <w:rsid w:val="00C67A33"/>
    <w:rsid w:val="00C67B59"/>
    <w:rsid w:val="00C67C05"/>
    <w:rsid w:val="00C67D00"/>
    <w:rsid w:val="00C67DBD"/>
    <w:rsid w:val="00C67EA7"/>
    <w:rsid w:val="00C67F0E"/>
    <w:rsid w:val="00C67F5F"/>
    <w:rsid w:val="00C67F96"/>
    <w:rsid w:val="00C67FFE"/>
    <w:rsid w:val="00C6C3E3"/>
    <w:rsid w:val="00C6DF26"/>
    <w:rsid w:val="00C7004A"/>
    <w:rsid w:val="00C70101"/>
    <w:rsid w:val="00C7014D"/>
    <w:rsid w:val="00C70199"/>
    <w:rsid w:val="00C7028F"/>
    <w:rsid w:val="00C7030D"/>
    <w:rsid w:val="00C70393"/>
    <w:rsid w:val="00C70512"/>
    <w:rsid w:val="00C7052A"/>
    <w:rsid w:val="00C705AB"/>
    <w:rsid w:val="00C70615"/>
    <w:rsid w:val="00C7068D"/>
    <w:rsid w:val="00C70761"/>
    <w:rsid w:val="00C70935"/>
    <w:rsid w:val="00C70957"/>
    <w:rsid w:val="00C7099D"/>
    <w:rsid w:val="00C70A25"/>
    <w:rsid w:val="00C70A2B"/>
    <w:rsid w:val="00C70A85"/>
    <w:rsid w:val="00C70B02"/>
    <w:rsid w:val="00C70B23"/>
    <w:rsid w:val="00C70B72"/>
    <w:rsid w:val="00C70C5B"/>
    <w:rsid w:val="00C70F00"/>
    <w:rsid w:val="00C71032"/>
    <w:rsid w:val="00C71101"/>
    <w:rsid w:val="00C71218"/>
    <w:rsid w:val="00C713DC"/>
    <w:rsid w:val="00C71572"/>
    <w:rsid w:val="00C716A9"/>
    <w:rsid w:val="00C716F5"/>
    <w:rsid w:val="00C717BB"/>
    <w:rsid w:val="00C717FB"/>
    <w:rsid w:val="00C7185D"/>
    <w:rsid w:val="00C7186C"/>
    <w:rsid w:val="00C71872"/>
    <w:rsid w:val="00C718AD"/>
    <w:rsid w:val="00C7190B"/>
    <w:rsid w:val="00C71978"/>
    <w:rsid w:val="00C71A69"/>
    <w:rsid w:val="00C71B83"/>
    <w:rsid w:val="00C71BA7"/>
    <w:rsid w:val="00C71BFF"/>
    <w:rsid w:val="00C71C1D"/>
    <w:rsid w:val="00C71C47"/>
    <w:rsid w:val="00C71CD8"/>
    <w:rsid w:val="00C71F05"/>
    <w:rsid w:val="00C71F68"/>
    <w:rsid w:val="00C71F6A"/>
    <w:rsid w:val="00C71FE4"/>
    <w:rsid w:val="00C72109"/>
    <w:rsid w:val="00C722C0"/>
    <w:rsid w:val="00C7237C"/>
    <w:rsid w:val="00C723CB"/>
    <w:rsid w:val="00C724C1"/>
    <w:rsid w:val="00C72513"/>
    <w:rsid w:val="00C7251E"/>
    <w:rsid w:val="00C72577"/>
    <w:rsid w:val="00C726B3"/>
    <w:rsid w:val="00C726D3"/>
    <w:rsid w:val="00C72721"/>
    <w:rsid w:val="00C72774"/>
    <w:rsid w:val="00C7290A"/>
    <w:rsid w:val="00C7297E"/>
    <w:rsid w:val="00C729A2"/>
    <w:rsid w:val="00C72A5C"/>
    <w:rsid w:val="00C72AE3"/>
    <w:rsid w:val="00C72C07"/>
    <w:rsid w:val="00C72DBE"/>
    <w:rsid w:val="00C72E9D"/>
    <w:rsid w:val="00C7306D"/>
    <w:rsid w:val="00C73103"/>
    <w:rsid w:val="00C7320C"/>
    <w:rsid w:val="00C73454"/>
    <w:rsid w:val="00C7391D"/>
    <w:rsid w:val="00C7396B"/>
    <w:rsid w:val="00C73B37"/>
    <w:rsid w:val="00C73BB9"/>
    <w:rsid w:val="00C73C64"/>
    <w:rsid w:val="00C73E19"/>
    <w:rsid w:val="00C73F6A"/>
    <w:rsid w:val="00C73F7B"/>
    <w:rsid w:val="00C740CA"/>
    <w:rsid w:val="00C740EF"/>
    <w:rsid w:val="00C7437F"/>
    <w:rsid w:val="00C7470D"/>
    <w:rsid w:val="00C747C2"/>
    <w:rsid w:val="00C74A21"/>
    <w:rsid w:val="00C74A5E"/>
    <w:rsid w:val="00C74B52"/>
    <w:rsid w:val="00C74BCD"/>
    <w:rsid w:val="00C74D53"/>
    <w:rsid w:val="00C74EF7"/>
    <w:rsid w:val="00C750D9"/>
    <w:rsid w:val="00C7512B"/>
    <w:rsid w:val="00C751B2"/>
    <w:rsid w:val="00C7535B"/>
    <w:rsid w:val="00C753E4"/>
    <w:rsid w:val="00C75454"/>
    <w:rsid w:val="00C7561A"/>
    <w:rsid w:val="00C75701"/>
    <w:rsid w:val="00C75734"/>
    <w:rsid w:val="00C757B8"/>
    <w:rsid w:val="00C757DE"/>
    <w:rsid w:val="00C75847"/>
    <w:rsid w:val="00C758F2"/>
    <w:rsid w:val="00C759CD"/>
    <w:rsid w:val="00C75A37"/>
    <w:rsid w:val="00C75AD4"/>
    <w:rsid w:val="00C75AEA"/>
    <w:rsid w:val="00C75B38"/>
    <w:rsid w:val="00C75C70"/>
    <w:rsid w:val="00C75C77"/>
    <w:rsid w:val="00C75CAC"/>
    <w:rsid w:val="00C75CAD"/>
    <w:rsid w:val="00C75D95"/>
    <w:rsid w:val="00C75FB8"/>
    <w:rsid w:val="00C760B2"/>
    <w:rsid w:val="00C76262"/>
    <w:rsid w:val="00C76370"/>
    <w:rsid w:val="00C764B6"/>
    <w:rsid w:val="00C764CC"/>
    <w:rsid w:val="00C765E0"/>
    <w:rsid w:val="00C76651"/>
    <w:rsid w:val="00C76678"/>
    <w:rsid w:val="00C768D3"/>
    <w:rsid w:val="00C76912"/>
    <w:rsid w:val="00C7692C"/>
    <w:rsid w:val="00C76AF9"/>
    <w:rsid w:val="00C76C59"/>
    <w:rsid w:val="00C76E1C"/>
    <w:rsid w:val="00C76EE2"/>
    <w:rsid w:val="00C76F4F"/>
    <w:rsid w:val="00C772C4"/>
    <w:rsid w:val="00C77463"/>
    <w:rsid w:val="00C774A2"/>
    <w:rsid w:val="00C774BB"/>
    <w:rsid w:val="00C774CE"/>
    <w:rsid w:val="00C77693"/>
    <w:rsid w:val="00C7784E"/>
    <w:rsid w:val="00C778B6"/>
    <w:rsid w:val="00C778F3"/>
    <w:rsid w:val="00C779D3"/>
    <w:rsid w:val="00C779FA"/>
    <w:rsid w:val="00C77B13"/>
    <w:rsid w:val="00C77CEC"/>
    <w:rsid w:val="00C77D39"/>
    <w:rsid w:val="00C77ECC"/>
    <w:rsid w:val="00C77FB0"/>
    <w:rsid w:val="00C8023C"/>
    <w:rsid w:val="00C80257"/>
    <w:rsid w:val="00C80273"/>
    <w:rsid w:val="00C806A4"/>
    <w:rsid w:val="00C8072F"/>
    <w:rsid w:val="00C80730"/>
    <w:rsid w:val="00C807EA"/>
    <w:rsid w:val="00C808D5"/>
    <w:rsid w:val="00C808F7"/>
    <w:rsid w:val="00C80911"/>
    <w:rsid w:val="00C8093D"/>
    <w:rsid w:val="00C80B0A"/>
    <w:rsid w:val="00C80BC7"/>
    <w:rsid w:val="00C80D1B"/>
    <w:rsid w:val="00C80D62"/>
    <w:rsid w:val="00C80EA4"/>
    <w:rsid w:val="00C80EE7"/>
    <w:rsid w:val="00C80F8F"/>
    <w:rsid w:val="00C80FB7"/>
    <w:rsid w:val="00C80FDE"/>
    <w:rsid w:val="00C8102D"/>
    <w:rsid w:val="00C8106F"/>
    <w:rsid w:val="00C81086"/>
    <w:rsid w:val="00C81166"/>
    <w:rsid w:val="00C81212"/>
    <w:rsid w:val="00C81239"/>
    <w:rsid w:val="00C81391"/>
    <w:rsid w:val="00C814AC"/>
    <w:rsid w:val="00C816E0"/>
    <w:rsid w:val="00C81957"/>
    <w:rsid w:val="00C8196B"/>
    <w:rsid w:val="00C81A90"/>
    <w:rsid w:val="00C81CF6"/>
    <w:rsid w:val="00C81D85"/>
    <w:rsid w:val="00C81DA6"/>
    <w:rsid w:val="00C81DE4"/>
    <w:rsid w:val="00C81FB7"/>
    <w:rsid w:val="00C8219B"/>
    <w:rsid w:val="00C82210"/>
    <w:rsid w:val="00C8234C"/>
    <w:rsid w:val="00C82388"/>
    <w:rsid w:val="00C823EC"/>
    <w:rsid w:val="00C82562"/>
    <w:rsid w:val="00C826DB"/>
    <w:rsid w:val="00C827E1"/>
    <w:rsid w:val="00C82804"/>
    <w:rsid w:val="00C828FA"/>
    <w:rsid w:val="00C8298B"/>
    <w:rsid w:val="00C829EB"/>
    <w:rsid w:val="00C82B2A"/>
    <w:rsid w:val="00C82CFD"/>
    <w:rsid w:val="00C82DA8"/>
    <w:rsid w:val="00C82E9E"/>
    <w:rsid w:val="00C82F3E"/>
    <w:rsid w:val="00C82F4C"/>
    <w:rsid w:val="00C8301B"/>
    <w:rsid w:val="00C830B4"/>
    <w:rsid w:val="00C83147"/>
    <w:rsid w:val="00C832E5"/>
    <w:rsid w:val="00C833D6"/>
    <w:rsid w:val="00C8356C"/>
    <w:rsid w:val="00C8359A"/>
    <w:rsid w:val="00C835CA"/>
    <w:rsid w:val="00C8360F"/>
    <w:rsid w:val="00C83697"/>
    <w:rsid w:val="00C8374C"/>
    <w:rsid w:val="00C8388B"/>
    <w:rsid w:val="00C838CC"/>
    <w:rsid w:val="00C83905"/>
    <w:rsid w:val="00C83A2D"/>
    <w:rsid w:val="00C83A3B"/>
    <w:rsid w:val="00C83C00"/>
    <w:rsid w:val="00C83D56"/>
    <w:rsid w:val="00C83D8E"/>
    <w:rsid w:val="00C83EB2"/>
    <w:rsid w:val="00C83F33"/>
    <w:rsid w:val="00C83FBC"/>
    <w:rsid w:val="00C84063"/>
    <w:rsid w:val="00C843D4"/>
    <w:rsid w:val="00C84470"/>
    <w:rsid w:val="00C84518"/>
    <w:rsid w:val="00C84584"/>
    <w:rsid w:val="00C84698"/>
    <w:rsid w:val="00C84864"/>
    <w:rsid w:val="00C848DE"/>
    <w:rsid w:val="00C84944"/>
    <w:rsid w:val="00C84A13"/>
    <w:rsid w:val="00C84CCA"/>
    <w:rsid w:val="00C84E18"/>
    <w:rsid w:val="00C84E39"/>
    <w:rsid w:val="00C85091"/>
    <w:rsid w:val="00C852E7"/>
    <w:rsid w:val="00C853B9"/>
    <w:rsid w:val="00C85467"/>
    <w:rsid w:val="00C854E3"/>
    <w:rsid w:val="00C8553D"/>
    <w:rsid w:val="00C85639"/>
    <w:rsid w:val="00C85662"/>
    <w:rsid w:val="00C8571D"/>
    <w:rsid w:val="00C8572E"/>
    <w:rsid w:val="00C8578C"/>
    <w:rsid w:val="00C8584A"/>
    <w:rsid w:val="00C85891"/>
    <w:rsid w:val="00C859B0"/>
    <w:rsid w:val="00C85DBA"/>
    <w:rsid w:val="00C85F80"/>
    <w:rsid w:val="00C85FC2"/>
    <w:rsid w:val="00C8602D"/>
    <w:rsid w:val="00C86091"/>
    <w:rsid w:val="00C86288"/>
    <w:rsid w:val="00C86343"/>
    <w:rsid w:val="00C863E7"/>
    <w:rsid w:val="00C864B5"/>
    <w:rsid w:val="00C86514"/>
    <w:rsid w:val="00C86761"/>
    <w:rsid w:val="00C86884"/>
    <w:rsid w:val="00C868F6"/>
    <w:rsid w:val="00C86909"/>
    <w:rsid w:val="00C86919"/>
    <w:rsid w:val="00C86A3B"/>
    <w:rsid w:val="00C86A61"/>
    <w:rsid w:val="00C86ACA"/>
    <w:rsid w:val="00C86B60"/>
    <w:rsid w:val="00C86D05"/>
    <w:rsid w:val="00C86EC4"/>
    <w:rsid w:val="00C8715A"/>
    <w:rsid w:val="00C871CA"/>
    <w:rsid w:val="00C8729D"/>
    <w:rsid w:val="00C874DD"/>
    <w:rsid w:val="00C8798F"/>
    <w:rsid w:val="00C87AD9"/>
    <w:rsid w:val="00C87B08"/>
    <w:rsid w:val="00C87C59"/>
    <w:rsid w:val="00C87C75"/>
    <w:rsid w:val="00C87C8A"/>
    <w:rsid w:val="00C87C9E"/>
    <w:rsid w:val="00C87EC7"/>
    <w:rsid w:val="00C901D8"/>
    <w:rsid w:val="00C90215"/>
    <w:rsid w:val="00C90217"/>
    <w:rsid w:val="00C903E7"/>
    <w:rsid w:val="00C90640"/>
    <w:rsid w:val="00C90663"/>
    <w:rsid w:val="00C90699"/>
    <w:rsid w:val="00C9075E"/>
    <w:rsid w:val="00C90774"/>
    <w:rsid w:val="00C90A7E"/>
    <w:rsid w:val="00C90AD2"/>
    <w:rsid w:val="00C90AD6"/>
    <w:rsid w:val="00C90ADA"/>
    <w:rsid w:val="00C90ADB"/>
    <w:rsid w:val="00C90B79"/>
    <w:rsid w:val="00C90D0F"/>
    <w:rsid w:val="00C90D54"/>
    <w:rsid w:val="00C911FF"/>
    <w:rsid w:val="00C9123A"/>
    <w:rsid w:val="00C91500"/>
    <w:rsid w:val="00C91555"/>
    <w:rsid w:val="00C915D0"/>
    <w:rsid w:val="00C916D6"/>
    <w:rsid w:val="00C918C1"/>
    <w:rsid w:val="00C91992"/>
    <w:rsid w:val="00C91A9D"/>
    <w:rsid w:val="00C91AAC"/>
    <w:rsid w:val="00C91AE1"/>
    <w:rsid w:val="00C91B1E"/>
    <w:rsid w:val="00C91B2E"/>
    <w:rsid w:val="00C91BFB"/>
    <w:rsid w:val="00C91C8C"/>
    <w:rsid w:val="00C91D73"/>
    <w:rsid w:val="00C91DDB"/>
    <w:rsid w:val="00C91E69"/>
    <w:rsid w:val="00C91F55"/>
    <w:rsid w:val="00C91F88"/>
    <w:rsid w:val="00C920EC"/>
    <w:rsid w:val="00C921AF"/>
    <w:rsid w:val="00C923AD"/>
    <w:rsid w:val="00C92555"/>
    <w:rsid w:val="00C92623"/>
    <w:rsid w:val="00C9273C"/>
    <w:rsid w:val="00C9282D"/>
    <w:rsid w:val="00C928BB"/>
    <w:rsid w:val="00C92977"/>
    <w:rsid w:val="00C92980"/>
    <w:rsid w:val="00C92BA8"/>
    <w:rsid w:val="00C92CAC"/>
    <w:rsid w:val="00C92D2C"/>
    <w:rsid w:val="00C92D43"/>
    <w:rsid w:val="00C92E8A"/>
    <w:rsid w:val="00C93030"/>
    <w:rsid w:val="00C931F0"/>
    <w:rsid w:val="00C931FE"/>
    <w:rsid w:val="00C933C4"/>
    <w:rsid w:val="00C933CC"/>
    <w:rsid w:val="00C93403"/>
    <w:rsid w:val="00C9340B"/>
    <w:rsid w:val="00C93580"/>
    <w:rsid w:val="00C935A8"/>
    <w:rsid w:val="00C93765"/>
    <w:rsid w:val="00C937AC"/>
    <w:rsid w:val="00C937F2"/>
    <w:rsid w:val="00C93891"/>
    <w:rsid w:val="00C93B1F"/>
    <w:rsid w:val="00C93D02"/>
    <w:rsid w:val="00C93D15"/>
    <w:rsid w:val="00C93DD3"/>
    <w:rsid w:val="00C93E0A"/>
    <w:rsid w:val="00C93ED6"/>
    <w:rsid w:val="00C93EDC"/>
    <w:rsid w:val="00C93EE0"/>
    <w:rsid w:val="00C94177"/>
    <w:rsid w:val="00C941ED"/>
    <w:rsid w:val="00C942DE"/>
    <w:rsid w:val="00C94425"/>
    <w:rsid w:val="00C94486"/>
    <w:rsid w:val="00C944B6"/>
    <w:rsid w:val="00C9489F"/>
    <w:rsid w:val="00C94937"/>
    <w:rsid w:val="00C949EF"/>
    <w:rsid w:val="00C94A2B"/>
    <w:rsid w:val="00C94B02"/>
    <w:rsid w:val="00C94B70"/>
    <w:rsid w:val="00C94BC9"/>
    <w:rsid w:val="00C94C1E"/>
    <w:rsid w:val="00C94C90"/>
    <w:rsid w:val="00C94CC7"/>
    <w:rsid w:val="00C94CCC"/>
    <w:rsid w:val="00C94CE2"/>
    <w:rsid w:val="00C94DA6"/>
    <w:rsid w:val="00C94E8B"/>
    <w:rsid w:val="00C95020"/>
    <w:rsid w:val="00C9504C"/>
    <w:rsid w:val="00C95316"/>
    <w:rsid w:val="00C953F6"/>
    <w:rsid w:val="00C954B0"/>
    <w:rsid w:val="00C955F7"/>
    <w:rsid w:val="00C9575D"/>
    <w:rsid w:val="00C958DA"/>
    <w:rsid w:val="00C95928"/>
    <w:rsid w:val="00C95A71"/>
    <w:rsid w:val="00C95B63"/>
    <w:rsid w:val="00C95B69"/>
    <w:rsid w:val="00C95D53"/>
    <w:rsid w:val="00C95D5A"/>
    <w:rsid w:val="00C95D80"/>
    <w:rsid w:val="00C9608A"/>
    <w:rsid w:val="00C9608D"/>
    <w:rsid w:val="00C962AC"/>
    <w:rsid w:val="00C9631C"/>
    <w:rsid w:val="00C963EC"/>
    <w:rsid w:val="00C964C1"/>
    <w:rsid w:val="00C964EC"/>
    <w:rsid w:val="00C96549"/>
    <w:rsid w:val="00C96569"/>
    <w:rsid w:val="00C966AF"/>
    <w:rsid w:val="00C966BF"/>
    <w:rsid w:val="00C966C0"/>
    <w:rsid w:val="00C968BC"/>
    <w:rsid w:val="00C96A8D"/>
    <w:rsid w:val="00C96B17"/>
    <w:rsid w:val="00C96B61"/>
    <w:rsid w:val="00C96B71"/>
    <w:rsid w:val="00C96B8C"/>
    <w:rsid w:val="00C96BFD"/>
    <w:rsid w:val="00C96C98"/>
    <w:rsid w:val="00C96C9E"/>
    <w:rsid w:val="00C96CD3"/>
    <w:rsid w:val="00C96D07"/>
    <w:rsid w:val="00C96D37"/>
    <w:rsid w:val="00C96D43"/>
    <w:rsid w:val="00C96D88"/>
    <w:rsid w:val="00C9706E"/>
    <w:rsid w:val="00C97321"/>
    <w:rsid w:val="00C9734D"/>
    <w:rsid w:val="00C9758F"/>
    <w:rsid w:val="00C975C2"/>
    <w:rsid w:val="00C975CF"/>
    <w:rsid w:val="00C97612"/>
    <w:rsid w:val="00C976D6"/>
    <w:rsid w:val="00C978AA"/>
    <w:rsid w:val="00C97A06"/>
    <w:rsid w:val="00C97A9C"/>
    <w:rsid w:val="00C97B0B"/>
    <w:rsid w:val="00C97C5B"/>
    <w:rsid w:val="00C97E3F"/>
    <w:rsid w:val="00C97EAB"/>
    <w:rsid w:val="00C97EAE"/>
    <w:rsid w:val="00C97F39"/>
    <w:rsid w:val="00C97F50"/>
    <w:rsid w:val="00C97FD8"/>
    <w:rsid w:val="00CA00C7"/>
    <w:rsid w:val="00CA012C"/>
    <w:rsid w:val="00CA01F8"/>
    <w:rsid w:val="00CA051B"/>
    <w:rsid w:val="00CA0577"/>
    <w:rsid w:val="00CA05C3"/>
    <w:rsid w:val="00CA05D4"/>
    <w:rsid w:val="00CA0630"/>
    <w:rsid w:val="00CA06E0"/>
    <w:rsid w:val="00CA0737"/>
    <w:rsid w:val="00CA07D8"/>
    <w:rsid w:val="00CA0845"/>
    <w:rsid w:val="00CA08F6"/>
    <w:rsid w:val="00CA0953"/>
    <w:rsid w:val="00CA096E"/>
    <w:rsid w:val="00CA0A00"/>
    <w:rsid w:val="00CA0A0C"/>
    <w:rsid w:val="00CA0A1F"/>
    <w:rsid w:val="00CA0A84"/>
    <w:rsid w:val="00CA0D05"/>
    <w:rsid w:val="00CA0DA8"/>
    <w:rsid w:val="00CA0DCA"/>
    <w:rsid w:val="00CA0DE8"/>
    <w:rsid w:val="00CA0EFE"/>
    <w:rsid w:val="00CA0FAF"/>
    <w:rsid w:val="00CA107D"/>
    <w:rsid w:val="00CA11E5"/>
    <w:rsid w:val="00CA12CB"/>
    <w:rsid w:val="00CA1319"/>
    <w:rsid w:val="00CA1434"/>
    <w:rsid w:val="00CA159B"/>
    <w:rsid w:val="00CA15AF"/>
    <w:rsid w:val="00CA1869"/>
    <w:rsid w:val="00CA19B8"/>
    <w:rsid w:val="00CA1A04"/>
    <w:rsid w:val="00CA1B6A"/>
    <w:rsid w:val="00CA1D45"/>
    <w:rsid w:val="00CA1DFB"/>
    <w:rsid w:val="00CA1E1E"/>
    <w:rsid w:val="00CA2019"/>
    <w:rsid w:val="00CA201A"/>
    <w:rsid w:val="00CA2082"/>
    <w:rsid w:val="00CA20AC"/>
    <w:rsid w:val="00CA21D7"/>
    <w:rsid w:val="00CA230C"/>
    <w:rsid w:val="00CA2337"/>
    <w:rsid w:val="00CA23C3"/>
    <w:rsid w:val="00CA2627"/>
    <w:rsid w:val="00CA26DD"/>
    <w:rsid w:val="00CA2A89"/>
    <w:rsid w:val="00CA2B72"/>
    <w:rsid w:val="00CA2CD9"/>
    <w:rsid w:val="00CA2EAC"/>
    <w:rsid w:val="00CA2F0C"/>
    <w:rsid w:val="00CA2F3D"/>
    <w:rsid w:val="00CA2F71"/>
    <w:rsid w:val="00CA30F0"/>
    <w:rsid w:val="00CA3121"/>
    <w:rsid w:val="00CA316B"/>
    <w:rsid w:val="00CA31AA"/>
    <w:rsid w:val="00CA31F4"/>
    <w:rsid w:val="00CA337A"/>
    <w:rsid w:val="00CA33C8"/>
    <w:rsid w:val="00CA343C"/>
    <w:rsid w:val="00CA347C"/>
    <w:rsid w:val="00CA3512"/>
    <w:rsid w:val="00CA3540"/>
    <w:rsid w:val="00CA36A0"/>
    <w:rsid w:val="00CA36B2"/>
    <w:rsid w:val="00CA3704"/>
    <w:rsid w:val="00CA3AEE"/>
    <w:rsid w:val="00CA3B93"/>
    <w:rsid w:val="00CA3D66"/>
    <w:rsid w:val="00CA3D8A"/>
    <w:rsid w:val="00CA3E2F"/>
    <w:rsid w:val="00CA3F3B"/>
    <w:rsid w:val="00CA3FA1"/>
    <w:rsid w:val="00CA3FAB"/>
    <w:rsid w:val="00CA409D"/>
    <w:rsid w:val="00CA41A6"/>
    <w:rsid w:val="00CA42B5"/>
    <w:rsid w:val="00CA437C"/>
    <w:rsid w:val="00CA45A0"/>
    <w:rsid w:val="00CA4677"/>
    <w:rsid w:val="00CA47E1"/>
    <w:rsid w:val="00CA4842"/>
    <w:rsid w:val="00CA4A07"/>
    <w:rsid w:val="00CA4A25"/>
    <w:rsid w:val="00CA4AF0"/>
    <w:rsid w:val="00CA4E89"/>
    <w:rsid w:val="00CA51A7"/>
    <w:rsid w:val="00CA5358"/>
    <w:rsid w:val="00CA536B"/>
    <w:rsid w:val="00CA53DC"/>
    <w:rsid w:val="00CA5406"/>
    <w:rsid w:val="00CA545D"/>
    <w:rsid w:val="00CA54CE"/>
    <w:rsid w:val="00CA562D"/>
    <w:rsid w:val="00CA569C"/>
    <w:rsid w:val="00CA5771"/>
    <w:rsid w:val="00CA57FB"/>
    <w:rsid w:val="00CA5896"/>
    <w:rsid w:val="00CA589C"/>
    <w:rsid w:val="00CA595F"/>
    <w:rsid w:val="00CA5A70"/>
    <w:rsid w:val="00CA5A89"/>
    <w:rsid w:val="00CA5B32"/>
    <w:rsid w:val="00CA5BDB"/>
    <w:rsid w:val="00CA5BF9"/>
    <w:rsid w:val="00CA5C25"/>
    <w:rsid w:val="00CA5D75"/>
    <w:rsid w:val="00CA5EA0"/>
    <w:rsid w:val="00CA5EB6"/>
    <w:rsid w:val="00CA5FAE"/>
    <w:rsid w:val="00CA5FCF"/>
    <w:rsid w:val="00CA604D"/>
    <w:rsid w:val="00CA60A0"/>
    <w:rsid w:val="00CA60E1"/>
    <w:rsid w:val="00CA61C8"/>
    <w:rsid w:val="00CA6395"/>
    <w:rsid w:val="00CA63FB"/>
    <w:rsid w:val="00CA644A"/>
    <w:rsid w:val="00CA655E"/>
    <w:rsid w:val="00CA65E4"/>
    <w:rsid w:val="00CA6609"/>
    <w:rsid w:val="00CA6947"/>
    <w:rsid w:val="00CA698F"/>
    <w:rsid w:val="00CA69E2"/>
    <w:rsid w:val="00CA6A6F"/>
    <w:rsid w:val="00CA6A87"/>
    <w:rsid w:val="00CA6BAB"/>
    <w:rsid w:val="00CA6BD3"/>
    <w:rsid w:val="00CA6C25"/>
    <w:rsid w:val="00CA6C64"/>
    <w:rsid w:val="00CA6C88"/>
    <w:rsid w:val="00CA6CEB"/>
    <w:rsid w:val="00CA70A9"/>
    <w:rsid w:val="00CA75D8"/>
    <w:rsid w:val="00CA760A"/>
    <w:rsid w:val="00CA761E"/>
    <w:rsid w:val="00CA7639"/>
    <w:rsid w:val="00CA7688"/>
    <w:rsid w:val="00CA76C4"/>
    <w:rsid w:val="00CA775F"/>
    <w:rsid w:val="00CA7B35"/>
    <w:rsid w:val="00CA7BCB"/>
    <w:rsid w:val="00CA7C1D"/>
    <w:rsid w:val="00CA7C2A"/>
    <w:rsid w:val="00CA7C33"/>
    <w:rsid w:val="00CA7C64"/>
    <w:rsid w:val="00CA7CBC"/>
    <w:rsid w:val="00CA7D07"/>
    <w:rsid w:val="00CA7E92"/>
    <w:rsid w:val="00CA7F12"/>
    <w:rsid w:val="00CA7FBF"/>
    <w:rsid w:val="00CA9795"/>
    <w:rsid w:val="00CB0176"/>
    <w:rsid w:val="00CB01DC"/>
    <w:rsid w:val="00CB021D"/>
    <w:rsid w:val="00CB0243"/>
    <w:rsid w:val="00CB02EA"/>
    <w:rsid w:val="00CB0332"/>
    <w:rsid w:val="00CB037A"/>
    <w:rsid w:val="00CB0392"/>
    <w:rsid w:val="00CB0499"/>
    <w:rsid w:val="00CB05AF"/>
    <w:rsid w:val="00CB0600"/>
    <w:rsid w:val="00CB0755"/>
    <w:rsid w:val="00CB0769"/>
    <w:rsid w:val="00CB07A6"/>
    <w:rsid w:val="00CB0A0C"/>
    <w:rsid w:val="00CB0A3F"/>
    <w:rsid w:val="00CB0A7A"/>
    <w:rsid w:val="00CB0B17"/>
    <w:rsid w:val="00CB0B7E"/>
    <w:rsid w:val="00CB0BF7"/>
    <w:rsid w:val="00CB0C7A"/>
    <w:rsid w:val="00CB0CE3"/>
    <w:rsid w:val="00CB0E46"/>
    <w:rsid w:val="00CB0EC9"/>
    <w:rsid w:val="00CB1013"/>
    <w:rsid w:val="00CB1149"/>
    <w:rsid w:val="00CB11BF"/>
    <w:rsid w:val="00CB12D5"/>
    <w:rsid w:val="00CB13DC"/>
    <w:rsid w:val="00CB1485"/>
    <w:rsid w:val="00CB14B3"/>
    <w:rsid w:val="00CB186B"/>
    <w:rsid w:val="00CB1A10"/>
    <w:rsid w:val="00CB1A30"/>
    <w:rsid w:val="00CB1C17"/>
    <w:rsid w:val="00CB1D3A"/>
    <w:rsid w:val="00CB1D9F"/>
    <w:rsid w:val="00CB1DCA"/>
    <w:rsid w:val="00CB1E3D"/>
    <w:rsid w:val="00CB1ED8"/>
    <w:rsid w:val="00CB1FE6"/>
    <w:rsid w:val="00CB2022"/>
    <w:rsid w:val="00CB2046"/>
    <w:rsid w:val="00CB2098"/>
    <w:rsid w:val="00CB2202"/>
    <w:rsid w:val="00CB2261"/>
    <w:rsid w:val="00CB2271"/>
    <w:rsid w:val="00CB241A"/>
    <w:rsid w:val="00CB2512"/>
    <w:rsid w:val="00CB253B"/>
    <w:rsid w:val="00CB25E7"/>
    <w:rsid w:val="00CB2713"/>
    <w:rsid w:val="00CB2838"/>
    <w:rsid w:val="00CB29D5"/>
    <w:rsid w:val="00CB2DEC"/>
    <w:rsid w:val="00CB2E6E"/>
    <w:rsid w:val="00CB2F66"/>
    <w:rsid w:val="00CB3005"/>
    <w:rsid w:val="00CB30EB"/>
    <w:rsid w:val="00CB310A"/>
    <w:rsid w:val="00CB3181"/>
    <w:rsid w:val="00CB31E3"/>
    <w:rsid w:val="00CB332B"/>
    <w:rsid w:val="00CB3381"/>
    <w:rsid w:val="00CB357A"/>
    <w:rsid w:val="00CB361B"/>
    <w:rsid w:val="00CB3681"/>
    <w:rsid w:val="00CB36AC"/>
    <w:rsid w:val="00CB3715"/>
    <w:rsid w:val="00CB39F4"/>
    <w:rsid w:val="00CB3A1E"/>
    <w:rsid w:val="00CB3A4D"/>
    <w:rsid w:val="00CB3A99"/>
    <w:rsid w:val="00CB3BFE"/>
    <w:rsid w:val="00CB3C60"/>
    <w:rsid w:val="00CB3C7E"/>
    <w:rsid w:val="00CB3D39"/>
    <w:rsid w:val="00CB3E08"/>
    <w:rsid w:val="00CB3F1D"/>
    <w:rsid w:val="00CB4042"/>
    <w:rsid w:val="00CB40EE"/>
    <w:rsid w:val="00CB4206"/>
    <w:rsid w:val="00CB4291"/>
    <w:rsid w:val="00CB430D"/>
    <w:rsid w:val="00CB44BA"/>
    <w:rsid w:val="00CB458F"/>
    <w:rsid w:val="00CB4594"/>
    <w:rsid w:val="00CB47CA"/>
    <w:rsid w:val="00CB48B3"/>
    <w:rsid w:val="00CB48DD"/>
    <w:rsid w:val="00CB496A"/>
    <w:rsid w:val="00CB4A43"/>
    <w:rsid w:val="00CB4A9A"/>
    <w:rsid w:val="00CB4B05"/>
    <w:rsid w:val="00CB4B53"/>
    <w:rsid w:val="00CB4D69"/>
    <w:rsid w:val="00CB4D8E"/>
    <w:rsid w:val="00CB4F47"/>
    <w:rsid w:val="00CB508F"/>
    <w:rsid w:val="00CB516E"/>
    <w:rsid w:val="00CB51E7"/>
    <w:rsid w:val="00CB526F"/>
    <w:rsid w:val="00CB5283"/>
    <w:rsid w:val="00CB545C"/>
    <w:rsid w:val="00CB54F1"/>
    <w:rsid w:val="00CB5507"/>
    <w:rsid w:val="00CB55D4"/>
    <w:rsid w:val="00CB56F1"/>
    <w:rsid w:val="00CB5708"/>
    <w:rsid w:val="00CB5834"/>
    <w:rsid w:val="00CB592D"/>
    <w:rsid w:val="00CB5980"/>
    <w:rsid w:val="00CB59E7"/>
    <w:rsid w:val="00CB5A03"/>
    <w:rsid w:val="00CB5A64"/>
    <w:rsid w:val="00CB5B3C"/>
    <w:rsid w:val="00CB5B97"/>
    <w:rsid w:val="00CB5BED"/>
    <w:rsid w:val="00CB5D0E"/>
    <w:rsid w:val="00CB5DE1"/>
    <w:rsid w:val="00CB5DFE"/>
    <w:rsid w:val="00CB5EC3"/>
    <w:rsid w:val="00CB60AD"/>
    <w:rsid w:val="00CB619A"/>
    <w:rsid w:val="00CB62E8"/>
    <w:rsid w:val="00CB6556"/>
    <w:rsid w:val="00CB658D"/>
    <w:rsid w:val="00CB665B"/>
    <w:rsid w:val="00CB66BF"/>
    <w:rsid w:val="00CB66F3"/>
    <w:rsid w:val="00CB68E9"/>
    <w:rsid w:val="00CB6973"/>
    <w:rsid w:val="00CB6A39"/>
    <w:rsid w:val="00CB6B31"/>
    <w:rsid w:val="00CB6B72"/>
    <w:rsid w:val="00CB6B89"/>
    <w:rsid w:val="00CB6E08"/>
    <w:rsid w:val="00CB6E5D"/>
    <w:rsid w:val="00CB6EEE"/>
    <w:rsid w:val="00CB6FA6"/>
    <w:rsid w:val="00CB7154"/>
    <w:rsid w:val="00CB71B2"/>
    <w:rsid w:val="00CB72D0"/>
    <w:rsid w:val="00CB739B"/>
    <w:rsid w:val="00CB73B6"/>
    <w:rsid w:val="00CB73FD"/>
    <w:rsid w:val="00CB7430"/>
    <w:rsid w:val="00CB7508"/>
    <w:rsid w:val="00CB7619"/>
    <w:rsid w:val="00CB76C0"/>
    <w:rsid w:val="00CB7730"/>
    <w:rsid w:val="00CB7742"/>
    <w:rsid w:val="00CB7821"/>
    <w:rsid w:val="00CB7996"/>
    <w:rsid w:val="00CB7AFC"/>
    <w:rsid w:val="00CB7C07"/>
    <w:rsid w:val="00CB7C92"/>
    <w:rsid w:val="00CB7D56"/>
    <w:rsid w:val="00CB7DB4"/>
    <w:rsid w:val="00CB7E1E"/>
    <w:rsid w:val="00CB7E28"/>
    <w:rsid w:val="00CB7E5D"/>
    <w:rsid w:val="00CB7F81"/>
    <w:rsid w:val="00CC0000"/>
    <w:rsid w:val="00CC0044"/>
    <w:rsid w:val="00CC01A6"/>
    <w:rsid w:val="00CC029F"/>
    <w:rsid w:val="00CC0394"/>
    <w:rsid w:val="00CC03C9"/>
    <w:rsid w:val="00CC04AF"/>
    <w:rsid w:val="00CC0532"/>
    <w:rsid w:val="00CC06A1"/>
    <w:rsid w:val="00CC06F4"/>
    <w:rsid w:val="00CC080C"/>
    <w:rsid w:val="00CC080E"/>
    <w:rsid w:val="00CC09A4"/>
    <w:rsid w:val="00CC0A67"/>
    <w:rsid w:val="00CC0AA0"/>
    <w:rsid w:val="00CC0AB4"/>
    <w:rsid w:val="00CC0D7C"/>
    <w:rsid w:val="00CC0E90"/>
    <w:rsid w:val="00CC0F3C"/>
    <w:rsid w:val="00CC0F55"/>
    <w:rsid w:val="00CC0F8D"/>
    <w:rsid w:val="00CC0FE7"/>
    <w:rsid w:val="00CC1025"/>
    <w:rsid w:val="00CC128A"/>
    <w:rsid w:val="00CC12CE"/>
    <w:rsid w:val="00CC1399"/>
    <w:rsid w:val="00CC1466"/>
    <w:rsid w:val="00CC14CB"/>
    <w:rsid w:val="00CC1630"/>
    <w:rsid w:val="00CC18D5"/>
    <w:rsid w:val="00CC1A3F"/>
    <w:rsid w:val="00CC1ACB"/>
    <w:rsid w:val="00CC1AE0"/>
    <w:rsid w:val="00CC1B05"/>
    <w:rsid w:val="00CC1CB7"/>
    <w:rsid w:val="00CC1DEF"/>
    <w:rsid w:val="00CC1E7D"/>
    <w:rsid w:val="00CC20FC"/>
    <w:rsid w:val="00CC213E"/>
    <w:rsid w:val="00CC216F"/>
    <w:rsid w:val="00CC2197"/>
    <w:rsid w:val="00CC21D9"/>
    <w:rsid w:val="00CC2219"/>
    <w:rsid w:val="00CC23A8"/>
    <w:rsid w:val="00CC2448"/>
    <w:rsid w:val="00CC260A"/>
    <w:rsid w:val="00CC26EA"/>
    <w:rsid w:val="00CC289E"/>
    <w:rsid w:val="00CC29C6"/>
    <w:rsid w:val="00CC29DE"/>
    <w:rsid w:val="00CC2A3E"/>
    <w:rsid w:val="00CC2B4C"/>
    <w:rsid w:val="00CC2BA2"/>
    <w:rsid w:val="00CC2BBB"/>
    <w:rsid w:val="00CC2C3F"/>
    <w:rsid w:val="00CC2D67"/>
    <w:rsid w:val="00CC2D6C"/>
    <w:rsid w:val="00CC2E37"/>
    <w:rsid w:val="00CC2E3A"/>
    <w:rsid w:val="00CC2F05"/>
    <w:rsid w:val="00CC2F13"/>
    <w:rsid w:val="00CC2F90"/>
    <w:rsid w:val="00CC2FB2"/>
    <w:rsid w:val="00CC30C2"/>
    <w:rsid w:val="00CC30D6"/>
    <w:rsid w:val="00CC3178"/>
    <w:rsid w:val="00CC3283"/>
    <w:rsid w:val="00CC329B"/>
    <w:rsid w:val="00CC32B7"/>
    <w:rsid w:val="00CC3322"/>
    <w:rsid w:val="00CC3433"/>
    <w:rsid w:val="00CC3561"/>
    <w:rsid w:val="00CC3633"/>
    <w:rsid w:val="00CC3899"/>
    <w:rsid w:val="00CC3941"/>
    <w:rsid w:val="00CC39C0"/>
    <w:rsid w:val="00CC3A29"/>
    <w:rsid w:val="00CC3A4F"/>
    <w:rsid w:val="00CC3A96"/>
    <w:rsid w:val="00CC3B06"/>
    <w:rsid w:val="00CC3B08"/>
    <w:rsid w:val="00CC3B70"/>
    <w:rsid w:val="00CC3E1B"/>
    <w:rsid w:val="00CC3F32"/>
    <w:rsid w:val="00CC3F34"/>
    <w:rsid w:val="00CC3FFD"/>
    <w:rsid w:val="00CC41C9"/>
    <w:rsid w:val="00CC4247"/>
    <w:rsid w:val="00CC4294"/>
    <w:rsid w:val="00CC4319"/>
    <w:rsid w:val="00CC436C"/>
    <w:rsid w:val="00CC43C7"/>
    <w:rsid w:val="00CC44C1"/>
    <w:rsid w:val="00CC45CF"/>
    <w:rsid w:val="00CC466E"/>
    <w:rsid w:val="00CC4772"/>
    <w:rsid w:val="00CC4880"/>
    <w:rsid w:val="00CC48C9"/>
    <w:rsid w:val="00CC49FA"/>
    <w:rsid w:val="00CC4A00"/>
    <w:rsid w:val="00CC4A9D"/>
    <w:rsid w:val="00CC4BC3"/>
    <w:rsid w:val="00CC4C70"/>
    <w:rsid w:val="00CC4DA4"/>
    <w:rsid w:val="00CC4E87"/>
    <w:rsid w:val="00CC4EAE"/>
    <w:rsid w:val="00CC4F80"/>
    <w:rsid w:val="00CC5042"/>
    <w:rsid w:val="00CC50DB"/>
    <w:rsid w:val="00CC50F4"/>
    <w:rsid w:val="00CC51AE"/>
    <w:rsid w:val="00CC51E5"/>
    <w:rsid w:val="00CC528B"/>
    <w:rsid w:val="00CC52ED"/>
    <w:rsid w:val="00CC54C5"/>
    <w:rsid w:val="00CC55D5"/>
    <w:rsid w:val="00CC5600"/>
    <w:rsid w:val="00CC5757"/>
    <w:rsid w:val="00CC5801"/>
    <w:rsid w:val="00CC58CC"/>
    <w:rsid w:val="00CC58F6"/>
    <w:rsid w:val="00CC5B05"/>
    <w:rsid w:val="00CC5D64"/>
    <w:rsid w:val="00CC5F9E"/>
    <w:rsid w:val="00CC6078"/>
    <w:rsid w:val="00CC60AA"/>
    <w:rsid w:val="00CC61B4"/>
    <w:rsid w:val="00CC6234"/>
    <w:rsid w:val="00CC62D3"/>
    <w:rsid w:val="00CC6542"/>
    <w:rsid w:val="00CC6593"/>
    <w:rsid w:val="00CC65AE"/>
    <w:rsid w:val="00CC65E2"/>
    <w:rsid w:val="00CC65F0"/>
    <w:rsid w:val="00CC669C"/>
    <w:rsid w:val="00CC66BC"/>
    <w:rsid w:val="00CC67AB"/>
    <w:rsid w:val="00CC6859"/>
    <w:rsid w:val="00CC6D41"/>
    <w:rsid w:val="00CC6E2F"/>
    <w:rsid w:val="00CC6E94"/>
    <w:rsid w:val="00CC6EAB"/>
    <w:rsid w:val="00CC6EEF"/>
    <w:rsid w:val="00CC6F07"/>
    <w:rsid w:val="00CC70DF"/>
    <w:rsid w:val="00CC71B2"/>
    <w:rsid w:val="00CC72A6"/>
    <w:rsid w:val="00CC73B6"/>
    <w:rsid w:val="00CC73DF"/>
    <w:rsid w:val="00CC7481"/>
    <w:rsid w:val="00CC74D0"/>
    <w:rsid w:val="00CC755F"/>
    <w:rsid w:val="00CC770F"/>
    <w:rsid w:val="00CC7724"/>
    <w:rsid w:val="00CC77BB"/>
    <w:rsid w:val="00CC77D0"/>
    <w:rsid w:val="00CC791A"/>
    <w:rsid w:val="00CC7EF9"/>
    <w:rsid w:val="00CC7F07"/>
    <w:rsid w:val="00CD007A"/>
    <w:rsid w:val="00CD0325"/>
    <w:rsid w:val="00CD0385"/>
    <w:rsid w:val="00CD03B0"/>
    <w:rsid w:val="00CD0415"/>
    <w:rsid w:val="00CD0495"/>
    <w:rsid w:val="00CD0498"/>
    <w:rsid w:val="00CD0499"/>
    <w:rsid w:val="00CD0579"/>
    <w:rsid w:val="00CD060C"/>
    <w:rsid w:val="00CD0653"/>
    <w:rsid w:val="00CD0781"/>
    <w:rsid w:val="00CD08A8"/>
    <w:rsid w:val="00CD08B1"/>
    <w:rsid w:val="00CD09AE"/>
    <w:rsid w:val="00CD0A60"/>
    <w:rsid w:val="00CD0A71"/>
    <w:rsid w:val="00CD0B4A"/>
    <w:rsid w:val="00CD0BA9"/>
    <w:rsid w:val="00CD0CF7"/>
    <w:rsid w:val="00CD0D67"/>
    <w:rsid w:val="00CD0E26"/>
    <w:rsid w:val="00CD0EE3"/>
    <w:rsid w:val="00CD0FBC"/>
    <w:rsid w:val="00CD1065"/>
    <w:rsid w:val="00CD10E5"/>
    <w:rsid w:val="00CD138F"/>
    <w:rsid w:val="00CD1465"/>
    <w:rsid w:val="00CD14B8"/>
    <w:rsid w:val="00CD15D9"/>
    <w:rsid w:val="00CD15EC"/>
    <w:rsid w:val="00CD1607"/>
    <w:rsid w:val="00CD165D"/>
    <w:rsid w:val="00CD16FC"/>
    <w:rsid w:val="00CD1732"/>
    <w:rsid w:val="00CD1828"/>
    <w:rsid w:val="00CD18FC"/>
    <w:rsid w:val="00CD19E8"/>
    <w:rsid w:val="00CD1A81"/>
    <w:rsid w:val="00CD1A91"/>
    <w:rsid w:val="00CD1BFC"/>
    <w:rsid w:val="00CD1E1C"/>
    <w:rsid w:val="00CD1FAE"/>
    <w:rsid w:val="00CD201A"/>
    <w:rsid w:val="00CD214C"/>
    <w:rsid w:val="00CD2165"/>
    <w:rsid w:val="00CD216C"/>
    <w:rsid w:val="00CD2229"/>
    <w:rsid w:val="00CD22DF"/>
    <w:rsid w:val="00CD2730"/>
    <w:rsid w:val="00CD273A"/>
    <w:rsid w:val="00CD28CD"/>
    <w:rsid w:val="00CD28E6"/>
    <w:rsid w:val="00CD28E9"/>
    <w:rsid w:val="00CD2ACC"/>
    <w:rsid w:val="00CD2E18"/>
    <w:rsid w:val="00CD2E8F"/>
    <w:rsid w:val="00CD335E"/>
    <w:rsid w:val="00CD3422"/>
    <w:rsid w:val="00CD3455"/>
    <w:rsid w:val="00CD3469"/>
    <w:rsid w:val="00CD34FB"/>
    <w:rsid w:val="00CD37E7"/>
    <w:rsid w:val="00CD38D8"/>
    <w:rsid w:val="00CD3A26"/>
    <w:rsid w:val="00CD3A8A"/>
    <w:rsid w:val="00CD3C3D"/>
    <w:rsid w:val="00CD3CE9"/>
    <w:rsid w:val="00CD3D07"/>
    <w:rsid w:val="00CD3D4E"/>
    <w:rsid w:val="00CD3EB4"/>
    <w:rsid w:val="00CD408C"/>
    <w:rsid w:val="00CD40E6"/>
    <w:rsid w:val="00CD42B5"/>
    <w:rsid w:val="00CD436A"/>
    <w:rsid w:val="00CD43CD"/>
    <w:rsid w:val="00CD45EA"/>
    <w:rsid w:val="00CD4608"/>
    <w:rsid w:val="00CD460F"/>
    <w:rsid w:val="00CD4613"/>
    <w:rsid w:val="00CD464F"/>
    <w:rsid w:val="00CD475E"/>
    <w:rsid w:val="00CD487A"/>
    <w:rsid w:val="00CD4C32"/>
    <w:rsid w:val="00CD4C3A"/>
    <w:rsid w:val="00CD4D1C"/>
    <w:rsid w:val="00CD4D72"/>
    <w:rsid w:val="00CD4E79"/>
    <w:rsid w:val="00CD502A"/>
    <w:rsid w:val="00CD503E"/>
    <w:rsid w:val="00CD50CD"/>
    <w:rsid w:val="00CD50E5"/>
    <w:rsid w:val="00CD5108"/>
    <w:rsid w:val="00CD5152"/>
    <w:rsid w:val="00CD5282"/>
    <w:rsid w:val="00CD5323"/>
    <w:rsid w:val="00CD5403"/>
    <w:rsid w:val="00CD5412"/>
    <w:rsid w:val="00CD5431"/>
    <w:rsid w:val="00CD5440"/>
    <w:rsid w:val="00CD5461"/>
    <w:rsid w:val="00CD5751"/>
    <w:rsid w:val="00CD5767"/>
    <w:rsid w:val="00CD580F"/>
    <w:rsid w:val="00CD586E"/>
    <w:rsid w:val="00CD5882"/>
    <w:rsid w:val="00CD5927"/>
    <w:rsid w:val="00CD5936"/>
    <w:rsid w:val="00CD5B29"/>
    <w:rsid w:val="00CD5B5C"/>
    <w:rsid w:val="00CD5EDC"/>
    <w:rsid w:val="00CD60CB"/>
    <w:rsid w:val="00CD622A"/>
    <w:rsid w:val="00CD63B2"/>
    <w:rsid w:val="00CD63DD"/>
    <w:rsid w:val="00CD6464"/>
    <w:rsid w:val="00CD652F"/>
    <w:rsid w:val="00CD6620"/>
    <w:rsid w:val="00CD662E"/>
    <w:rsid w:val="00CD69FE"/>
    <w:rsid w:val="00CD6B6F"/>
    <w:rsid w:val="00CD6CA1"/>
    <w:rsid w:val="00CD6CD1"/>
    <w:rsid w:val="00CD6D98"/>
    <w:rsid w:val="00CD6D9B"/>
    <w:rsid w:val="00CD6DC5"/>
    <w:rsid w:val="00CD6EEE"/>
    <w:rsid w:val="00CD6F19"/>
    <w:rsid w:val="00CD6F1C"/>
    <w:rsid w:val="00CD6F6A"/>
    <w:rsid w:val="00CD6F8D"/>
    <w:rsid w:val="00CD71DB"/>
    <w:rsid w:val="00CD73D8"/>
    <w:rsid w:val="00CD73E1"/>
    <w:rsid w:val="00CD7407"/>
    <w:rsid w:val="00CD740C"/>
    <w:rsid w:val="00CD7472"/>
    <w:rsid w:val="00CD75A5"/>
    <w:rsid w:val="00CD75C2"/>
    <w:rsid w:val="00CD7614"/>
    <w:rsid w:val="00CD7618"/>
    <w:rsid w:val="00CD765A"/>
    <w:rsid w:val="00CD76AA"/>
    <w:rsid w:val="00CD76FB"/>
    <w:rsid w:val="00CD7750"/>
    <w:rsid w:val="00CD778F"/>
    <w:rsid w:val="00CD77D6"/>
    <w:rsid w:val="00CD78A1"/>
    <w:rsid w:val="00CD7941"/>
    <w:rsid w:val="00CD7AEB"/>
    <w:rsid w:val="00CD7D9C"/>
    <w:rsid w:val="00CD7E35"/>
    <w:rsid w:val="00CD7E7E"/>
    <w:rsid w:val="00CD7E81"/>
    <w:rsid w:val="00CD7F58"/>
    <w:rsid w:val="00CD7FB2"/>
    <w:rsid w:val="00CD7FC9"/>
    <w:rsid w:val="00CE006D"/>
    <w:rsid w:val="00CE011A"/>
    <w:rsid w:val="00CE0128"/>
    <w:rsid w:val="00CE017C"/>
    <w:rsid w:val="00CE0208"/>
    <w:rsid w:val="00CE02A6"/>
    <w:rsid w:val="00CE0518"/>
    <w:rsid w:val="00CE054E"/>
    <w:rsid w:val="00CE0604"/>
    <w:rsid w:val="00CE067D"/>
    <w:rsid w:val="00CE071B"/>
    <w:rsid w:val="00CE0732"/>
    <w:rsid w:val="00CE0908"/>
    <w:rsid w:val="00CE094D"/>
    <w:rsid w:val="00CE0A29"/>
    <w:rsid w:val="00CE0B20"/>
    <w:rsid w:val="00CE0B85"/>
    <w:rsid w:val="00CE0BF3"/>
    <w:rsid w:val="00CE0D41"/>
    <w:rsid w:val="00CE0E34"/>
    <w:rsid w:val="00CE0E88"/>
    <w:rsid w:val="00CE0F06"/>
    <w:rsid w:val="00CE0F8A"/>
    <w:rsid w:val="00CE10B2"/>
    <w:rsid w:val="00CE1120"/>
    <w:rsid w:val="00CE1213"/>
    <w:rsid w:val="00CE13E1"/>
    <w:rsid w:val="00CE13ED"/>
    <w:rsid w:val="00CE167C"/>
    <w:rsid w:val="00CE168B"/>
    <w:rsid w:val="00CE1760"/>
    <w:rsid w:val="00CE17FD"/>
    <w:rsid w:val="00CE18DB"/>
    <w:rsid w:val="00CE1956"/>
    <w:rsid w:val="00CE1996"/>
    <w:rsid w:val="00CE1AA1"/>
    <w:rsid w:val="00CE1AFE"/>
    <w:rsid w:val="00CE1C60"/>
    <w:rsid w:val="00CE1C73"/>
    <w:rsid w:val="00CE1D1C"/>
    <w:rsid w:val="00CE1DA2"/>
    <w:rsid w:val="00CE1DFC"/>
    <w:rsid w:val="00CE1FBE"/>
    <w:rsid w:val="00CE2092"/>
    <w:rsid w:val="00CE2153"/>
    <w:rsid w:val="00CE2155"/>
    <w:rsid w:val="00CE222F"/>
    <w:rsid w:val="00CE2303"/>
    <w:rsid w:val="00CE2550"/>
    <w:rsid w:val="00CE25D7"/>
    <w:rsid w:val="00CE2687"/>
    <w:rsid w:val="00CE274E"/>
    <w:rsid w:val="00CE285E"/>
    <w:rsid w:val="00CE2C41"/>
    <w:rsid w:val="00CE2C82"/>
    <w:rsid w:val="00CE2E16"/>
    <w:rsid w:val="00CE3041"/>
    <w:rsid w:val="00CE313F"/>
    <w:rsid w:val="00CE334B"/>
    <w:rsid w:val="00CE3394"/>
    <w:rsid w:val="00CE3546"/>
    <w:rsid w:val="00CE357C"/>
    <w:rsid w:val="00CE35C2"/>
    <w:rsid w:val="00CE362C"/>
    <w:rsid w:val="00CE382F"/>
    <w:rsid w:val="00CE3B43"/>
    <w:rsid w:val="00CE3B50"/>
    <w:rsid w:val="00CE3B5F"/>
    <w:rsid w:val="00CE3C12"/>
    <w:rsid w:val="00CE3D68"/>
    <w:rsid w:val="00CE3D72"/>
    <w:rsid w:val="00CE3E48"/>
    <w:rsid w:val="00CE3E95"/>
    <w:rsid w:val="00CE40CC"/>
    <w:rsid w:val="00CE4202"/>
    <w:rsid w:val="00CE4286"/>
    <w:rsid w:val="00CE4292"/>
    <w:rsid w:val="00CE429F"/>
    <w:rsid w:val="00CE42FD"/>
    <w:rsid w:val="00CE43CA"/>
    <w:rsid w:val="00CE44EA"/>
    <w:rsid w:val="00CE44EF"/>
    <w:rsid w:val="00CE44FA"/>
    <w:rsid w:val="00CE450A"/>
    <w:rsid w:val="00CE454A"/>
    <w:rsid w:val="00CE455A"/>
    <w:rsid w:val="00CE4647"/>
    <w:rsid w:val="00CE4650"/>
    <w:rsid w:val="00CE47A9"/>
    <w:rsid w:val="00CE4894"/>
    <w:rsid w:val="00CE49DD"/>
    <w:rsid w:val="00CE49F8"/>
    <w:rsid w:val="00CE4A33"/>
    <w:rsid w:val="00CE4AF9"/>
    <w:rsid w:val="00CE4B30"/>
    <w:rsid w:val="00CE4B8D"/>
    <w:rsid w:val="00CE4BEC"/>
    <w:rsid w:val="00CE4C12"/>
    <w:rsid w:val="00CE4D46"/>
    <w:rsid w:val="00CE4D61"/>
    <w:rsid w:val="00CE4E08"/>
    <w:rsid w:val="00CE4E2F"/>
    <w:rsid w:val="00CE4EB7"/>
    <w:rsid w:val="00CE4EFF"/>
    <w:rsid w:val="00CE4F4D"/>
    <w:rsid w:val="00CE50A7"/>
    <w:rsid w:val="00CE50E8"/>
    <w:rsid w:val="00CE50EC"/>
    <w:rsid w:val="00CE51F3"/>
    <w:rsid w:val="00CE53EB"/>
    <w:rsid w:val="00CE542D"/>
    <w:rsid w:val="00CE5515"/>
    <w:rsid w:val="00CE5535"/>
    <w:rsid w:val="00CE5544"/>
    <w:rsid w:val="00CE55B1"/>
    <w:rsid w:val="00CE5656"/>
    <w:rsid w:val="00CE568E"/>
    <w:rsid w:val="00CE570E"/>
    <w:rsid w:val="00CE57C6"/>
    <w:rsid w:val="00CE5870"/>
    <w:rsid w:val="00CE5A0C"/>
    <w:rsid w:val="00CE5AAA"/>
    <w:rsid w:val="00CE5B48"/>
    <w:rsid w:val="00CE5E07"/>
    <w:rsid w:val="00CE5E48"/>
    <w:rsid w:val="00CE5EA3"/>
    <w:rsid w:val="00CE6083"/>
    <w:rsid w:val="00CE61E8"/>
    <w:rsid w:val="00CE6330"/>
    <w:rsid w:val="00CE661A"/>
    <w:rsid w:val="00CE6657"/>
    <w:rsid w:val="00CE6667"/>
    <w:rsid w:val="00CE6775"/>
    <w:rsid w:val="00CE67C9"/>
    <w:rsid w:val="00CE67E3"/>
    <w:rsid w:val="00CE69CD"/>
    <w:rsid w:val="00CE6AB1"/>
    <w:rsid w:val="00CE6B9D"/>
    <w:rsid w:val="00CE6FC6"/>
    <w:rsid w:val="00CE7135"/>
    <w:rsid w:val="00CE71F9"/>
    <w:rsid w:val="00CE72E1"/>
    <w:rsid w:val="00CE72EC"/>
    <w:rsid w:val="00CE7491"/>
    <w:rsid w:val="00CE749D"/>
    <w:rsid w:val="00CE7510"/>
    <w:rsid w:val="00CE755F"/>
    <w:rsid w:val="00CE7570"/>
    <w:rsid w:val="00CE7574"/>
    <w:rsid w:val="00CE78C6"/>
    <w:rsid w:val="00CE7934"/>
    <w:rsid w:val="00CE7A5E"/>
    <w:rsid w:val="00CE7B17"/>
    <w:rsid w:val="00CE7B41"/>
    <w:rsid w:val="00CE7C41"/>
    <w:rsid w:val="00CE7D01"/>
    <w:rsid w:val="00CE7EAA"/>
    <w:rsid w:val="00CE7EDE"/>
    <w:rsid w:val="00CE7F07"/>
    <w:rsid w:val="00CF00F0"/>
    <w:rsid w:val="00CF00FC"/>
    <w:rsid w:val="00CF017E"/>
    <w:rsid w:val="00CF01E4"/>
    <w:rsid w:val="00CF0299"/>
    <w:rsid w:val="00CF02B8"/>
    <w:rsid w:val="00CF03FE"/>
    <w:rsid w:val="00CF04E0"/>
    <w:rsid w:val="00CF056B"/>
    <w:rsid w:val="00CF058A"/>
    <w:rsid w:val="00CF0715"/>
    <w:rsid w:val="00CF0822"/>
    <w:rsid w:val="00CF08FB"/>
    <w:rsid w:val="00CF0A2F"/>
    <w:rsid w:val="00CF0A39"/>
    <w:rsid w:val="00CF0B07"/>
    <w:rsid w:val="00CF0B8D"/>
    <w:rsid w:val="00CF0BD4"/>
    <w:rsid w:val="00CF0BDD"/>
    <w:rsid w:val="00CF0E9D"/>
    <w:rsid w:val="00CF101A"/>
    <w:rsid w:val="00CF10B6"/>
    <w:rsid w:val="00CF10E3"/>
    <w:rsid w:val="00CF11AE"/>
    <w:rsid w:val="00CF12CF"/>
    <w:rsid w:val="00CF1376"/>
    <w:rsid w:val="00CF13B6"/>
    <w:rsid w:val="00CF13CE"/>
    <w:rsid w:val="00CF1461"/>
    <w:rsid w:val="00CF14FC"/>
    <w:rsid w:val="00CF1729"/>
    <w:rsid w:val="00CF17E4"/>
    <w:rsid w:val="00CF184D"/>
    <w:rsid w:val="00CF188D"/>
    <w:rsid w:val="00CF1A32"/>
    <w:rsid w:val="00CF1AC4"/>
    <w:rsid w:val="00CF1C22"/>
    <w:rsid w:val="00CF1D8C"/>
    <w:rsid w:val="00CF1E96"/>
    <w:rsid w:val="00CF1EE3"/>
    <w:rsid w:val="00CF2034"/>
    <w:rsid w:val="00CF21E3"/>
    <w:rsid w:val="00CF2248"/>
    <w:rsid w:val="00CF228B"/>
    <w:rsid w:val="00CF242F"/>
    <w:rsid w:val="00CF24A4"/>
    <w:rsid w:val="00CF25D9"/>
    <w:rsid w:val="00CF271B"/>
    <w:rsid w:val="00CF279F"/>
    <w:rsid w:val="00CF2856"/>
    <w:rsid w:val="00CF28E3"/>
    <w:rsid w:val="00CF29C3"/>
    <w:rsid w:val="00CF2A99"/>
    <w:rsid w:val="00CF2AA9"/>
    <w:rsid w:val="00CF2B27"/>
    <w:rsid w:val="00CF2B88"/>
    <w:rsid w:val="00CF2C13"/>
    <w:rsid w:val="00CF2F62"/>
    <w:rsid w:val="00CF3024"/>
    <w:rsid w:val="00CF3102"/>
    <w:rsid w:val="00CF325C"/>
    <w:rsid w:val="00CF336F"/>
    <w:rsid w:val="00CF343A"/>
    <w:rsid w:val="00CF3488"/>
    <w:rsid w:val="00CF34BB"/>
    <w:rsid w:val="00CF35DB"/>
    <w:rsid w:val="00CF36D2"/>
    <w:rsid w:val="00CF3768"/>
    <w:rsid w:val="00CF38FB"/>
    <w:rsid w:val="00CF3961"/>
    <w:rsid w:val="00CF3996"/>
    <w:rsid w:val="00CF3AE5"/>
    <w:rsid w:val="00CF3B7E"/>
    <w:rsid w:val="00CF3BB8"/>
    <w:rsid w:val="00CF3BCF"/>
    <w:rsid w:val="00CF3D84"/>
    <w:rsid w:val="00CF3EA7"/>
    <w:rsid w:val="00CF3F1E"/>
    <w:rsid w:val="00CF3FF9"/>
    <w:rsid w:val="00CF412D"/>
    <w:rsid w:val="00CF424C"/>
    <w:rsid w:val="00CF428B"/>
    <w:rsid w:val="00CF42D5"/>
    <w:rsid w:val="00CF43C2"/>
    <w:rsid w:val="00CF44CA"/>
    <w:rsid w:val="00CF4822"/>
    <w:rsid w:val="00CF49E4"/>
    <w:rsid w:val="00CF4A50"/>
    <w:rsid w:val="00CF4A6A"/>
    <w:rsid w:val="00CF4AF5"/>
    <w:rsid w:val="00CF4B7F"/>
    <w:rsid w:val="00CF4BA3"/>
    <w:rsid w:val="00CF4BE3"/>
    <w:rsid w:val="00CF4DC7"/>
    <w:rsid w:val="00CF4EE4"/>
    <w:rsid w:val="00CF4F77"/>
    <w:rsid w:val="00CF4F94"/>
    <w:rsid w:val="00CF50A0"/>
    <w:rsid w:val="00CF5153"/>
    <w:rsid w:val="00CF51F3"/>
    <w:rsid w:val="00CF5415"/>
    <w:rsid w:val="00CF5475"/>
    <w:rsid w:val="00CF54CF"/>
    <w:rsid w:val="00CF5567"/>
    <w:rsid w:val="00CF5640"/>
    <w:rsid w:val="00CF5661"/>
    <w:rsid w:val="00CF56CF"/>
    <w:rsid w:val="00CF5712"/>
    <w:rsid w:val="00CF59D4"/>
    <w:rsid w:val="00CF59FA"/>
    <w:rsid w:val="00CF5A61"/>
    <w:rsid w:val="00CF5AB0"/>
    <w:rsid w:val="00CF5B88"/>
    <w:rsid w:val="00CF5C78"/>
    <w:rsid w:val="00CF5CF2"/>
    <w:rsid w:val="00CF5E31"/>
    <w:rsid w:val="00CF5E44"/>
    <w:rsid w:val="00CF5E5E"/>
    <w:rsid w:val="00CF5E64"/>
    <w:rsid w:val="00CF6272"/>
    <w:rsid w:val="00CF62EC"/>
    <w:rsid w:val="00CF62ED"/>
    <w:rsid w:val="00CF645A"/>
    <w:rsid w:val="00CF64C3"/>
    <w:rsid w:val="00CF6523"/>
    <w:rsid w:val="00CF654E"/>
    <w:rsid w:val="00CF655F"/>
    <w:rsid w:val="00CF6823"/>
    <w:rsid w:val="00CF6AD3"/>
    <w:rsid w:val="00CF6C7C"/>
    <w:rsid w:val="00CF6F3F"/>
    <w:rsid w:val="00CF702A"/>
    <w:rsid w:val="00CF709A"/>
    <w:rsid w:val="00CF70B1"/>
    <w:rsid w:val="00CF70F5"/>
    <w:rsid w:val="00CF7104"/>
    <w:rsid w:val="00CF7217"/>
    <w:rsid w:val="00CF7289"/>
    <w:rsid w:val="00CF72DA"/>
    <w:rsid w:val="00CF7310"/>
    <w:rsid w:val="00CF73D7"/>
    <w:rsid w:val="00CF7448"/>
    <w:rsid w:val="00CF74C7"/>
    <w:rsid w:val="00CF756A"/>
    <w:rsid w:val="00CF75E0"/>
    <w:rsid w:val="00CF7605"/>
    <w:rsid w:val="00CF763C"/>
    <w:rsid w:val="00CF7650"/>
    <w:rsid w:val="00CF7688"/>
    <w:rsid w:val="00CF7733"/>
    <w:rsid w:val="00CF773B"/>
    <w:rsid w:val="00CF7817"/>
    <w:rsid w:val="00CF7AA9"/>
    <w:rsid w:val="00CF7BAC"/>
    <w:rsid w:val="00CF7C0D"/>
    <w:rsid w:val="00CF7D86"/>
    <w:rsid w:val="00CF7DCC"/>
    <w:rsid w:val="00CF7E68"/>
    <w:rsid w:val="00CF7F0A"/>
    <w:rsid w:val="00CF7F6B"/>
    <w:rsid w:val="00CF7F71"/>
    <w:rsid w:val="00CFAB9F"/>
    <w:rsid w:val="00D00061"/>
    <w:rsid w:val="00D00130"/>
    <w:rsid w:val="00D004D3"/>
    <w:rsid w:val="00D0051D"/>
    <w:rsid w:val="00D005E3"/>
    <w:rsid w:val="00D007E1"/>
    <w:rsid w:val="00D00883"/>
    <w:rsid w:val="00D0090C"/>
    <w:rsid w:val="00D009A5"/>
    <w:rsid w:val="00D00A02"/>
    <w:rsid w:val="00D00A25"/>
    <w:rsid w:val="00D00B5D"/>
    <w:rsid w:val="00D00C8C"/>
    <w:rsid w:val="00D00CBB"/>
    <w:rsid w:val="00D00CF6"/>
    <w:rsid w:val="00D00D6E"/>
    <w:rsid w:val="00D00D7A"/>
    <w:rsid w:val="00D00DAA"/>
    <w:rsid w:val="00D00DD3"/>
    <w:rsid w:val="00D00E8C"/>
    <w:rsid w:val="00D00EEF"/>
    <w:rsid w:val="00D01462"/>
    <w:rsid w:val="00D016BC"/>
    <w:rsid w:val="00D01713"/>
    <w:rsid w:val="00D0179E"/>
    <w:rsid w:val="00D01898"/>
    <w:rsid w:val="00D018F1"/>
    <w:rsid w:val="00D019D9"/>
    <w:rsid w:val="00D01B21"/>
    <w:rsid w:val="00D01D82"/>
    <w:rsid w:val="00D01DEA"/>
    <w:rsid w:val="00D01E78"/>
    <w:rsid w:val="00D01F02"/>
    <w:rsid w:val="00D01F45"/>
    <w:rsid w:val="00D01F46"/>
    <w:rsid w:val="00D01F73"/>
    <w:rsid w:val="00D02034"/>
    <w:rsid w:val="00D02090"/>
    <w:rsid w:val="00D0209F"/>
    <w:rsid w:val="00D0215F"/>
    <w:rsid w:val="00D021BA"/>
    <w:rsid w:val="00D022E4"/>
    <w:rsid w:val="00D0231D"/>
    <w:rsid w:val="00D025A6"/>
    <w:rsid w:val="00D0263D"/>
    <w:rsid w:val="00D02782"/>
    <w:rsid w:val="00D0285F"/>
    <w:rsid w:val="00D02937"/>
    <w:rsid w:val="00D029CA"/>
    <w:rsid w:val="00D029EF"/>
    <w:rsid w:val="00D02DAD"/>
    <w:rsid w:val="00D02DF4"/>
    <w:rsid w:val="00D02E0C"/>
    <w:rsid w:val="00D02E73"/>
    <w:rsid w:val="00D02FFB"/>
    <w:rsid w:val="00D03181"/>
    <w:rsid w:val="00D031B7"/>
    <w:rsid w:val="00D031DA"/>
    <w:rsid w:val="00D032AC"/>
    <w:rsid w:val="00D03418"/>
    <w:rsid w:val="00D0346C"/>
    <w:rsid w:val="00D03587"/>
    <w:rsid w:val="00D037AD"/>
    <w:rsid w:val="00D039A2"/>
    <w:rsid w:val="00D03A9A"/>
    <w:rsid w:val="00D03B9D"/>
    <w:rsid w:val="00D03C68"/>
    <w:rsid w:val="00D03C78"/>
    <w:rsid w:val="00D03C83"/>
    <w:rsid w:val="00D03CE5"/>
    <w:rsid w:val="00D03DC9"/>
    <w:rsid w:val="00D03DF4"/>
    <w:rsid w:val="00D03E66"/>
    <w:rsid w:val="00D03F12"/>
    <w:rsid w:val="00D0421F"/>
    <w:rsid w:val="00D0436D"/>
    <w:rsid w:val="00D04486"/>
    <w:rsid w:val="00D044F0"/>
    <w:rsid w:val="00D0450A"/>
    <w:rsid w:val="00D045A6"/>
    <w:rsid w:val="00D04AD7"/>
    <w:rsid w:val="00D04AFB"/>
    <w:rsid w:val="00D04BEB"/>
    <w:rsid w:val="00D04D79"/>
    <w:rsid w:val="00D05091"/>
    <w:rsid w:val="00D05281"/>
    <w:rsid w:val="00D05402"/>
    <w:rsid w:val="00D05504"/>
    <w:rsid w:val="00D0554D"/>
    <w:rsid w:val="00D055E6"/>
    <w:rsid w:val="00D05668"/>
    <w:rsid w:val="00D056FF"/>
    <w:rsid w:val="00D05707"/>
    <w:rsid w:val="00D05AE1"/>
    <w:rsid w:val="00D05B11"/>
    <w:rsid w:val="00D05B31"/>
    <w:rsid w:val="00D05C31"/>
    <w:rsid w:val="00D05C82"/>
    <w:rsid w:val="00D05CC1"/>
    <w:rsid w:val="00D05CCA"/>
    <w:rsid w:val="00D05D33"/>
    <w:rsid w:val="00D05D46"/>
    <w:rsid w:val="00D05D68"/>
    <w:rsid w:val="00D05F7D"/>
    <w:rsid w:val="00D06079"/>
    <w:rsid w:val="00D060D2"/>
    <w:rsid w:val="00D062D7"/>
    <w:rsid w:val="00D0638A"/>
    <w:rsid w:val="00D0667A"/>
    <w:rsid w:val="00D06721"/>
    <w:rsid w:val="00D068C7"/>
    <w:rsid w:val="00D069C7"/>
    <w:rsid w:val="00D06AEC"/>
    <w:rsid w:val="00D06B15"/>
    <w:rsid w:val="00D06B3F"/>
    <w:rsid w:val="00D06CF6"/>
    <w:rsid w:val="00D06DDE"/>
    <w:rsid w:val="00D06E40"/>
    <w:rsid w:val="00D07030"/>
    <w:rsid w:val="00D07064"/>
    <w:rsid w:val="00D0730D"/>
    <w:rsid w:val="00D0739E"/>
    <w:rsid w:val="00D073DE"/>
    <w:rsid w:val="00D07442"/>
    <w:rsid w:val="00D074DD"/>
    <w:rsid w:val="00D07746"/>
    <w:rsid w:val="00D077FC"/>
    <w:rsid w:val="00D07836"/>
    <w:rsid w:val="00D07843"/>
    <w:rsid w:val="00D0784C"/>
    <w:rsid w:val="00D0789B"/>
    <w:rsid w:val="00D078F3"/>
    <w:rsid w:val="00D0795A"/>
    <w:rsid w:val="00D07A9E"/>
    <w:rsid w:val="00D07AC8"/>
    <w:rsid w:val="00D07C0C"/>
    <w:rsid w:val="00D07CB4"/>
    <w:rsid w:val="00D07CC1"/>
    <w:rsid w:val="00D07DF6"/>
    <w:rsid w:val="00D07EAD"/>
    <w:rsid w:val="00D07F42"/>
    <w:rsid w:val="00D07F58"/>
    <w:rsid w:val="00D07F6D"/>
    <w:rsid w:val="00D10127"/>
    <w:rsid w:val="00D101EF"/>
    <w:rsid w:val="00D10351"/>
    <w:rsid w:val="00D10374"/>
    <w:rsid w:val="00D103A5"/>
    <w:rsid w:val="00D103DE"/>
    <w:rsid w:val="00D1049E"/>
    <w:rsid w:val="00D104B7"/>
    <w:rsid w:val="00D10663"/>
    <w:rsid w:val="00D10896"/>
    <w:rsid w:val="00D108AB"/>
    <w:rsid w:val="00D108E5"/>
    <w:rsid w:val="00D1092E"/>
    <w:rsid w:val="00D10AD1"/>
    <w:rsid w:val="00D10AF6"/>
    <w:rsid w:val="00D10C66"/>
    <w:rsid w:val="00D10CD4"/>
    <w:rsid w:val="00D10EF5"/>
    <w:rsid w:val="00D10F79"/>
    <w:rsid w:val="00D111A0"/>
    <w:rsid w:val="00D111DE"/>
    <w:rsid w:val="00D1121C"/>
    <w:rsid w:val="00D11251"/>
    <w:rsid w:val="00D11324"/>
    <w:rsid w:val="00D11595"/>
    <w:rsid w:val="00D1159D"/>
    <w:rsid w:val="00D1166A"/>
    <w:rsid w:val="00D11681"/>
    <w:rsid w:val="00D11877"/>
    <w:rsid w:val="00D11946"/>
    <w:rsid w:val="00D11A16"/>
    <w:rsid w:val="00D11A24"/>
    <w:rsid w:val="00D11E6E"/>
    <w:rsid w:val="00D11EB7"/>
    <w:rsid w:val="00D1205D"/>
    <w:rsid w:val="00D1213E"/>
    <w:rsid w:val="00D121AD"/>
    <w:rsid w:val="00D12296"/>
    <w:rsid w:val="00D12342"/>
    <w:rsid w:val="00D123C1"/>
    <w:rsid w:val="00D12418"/>
    <w:rsid w:val="00D12472"/>
    <w:rsid w:val="00D12491"/>
    <w:rsid w:val="00D125B2"/>
    <w:rsid w:val="00D125EE"/>
    <w:rsid w:val="00D12694"/>
    <w:rsid w:val="00D126A5"/>
    <w:rsid w:val="00D126D2"/>
    <w:rsid w:val="00D12722"/>
    <w:rsid w:val="00D12760"/>
    <w:rsid w:val="00D127B3"/>
    <w:rsid w:val="00D1295A"/>
    <w:rsid w:val="00D12A68"/>
    <w:rsid w:val="00D12B00"/>
    <w:rsid w:val="00D12B10"/>
    <w:rsid w:val="00D12BA7"/>
    <w:rsid w:val="00D12BB1"/>
    <w:rsid w:val="00D12CF0"/>
    <w:rsid w:val="00D12D02"/>
    <w:rsid w:val="00D12D61"/>
    <w:rsid w:val="00D12FD7"/>
    <w:rsid w:val="00D130F0"/>
    <w:rsid w:val="00D132D7"/>
    <w:rsid w:val="00D1337A"/>
    <w:rsid w:val="00D134B1"/>
    <w:rsid w:val="00D1353B"/>
    <w:rsid w:val="00D1363B"/>
    <w:rsid w:val="00D139E5"/>
    <w:rsid w:val="00D13A83"/>
    <w:rsid w:val="00D13AC5"/>
    <w:rsid w:val="00D13B15"/>
    <w:rsid w:val="00D13D90"/>
    <w:rsid w:val="00D13DC0"/>
    <w:rsid w:val="00D13E2D"/>
    <w:rsid w:val="00D13F92"/>
    <w:rsid w:val="00D1426B"/>
    <w:rsid w:val="00D142DE"/>
    <w:rsid w:val="00D142E4"/>
    <w:rsid w:val="00D14326"/>
    <w:rsid w:val="00D1437D"/>
    <w:rsid w:val="00D14394"/>
    <w:rsid w:val="00D143B7"/>
    <w:rsid w:val="00D14462"/>
    <w:rsid w:val="00D145A8"/>
    <w:rsid w:val="00D145F6"/>
    <w:rsid w:val="00D1475C"/>
    <w:rsid w:val="00D147BD"/>
    <w:rsid w:val="00D14876"/>
    <w:rsid w:val="00D14954"/>
    <w:rsid w:val="00D14A09"/>
    <w:rsid w:val="00D14A3E"/>
    <w:rsid w:val="00D14C50"/>
    <w:rsid w:val="00D14CDF"/>
    <w:rsid w:val="00D14D75"/>
    <w:rsid w:val="00D14D96"/>
    <w:rsid w:val="00D14DF8"/>
    <w:rsid w:val="00D14E04"/>
    <w:rsid w:val="00D14E30"/>
    <w:rsid w:val="00D14EB4"/>
    <w:rsid w:val="00D14F81"/>
    <w:rsid w:val="00D14F98"/>
    <w:rsid w:val="00D15025"/>
    <w:rsid w:val="00D1515C"/>
    <w:rsid w:val="00D1528D"/>
    <w:rsid w:val="00D15290"/>
    <w:rsid w:val="00D154C4"/>
    <w:rsid w:val="00D1567D"/>
    <w:rsid w:val="00D15700"/>
    <w:rsid w:val="00D15862"/>
    <w:rsid w:val="00D1591A"/>
    <w:rsid w:val="00D15B46"/>
    <w:rsid w:val="00D15B4C"/>
    <w:rsid w:val="00D15BA7"/>
    <w:rsid w:val="00D15C68"/>
    <w:rsid w:val="00D15CDA"/>
    <w:rsid w:val="00D15D15"/>
    <w:rsid w:val="00D15E90"/>
    <w:rsid w:val="00D1606F"/>
    <w:rsid w:val="00D161B7"/>
    <w:rsid w:val="00D1621F"/>
    <w:rsid w:val="00D16343"/>
    <w:rsid w:val="00D16543"/>
    <w:rsid w:val="00D16652"/>
    <w:rsid w:val="00D16782"/>
    <w:rsid w:val="00D167A4"/>
    <w:rsid w:val="00D16807"/>
    <w:rsid w:val="00D169A0"/>
    <w:rsid w:val="00D16A9E"/>
    <w:rsid w:val="00D16B33"/>
    <w:rsid w:val="00D16C55"/>
    <w:rsid w:val="00D16D09"/>
    <w:rsid w:val="00D16D27"/>
    <w:rsid w:val="00D16D5C"/>
    <w:rsid w:val="00D16DCF"/>
    <w:rsid w:val="00D16E11"/>
    <w:rsid w:val="00D16E91"/>
    <w:rsid w:val="00D16F81"/>
    <w:rsid w:val="00D17027"/>
    <w:rsid w:val="00D17161"/>
    <w:rsid w:val="00D17214"/>
    <w:rsid w:val="00D172BA"/>
    <w:rsid w:val="00D172CF"/>
    <w:rsid w:val="00D17425"/>
    <w:rsid w:val="00D17625"/>
    <w:rsid w:val="00D178E8"/>
    <w:rsid w:val="00D179FE"/>
    <w:rsid w:val="00D17D92"/>
    <w:rsid w:val="00D17DC9"/>
    <w:rsid w:val="00D17F09"/>
    <w:rsid w:val="00D20078"/>
    <w:rsid w:val="00D20278"/>
    <w:rsid w:val="00D2040A"/>
    <w:rsid w:val="00D20470"/>
    <w:rsid w:val="00D204AE"/>
    <w:rsid w:val="00D20506"/>
    <w:rsid w:val="00D208C7"/>
    <w:rsid w:val="00D2091E"/>
    <w:rsid w:val="00D2099F"/>
    <w:rsid w:val="00D20A13"/>
    <w:rsid w:val="00D20AC7"/>
    <w:rsid w:val="00D20B83"/>
    <w:rsid w:val="00D20CD4"/>
    <w:rsid w:val="00D20CF7"/>
    <w:rsid w:val="00D20DA6"/>
    <w:rsid w:val="00D20E15"/>
    <w:rsid w:val="00D20E32"/>
    <w:rsid w:val="00D21023"/>
    <w:rsid w:val="00D21037"/>
    <w:rsid w:val="00D21133"/>
    <w:rsid w:val="00D211DC"/>
    <w:rsid w:val="00D21232"/>
    <w:rsid w:val="00D21306"/>
    <w:rsid w:val="00D21348"/>
    <w:rsid w:val="00D2135D"/>
    <w:rsid w:val="00D21392"/>
    <w:rsid w:val="00D214A1"/>
    <w:rsid w:val="00D2155B"/>
    <w:rsid w:val="00D2161F"/>
    <w:rsid w:val="00D2164A"/>
    <w:rsid w:val="00D216E9"/>
    <w:rsid w:val="00D2171F"/>
    <w:rsid w:val="00D217F2"/>
    <w:rsid w:val="00D21937"/>
    <w:rsid w:val="00D21A97"/>
    <w:rsid w:val="00D21BF5"/>
    <w:rsid w:val="00D21C69"/>
    <w:rsid w:val="00D21D2F"/>
    <w:rsid w:val="00D21E0A"/>
    <w:rsid w:val="00D21E8E"/>
    <w:rsid w:val="00D21EA0"/>
    <w:rsid w:val="00D2210B"/>
    <w:rsid w:val="00D22172"/>
    <w:rsid w:val="00D221F7"/>
    <w:rsid w:val="00D22226"/>
    <w:rsid w:val="00D222B4"/>
    <w:rsid w:val="00D224E0"/>
    <w:rsid w:val="00D22616"/>
    <w:rsid w:val="00D22762"/>
    <w:rsid w:val="00D227CA"/>
    <w:rsid w:val="00D22879"/>
    <w:rsid w:val="00D22991"/>
    <w:rsid w:val="00D22B54"/>
    <w:rsid w:val="00D22D53"/>
    <w:rsid w:val="00D22D7D"/>
    <w:rsid w:val="00D22DA6"/>
    <w:rsid w:val="00D23012"/>
    <w:rsid w:val="00D23160"/>
    <w:rsid w:val="00D232A6"/>
    <w:rsid w:val="00D23490"/>
    <w:rsid w:val="00D236C1"/>
    <w:rsid w:val="00D2371B"/>
    <w:rsid w:val="00D23782"/>
    <w:rsid w:val="00D237D9"/>
    <w:rsid w:val="00D238FD"/>
    <w:rsid w:val="00D23CE4"/>
    <w:rsid w:val="00D23D10"/>
    <w:rsid w:val="00D23F08"/>
    <w:rsid w:val="00D2401B"/>
    <w:rsid w:val="00D24051"/>
    <w:rsid w:val="00D2421D"/>
    <w:rsid w:val="00D242CD"/>
    <w:rsid w:val="00D24454"/>
    <w:rsid w:val="00D2447F"/>
    <w:rsid w:val="00D244D4"/>
    <w:rsid w:val="00D24611"/>
    <w:rsid w:val="00D2463B"/>
    <w:rsid w:val="00D247B5"/>
    <w:rsid w:val="00D2486E"/>
    <w:rsid w:val="00D24944"/>
    <w:rsid w:val="00D249A4"/>
    <w:rsid w:val="00D24C3D"/>
    <w:rsid w:val="00D24D13"/>
    <w:rsid w:val="00D24F50"/>
    <w:rsid w:val="00D25079"/>
    <w:rsid w:val="00D2507A"/>
    <w:rsid w:val="00D250A4"/>
    <w:rsid w:val="00D252ED"/>
    <w:rsid w:val="00D25348"/>
    <w:rsid w:val="00D2545A"/>
    <w:rsid w:val="00D255BB"/>
    <w:rsid w:val="00D255E0"/>
    <w:rsid w:val="00D25669"/>
    <w:rsid w:val="00D2577B"/>
    <w:rsid w:val="00D257CB"/>
    <w:rsid w:val="00D258F4"/>
    <w:rsid w:val="00D2599E"/>
    <w:rsid w:val="00D25A15"/>
    <w:rsid w:val="00D25AF7"/>
    <w:rsid w:val="00D25DE0"/>
    <w:rsid w:val="00D25E14"/>
    <w:rsid w:val="00D2601E"/>
    <w:rsid w:val="00D26165"/>
    <w:rsid w:val="00D261C5"/>
    <w:rsid w:val="00D261F5"/>
    <w:rsid w:val="00D26210"/>
    <w:rsid w:val="00D262B2"/>
    <w:rsid w:val="00D2646B"/>
    <w:rsid w:val="00D265CD"/>
    <w:rsid w:val="00D265E9"/>
    <w:rsid w:val="00D2663F"/>
    <w:rsid w:val="00D266F2"/>
    <w:rsid w:val="00D267DC"/>
    <w:rsid w:val="00D267E2"/>
    <w:rsid w:val="00D2683D"/>
    <w:rsid w:val="00D268CA"/>
    <w:rsid w:val="00D26914"/>
    <w:rsid w:val="00D2692A"/>
    <w:rsid w:val="00D269AF"/>
    <w:rsid w:val="00D26AFD"/>
    <w:rsid w:val="00D26B0C"/>
    <w:rsid w:val="00D26B5D"/>
    <w:rsid w:val="00D26CAA"/>
    <w:rsid w:val="00D26CED"/>
    <w:rsid w:val="00D26CEE"/>
    <w:rsid w:val="00D26E71"/>
    <w:rsid w:val="00D26F74"/>
    <w:rsid w:val="00D27075"/>
    <w:rsid w:val="00D270F1"/>
    <w:rsid w:val="00D27215"/>
    <w:rsid w:val="00D2727A"/>
    <w:rsid w:val="00D272F4"/>
    <w:rsid w:val="00D27348"/>
    <w:rsid w:val="00D27409"/>
    <w:rsid w:val="00D2744F"/>
    <w:rsid w:val="00D2746E"/>
    <w:rsid w:val="00D2756D"/>
    <w:rsid w:val="00D275A8"/>
    <w:rsid w:val="00D275CE"/>
    <w:rsid w:val="00D276B4"/>
    <w:rsid w:val="00D277E8"/>
    <w:rsid w:val="00D2780D"/>
    <w:rsid w:val="00D278A2"/>
    <w:rsid w:val="00D2790F"/>
    <w:rsid w:val="00D27AC1"/>
    <w:rsid w:val="00D27B5D"/>
    <w:rsid w:val="00D27B69"/>
    <w:rsid w:val="00D27BFB"/>
    <w:rsid w:val="00D27D76"/>
    <w:rsid w:val="00D27E19"/>
    <w:rsid w:val="00D27E82"/>
    <w:rsid w:val="00D27E99"/>
    <w:rsid w:val="00D27EAF"/>
    <w:rsid w:val="00D27F60"/>
    <w:rsid w:val="00D27F88"/>
    <w:rsid w:val="00D30042"/>
    <w:rsid w:val="00D30074"/>
    <w:rsid w:val="00D3025D"/>
    <w:rsid w:val="00D302D2"/>
    <w:rsid w:val="00D30375"/>
    <w:rsid w:val="00D303BC"/>
    <w:rsid w:val="00D30456"/>
    <w:rsid w:val="00D304A5"/>
    <w:rsid w:val="00D304AD"/>
    <w:rsid w:val="00D304FB"/>
    <w:rsid w:val="00D3063D"/>
    <w:rsid w:val="00D30876"/>
    <w:rsid w:val="00D308B0"/>
    <w:rsid w:val="00D30959"/>
    <w:rsid w:val="00D30A1F"/>
    <w:rsid w:val="00D30A3C"/>
    <w:rsid w:val="00D30AAD"/>
    <w:rsid w:val="00D30BA7"/>
    <w:rsid w:val="00D30C98"/>
    <w:rsid w:val="00D30D1F"/>
    <w:rsid w:val="00D30D27"/>
    <w:rsid w:val="00D30D39"/>
    <w:rsid w:val="00D30E61"/>
    <w:rsid w:val="00D30E90"/>
    <w:rsid w:val="00D30EEC"/>
    <w:rsid w:val="00D310F5"/>
    <w:rsid w:val="00D31112"/>
    <w:rsid w:val="00D31181"/>
    <w:rsid w:val="00D3120D"/>
    <w:rsid w:val="00D31338"/>
    <w:rsid w:val="00D3150E"/>
    <w:rsid w:val="00D315F6"/>
    <w:rsid w:val="00D3185E"/>
    <w:rsid w:val="00D3192B"/>
    <w:rsid w:val="00D31951"/>
    <w:rsid w:val="00D31A03"/>
    <w:rsid w:val="00D31A51"/>
    <w:rsid w:val="00D31B4E"/>
    <w:rsid w:val="00D31B52"/>
    <w:rsid w:val="00D31E42"/>
    <w:rsid w:val="00D31FD1"/>
    <w:rsid w:val="00D32184"/>
    <w:rsid w:val="00D3238A"/>
    <w:rsid w:val="00D3239E"/>
    <w:rsid w:val="00D3245E"/>
    <w:rsid w:val="00D325B3"/>
    <w:rsid w:val="00D3291B"/>
    <w:rsid w:val="00D32969"/>
    <w:rsid w:val="00D32A1B"/>
    <w:rsid w:val="00D32ABD"/>
    <w:rsid w:val="00D32AD5"/>
    <w:rsid w:val="00D32ADF"/>
    <w:rsid w:val="00D32B12"/>
    <w:rsid w:val="00D32B8D"/>
    <w:rsid w:val="00D32D4A"/>
    <w:rsid w:val="00D32DB9"/>
    <w:rsid w:val="00D32E36"/>
    <w:rsid w:val="00D32E69"/>
    <w:rsid w:val="00D32F69"/>
    <w:rsid w:val="00D32FE0"/>
    <w:rsid w:val="00D330A6"/>
    <w:rsid w:val="00D332E5"/>
    <w:rsid w:val="00D332F7"/>
    <w:rsid w:val="00D33423"/>
    <w:rsid w:val="00D3343D"/>
    <w:rsid w:val="00D3364F"/>
    <w:rsid w:val="00D3366B"/>
    <w:rsid w:val="00D33696"/>
    <w:rsid w:val="00D33799"/>
    <w:rsid w:val="00D33A2F"/>
    <w:rsid w:val="00D33BEA"/>
    <w:rsid w:val="00D33BFA"/>
    <w:rsid w:val="00D33C32"/>
    <w:rsid w:val="00D33D1A"/>
    <w:rsid w:val="00D33DB1"/>
    <w:rsid w:val="00D33DC6"/>
    <w:rsid w:val="00D33EF7"/>
    <w:rsid w:val="00D3411B"/>
    <w:rsid w:val="00D341C3"/>
    <w:rsid w:val="00D342C2"/>
    <w:rsid w:val="00D3468A"/>
    <w:rsid w:val="00D346B3"/>
    <w:rsid w:val="00D346E6"/>
    <w:rsid w:val="00D347DA"/>
    <w:rsid w:val="00D347E2"/>
    <w:rsid w:val="00D347EA"/>
    <w:rsid w:val="00D34805"/>
    <w:rsid w:val="00D34A0A"/>
    <w:rsid w:val="00D34AC3"/>
    <w:rsid w:val="00D34C3C"/>
    <w:rsid w:val="00D34EC5"/>
    <w:rsid w:val="00D34F07"/>
    <w:rsid w:val="00D35017"/>
    <w:rsid w:val="00D351D3"/>
    <w:rsid w:val="00D35348"/>
    <w:rsid w:val="00D35393"/>
    <w:rsid w:val="00D353DB"/>
    <w:rsid w:val="00D35467"/>
    <w:rsid w:val="00D35478"/>
    <w:rsid w:val="00D358CB"/>
    <w:rsid w:val="00D35BA2"/>
    <w:rsid w:val="00D35C07"/>
    <w:rsid w:val="00D35C11"/>
    <w:rsid w:val="00D35C64"/>
    <w:rsid w:val="00D35CA2"/>
    <w:rsid w:val="00D35CA6"/>
    <w:rsid w:val="00D35E5E"/>
    <w:rsid w:val="00D35EB5"/>
    <w:rsid w:val="00D36141"/>
    <w:rsid w:val="00D36227"/>
    <w:rsid w:val="00D36430"/>
    <w:rsid w:val="00D3643B"/>
    <w:rsid w:val="00D36584"/>
    <w:rsid w:val="00D3672B"/>
    <w:rsid w:val="00D367B2"/>
    <w:rsid w:val="00D3689E"/>
    <w:rsid w:val="00D36900"/>
    <w:rsid w:val="00D36B62"/>
    <w:rsid w:val="00D36C2B"/>
    <w:rsid w:val="00D36D52"/>
    <w:rsid w:val="00D36DAB"/>
    <w:rsid w:val="00D36E39"/>
    <w:rsid w:val="00D36E86"/>
    <w:rsid w:val="00D36EBE"/>
    <w:rsid w:val="00D36EC1"/>
    <w:rsid w:val="00D36F94"/>
    <w:rsid w:val="00D3705C"/>
    <w:rsid w:val="00D37193"/>
    <w:rsid w:val="00D373AC"/>
    <w:rsid w:val="00D37494"/>
    <w:rsid w:val="00D37496"/>
    <w:rsid w:val="00D37527"/>
    <w:rsid w:val="00D37590"/>
    <w:rsid w:val="00D37605"/>
    <w:rsid w:val="00D37705"/>
    <w:rsid w:val="00D37922"/>
    <w:rsid w:val="00D3795C"/>
    <w:rsid w:val="00D37AF6"/>
    <w:rsid w:val="00D37C94"/>
    <w:rsid w:val="00D37D20"/>
    <w:rsid w:val="00D37DF7"/>
    <w:rsid w:val="00D37E26"/>
    <w:rsid w:val="00D37E4F"/>
    <w:rsid w:val="00D37F44"/>
    <w:rsid w:val="00D37F5F"/>
    <w:rsid w:val="00D37F80"/>
    <w:rsid w:val="00D402E3"/>
    <w:rsid w:val="00D40394"/>
    <w:rsid w:val="00D403BB"/>
    <w:rsid w:val="00D406DE"/>
    <w:rsid w:val="00D409A3"/>
    <w:rsid w:val="00D40A0F"/>
    <w:rsid w:val="00D40B41"/>
    <w:rsid w:val="00D40CF3"/>
    <w:rsid w:val="00D40D75"/>
    <w:rsid w:val="00D40EF4"/>
    <w:rsid w:val="00D40FE4"/>
    <w:rsid w:val="00D41056"/>
    <w:rsid w:val="00D410A9"/>
    <w:rsid w:val="00D411AF"/>
    <w:rsid w:val="00D411EA"/>
    <w:rsid w:val="00D4122B"/>
    <w:rsid w:val="00D41242"/>
    <w:rsid w:val="00D4134D"/>
    <w:rsid w:val="00D4141D"/>
    <w:rsid w:val="00D41454"/>
    <w:rsid w:val="00D41465"/>
    <w:rsid w:val="00D4153D"/>
    <w:rsid w:val="00D41571"/>
    <w:rsid w:val="00D415D8"/>
    <w:rsid w:val="00D417C5"/>
    <w:rsid w:val="00D417E3"/>
    <w:rsid w:val="00D41855"/>
    <w:rsid w:val="00D4196B"/>
    <w:rsid w:val="00D41A25"/>
    <w:rsid w:val="00D41AEE"/>
    <w:rsid w:val="00D41B24"/>
    <w:rsid w:val="00D41BFB"/>
    <w:rsid w:val="00D41BFF"/>
    <w:rsid w:val="00D41C98"/>
    <w:rsid w:val="00D41DB0"/>
    <w:rsid w:val="00D41F28"/>
    <w:rsid w:val="00D41F88"/>
    <w:rsid w:val="00D4206F"/>
    <w:rsid w:val="00D4219D"/>
    <w:rsid w:val="00D4221A"/>
    <w:rsid w:val="00D423E7"/>
    <w:rsid w:val="00D424AD"/>
    <w:rsid w:val="00D42575"/>
    <w:rsid w:val="00D42579"/>
    <w:rsid w:val="00D4259A"/>
    <w:rsid w:val="00D42717"/>
    <w:rsid w:val="00D42725"/>
    <w:rsid w:val="00D4279A"/>
    <w:rsid w:val="00D42843"/>
    <w:rsid w:val="00D4289F"/>
    <w:rsid w:val="00D42A4B"/>
    <w:rsid w:val="00D42CB3"/>
    <w:rsid w:val="00D42E9D"/>
    <w:rsid w:val="00D42F6E"/>
    <w:rsid w:val="00D42F75"/>
    <w:rsid w:val="00D430B6"/>
    <w:rsid w:val="00D430F0"/>
    <w:rsid w:val="00D431EA"/>
    <w:rsid w:val="00D43267"/>
    <w:rsid w:val="00D432A1"/>
    <w:rsid w:val="00D4330E"/>
    <w:rsid w:val="00D43369"/>
    <w:rsid w:val="00D434AD"/>
    <w:rsid w:val="00D435CE"/>
    <w:rsid w:val="00D435CF"/>
    <w:rsid w:val="00D436FD"/>
    <w:rsid w:val="00D43710"/>
    <w:rsid w:val="00D4377B"/>
    <w:rsid w:val="00D43781"/>
    <w:rsid w:val="00D437E9"/>
    <w:rsid w:val="00D43959"/>
    <w:rsid w:val="00D4397B"/>
    <w:rsid w:val="00D43C22"/>
    <w:rsid w:val="00D43C7C"/>
    <w:rsid w:val="00D43D5F"/>
    <w:rsid w:val="00D43F7E"/>
    <w:rsid w:val="00D440F7"/>
    <w:rsid w:val="00D441CD"/>
    <w:rsid w:val="00D442C1"/>
    <w:rsid w:val="00D44313"/>
    <w:rsid w:val="00D44600"/>
    <w:rsid w:val="00D447D4"/>
    <w:rsid w:val="00D447DA"/>
    <w:rsid w:val="00D448F7"/>
    <w:rsid w:val="00D448FB"/>
    <w:rsid w:val="00D44901"/>
    <w:rsid w:val="00D44936"/>
    <w:rsid w:val="00D449DD"/>
    <w:rsid w:val="00D449E0"/>
    <w:rsid w:val="00D44A41"/>
    <w:rsid w:val="00D44AF3"/>
    <w:rsid w:val="00D44B0F"/>
    <w:rsid w:val="00D44C0C"/>
    <w:rsid w:val="00D44C7E"/>
    <w:rsid w:val="00D44DFA"/>
    <w:rsid w:val="00D45083"/>
    <w:rsid w:val="00D45135"/>
    <w:rsid w:val="00D4514F"/>
    <w:rsid w:val="00D451C2"/>
    <w:rsid w:val="00D453EF"/>
    <w:rsid w:val="00D454AA"/>
    <w:rsid w:val="00D45798"/>
    <w:rsid w:val="00D457BA"/>
    <w:rsid w:val="00D45A05"/>
    <w:rsid w:val="00D45A15"/>
    <w:rsid w:val="00D45AB5"/>
    <w:rsid w:val="00D45B1B"/>
    <w:rsid w:val="00D45C10"/>
    <w:rsid w:val="00D45C35"/>
    <w:rsid w:val="00D45FA3"/>
    <w:rsid w:val="00D460BC"/>
    <w:rsid w:val="00D4616C"/>
    <w:rsid w:val="00D4619C"/>
    <w:rsid w:val="00D462DE"/>
    <w:rsid w:val="00D463B8"/>
    <w:rsid w:val="00D4656F"/>
    <w:rsid w:val="00D46598"/>
    <w:rsid w:val="00D46610"/>
    <w:rsid w:val="00D4674F"/>
    <w:rsid w:val="00D467CA"/>
    <w:rsid w:val="00D4688F"/>
    <w:rsid w:val="00D468B6"/>
    <w:rsid w:val="00D46997"/>
    <w:rsid w:val="00D46AD3"/>
    <w:rsid w:val="00D46B93"/>
    <w:rsid w:val="00D46C57"/>
    <w:rsid w:val="00D46DAD"/>
    <w:rsid w:val="00D46E6C"/>
    <w:rsid w:val="00D46E96"/>
    <w:rsid w:val="00D46E98"/>
    <w:rsid w:val="00D4718E"/>
    <w:rsid w:val="00D4719A"/>
    <w:rsid w:val="00D4725B"/>
    <w:rsid w:val="00D47283"/>
    <w:rsid w:val="00D4745E"/>
    <w:rsid w:val="00D474CD"/>
    <w:rsid w:val="00D47572"/>
    <w:rsid w:val="00D475B5"/>
    <w:rsid w:val="00D4768E"/>
    <w:rsid w:val="00D47700"/>
    <w:rsid w:val="00D47780"/>
    <w:rsid w:val="00D47977"/>
    <w:rsid w:val="00D47978"/>
    <w:rsid w:val="00D479A1"/>
    <w:rsid w:val="00D47A17"/>
    <w:rsid w:val="00D47BC2"/>
    <w:rsid w:val="00D47D1F"/>
    <w:rsid w:val="00D47E07"/>
    <w:rsid w:val="00D47E8A"/>
    <w:rsid w:val="00D47EC0"/>
    <w:rsid w:val="00D50301"/>
    <w:rsid w:val="00D50458"/>
    <w:rsid w:val="00D504D3"/>
    <w:rsid w:val="00D50896"/>
    <w:rsid w:val="00D508E6"/>
    <w:rsid w:val="00D50901"/>
    <w:rsid w:val="00D50915"/>
    <w:rsid w:val="00D50A34"/>
    <w:rsid w:val="00D50A91"/>
    <w:rsid w:val="00D50B3F"/>
    <w:rsid w:val="00D50CE4"/>
    <w:rsid w:val="00D50E12"/>
    <w:rsid w:val="00D50E90"/>
    <w:rsid w:val="00D50EB8"/>
    <w:rsid w:val="00D510A6"/>
    <w:rsid w:val="00D51184"/>
    <w:rsid w:val="00D511A5"/>
    <w:rsid w:val="00D51275"/>
    <w:rsid w:val="00D51277"/>
    <w:rsid w:val="00D512A2"/>
    <w:rsid w:val="00D5141D"/>
    <w:rsid w:val="00D5148A"/>
    <w:rsid w:val="00D514A1"/>
    <w:rsid w:val="00D514E4"/>
    <w:rsid w:val="00D5151F"/>
    <w:rsid w:val="00D5152A"/>
    <w:rsid w:val="00D51537"/>
    <w:rsid w:val="00D5187A"/>
    <w:rsid w:val="00D518B8"/>
    <w:rsid w:val="00D51C94"/>
    <w:rsid w:val="00D51E1E"/>
    <w:rsid w:val="00D5205C"/>
    <w:rsid w:val="00D5247A"/>
    <w:rsid w:val="00D524C6"/>
    <w:rsid w:val="00D5265B"/>
    <w:rsid w:val="00D5269E"/>
    <w:rsid w:val="00D5274E"/>
    <w:rsid w:val="00D52856"/>
    <w:rsid w:val="00D5285E"/>
    <w:rsid w:val="00D52955"/>
    <w:rsid w:val="00D52993"/>
    <w:rsid w:val="00D52B0C"/>
    <w:rsid w:val="00D52BAC"/>
    <w:rsid w:val="00D52BC1"/>
    <w:rsid w:val="00D52E38"/>
    <w:rsid w:val="00D52EFF"/>
    <w:rsid w:val="00D52F43"/>
    <w:rsid w:val="00D53176"/>
    <w:rsid w:val="00D5337C"/>
    <w:rsid w:val="00D533EB"/>
    <w:rsid w:val="00D53419"/>
    <w:rsid w:val="00D5344F"/>
    <w:rsid w:val="00D534A1"/>
    <w:rsid w:val="00D535A3"/>
    <w:rsid w:val="00D53606"/>
    <w:rsid w:val="00D5370D"/>
    <w:rsid w:val="00D53893"/>
    <w:rsid w:val="00D53953"/>
    <w:rsid w:val="00D53958"/>
    <w:rsid w:val="00D53994"/>
    <w:rsid w:val="00D539A1"/>
    <w:rsid w:val="00D53AB1"/>
    <w:rsid w:val="00D53AEA"/>
    <w:rsid w:val="00D53C2A"/>
    <w:rsid w:val="00D53C64"/>
    <w:rsid w:val="00D53C85"/>
    <w:rsid w:val="00D53EBE"/>
    <w:rsid w:val="00D54056"/>
    <w:rsid w:val="00D54164"/>
    <w:rsid w:val="00D542C5"/>
    <w:rsid w:val="00D54367"/>
    <w:rsid w:val="00D54372"/>
    <w:rsid w:val="00D54405"/>
    <w:rsid w:val="00D54472"/>
    <w:rsid w:val="00D546B8"/>
    <w:rsid w:val="00D5476D"/>
    <w:rsid w:val="00D547E3"/>
    <w:rsid w:val="00D5480C"/>
    <w:rsid w:val="00D548F3"/>
    <w:rsid w:val="00D54AE9"/>
    <w:rsid w:val="00D54CB4"/>
    <w:rsid w:val="00D54CEE"/>
    <w:rsid w:val="00D54D0E"/>
    <w:rsid w:val="00D54E66"/>
    <w:rsid w:val="00D54FD7"/>
    <w:rsid w:val="00D550A4"/>
    <w:rsid w:val="00D550D2"/>
    <w:rsid w:val="00D550DA"/>
    <w:rsid w:val="00D55110"/>
    <w:rsid w:val="00D5522C"/>
    <w:rsid w:val="00D5537D"/>
    <w:rsid w:val="00D554B1"/>
    <w:rsid w:val="00D55547"/>
    <w:rsid w:val="00D5555B"/>
    <w:rsid w:val="00D55581"/>
    <w:rsid w:val="00D555D9"/>
    <w:rsid w:val="00D5563D"/>
    <w:rsid w:val="00D556A4"/>
    <w:rsid w:val="00D5583B"/>
    <w:rsid w:val="00D55AEF"/>
    <w:rsid w:val="00D55AF4"/>
    <w:rsid w:val="00D55B22"/>
    <w:rsid w:val="00D55B78"/>
    <w:rsid w:val="00D55BB1"/>
    <w:rsid w:val="00D55BD4"/>
    <w:rsid w:val="00D55BFC"/>
    <w:rsid w:val="00D55C45"/>
    <w:rsid w:val="00D55CAF"/>
    <w:rsid w:val="00D55CB1"/>
    <w:rsid w:val="00D55D25"/>
    <w:rsid w:val="00D55E62"/>
    <w:rsid w:val="00D55F30"/>
    <w:rsid w:val="00D55F3E"/>
    <w:rsid w:val="00D55FD4"/>
    <w:rsid w:val="00D56029"/>
    <w:rsid w:val="00D560B8"/>
    <w:rsid w:val="00D560EB"/>
    <w:rsid w:val="00D561E4"/>
    <w:rsid w:val="00D5636B"/>
    <w:rsid w:val="00D56473"/>
    <w:rsid w:val="00D564C7"/>
    <w:rsid w:val="00D564CD"/>
    <w:rsid w:val="00D564DE"/>
    <w:rsid w:val="00D56535"/>
    <w:rsid w:val="00D56656"/>
    <w:rsid w:val="00D566C5"/>
    <w:rsid w:val="00D56863"/>
    <w:rsid w:val="00D5692B"/>
    <w:rsid w:val="00D569B6"/>
    <w:rsid w:val="00D569CA"/>
    <w:rsid w:val="00D56A9A"/>
    <w:rsid w:val="00D56AFD"/>
    <w:rsid w:val="00D56BB8"/>
    <w:rsid w:val="00D56CB1"/>
    <w:rsid w:val="00D56D04"/>
    <w:rsid w:val="00D56E22"/>
    <w:rsid w:val="00D5702A"/>
    <w:rsid w:val="00D57171"/>
    <w:rsid w:val="00D571AE"/>
    <w:rsid w:val="00D572E4"/>
    <w:rsid w:val="00D5731D"/>
    <w:rsid w:val="00D57330"/>
    <w:rsid w:val="00D5749F"/>
    <w:rsid w:val="00D574A1"/>
    <w:rsid w:val="00D57554"/>
    <w:rsid w:val="00D57580"/>
    <w:rsid w:val="00D57597"/>
    <w:rsid w:val="00D575C9"/>
    <w:rsid w:val="00D57654"/>
    <w:rsid w:val="00D57676"/>
    <w:rsid w:val="00D5791D"/>
    <w:rsid w:val="00D57B2D"/>
    <w:rsid w:val="00D57BD9"/>
    <w:rsid w:val="00D57C44"/>
    <w:rsid w:val="00D57DF3"/>
    <w:rsid w:val="00D57F9A"/>
    <w:rsid w:val="00D57FE5"/>
    <w:rsid w:val="00D6011F"/>
    <w:rsid w:val="00D6012B"/>
    <w:rsid w:val="00D601F1"/>
    <w:rsid w:val="00D60346"/>
    <w:rsid w:val="00D603B2"/>
    <w:rsid w:val="00D603BA"/>
    <w:rsid w:val="00D60403"/>
    <w:rsid w:val="00D60481"/>
    <w:rsid w:val="00D6049B"/>
    <w:rsid w:val="00D604AA"/>
    <w:rsid w:val="00D60573"/>
    <w:rsid w:val="00D605F2"/>
    <w:rsid w:val="00D607F2"/>
    <w:rsid w:val="00D60889"/>
    <w:rsid w:val="00D6093E"/>
    <w:rsid w:val="00D60C0F"/>
    <w:rsid w:val="00D60CFF"/>
    <w:rsid w:val="00D60D32"/>
    <w:rsid w:val="00D60DA8"/>
    <w:rsid w:val="00D60EA3"/>
    <w:rsid w:val="00D60EDD"/>
    <w:rsid w:val="00D60FDD"/>
    <w:rsid w:val="00D610DD"/>
    <w:rsid w:val="00D61146"/>
    <w:rsid w:val="00D61152"/>
    <w:rsid w:val="00D611F3"/>
    <w:rsid w:val="00D612A1"/>
    <w:rsid w:val="00D614EB"/>
    <w:rsid w:val="00D61638"/>
    <w:rsid w:val="00D6169D"/>
    <w:rsid w:val="00D616B0"/>
    <w:rsid w:val="00D617BB"/>
    <w:rsid w:val="00D617C1"/>
    <w:rsid w:val="00D617E6"/>
    <w:rsid w:val="00D61807"/>
    <w:rsid w:val="00D6182E"/>
    <w:rsid w:val="00D61AB5"/>
    <w:rsid w:val="00D61BBC"/>
    <w:rsid w:val="00D61C5B"/>
    <w:rsid w:val="00D61CF1"/>
    <w:rsid w:val="00D61E6E"/>
    <w:rsid w:val="00D61EC6"/>
    <w:rsid w:val="00D61EC8"/>
    <w:rsid w:val="00D61FE5"/>
    <w:rsid w:val="00D62402"/>
    <w:rsid w:val="00D6247F"/>
    <w:rsid w:val="00D6259C"/>
    <w:rsid w:val="00D625B8"/>
    <w:rsid w:val="00D625F0"/>
    <w:rsid w:val="00D6263A"/>
    <w:rsid w:val="00D62641"/>
    <w:rsid w:val="00D6267A"/>
    <w:rsid w:val="00D6277B"/>
    <w:rsid w:val="00D627D8"/>
    <w:rsid w:val="00D62915"/>
    <w:rsid w:val="00D62920"/>
    <w:rsid w:val="00D6293E"/>
    <w:rsid w:val="00D62A82"/>
    <w:rsid w:val="00D62B8A"/>
    <w:rsid w:val="00D62B97"/>
    <w:rsid w:val="00D62C4A"/>
    <w:rsid w:val="00D62D33"/>
    <w:rsid w:val="00D62E6D"/>
    <w:rsid w:val="00D62EA9"/>
    <w:rsid w:val="00D62ECA"/>
    <w:rsid w:val="00D630BB"/>
    <w:rsid w:val="00D634C9"/>
    <w:rsid w:val="00D634D9"/>
    <w:rsid w:val="00D6351E"/>
    <w:rsid w:val="00D6367F"/>
    <w:rsid w:val="00D636AD"/>
    <w:rsid w:val="00D63790"/>
    <w:rsid w:val="00D63A25"/>
    <w:rsid w:val="00D63E89"/>
    <w:rsid w:val="00D63EF3"/>
    <w:rsid w:val="00D63F0C"/>
    <w:rsid w:val="00D63FD7"/>
    <w:rsid w:val="00D641ED"/>
    <w:rsid w:val="00D643FE"/>
    <w:rsid w:val="00D6443D"/>
    <w:rsid w:val="00D644C4"/>
    <w:rsid w:val="00D644D4"/>
    <w:rsid w:val="00D6458F"/>
    <w:rsid w:val="00D64595"/>
    <w:rsid w:val="00D6460C"/>
    <w:rsid w:val="00D64690"/>
    <w:rsid w:val="00D6470B"/>
    <w:rsid w:val="00D64760"/>
    <w:rsid w:val="00D6484B"/>
    <w:rsid w:val="00D648B2"/>
    <w:rsid w:val="00D649AD"/>
    <w:rsid w:val="00D64A34"/>
    <w:rsid w:val="00D64A39"/>
    <w:rsid w:val="00D64A6D"/>
    <w:rsid w:val="00D64D1E"/>
    <w:rsid w:val="00D64DE2"/>
    <w:rsid w:val="00D64E81"/>
    <w:rsid w:val="00D64FBE"/>
    <w:rsid w:val="00D65012"/>
    <w:rsid w:val="00D65025"/>
    <w:rsid w:val="00D65043"/>
    <w:rsid w:val="00D65145"/>
    <w:rsid w:val="00D6516D"/>
    <w:rsid w:val="00D651E3"/>
    <w:rsid w:val="00D652E0"/>
    <w:rsid w:val="00D65348"/>
    <w:rsid w:val="00D653DB"/>
    <w:rsid w:val="00D6547A"/>
    <w:rsid w:val="00D654FF"/>
    <w:rsid w:val="00D65534"/>
    <w:rsid w:val="00D65631"/>
    <w:rsid w:val="00D656D8"/>
    <w:rsid w:val="00D656F1"/>
    <w:rsid w:val="00D65800"/>
    <w:rsid w:val="00D659C8"/>
    <w:rsid w:val="00D65A57"/>
    <w:rsid w:val="00D65B4B"/>
    <w:rsid w:val="00D65C1A"/>
    <w:rsid w:val="00D65C78"/>
    <w:rsid w:val="00D65DAF"/>
    <w:rsid w:val="00D65DD4"/>
    <w:rsid w:val="00D65E68"/>
    <w:rsid w:val="00D65F6F"/>
    <w:rsid w:val="00D660BC"/>
    <w:rsid w:val="00D66173"/>
    <w:rsid w:val="00D661AC"/>
    <w:rsid w:val="00D663BB"/>
    <w:rsid w:val="00D66605"/>
    <w:rsid w:val="00D666E5"/>
    <w:rsid w:val="00D666F8"/>
    <w:rsid w:val="00D6678D"/>
    <w:rsid w:val="00D668D0"/>
    <w:rsid w:val="00D66990"/>
    <w:rsid w:val="00D669CD"/>
    <w:rsid w:val="00D669EC"/>
    <w:rsid w:val="00D66BE1"/>
    <w:rsid w:val="00D66C39"/>
    <w:rsid w:val="00D66DDF"/>
    <w:rsid w:val="00D66ED4"/>
    <w:rsid w:val="00D66F10"/>
    <w:rsid w:val="00D67233"/>
    <w:rsid w:val="00D67331"/>
    <w:rsid w:val="00D67346"/>
    <w:rsid w:val="00D6745B"/>
    <w:rsid w:val="00D67826"/>
    <w:rsid w:val="00D67848"/>
    <w:rsid w:val="00D67858"/>
    <w:rsid w:val="00D67BE2"/>
    <w:rsid w:val="00D67BEC"/>
    <w:rsid w:val="00D67C7B"/>
    <w:rsid w:val="00D67D66"/>
    <w:rsid w:val="00D7007B"/>
    <w:rsid w:val="00D7017D"/>
    <w:rsid w:val="00D704DC"/>
    <w:rsid w:val="00D70557"/>
    <w:rsid w:val="00D70558"/>
    <w:rsid w:val="00D705CB"/>
    <w:rsid w:val="00D706EF"/>
    <w:rsid w:val="00D70746"/>
    <w:rsid w:val="00D70766"/>
    <w:rsid w:val="00D7088A"/>
    <w:rsid w:val="00D7093D"/>
    <w:rsid w:val="00D709AB"/>
    <w:rsid w:val="00D709BE"/>
    <w:rsid w:val="00D70AB6"/>
    <w:rsid w:val="00D70B38"/>
    <w:rsid w:val="00D70B56"/>
    <w:rsid w:val="00D70E1F"/>
    <w:rsid w:val="00D7107A"/>
    <w:rsid w:val="00D71233"/>
    <w:rsid w:val="00D7126F"/>
    <w:rsid w:val="00D71408"/>
    <w:rsid w:val="00D71466"/>
    <w:rsid w:val="00D71489"/>
    <w:rsid w:val="00D716A1"/>
    <w:rsid w:val="00D716D6"/>
    <w:rsid w:val="00D71972"/>
    <w:rsid w:val="00D71A70"/>
    <w:rsid w:val="00D71AA0"/>
    <w:rsid w:val="00D71ACD"/>
    <w:rsid w:val="00D71B22"/>
    <w:rsid w:val="00D71B8A"/>
    <w:rsid w:val="00D71BCD"/>
    <w:rsid w:val="00D71E84"/>
    <w:rsid w:val="00D7201A"/>
    <w:rsid w:val="00D7223B"/>
    <w:rsid w:val="00D723DB"/>
    <w:rsid w:val="00D7257B"/>
    <w:rsid w:val="00D72590"/>
    <w:rsid w:val="00D725A4"/>
    <w:rsid w:val="00D72649"/>
    <w:rsid w:val="00D7272F"/>
    <w:rsid w:val="00D727DA"/>
    <w:rsid w:val="00D727FA"/>
    <w:rsid w:val="00D72923"/>
    <w:rsid w:val="00D72A20"/>
    <w:rsid w:val="00D72BD8"/>
    <w:rsid w:val="00D72C21"/>
    <w:rsid w:val="00D72CA9"/>
    <w:rsid w:val="00D72D8C"/>
    <w:rsid w:val="00D72FA8"/>
    <w:rsid w:val="00D72FFC"/>
    <w:rsid w:val="00D73126"/>
    <w:rsid w:val="00D731B7"/>
    <w:rsid w:val="00D731E2"/>
    <w:rsid w:val="00D73245"/>
    <w:rsid w:val="00D732BB"/>
    <w:rsid w:val="00D73317"/>
    <w:rsid w:val="00D73464"/>
    <w:rsid w:val="00D73502"/>
    <w:rsid w:val="00D73744"/>
    <w:rsid w:val="00D7383D"/>
    <w:rsid w:val="00D73881"/>
    <w:rsid w:val="00D73888"/>
    <w:rsid w:val="00D73A9F"/>
    <w:rsid w:val="00D73B2E"/>
    <w:rsid w:val="00D73B6E"/>
    <w:rsid w:val="00D73D87"/>
    <w:rsid w:val="00D73DE8"/>
    <w:rsid w:val="00D74019"/>
    <w:rsid w:val="00D74314"/>
    <w:rsid w:val="00D743D4"/>
    <w:rsid w:val="00D74413"/>
    <w:rsid w:val="00D744FA"/>
    <w:rsid w:val="00D745A5"/>
    <w:rsid w:val="00D746C3"/>
    <w:rsid w:val="00D7470B"/>
    <w:rsid w:val="00D749ED"/>
    <w:rsid w:val="00D74C23"/>
    <w:rsid w:val="00D74C6F"/>
    <w:rsid w:val="00D74DA3"/>
    <w:rsid w:val="00D74DD2"/>
    <w:rsid w:val="00D74E2E"/>
    <w:rsid w:val="00D74EE9"/>
    <w:rsid w:val="00D74EEB"/>
    <w:rsid w:val="00D74FCF"/>
    <w:rsid w:val="00D75358"/>
    <w:rsid w:val="00D753A8"/>
    <w:rsid w:val="00D75431"/>
    <w:rsid w:val="00D75684"/>
    <w:rsid w:val="00D75877"/>
    <w:rsid w:val="00D75B38"/>
    <w:rsid w:val="00D75D08"/>
    <w:rsid w:val="00D75D99"/>
    <w:rsid w:val="00D75D9A"/>
    <w:rsid w:val="00D75E18"/>
    <w:rsid w:val="00D7600D"/>
    <w:rsid w:val="00D760C2"/>
    <w:rsid w:val="00D761BD"/>
    <w:rsid w:val="00D761C6"/>
    <w:rsid w:val="00D761F0"/>
    <w:rsid w:val="00D76328"/>
    <w:rsid w:val="00D7632A"/>
    <w:rsid w:val="00D76420"/>
    <w:rsid w:val="00D76508"/>
    <w:rsid w:val="00D76686"/>
    <w:rsid w:val="00D76942"/>
    <w:rsid w:val="00D77173"/>
    <w:rsid w:val="00D771A9"/>
    <w:rsid w:val="00D77263"/>
    <w:rsid w:val="00D7729D"/>
    <w:rsid w:val="00D775D4"/>
    <w:rsid w:val="00D7771A"/>
    <w:rsid w:val="00D77726"/>
    <w:rsid w:val="00D77762"/>
    <w:rsid w:val="00D77769"/>
    <w:rsid w:val="00D777A0"/>
    <w:rsid w:val="00D7793F"/>
    <w:rsid w:val="00D779A8"/>
    <w:rsid w:val="00D77A47"/>
    <w:rsid w:val="00D77AFD"/>
    <w:rsid w:val="00D77B5A"/>
    <w:rsid w:val="00D77D68"/>
    <w:rsid w:val="00D77D8B"/>
    <w:rsid w:val="00D77E61"/>
    <w:rsid w:val="00D77EAB"/>
    <w:rsid w:val="00D77F17"/>
    <w:rsid w:val="00D80067"/>
    <w:rsid w:val="00D80153"/>
    <w:rsid w:val="00D8020E"/>
    <w:rsid w:val="00D803D9"/>
    <w:rsid w:val="00D803E4"/>
    <w:rsid w:val="00D804E8"/>
    <w:rsid w:val="00D80571"/>
    <w:rsid w:val="00D805CF"/>
    <w:rsid w:val="00D80638"/>
    <w:rsid w:val="00D80905"/>
    <w:rsid w:val="00D8090B"/>
    <w:rsid w:val="00D8092F"/>
    <w:rsid w:val="00D809AF"/>
    <w:rsid w:val="00D80A0F"/>
    <w:rsid w:val="00D80AB1"/>
    <w:rsid w:val="00D80AE1"/>
    <w:rsid w:val="00D80BBE"/>
    <w:rsid w:val="00D80C0C"/>
    <w:rsid w:val="00D80DE7"/>
    <w:rsid w:val="00D80E5F"/>
    <w:rsid w:val="00D80EB7"/>
    <w:rsid w:val="00D80F0D"/>
    <w:rsid w:val="00D80F86"/>
    <w:rsid w:val="00D811BF"/>
    <w:rsid w:val="00D811EF"/>
    <w:rsid w:val="00D81217"/>
    <w:rsid w:val="00D81375"/>
    <w:rsid w:val="00D81410"/>
    <w:rsid w:val="00D8144B"/>
    <w:rsid w:val="00D81511"/>
    <w:rsid w:val="00D81525"/>
    <w:rsid w:val="00D81587"/>
    <w:rsid w:val="00D815F1"/>
    <w:rsid w:val="00D8170E"/>
    <w:rsid w:val="00D817C3"/>
    <w:rsid w:val="00D817CE"/>
    <w:rsid w:val="00D817D1"/>
    <w:rsid w:val="00D8191E"/>
    <w:rsid w:val="00D81AA1"/>
    <w:rsid w:val="00D81AAD"/>
    <w:rsid w:val="00D81BE0"/>
    <w:rsid w:val="00D81C3B"/>
    <w:rsid w:val="00D81C3D"/>
    <w:rsid w:val="00D81C67"/>
    <w:rsid w:val="00D81DCF"/>
    <w:rsid w:val="00D81E08"/>
    <w:rsid w:val="00D81F27"/>
    <w:rsid w:val="00D8208B"/>
    <w:rsid w:val="00D82157"/>
    <w:rsid w:val="00D82237"/>
    <w:rsid w:val="00D82296"/>
    <w:rsid w:val="00D82336"/>
    <w:rsid w:val="00D82410"/>
    <w:rsid w:val="00D824B8"/>
    <w:rsid w:val="00D8254E"/>
    <w:rsid w:val="00D825DB"/>
    <w:rsid w:val="00D828AA"/>
    <w:rsid w:val="00D82988"/>
    <w:rsid w:val="00D82A21"/>
    <w:rsid w:val="00D82AE4"/>
    <w:rsid w:val="00D82C14"/>
    <w:rsid w:val="00D82D06"/>
    <w:rsid w:val="00D82D44"/>
    <w:rsid w:val="00D82E3A"/>
    <w:rsid w:val="00D83071"/>
    <w:rsid w:val="00D83131"/>
    <w:rsid w:val="00D83168"/>
    <w:rsid w:val="00D831FE"/>
    <w:rsid w:val="00D833FA"/>
    <w:rsid w:val="00D83575"/>
    <w:rsid w:val="00D83916"/>
    <w:rsid w:val="00D83988"/>
    <w:rsid w:val="00D83999"/>
    <w:rsid w:val="00D83A27"/>
    <w:rsid w:val="00D83B33"/>
    <w:rsid w:val="00D83B53"/>
    <w:rsid w:val="00D83CFA"/>
    <w:rsid w:val="00D83E46"/>
    <w:rsid w:val="00D83EB9"/>
    <w:rsid w:val="00D83F9A"/>
    <w:rsid w:val="00D84027"/>
    <w:rsid w:val="00D84113"/>
    <w:rsid w:val="00D84221"/>
    <w:rsid w:val="00D843AD"/>
    <w:rsid w:val="00D845E9"/>
    <w:rsid w:val="00D846AD"/>
    <w:rsid w:val="00D84844"/>
    <w:rsid w:val="00D8489E"/>
    <w:rsid w:val="00D84C50"/>
    <w:rsid w:val="00D84CD2"/>
    <w:rsid w:val="00D84DC4"/>
    <w:rsid w:val="00D84F69"/>
    <w:rsid w:val="00D850D4"/>
    <w:rsid w:val="00D8519B"/>
    <w:rsid w:val="00D851CD"/>
    <w:rsid w:val="00D85445"/>
    <w:rsid w:val="00D85693"/>
    <w:rsid w:val="00D856AB"/>
    <w:rsid w:val="00D856E2"/>
    <w:rsid w:val="00D8571B"/>
    <w:rsid w:val="00D857CD"/>
    <w:rsid w:val="00D857CE"/>
    <w:rsid w:val="00D85826"/>
    <w:rsid w:val="00D8587F"/>
    <w:rsid w:val="00D858BF"/>
    <w:rsid w:val="00D85A56"/>
    <w:rsid w:val="00D85A9D"/>
    <w:rsid w:val="00D85BB8"/>
    <w:rsid w:val="00D85BE1"/>
    <w:rsid w:val="00D85C2C"/>
    <w:rsid w:val="00D85C61"/>
    <w:rsid w:val="00D85CB4"/>
    <w:rsid w:val="00D85DD6"/>
    <w:rsid w:val="00D85DDE"/>
    <w:rsid w:val="00D85EA4"/>
    <w:rsid w:val="00D85F43"/>
    <w:rsid w:val="00D85FBF"/>
    <w:rsid w:val="00D8605F"/>
    <w:rsid w:val="00D860AA"/>
    <w:rsid w:val="00D861E9"/>
    <w:rsid w:val="00D86357"/>
    <w:rsid w:val="00D863C8"/>
    <w:rsid w:val="00D864DC"/>
    <w:rsid w:val="00D86545"/>
    <w:rsid w:val="00D865D7"/>
    <w:rsid w:val="00D865DA"/>
    <w:rsid w:val="00D8673B"/>
    <w:rsid w:val="00D86752"/>
    <w:rsid w:val="00D8675E"/>
    <w:rsid w:val="00D867A3"/>
    <w:rsid w:val="00D8686A"/>
    <w:rsid w:val="00D868DD"/>
    <w:rsid w:val="00D869B1"/>
    <w:rsid w:val="00D86A42"/>
    <w:rsid w:val="00D86AC1"/>
    <w:rsid w:val="00D86BCF"/>
    <w:rsid w:val="00D86BD5"/>
    <w:rsid w:val="00D86C6F"/>
    <w:rsid w:val="00D86E02"/>
    <w:rsid w:val="00D86FCC"/>
    <w:rsid w:val="00D87005"/>
    <w:rsid w:val="00D871DF"/>
    <w:rsid w:val="00D873CC"/>
    <w:rsid w:val="00D874F4"/>
    <w:rsid w:val="00D87518"/>
    <w:rsid w:val="00D87573"/>
    <w:rsid w:val="00D87595"/>
    <w:rsid w:val="00D875A0"/>
    <w:rsid w:val="00D8760D"/>
    <w:rsid w:val="00D87792"/>
    <w:rsid w:val="00D878CC"/>
    <w:rsid w:val="00D87956"/>
    <w:rsid w:val="00D879F3"/>
    <w:rsid w:val="00D87A65"/>
    <w:rsid w:val="00D87A83"/>
    <w:rsid w:val="00D87AAE"/>
    <w:rsid w:val="00D87B74"/>
    <w:rsid w:val="00D87C63"/>
    <w:rsid w:val="00D87CF7"/>
    <w:rsid w:val="00D87DD6"/>
    <w:rsid w:val="00D87DE2"/>
    <w:rsid w:val="00D87FA9"/>
    <w:rsid w:val="00D900A0"/>
    <w:rsid w:val="00D901BC"/>
    <w:rsid w:val="00D90434"/>
    <w:rsid w:val="00D904EF"/>
    <w:rsid w:val="00D9052A"/>
    <w:rsid w:val="00D90733"/>
    <w:rsid w:val="00D9079C"/>
    <w:rsid w:val="00D90873"/>
    <w:rsid w:val="00D90959"/>
    <w:rsid w:val="00D90A42"/>
    <w:rsid w:val="00D90BB0"/>
    <w:rsid w:val="00D90BCA"/>
    <w:rsid w:val="00D90C7E"/>
    <w:rsid w:val="00D90CE4"/>
    <w:rsid w:val="00D90D95"/>
    <w:rsid w:val="00D90E71"/>
    <w:rsid w:val="00D90F5E"/>
    <w:rsid w:val="00D90FB9"/>
    <w:rsid w:val="00D90FD2"/>
    <w:rsid w:val="00D90FD7"/>
    <w:rsid w:val="00D910F5"/>
    <w:rsid w:val="00D91119"/>
    <w:rsid w:val="00D91183"/>
    <w:rsid w:val="00D911EF"/>
    <w:rsid w:val="00D911F9"/>
    <w:rsid w:val="00D911FB"/>
    <w:rsid w:val="00D912C1"/>
    <w:rsid w:val="00D91328"/>
    <w:rsid w:val="00D913AC"/>
    <w:rsid w:val="00D91511"/>
    <w:rsid w:val="00D91532"/>
    <w:rsid w:val="00D915FA"/>
    <w:rsid w:val="00D91623"/>
    <w:rsid w:val="00D916CE"/>
    <w:rsid w:val="00D91746"/>
    <w:rsid w:val="00D91795"/>
    <w:rsid w:val="00D91860"/>
    <w:rsid w:val="00D91A05"/>
    <w:rsid w:val="00D91B43"/>
    <w:rsid w:val="00D91BA9"/>
    <w:rsid w:val="00D91C8D"/>
    <w:rsid w:val="00D91CDC"/>
    <w:rsid w:val="00D91E91"/>
    <w:rsid w:val="00D91EEE"/>
    <w:rsid w:val="00D91F79"/>
    <w:rsid w:val="00D91FA8"/>
    <w:rsid w:val="00D9204B"/>
    <w:rsid w:val="00D920A3"/>
    <w:rsid w:val="00D920FB"/>
    <w:rsid w:val="00D92218"/>
    <w:rsid w:val="00D92308"/>
    <w:rsid w:val="00D9243D"/>
    <w:rsid w:val="00D9246C"/>
    <w:rsid w:val="00D924D9"/>
    <w:rsid w:val="00D92505"/>
    <w:rsid w:val="00D92602"/>
    <w:rsid w:val="00D92697"/>
    <w:rsid w:val="00D9272D"/>
    <w:rsid w:val="00D92750"/>
    <w:rsid w:val="00D927A0"/>
    <w:rsid w:val="00D9288A"/>
    <w:rsid w:val="00D92959"/>
    <w:rsid w:val="00D92968"/>
    <w:rsid w:val="00D929CA"/>
    <w:rsid w:val="00D92B2E"/>
    <w:rsid w:val="00D930BF"/>
    <w:rsid w:val="00D930C2"/>
    <w:rsid w:val="00D931BC"/>
    <w:rsid w:val="00D93238"/>
    <w:rsid w:val="00D9340A"/>
    <w:rsid w:val="00D93666"/>
    <w:rsid w:val="00D9371E"/>
    <w:rsid w:val="00D93805"/>
    <w:rsid w:val="00D939F4"/>
    <w:rsid w:val="00D93B0B"/>
    <w:rsid w:val="00D93B3D"/>
    <w:rsid w:val="00D93B47"/>
    <w:rsid w:val="00D93B49"/>
    <w:rsid w:val="00D93B62"/>
    <w:rsid w:val="00D93BEC"/>
    <w:rsid w:val="00D93BFC"/>
    <w:rsid w:val="00D93C85"/>
    <w:rsid w:val="00D93C87"/>
    <w:rsid w:val="00D93CA5"/>
    <w:rsid w:val="00D93CE9"/>
    <w:rsid w:val="00D93CF0"/>
    <w:rsid w:val="00D93E81"/>
    <w:rsid w:val="00D93F5D"/>
    <w:rsid w:val="00D9400C"/>
    <w:rsid w:val="00D94010"/>
    <w:rsid w:val="00D940E5"/>
    <w:rsid w:val="00D9420E"/>
    <w:rsid w:val="00D94477"/>
    <w:rsid w:val="00D94622"/>
    <w:rsid w:val="00D9463B"/>
    <w:rsid w:val="00D94673"/>
    <w:rsid w:val="00D948DE"/>
    <w:rsid w:val="00D94C9D"/>
    <w:rsid w:val="00D94CCB"/>
    <w:rsid w:val="00D94DC6"/>
    <w:rsid w:val="00D94EE1"/>
    <w:rsid w:val="00D95052"/>
    <w:rsid w:val="00D95124"/>
    <w:rsid w:val="00D951F6"/>
    <w:rsid w:val="00D952DB"/>
    <w:rsid w:val="00D95315"/>
    <w:rsid w:val="00D9542E"/>
    <w:rsid w:val="00D95433"/>
    <w:rsid w:val="00D95443"/>
    <w:rsid w:val="00D95523"/>
    <w:rsid w:val="00D9555C"/>
    <w:rsid w:val="00D9568B"/>
    <w:rsid w:val="00D956A6"/>
    <w:rsid w:val="00D957A6"/>
    <w:rsid w:val="00D958BC"/>
    <w:rsid w:val="00D9594A"/>
    <w:rsid w:val="00D959E6"/>
    <w:rsid w:val="00D95AAA"/>
    <w:rsid w:val="00D95BC5"/>
    <w:rsid w:val="00D95D11"/>
    <w:rsid w:val="00D95E2A"/>
    <w:rsid w:val="00D95FC3"/>
    <w:rsid w:val="00D96059"/>
    <w:rsid w:val="00D9605B"/>
    <w:rsid w:val="00D96085"/>
    <w:rsid w:val="00D9610D"/>
    <w:rsid w:val="00D96419"/>
    <w:rsid w:val="00D96508"/>
    <w:rsid w:val="00D9652F"/>
    <w:rsid w:val="00D9656E"/>
    <w:rsid w:val="00D965E7"/>
    <w:rsid w:val="00D96639"/>
    <w:rsid w:val="00D9675D"/>
    <w:rsid w:val="00D96953"/>
    <w:rsid w:val="00D96A2A"/>
    <w:rsid w:val="00D96AA4"/>
    <w:rsid w:val="00D96ADF"/>
    <w:rsid w:val="00D96B8B"/>
    <w:rsid w:val="00D96D5E"/>
    <w:rsid w:val="00D96D88"/>
    <w:rsid w:val="00D96E38"/>
    <w:rsid w:val="00D9701E"/>
    <w:rsid w:val="00D9710A"/>
    <w:rsid w:val="00D97172"/>
    <w:rsid w:val="00D97176"/>
    <w:rsid w:val="00D971B3"/>
    <w:rsid w:val="00D97230"/>
    <w:rsid w:val="00D97290"/>
    <w:rsid w:val="00D972B1"/>
    <w:rsid w:val="00D97572"/>
    <w:rsid w:val="00D975FF"/>
    <w:rsid w:val="00D97800"/>
    <w:rsid w:val="00D9786A"/>
    <w:rsid w:val="00D97A2A"/>
    <w:rsid w:val="00D97D56"/>
    <w:rsid w:val="00D97DF2"/>
    <w:rsid w:val="00D97E55"/>
    <w:rsid w:val="00D97E91"/>
    <w:rsid w:val="00D97EB0"/>
    <w:rsid w:val="00D97EEF"/>
    <w:rsid w:val="00DA0047"/>
    <w:rsid w:val="00DA0194"/>
    <w:rsid w:val="00DA022B"/>
    <w:rsid w:val="00DA02A2"/>
    <w:rsid w:val="00DA0303"/>
    <w:rsid w:val="00DA034F"/>
    <w:rsid w:val="00DA0386"/>
    <w:rsid w:val="00DA03AD"/>
    <w:rsid w:val="00DA0410"/>
    <w:rsid w:val="00DA04C5"/>
    <w:rsid w:val="00DA0578"/>
    <w:rsid w:val="00DA0611"/>
    <w:rsid w:val="00DA0676"/>
    <w:rsid w:val="00DA08C7"/>
    <w:rsid w:val="00DA0A03"/>
    <w:rsid w:val="00DA0B83"/>
    <w:rsid w:val="00DA0CB0"/>
    <w:rsid w:val="00DA0D1D"/>
    <w:rsid w:val="00DA0DAC"/>
    <w:rsid w:val="00DA0FF8"/>
    <w:rsid w:val="00DA1004"/>
    <w:rsid w:val="00DA10A5"/>
    <w:rsid w:val="00DA1120"/>
    <w:rsid w:val="00DA11EC"/>
    <w:rsid w:val="00DA1285"/>
    <w:rsid w:val="00DA1391"/>
    <w:rsid w:val="00DA1746"/>
    <w:rsid w:val="00DA1825"/>
    <w:rsid w:val="00DA1988"/>
    <w:rsid w:val="00DA19FB"/>
    <w:rsid w:val="00DA1B10"/>
    <w:rsid w:val="00DA1D05"/>
    <w:rsid w:val="00DA1D7C"/>
    <w:rsid w:val="00DA1F05"/>
    <w:rsid w:val="00DA1F73"/>
    <w:rsid w:val="00DA202E"/>
    <w:rsid w:val="00DA20DD"/>
    <w:rsid w:val="00DA20E3"/>
    <w:rsid w:val="00DA20E5"/>
    <w:rsid w:val="00DA20FB"/>
    <w:rsid w:val="00DA22B1"/>
    <w:rsid w:val="00DA22EB"/>
    <w:rsid w:val="00DA232A"/>
    <w:rsid w:val="00DA2381"/>
    <w:rsid w:val="00DA244A"/>
    <w:rsid w:val="00DA2576"/>
    <w:rsid w:val="00DA267C"/>
    <w:rsid w:val="00DA26FC"/>
    <w:rsid w:val="00DA2724"/>
    <w:rsid w:val="00DA27B3"/>
    <w:rsid w:val="00DA2810"/>
    <w:rsid w:val="00DA28D0"/>
    <w:rsid w:val="00DA28D4"/>
    <w:rsid w:val="00DA28DD"/>
    <w:rsid w:val="00DA2945"/>
    <w:rsid w:val="00DA296E"/>
    <w:rsid w:val="00DA2A0E"/>
    <w:rsid w:val="00DA2B80"/>
    <w:rsid w:val="00DA2D9D"/>
    <w:rsid w:val="00DA2FB5"/>
    <w:rsid w:val="00DA2FD9"/>
    <w:rsid w:val="00DA30E6"/>
    <w:rsid w:val="00DA31B7"/>
    <w:rsid w:val="00DA3300"/>
    <w:rsid w:val="00DA33E1"/>
    <w:rsid w:val="00DA346A"/>
    <w:rsid w:val="00DA359E"/>
    <w:rsid w:val="00DA36A3"/>
    <w:rsid w:val="00DA39EE"/>
    <w:rsid w:val="00DA3C90"/>
    <w:rsid w:val="00DA3CD3"/>
    <w:rsid w:val="00DA3D88"/>
    <w:rsid w:val="00DA3EDE"/>
    <w:rsid w:val="00DA40D1"/>
    <w:rsid w:val="00DA4157"/>
    <w:rsid w:val="00DA4261"/>
    <w:rsid w:val="00DA4327"/>
    <w:rsid w:val="00DA4359"/>
    <w:rsid w:val="00DA4406"/>
    <w:rsid w:val="00DA44B2"/>
    <w:rsid w:val="00DA4663"/>
    <w:rsid w:val="00DA484D"/>
    <w:rsid w:val="00DA496C"/>
    <w:rsid w:val="00DA4BAE"/>
    <w:rsid w:val="00DA4BB9"/>
    <w:rsid w:val="00DA4BE0"/>
    <w:rsid w:val="00DA4C59"/>
    <w:rsid w:val="00DA4CFC"/>
    <w:rsid w:val="00DA4D6A"/>
    <w:rsid w:val="00DA4E7E"/>
    <w:rsid w:val="00DA4F13"/>
    <w:rsid w:val="00DA5101"/>
    <w:rsid w:val="00DA5161"/>
    <w:rsid w:val="00DA52C6"/>
    <w:rsid w:val="00DA5428"/>
    <w:rsid w:val="00DA54F2"/>
    <w:rsid w:val="00DA551B"/>
    <w:rsid w:val="00DA55C4"/>
    <w:rsid w:val="00DA5813"/>
    <w:rsid w:val="00DA5937"/>
    <w:rsid w:val="00DA596C"/>
    <w:rsid w:val="00DA59B9"/>
    <w:rsid w:val="00DA5A92"/>
    <w:rsid w:val="00DA5BFA"/>
    <w:rsid w:val="00DA5DF0"/>
    <w:rsid w:val="00DA5EA4"/>
    <w:rsid w:val="00DA5ED0"/>
    <w:rsid w:val="00DA6026"/>
    <w:rsid w:val="00DA6129"/>
    <w:rsid w:val="00DA6150"/>
    <w:rsid w:val="00DA6283"/>
    <w:rsid w:val="00DA631B"/>
    <w:rsid w:val="00DA63C1"/>
    <w:rsid w:val="00DA664B"/>
    <w:rsid w:val="00DA666B"/>
    <w:rsid w:val="00DA66C7"/>
    <w:rsid w:val="00DA67F1"/>
    <w:rsid w:val="00DA68B3"/>
    <w:rsid w:val="00DA68F8"/>
    <w:rsid w:val="00DA6926"/>
    <w:rsid w:val="00DA6A55"/>
    <w:rsid w:val="00DA6A77"/>
    <w:rsid w:val="00DA6B04"/>
    <w:rsid w:val="00DA6B17"/>
    <w:rsid w:val="00DA6B45"/>
    <w:rsid w:val="00DA6B64"/>
    <w:rsid w:val="00DA6BE3"/>
    <w:rsid w:val="00DA6C03"/>
    <w:rsid w:val="00DA6C7D"/>
    <w:rsid w:val="00DA6CFF"/>
    <w:rsid w:val="00DA6D26"/>
    <w:rsid w:val="00DA6D2C"/>
    <w:rsid w:val="00DA6D37"/>
    <w:rsid w:val="00DA6D6F"/>
    <w:rsid w:val="00DA6D8B"/>
    <w:rsid w:val="00DA6D99"/>
    <w:rsid w:val="00DA6E8B"/>
    <w:rsid w:val="00DA6EDB"/>
    <w:rsid w:val="00DA6F4C"/>
    <w:rsid w:val="00DA7019"/>
    <w:rsid w:val="00DA70B4"/>
    <w:rsid w:val="00DA70FF"/>
    <w:rsid w:val="00DA71A0"/>
    <w:rsid w:val="00DA75D3"/>
    <w:rsid w:val="00DA7608"/>
    <w:rsid w:val="00DA7665"/>
    <w:rsid w:val="00DA778E"/>
    <w:rsid w:val="00DA7993"/>
    <w:rsid w:val="00DA79C4"/>
    <w:rsid w:val="00DA79EF"/>
    <w:rsid w:val="00DA7A2F"/>
    <w:rsid w:val="00DA7ABC"/>
    <w:rsid w:val="00DA7B9A"/>
    <w:rsid w:val="00DA7CFE"/>
    <w:rsid w:val="00DA7D67"/>
    <w:rsid w:val="00DA7E19"/>
    <w:rsid w:val="00DA7E4D"/>
    <w:rsid w:val="00DA7F05"/>
    <w:rsid w:val="00DA7FC4"/>
    <w:rsid w:val="00DB0024"/>
    <w:rsid w:val="00DB01AA"/>
    <w:rsid w:val="00DB0268"/>
    <w:rsid w:val="00DB033A"/>
    <w:rsid w:val="00DB0426"/>
    <w:rsid w:val="00DB05D6"/>
    <w:rsid w:val="00DB0726"/>
    <w:rsid w:val="00DB0842"/>
    <w:rsid w:val="00DB0990"/>
    <w:rsid w:val="00DB0A1E"/>
    <w:rsid w:val="00DB0A3D"/>
    <w:rsid w:val="00DB0A60"/>
    <w:rsid w:val="00DB0A8C"/>
    <w:rsid w:val="00DB0B02"/>
    <w:rsid w:val="00DB0B03"/>
    <w:rsid w:val="00DB0C0B"/>
    <w:rsid w:val="00DB0CE7"/>
    <w:rsid w:val="00DB0D13"/>
    <w:rsid w:val="00DB0EE5"/>
    <w:rsid w:val="00DB10AA"/>
    <w:rsid w:val="00DB117E"/>
    <w:rsid w:val="00DB1199"/>
    <w:rsid w:val="00DB122F"/>
    <w:rsid w:val="00DB1258"/>
    <w:rsid w:val="00DB1390"/>
    <w:rsid w:val="00DB13FF"/>
    <w:rsid w:val="00DB1490"/>
    <w:rsid w:val="00DB1625"/>
    <w:rsid w:val="00DB16E9"/>
    <w:rsid w:val="00DB173B"/>
    <w:rsid w:val="00DB17EF"/>
    <w:rsid w:val="00DB1856"/>
    <w:rsid w:val="00DB185F"/>
    <w:rsid w:val="00DB197D"/>
    <w:rsid w:val="00DB19D6"/>
    <w:rsid w:val="00DB1A22"/>
    <w:rsid w:val="00DB1A3A"/>
    <w:rsid w:val="00DB1A3F"/>
    <w:rsid w:val="00DB1A59"/>
    <w:rsid w:val="00DB1B17"/>
    <w:rsid w:val="00DB1D72"/>
    <w:rsid w:val="00DB1E71"/>
    <w:rsid w:val="00DB1EE3"/>
    <w:rsid w:val="00DB2007"/>
    <w:rsid w:val="00DB2023"/>
    <w:rsid w:val="00DB2068"/>
    <w:rsid w:val="00DB2091"/>
    <w:rsid w:val="00DB20D5"/>
    <w:rsid w:val="00DB2163"/>
    <w:rsid w:val="00DB2329"/>
    <w:rsid w:val="00DB23A5"/>
    <w:rsid w:val="00DB24A2"/>
    <w:rsid w:val="00DB24D6"/>
    <w:rsid w:val="00DB24EB"/>
    <w:rsid w:val="00DB267E"/>
    <w:rsid w:val="00DB26A2"/>
    <w:rsid w:val="00DB26B3"/>
    <w:rsid w:val="00DB271D"/>
    <w:rsid w:val="00DB27BC"/>
    <w:rsid w:val="00DB2861"/>
    <w:rsid w:val="00DB2862"/>
    <w:rsid w:val="00DB2947"/>
    <w:rsid w:val="00DB2A1A"/>
    <w:rsid w:val="00DB2B19"/>
    <w:rsid w:val="00DB2B39"/>
    <w:rsid w:val="00DB2CF7"/>
    <w:rsid w:val="00DB2D65"/>
    <w:rsid w:val="00DB2E8A"/>
    <w:rsid w:val="00DB2F0B"/>
    <w:rsid w:val="00DB3156"/>
    <w:rsid w:val="00DB31B6"/>
    <w:rsid w:val="00DB3535"/>
    <w:rsid w:val="00DB35F4"/>
    <w:rsid w:val="00DB36E9"/>
    <w:rsid w:val="00DB377E"/>
    <w:rsid w:val="00DB3852"/>
    <w:rsid w:val="00DB39CB"/>
    <w:rsid w:val="00DB39F3"/>
    <w:rsid w:val="00DB3A00"/>
    <w:rsid w:val="00DB3A14"/>
    <w:rsid w:val="00DB3AEF"/>
    <w:rsid w:val="00DB3B74"/>
    <w:rsid w:val="00DB3BFB"/>
    <w:rsid w:val="00DB3EC2"/>
    <w:rsid w:val="00DB3F16"/>
    <w:rsid w:val="00DB40BC"/>
    <w:rsid w:val="00DB4188"/>
    <w:rsid w:val="00DB42EF"/>
    <w:rsid w:val="00DB4305"/>
    <w:rsid w:val="00DB438F"/>
    <w:rsid w:val="00DB43E4"/>
    <w:rsid w:val="00DB455E"/>
    <w:rsid w:val="00DB45CF"/>
    <w:rsid w:val="00DB468E"/>
    <w:rsid w:val="00DB4742"/>
    <w:rsid w:val="00DB4A14"/>
    <w:rsid w:val="00DB4AB2"/>
    <w:rsid w:val="00DB4ADB"/>
    <w:rsid w:val="00DB4AF8"/>
    <w:rsid w:val="00DB4BEA"/>
    <w:rsid w:val="00DB4DC2"/>
    <w:rsid w:val="00DB4DEE"/>
    <w:rsid w:val="00DB4E33"/>
    <w:rsid w:val="00DB4E53"/>
    <w:rsid w:val="00DB4F2F"/>
    <w:rsid w:val="00DB5029"/>
    <w:rsid w:val="00DB543F"/>
    <w:rsid w:val="00DB546E"/>
    <w:rsid w:val="00DB551C"/>
    <w:rsid w:val="00DB56D5"/>
    <w:rsid w:val="00DB5752"/>
    <w:rsid w:val="00DB582F"/>
    <w:rsid w:val="00DB583A"/>
    <w:rsid w:val="00DB5938"/>
    <w:rsid w:val="00DB599A"/>
    <w:rsid w:val="00DB599C"/>
    <w:rsid w:val="00DB59D1"/>
    <w:rsid w:val="00DB5A8C"/>
    <w:rsid w:val="00DB5AB6"/>
    <w:rsid w:val="00DB5BE1"/>
    <w:rsid w:val="00DB5C50"/>
    <w:rsid w:val="00DB5DEC"/>
    <w:rsid w:val="00DB5E10"/>
    <w:rsid w:val="00DB5E43"/>
    <w:rsid w:val="00DB5ED0"/>
    <w:rsid w:val="00DB5F25"/>
    <w:rsid w:val="00DB606E"/>
    <w:rsid w:val="00DB60C7"/>
    <w:rsid w:val="00DB634D"/>
    <w:rsid w:val="00DB63E2"/>
    <w:rsid w:val="00DB6403"/>
    <w:rsid w:val="00DB6443"/>
    <w:rsid w:val="00DB6497"/>
    <w:rsid w:val="00DB65F5"/>
    <w:rsid w:val="00DB674C"/>
    <w:rsid w:val="00DB67C4"/>
    <w:rsid w:val="00DB68CE"/>
    <w:rsid w:val="00DB697F"/>
    <w:rsid w:val="00DB6BB8"/>
    <w:rsid w:val="00DB6BF5"/>
    <w:rsid w:val="00DB6C68"/>
    <w:rsid w:val="00DB6CAF"/>
    <w:rsid w:val="00DB6CE0"/>
    <w:rsid w:val="00DB6D44"/>
    <w:rsid w:val="00DB7142"/>
    <w:rsid w:val="00DB71B7"/>
    <w:rsid w:val="00DB7303"/>
    <w:rsid w:val="00DB733E"/>
    <w:rsid w:val="00DB75D4"/>
    <w:rsid w:val="00DB777F"/>
    <w:rsid w:val="00DB7906"/>
    <w:rsid w:val="00DB79CF"/>
    <w:rsid w:val="00DB79DA"/>
    <w:rsid w:val="00DB7A18"/>
    <w:rsid w:val="00DB7D14"/>
    <w:rsid w:val="00DB7EE0"/>
    <w:rsid w:val="00DB7F8D"/>
    <w:rsid w:val="00DC0033"/>
    <w:rsid w:val="00DC0066"/>
    <w:rsid w:val="00DC00C0"/>
    <w:rsid w:val="00DC00C3"/>
    <w:rsid w:val="00DC0119"/>
    <w:rsid w:val="00DC029D"/>
    <w:rsid w:val="00DC02D5"/>
    <w:rsid w:val="00DC03FB"/>
    <w:rsid w:val="00DC0542"/>
    <w:rsid w:val="00DC063A"/>
    <w:rsid w:val="00DC06AB"/>
    <w:rsid w:val="00DC0746"/>
    <w:rsid w:val="00DC075B"/>
    <w:rsid w:val="00DC077F"/>
    <w:rsid w:val="00DC0834"/>
    <w:rsid w:val="00DC0906"/>
    <w:rsid w:val="00DC0923"/>
    <w:rsid w:val="00DC0A42"/>
    <w:rsid w:val="00DC0AA1"/>
    <w:rsid w:val="00DC0AF6"/>
    <w:rsid w:val="00DC0BC7"/>
    <w:rsid w:val="00DC0C40"/>
    <w:rsid w:val="00DC0CDB"/>
    <w:rsid w:val="00DC0D4A"/>
    <w:rsid w:val="00DC0E09"/>
    <w:rsid w:val="00DC0E9E"/>
    <w:rsid w:val="00DC1020"/>
    <w:rsid w:val="00DC1102"/>
    <w:rsid w:val="00DC11A2"/>
    <w:rsid w:val="00DC132A"/>
    <w:rsid w:val="00DC13BB"/>
    <w:rsid w:val="00DC13F2"/>
    <w:rsid w:val="00DC143F"/>
    <w:rsid w:val="00DC1459"/>
    <w:rsid w:val="00DC1600"/>
    <w:rsid w:val="00DC1618"/>
    <w:rsid w:val="00DC1649"/>
    <w:rsid w:val="00DC16CE"/>
    <w:rsid w:val="00DC175F"/>
    <w:rsid w:val="00DC180A"/>
    <w:rsid w:val="00DC1A53"/>
    <w:rsid w:val="00DC1A57"/>
    <w:rsid w:val="00DC1A7A"/>
    <w:rsid w:val="00DC1AF7"/>
    <w:rsid w:val="00DC1BE7"/>
    <w:rsid w:val="00DC1DF6"/>
    <w:rsid w:val="00DC1E61"/>
    <w:rsid w:val="00DC1F73"/>
    <w:rsid w:val="00DC2001"/>
    <w:rsid w:val="00DC20CE"/>
    <w:rsid w:val="00DC217D"/>
    <w:rsid w:val="00DC21BB"/>
    <w:rsid w:val="00DC21CB"/>
    <w:rsid w:val="00DC225E"/>
    <w:rsid w:val="00DC22AA"/>
    <w:rsid w:val="00DC2309"/>
    <w:rsid w:val="00DC231C"/>
    <w:rsid w:val="00DC235B"/>
    <w:rsid w:val="00DC2379"/>
    <w:rsid w:val="00DC240A"/>
    <w:rsid w:val="00DC2628"/>
    <w:rsid w:val="00DC2773"/>
    <w:rsid w:val="00DC285F"/>
    <w:rsid w:val="00DC28C7"/>
    <w:rsid w:val="00DC2A75"/>
    <w:rsid w:val="00DC2AC2"/>
    <w:rsid w:val="00DC2DAF"/>
    <w:rsid w:val="00DC2DD0"/>
    <w:rsid w:val="00DC2F3A"/>
    <w:rsid w:val="00DC2F9F"/>
    <w:rsid w:val="00DC3234"/>
    <w:rsid w:val="00DC32A6"/>
    <w:rsid w:val="00DC3314"/>
    <w:rsid w:val="00DC34AE"/>
    <w:rsid w:val="00DC350F"/>
    <w:rsid w:val="00DC3531"/>
    <w:rsid w:val="00DC354D"/>
    <w:rsid w:val="00DC363F"/>
    <w:rsid w:val="00DC3663"/>
    <w:rsid w:val="00DC3724"/>
    <w:rsid w:val="00DC3735"/>
    <w:rsid w:val="00DC3843"/>
    <w:rsid w:val="00DC3862"/>
    <w:rsid w:val="00DC387F"/>
    <w:rsid w:val="00DC3A6A"/>
    <w:rsid w:val="00DC3C3C"/>
    <w:rsid w:val="00DC3E00"/>
    <w:rsid w:val="00DC3E07"/>
    <w:rsid w:val="00DC3F3C"/>
    <w:rsid w:val="00DC3F9F"/>
    <w:rsid w:val="00DC40B7"/>
    <w:rsid w:val="00DC4153"/>
    <w:rsid w:val="00DC4326"/>
    <w:rsid w:val="00DC4436"/>
    <w:rsid w:val="00DC46CA"/>
    <w:rsid w:val="00DC473B"/>
    <w:rsid w:val="00DC4952"/>
    <w:rsid w:val="00DC4954"/>
    <w:rsid w:val="00DC49CF"/>
    <w:rsid w:val="00DC4A29"/>
    <w:rsid w:val="00DC4AC6"/>
    <w:rsid w:val="00DC4AF8"/>
    <w:rsid w:val="00DC4B7C"/>
    <w:rsid w:val="00DC4E79"/>
    <w:rsid w:val="00DC4E80"/>
    <w:rsid w:val="00DC4F9E"/>
    <w:rsid w:val="00DC5075"/>
    <w:rsid w:val="00DC5160"/>
    <w:rsid w:val="00DC51B6"/>
    <w:rsid w:val="00DC51F4"/>
    <w:rsid w:val="00DC51F9"/>
    <w:rsid w:val="00DC522C"/>
    <w:rsid w:val="00DC5252"/>
    <w:rsid w:val="00DC528E"/>
    <w:rsid w:val="00DC52A3"/>
    <w:rsid w:val="00DC52DE"/>
    <w:rsid w:val="00DC530A"/>
    <w:rsid w:val="00DC53A9"/>
    <w:rsid w:val="00DC5506"/>
    <w:rsid w:val="00DC5507"/>
    <w:rsid w:val="00DC558F"/>
    <w:rsid w:val="00DC55FF"/>
    <w:rsid w:val="00DC56EC"/>
    <w:rsid w:val="00DC5870"/>
    <w:rsid w:val="00DC5990"/>
    <w:rsid w:val="00DC59F2"/>
    <w:rsid w:val="00DC5A0C"/>
    <w:rsid w:val="00DC5AE4"/>
    <w:rsid w:val="00DC5AFC"/>
    <w:rsid w:val="00DC5B28"/>
    <w:rsid w:val="00DC5B78"/>
    <w:rsid w:val="00DC5C65"/>
    <w:rsid w:val="00DC5CD0"/>
    <w:rsid w:val="00DC5D34"/>
    <w:rsid w:val="00DC5DE1"/>
    <w:rsid w:val="00DC5E95"/>
    <w:rsid w:val="00DC5F03"/>
    <w:rsid w:val="00DC5F0A"/>
    <w:rsid w:val="00DC5F92"/>
    <w:rsid w:val="00DC5FA0"/>
    <w:rsid w:val="00DC611A"/>
    <w:rsid w:val="00DC617E"/>
    <w:rsid w:val="00DC61AA"/>
    <w:rsid w:val="00DC6260"/>
    <w:rsid w:val="00DC62EC"/>
    <w:rsid w:val="00DC6328"/>
    <w:rsid w:val="00DC6488"/>
    <w:rsid w:val="00DC6528"/>
    <w:rsid w:val="00DC65D8"/>
    <w:rsid w:val="00DC6654"/>
    <w:rsid w:val="00DC67F9"/>
    <w:rsid w:val="00DC6968"/>
    <w:rsid w:val="00DC6A13"/>
    <w:rsid w:val="00DC6A3C"/>
    <w:rsid w:val="00DC6A4E"/>
    <w:rsid w:val="00DC6A83"/>
    <w:rsid w:val="00DC6B09"/>
    <w:rsid w:val="00DC6B1F"/>
    <w:rsid w:val="00DC6BEF"/>
    <w:rsid w:val="00DC6C09"/>
    <w:rsid w:val="00DC6C50"/>
    <w:rsid w:val="00DC6C86"/>
    <w:rsid w:val="00DC6D97"/>
    <w:rsid w:val="00DC6DA8"/>
    <w:rsid w:val="00DC6EB2"/>
    <w:rsid w:val="00DC6F44"/>
    <w:rsid w:val="00DC6F60"/>
    <w:rsid w:val="00DC708A"/>
    <w:rsid w:val="00DC7204"/>
    <w:rsid w:val="00DC720C"/>
    <w:rsid w:val="00DC72A1"/>
    <w:rsid w:val="00DC72AB"/>
    <w:rsid w:val="00DC7360"/>
    <w:rsid w:val="00DC7410"/>
    <w:rsid w:val="00DC7491"/>
    <w:rsid w:val="00DC7601"/>
    <w:rsid w:val="00DC767A"/>
    <w:rsid w:val="00DC76EF"/>
    <w:rsid w:val="00DC7703"/>
    <w:rsid w:val="00DC7743"/>
    <w:rsid w:val="00DC77F0"/>
    <w:rsid w:val="00DC795C"/>
    <w:rsid w:val="00DC7C4E"/>
    <w:rsid w:val="00DC7DF6"/>
    <w:rsid w:val="00DC7EBD"/>
    <w:rsid w:val="00DC7F89"/>
    <w:rsid w:val="00DC7FD9"/>
    <w:rsid w:val="00DD0053"/>
    <w:rsid w:val="00DD0076"/>
    <w:rsid w:val="00DD007F"/>
    <w:rsid w:val="00DD0131"/>
    <w:rsid w:val="00DD0350"/>
    <w:rsid w:val="00DD0384"/>
    <w:rsid w:val="00DD06D6"/>
    <w:rsid w:val="00DD07B0"/>
    <w:rsid w:val="00DD07E5"/>
    <w:rsid w:val="00DD0901"/>
    <w:rsid w:val="00DD0CAD"/>
    <w:rsid w:val="00DD0E10"/>
    <w:rsid w:val="00DD0EBF"/>
    <w:rsid w:val="00DD0F20"/>
    <w:rsid w:val="00DD0F58"/>
    <w:rsid w:val="00DD0F6F"/>
    <w:rsid w:val="00DD1097"/>
    <w:rsid w:val="00DD114F"/>
    <w:rsid w:val="00DD11D9"/>
    <w:rsid w:val="00DD120F"/>
    <w:rsid w:val="00DD13D7"/>
    <w:rsid w:val="00DD145E"/>
    <w:rsid w:val="00DD1468"/>
    <w:rsid w:val="00DD1493"/>
    <w:rsid w:val="00DD1514"/>
    <w:rsid w:val="00DD15DE"/>
    <w:rsid w:val="00DD168B"/>
    <w:rsid w:val="00DD1790"/>
    <w:rsid w:val="00DD1A21"/>
    <w:rsid w:val="00DD1C3F"/>
    <w:rsid w:val="00DD1CB6"/>
    <w:rsid w:val="00DD1CCC"/>
    <w:rsid w:val="00DD1DB4"/>
    <w:rsid w:val="00DD1DE1"/>
    <w:rsid w:val="00DD1F9D"/>
    <w:rsid w:val="00DD21BD"/>
    <w:rsid w:val="00DD2207"/>
    <w:rsid w:val="00DD2287"/>
    <w:rsid w:val="00DD2314"/>
    <w:rsid w:val="00DD23E6"/>
    <w:rsid w:val="00DD24D3"/>
    <w:rsid w:val="00DD25B2"/>
    <w:rsid w:val="00DD26F2"/>
    <w:rsid w:val="00DD280D"/>
    <w:rsid w:val="00DD2C4B"/>
    <w:rsid w:val="00DD2C8C"/>
    <w:rsid w:val="00DD2CB9"/>
    <w:rsid w:val="00DD2D03"/>
    <w:rsid w:val="00DD2D69"/>
    <w:rsid w:val="00DD2DEE"/>
    <w:rsid w:val="00DD2F26"/>
    <w:rsid w:val="00DD2FC1"/>
    <w:rsid w:val="00DD312A"/>
    <w:rsid w:val="00DD3236"/>
    <w:rsid w:val="00DD3436"/>
    <w:rsid w:val="00DD353B"/>
    <w:rsid w:val="00DD357E"/>
    <w:rsid w:val="00DD36CF"/>
    <w:rsid w:val="00DD3717"/>
    <w:rsid w:val="00DD37AA"/>
    <w:rsid w:val="00DD3824"/>
    <w:rsid w:val="00DD3966"/>
    <w:rsid w:val="00DD39C6"/>
    <w:rsid w:val="00DD39E8"/>
    <w:rsid w:val="00DD3A57"/>
    <w:rsid w:val="00DD3B05"/>
    <w:rsid w:val="00DD3BC3"/>
    <w:rsid w:val="00DD3D4D"/>
    <w:rsid w:val="00DD3E51"/>
    <w:rsid w:val="00DD3E5F"/>
    <w:rsid w:val="00DD3ED1"/>
    <w:rsid w:val="00DD3FEA"/>
    <w:rsid w:val="00DD3FF2"/>
    <w:rsid w:val="00DD4072"/>
    <w:rsid w:val="00DD40DF"/>
    <w:rsid w:val="00DD40F2"/>
    <w:rsid w:val="00DD41A2"/>
    <w:rsid w:val="00DD41A7"/>
    <w:rsid w:val="00DD41FA"/>
    <w:rsid w:val="00DD4270"/>
    <w:rsid w:val="00DD42C6"/>
    <w:rsid w:val="00DD431F"/>
    <w:rsid w:val="00DD43A6"/>
    <w:rsid w:val="00DD4497"/>
    <w:rsid w:val="00DD45E7"/>
    <w:rsid w:val="00DD460B"/>
    <w:rsid w:val="00DD472E"/>
    <w:rsid w:val="00DD478E"/>
    <w:rsid w:val="00DD47D0"/>
    <w:rsid w:val="00DD489A"/>
    <w:rsid w:val="00DD4908"/>
    <w:rsid w:val="00DD49DF"/>
    <w:rsid w:val="00DD4A09"/>
    <w:rsid w:val="00DD4A24"/>
    <w:rsid w:val="00DD4A4E"/>
    <w:rsid w:val="00DD4A52"/>
    <w:rsid w:val="00DD4AB0"/>
    <w:rsid w:val="00DD4ABB"/>
    <w:rsid w:val="00DD4C02"/>
    <w:rsid w:val="00DD4CE6"/>
    <w:rsid w:val="00DD4D6D"/>
    <w:rsid w:val="00DD4DA1"/>
    <w:rsid w:val="00DD4EA9"/>
    <w:rsid w:val="00DD4ED8"/>
    <w:rsid w:val="00DD516F"/>
    <w:rsid w:val="00DD517C"/>
    <w:rsid w:val="00DD52A7"/>
    <w:rsid w:val="00DD5303"/>
    <w:rsid w:val="00DD530A"/>
    <w:rsid w:val="00DD53E1"/>
    <w:rsid w:val="00DD547A"/>
    <w:rsid w:val="00DD54D3"/>
    <w:rsid w:val="00DD5529"/>
    <w:rsid w:val="00DD55FF"/>
    <w:rsid w:val="00DD5695"/>
    <w:rsid w:val="00DD56EB"/>
    <w:rsid w:val="00DD5764"/>
    <w:rsid w:val="00DD5777"/>
    <w:rsid w:val="00DD5787"/>
    <w:rsid w:val="00DD58A7"/>
    <w:rsid w:val="00DD59EC"/>
    <w:rsid w:val="00DD5ABA"/>
    <w:rsid w:val="00DD5B95"/>
    <w:rsid w:val="00DD5CA7"/>
    <w:rsid w:val="00DD5E07"/>
    <w:rsid w:val="00DD5F53"/>
    <w:rsid w:val="00DD5F72"/>
    <w:rsid w:val="00DD5FCF"/>
    <w:rsid w:val="00DD5FE5"/>
    <w:rsid w:val="00DD61B8"/>
    <w:rsid w:val="00DD6313"/>
    <w:rsid w:val="00DD6340"/>
    <w:rsid w:val="00DD672B"/>
    <w:rsid w:val="00DD683D"/>
    <w:rsid w:val="00DD685D"/>
    <w:rsid w:val="00DD689A"/>
    <w:rsid w:val="00DD6924"/>
    <w:rsid w:val="00DD6963"/>
    <w:rsid w:val="00DD6C1A"/>
    <w:rsid w:val="00DD6C89"/>
    <w:rsid w:val="00DD6CE6"/>
    <w:rsid w:val="00DD6DD7"/>
    <w:rsid w:val="00DD6E08"/>
    <w:rsid w:val="00DD6E59"/>
    <w:rsid w:val="00DD6F02"/>
    <w:rsid w:val="00DD700F"/>
    <w:rsid w:val="00DD70DB"/>
    <w:rsid w:val="00DD7152"/>
    <w:rsid w:val="00DD717C"/>
    <w:rsid w:val="00DD71D3"/>
    <w:rsid w:val="00DD7240"/>
    <w:rsid w:val="00DD7500"/>
    <w:rsid w:val="00DD7516"/>
    <w:rsid w:val="00DD75A8"/>
    <w:rsid w:val="00DD769B"/>
    <w:rsid w:val="00DD76C0"/>
    <w:rsid w:val="00DD78C4"/>
    <w:rsid w:val="00DD7973"/>
    <w:rsid w:val="00DD7984"/>
    <w:rsid w:val="00DD7A98"/>
    <w:rsid w:val="00DD7AAA"/>
    <w:rsid w:val="00DD7AD7"/>
    <w:rsid w:val="00DD7AF1"/>
    <w:rsid w:val="00DD7B17"/>
    <w:rsid w:val="00DD7B67"/>
    <w:rsid w:val="00DD7C3C"/>
    <w:rsid w:val="00DD7F55"/>
    <w:rsid w:val="00DD7FE3"/>
    <w:rsid w:val="00DE0073"/>
    <w:rsid w:val="00DE00A0"/>
    <w:rsid w:val="00DE0223"/>
    <w:rsid w:val="00DE0265"/>
    <w:rsid w:val="00DE0286"/>
    <w:rsid w:val="00DE0293"/>
    <w:rsid w:val="00DE040E"/>
    <w:rsid w:val="00DE0446"/>
    <w:rsid w:val="00DE0515"/>
    <w:rsid w:val="00DE0639"/>
    <w:rsid w:val="00DE074A"/>
    <w:rsid w:val="00DE08FF"/>
    <w:rsid w:val="00DE09DA"/>
    <w:rsid w:val="00DE0A62"/>
    <w:rsid w:val="00DE0B39"/>
    <w:rsid w:val="00DE0C89"/>
    <w:rsid w:val="00DE0D0F"/>
    <w:rsid w:val="00DE0D9D"/>
    <w:rsid w:val="00DE0DF5"/>
    <w:rsid w:val="00DE0FA4"/>
    <w:rsid w:val="00DE10CF"/>
    <w:rsid w:val="00DE1146"/>
    <w:rsid w:val="00DE1422"/>
    <w:rsid w:val="00DE1444"/>
    <w:rsid w:val="00DE1510"/>
    <w:rsid w:val="00DE1635"/>
    <w:rsid w:val="00DE16B6"/>
    <w:rsid w:val="00DE16FC"/>
    <w:rsid w:val="00DE1733"/>
    <w:rsid w:val="00DE17DC"/>
    <w:rsid w:val="00DE19C6"/>
    <w:rsid w:val="00DE1A81"/>
    <w:rsid w:val="00DE1B0E"/>
    <w:rsid w:val="00DE1CBB"/>
    <w:rsid w:val="00DE2225"/>
    <w:rsid w:val="00DE2259"/>
    <w:rsid w:val="00DE2313"/>
    <w:rsid w:val="00DE2321"/>
    <w:rsid w:val="00DE237D"/>
    <w:rsid w:val="00DE2388"/>
    <w:rsid w:val="00DE2399"/>
    <w:rsid w:val="00DE23FD"/>
    <w:rsid w:val="00DE2789"/>
    <w:rsid w:val="00DE27E3"/>
    <w:rsid w:val="00DE2845"/>
    <w:rsid w:val="00DE287C"/>
    <w:rsid w:val="00DE2A5A"/>
    <w:rsid w:val="00DE2BFC"/>
    <w:rsid w:val="00DE2C71"/>
    <w:rsid w:val="00DE2E12"/>
    <w:rsid w:val="00DE2F2D"/>
    <w:rsid w:val="00DE311B"/>
    <w:rsid w:val="00DE31FC"/>
    <w:rsid w:val="00DE3247"/>
    <w:rsid w:val="00DE32DE"/>
    <w:rsid w:val="00DE3323"/>
    <w:rsid w:val="00DE3353"/>
    <w:rsid w:val="00DE337B"/>
    <w:rsid w:val="00DE338C"/>
    <w:rsid w:val="00DE3522"/>
    <w:rsid w:val="00DE355E"/>
    <w:rsid w:val="00DE358B"/>
    <w:rsid w:val="00DE3620"/>
    <w:rsid w:val="00DE3622"/>
    <w:rsid w:val="00DE368F"/>
    <w:rsid w:val="00DE36CA"/>
    <w:rsid w:val="00DE36E9"/>
    <w:rsid w:val="00DE370E"/>
    <w:rsid w:val="00DE3782"/>
    <w:rsid w:val="00DE3794"/>
    <w:rsid w:val="00DE37E5"/>
    <w:rsid w:val="00DE3987"/>
    <w:rsid w:val="00DE3A99"/>
    <w:rsid w:val="00DE3AA0"/>
    <w:rsid w:val="00DE3BFB"/>
    <w:rsid w:val="00DE3C7B"/>
    <w:rsid w:val="00DE3C8C"/>
    <w:rsid w:val="00DE3D8F"/>
    <w:rsid w:val="00DE3D95"/>
    <w:rsid w:val="00DE3DAF"/>
    <w:rsid w:val="00DE3DD9"/>
    <w:rsid w:val="00DE3E1F"/>
    <w:rsid w:val="00DE3E77"/>
    <w:rsid w:val="00DE3FFC"/>
    <w:rsid w:val="00DE4010"/>
    <w:rsid w:val="00DE4185"/>
    <w:rsid w:val="00DE41B6"/>
    <w:rsid w:val="00DE4305"/>
    <w:rsid w:val="00DE433A"/>
    <w:rsid w:val="00DE43FA"/>
    <w:rsid w:val="00DE4751"/>
    <w:rsid w:val="00DE475D"/>
    <w:rsid w:val="00DE4820"/>
    <w:rsid w:val="00DE4887"/>
    <w:rsid w:val="00DE4974"/>
    <w:rsid w:val="00DE4CAD"/>
    <w:rsid w:val="00DE4D40"/>
    <w:rsid w:val="00DE4DA9"/>
    <w:rsid w:val="00DE5116"/>
    <w:rsid w:val="00DE534C"/>
    <w:rsid w:val="00DE54A0"/>
    <w:rsid w:val="00DE564A"/>
    <w:rsid w:val="00DE5679"/>
    <w:rsid w:val="00DE56A9"/>
    <w:rsid w:val="00DE56DB"/>
    <w:rsid w:val="00DE597A"/>
    <w:rsid w:val="00DE59A4"/>
    <w:rsid w:val="00DE59E9"/>
    <w:rsid w:val="00DE5A6A"/>
    <w:rsid w:val="00DE5A73"/>
    <w:rsid w:val="00DE5B2E"/>
    <w:rsid w:val="00DE5BA1"/>
    <w:rsid w:val="00DE5BAC"/>
    <w:rsid w:val="00DE5D21"/>
    <w:rsid w:val="00DE5D2F"/>
    <w:rsid w:val="00DE5D9E"/>
    <w:rsid w:val="00DE5E01"/>
    <w:rsid w:val="00DE5E63"/>
    <w:rsid w:val="00DE5EC3"/>
    <w:rsid w:val="00DE5EF3"/>
    <w:rsid w:val="00DE6236"/>
    <w:rsid w:val="00DE6290"/>
    <w:rsid w:val="00DE654F"/>
    <w:rsid w:val="00DE6617"/>
    <w:rsid w:val="00DE6738"/>
    <w:rsid w:val="00DE67EE"/>
    <w:rsid w:val="00DE69D3"/>
    <w:rsid w:val="00DE6A04"/>
    <w:rsid w:val="00DE6A75"/>
    <w:rsid w:val="00DE6A93"/>
    <w:rsid w:val="00DE6AA1"/>
    <w:rsid w:val="00DE6B94"/>
    <w:rsid w:val="00DE6D4E"/>
    <w:rsid w:val="00DE6E0F"/>
    <w:rsid w:val="00DE6E28"/>
    <w:rsid w:val="00DE6E56"/>
    <w:rsid w:val="00DE6E6F"/>
    <w:rsid w:val="00DE6EB3"/>
    <w:rsid w:val="00DE6EFB"/>
    <w:rsid w:val="00DE6F14"/>
    <w:rsid w:val="00DE703E"/>
    <w:rsid w:val="00DE709D"/>
    <w:rsid w:val="00DE70B6"/>
    <w:rsid w:val="00DE7107"/>
    <w:rsid w:val="00DE7108"/>
    <w:rsid w:val="00DE7299"/>
    <w:rsid w:val="00DE7303"/>
    <w:rsid w:val="00DE731D"/>
    <w:rsid w:val="00DE73D3"/>
    <w:rsid w:val="00DE73F0"/>
    <w:rsid w:val="00DE749B"/>
    <w:rsid w:val="00DE7558"/>
    <w:rsid w:val="00DE764B"/>
    <w:rsid w:val="00DE788E"/>
    <w:rsid w:val="00DE7957"/>
    <w:rsid w:val="00DE79C0"/>
    <w:rsid w:val="00DE79F8"/>
    <w:rsid w:val="00DE7B45"/>
    <w:rsid w:val="00DE7C74"/>
    <w:rsid w:val="00DE7C7A"/>
    <w:rsid w:val="00DE7E63"/>
    <w:rsid w:val="00DE7EBE"/>
    <w:rsid w:val="00DF014A"/>
    <w:rsid w:val="00DF0155"/>
    <w:rsid w:val="00DF0195"/>
    <w:rsid w:val="00DF020A"/>
    <w:rsid w:val="00DF023D"/>
    <w:rsid w:val="00DF0262"/>
    <w:rsid w:val="00DF049C"/>
    <w:rsid w:val="00DF0600"/>
    <w:rsid w:val="00DF0618"/>
    <w:rsid w:val="00DF074B"/>
    <w:rsid w:val="00DF07F9"/>
    <w:rsid w:val="00DF0878"/>
    <w:rsid w:val="00DF09DE"/>
    <w:rsid w:val="00DF0A0A"/>
    <w:rsid w:val="00DF0BC3"/>
    <w:rsid w:val="00DF0BEB"/>
    <w:rsid w:val="00DF0C0B"/>
    <w:rsid w:val="00DF0C5F"/>
    <w:rsid w:val="00DF0D99"/>
    <w:rsid w:val="00DF0F53"/>
    <w:rsid w:val="00DF1001"/>
    <w:rsid w:val="00DF10FD"/>
    <w:rsid w:val="00DF1254"/>
    <w:rsid w:val="00DF12D3"/>
    <w:rsid w:val="00DF1324"/>
    <w:rsid w:val="00DF13A6"/>
    <w:rsid w:val="00DF14B3"/>
    <w:rsid w:val="00DF14DD"/>
    <w:rsid w:val="00DF1D46"/>
    <w:rsid w:val="00DF1D94"/>
    <w:rsid w:val="00DF1E0A"/>
    <w:rsid w:val="00DF1EF1"/>
    <w:rsid w:val="00DF1F29"/>
    <w:rsid w:val="00DF203C"/>
    <w:rsid w:val="00DF2084"/>
    <w:rsid w:val="00DF21CB"/>
    <w:rsid w:val="00DF2492"/>
    <w:rsid w:val="00DF24B5"/>
    <w:rsid w:val="00DF257B"/>
    <w:rsid w:val="00DF26A3"/>
    <w:rsid w:val="00DF2718"/>
    <w:rsid w:val="00DF29B4"/>
    <w:rsid w:val="00DF2A06"/>
    <w:rsid w:val="00DF2A3D"/>
    <w:rsid w:val="00DF2BB8"/>
    <w:rsid w:val="00DF2C42"/>
    <w:rsid w:val="00DF2D95"/>
    <w:rsid w:val="00DF2E69"/>
    <w:rsid w:val="00DF2F38"/>
    <w:rsid w:val="00DF309C"/>
    <w:rsid w:val="00DF3171"/>
    <w:rsid w:val="00DF3180"/>
    <w:rsid w:val="00DF31A6"/>
    <w:rsid w:val="00DF31A7"/>
    <w:rsid w:val="00DF31FA"/>
    <w:rsid w:val="00DF328C"/>
    <w:rsid w:val="00DF32C6"/>
    <w:rsid w:val="00DF32FE"/>
    <w:rsid w:val="00DF34E3"/>
    <w:rsid w:val="00DF3592"/>
    <w:rsid w:val="00DF36F9"/>
    <w:rsid w:val="00DF3816"/>
    <w:rsid w:val="00DF384A"/>
    <w:rsid w:val="00DF3898"/>
    <w:rsid w:val="00DF38C3"/>
    <w:rsid w:val="00DF38EF"/>
    <w:rsid w:val="00DF39BA"/>
    <w:rsid w:val="00DF3CEC"/>
    <w:rsid w:val="00DF3D3F"/>
    <w:rsid w:val="00DF3D56"/>
    <w:rsid w:val="00DF40AA"/>
    <w:rsid w:val="00DF40F1"/>
    <w:rsid w:val="00DF414A"/>
    <w:rsid w:val="00DF41B3"/>
    <w:rsid w:val="00DF430A"/>
    <w:rsid w:val="00DF4536"/>
    <w:rsid w:val="00DF4551"/>
    <w:rsid w:val="00DF4574"/>
    <w:rsid w:val="00DF4825"/>
    <w:rsid w:val="00DF4867"/>
    <w:rsid w:val="00DF48A6"/>
    <w:rsid w:val="00DF48B0"/>
    <w:rsid w:val="00DF4935"/>
    <w:rsid w:val="00DF4AF8"/>
    <w:rsid w:val="00DF4BD4"/>
    <w:rsid w:val="00DF4C39"/>
    <w:rsid w:val="00DF4D29"/>
    <w:rsid w:val="00DF4E57"/>
    <w:rsid w:val="00DF4E9E"/>
    <w:rsid w:val="00DF5243"/>
    <w:rsid w:val="00DF56E2"/>
    <w:rsid w:val="00DF57EE"/>
    <w:rsid w:val="00DF58C1"/>
    <w:rsid w:val="00DF58CF"/>
    <w:rsid w:val="00DF58F0"/>
    <w:rsid w:val="00DF58FA"/>
    <w:rsid w:val="00DF596F"/>
    <w:rsid w:val="00DF5A55"/>
    <w:rsid w:val="00DF5AC5"/>
    <w:rsid w:val="00DF5C18"/>
    <w:rsid w:val="00DF5D1E"/>
    <w:rsid w:val="00DF5E86"/>
    <w:rsid w:val="00DF5F0B"/>
    <w:rsid w:val="00DF5F6F"/>
    <w:rsid w:val="00DF6119"/>
    <w:rsid w:val="00DF624B"/>
    <w:rsid w:val="00DF6274"/>
    <w:rsid w:val="00DF636F"/>
    <w:rsid w:val="00DF63D0"/>
    <w:rsid w:val="00DF6437"/>
    <w:rsid w:val="00DF6604"/>
    <w:rsid w:val="00DF66C9"/>
    <w:rsid w:val="00DF696D"/>
    <w:rsid w:val="00DF6987"/>
    <w:rsid w:val="00DF6992"/>
    <w:rsid w:val="00DF6BC6"/>
    <w:rsid w:val="00DF6BD9"/>
    <w:rsid w:val="00DF6C18"/>
    <w:rsid w:val="00DF6D32"/>
    <w:rsid w:val="00DF6EAA"/>
    <w:rsid w:val="00DF6F24"/>
    <w:rsid w:val="00DF73C5"/>
    <w:rsid w:val="00DF741F"/>
    <w:rsid w:val="00DF74DC"/>
    <w:rsid w:val="00DF7513"/>
    <w:rsid w:val="00DF758B"/>
    <w:rsid w:val="00DF7626"/>
    <w:rsid w:val="00DF76C5"/>
    <w:rsid w:val="00DF77A2"/>
    <w:rsid w:val="00DF783B"/>
    <w:rsid w:val="00DF784B"/>
    <w:rsid w:val="00DF78E4"/>
    <w:rsid w:val="00DF795C"/>
    <w:rsid w:val="00DF798E"/>
    <w:rsid w:val="00DF7A78"/>
    <w:rsid w:val="00DF7AE1"/>
    <w:rsid w:val="00DF7C29"/>
    <w:rsid w:val="00DF7F00"/>
    <w:rsid w:val="00DF7F73"/>
    <w:rsid w:val="00E00109"/>
    <w:rsid w:val="00E0014E"/>
    <w:rsid w:val="00E001C3"/>
    <w:rsid w:val="00E00275"/>
    <w:rsid w:val="00E002B0"/>
    <w:rsid w:val="00E002C8"/>
    <w:rsid w:val="00E00486"/>
    <w:rsid w:val="00E005C7"/>
    <w:rsid w:val="00E006BD"/>
    <w:rsid w:val="00E006CE"/>
    <w:rsid w:val="00E006E0"/>
    <w:rsid w:val="00E007DA"/>
    <w:rsid w:val="00E00957"/>
    <w:rsid w:val="00E00991"/>
    <w:rsid w:val="00E00AE3"/>
    <w:rsid w:val="00E00C1F"/>
    <w:rsid w:val="00E00C7B"/>
    <w:rsid w:val="00E00DBC"/>
    <w:rsid w:val="00E00E57"/>
    <w:rsid w:val="00E00EE5"/>
    <w:rsid w:val="00E00F50"/>
    <w:rsid w:val="00E01233"/>
    <w:rsid w:val="00E012E1"/>
    <w:rsid w:val="00E013C9"/>
    <w:rsid w:val="00E01517"/>
    <w:rsid w:val="00E0160A"/>
    <w:rsid w:val="00E01651"/>
    <w:rsid w:val="00E01684"/>
    <w:rsid w:val="00E016B5"/>
    <w:rsid w:val="00E0176E"/>
    <w:rsid w:val="00E017C7"/>
    <w:rsid w:val="00E01825"/>
    <w:rsid w:val="00E0188A"/>
    <w:rsid w:val="00E0188F"/>
    <w:rsid w:val="00E01B30"/>
    <w:rsid w:val="00E01B74"/>
    <w:rsid w:val="00E01B90"/>
    <w:rsid w:val="00E01C7F"/>
    <w:rsid w:val="00E01D2F"/>
    <w:rsid w:val="00E01D48"/>
    <w:rsid w:val="00E01E2D"/>
    <w:rsid w:val="00E02055"/>
    <w:rsid w:val="00E020D2"/>
    <w:rsid w:val="00E0212E"/>
    <w:rsid w:val="00E02188"/>
    <w:rsid w:val="00E022F8"/>
    <w:rsid w:val="00E0232D"/>
    <w:rsid w:val="00E02378"/>
    <w:rsid w:val="00E0252F"/>
    <w:rsid w:val="00E026B8"/>
    <w:rsid w:val="00E026BC"/>
    <w:rsid w:val="00E028C0"/>
    <w:rsid w:val="00E02909"/>
    <w:rsid w:val="00E02987"/>
    <w:rsid w:val="00E029B2"/>
    <w:rsid w:val="00E02C57"/>
    <w:rsid w:val="00E02C66"/>
    <w:rsid w:val="00E02C82"/>
    <w:rsid w:val="00E02DFA"/>
    <w:rsid w:val="00E02EC7"/>
    <w:rsid w:val="00E03159"/>
    <w:rsid w:val="00E03204"/>
    <w:rsid w:val="00E0323C"/>
    <w:rsid w:val="00E033E8"/>
    <w:rsid w:val="00E034A5"/>
    <w:rsid w:val="00E0361C"/>
    <w:rsid w:val="00E0363E"/>
    <w:rsid w:val="00E0364C"/>
    <w:rsid w:val="00E03682"/>
    <w:rsid w:val="00E03890"/>
    <w:rsid w:val="00E038AB"/>
    <w:rsid w:val="00E039E6"/>
    <w:rsid w:val="00E03A56"/>
    <w:rsid w:val="00E03AD5"/>
    <w:rsid w:val="00E03C7B"/>
    <w:rsid w:val="00E03CA9"/>
    <w:rsid w:val="00E03D02"/>
    <w:rsid w:val="00E03D6E"/>
    <w:rsid w:val="00E03DD6"/>
    <w:rsid w:val="00E04103"/>
    <w:rsid w:val="00E04107"/>
    <w:rsid w:val="00E0411D"/>
    <w:rsid w:val="00E04192"/>
    <w:rsid w:val="00E041BA"/>
    <w:rsid w:val="00E04203"/>
    <w:rsid w:val="00E04239"/>
    <w:rsid w:val="00E0427C"/>
    <w:rsid w:val="00E0428F"/>
    <w:rsid w:val="00E04493"/>
    <w:rsid w:val="00E044B8"/>
    <w:rsid w:val="00E04698"/>
    <w:rsid w:val="00E0474F"/>
    <w:rsid w:val="00E04833"/>
    <w:rsid w:val="00E048A4"/>
    <w:rsid w:val="00E0493D"/>
    <w:rsid w:val="00E0495B"/>
    <w:rsid w:val="00E0496A"/>
    <w:rsid w:val="00E04A10"/>
    <w:rsid w:val="00E04C35"/>
    <w:rsid w:val="00E04E91"/>
    <w:rsid w:val="00E04EFB"/>
    <w:rsid w:val="00E04FCF"/>
    <w:rsid w:val="00E04FEB"/>
    <w:rsid w:val="00E05080"/>
    <w:rsid w:val="00E05194"/>
    <w:rsid w:val="00E05228"/>
    <w:rsid w:val="00E052F8"/>
    <w:rsid w:val="00E05397"/>
    <w:rsid w:val="00E05465"/>
    <w:rsid w:val="00E05475"/>
    <w:rsid w:val="00E054E8"/>
    <w:rsid w:val="00E05595"/>
    <w:rsid w:val="00E0561E"/>
    <w:rsid w:val="00E05624"/>
    <w:rsid w:val="00E056C5"/>
    <w:rsid w:val="00E056D7"/>
    <w:rsid w:val="00E0576F"/>
    <w:rsid w:val="00E057F0"/>
    <w:rsid w:val="00E058FC"/>
    <w:rsid w:val="00E05BFC"/>
    <w:rsid w:val="00E05FDC"/>
    <w:rsid w:val="00E06125"/>
    <w:rsid w:val="00E06146"/>
    <w:rsid w:val="00E0615D"/>
    <w:rsid w:val="00E061AF"/>
    <w:rsid w:val="00E061E9"/>
    <w:rsid w:val="00E062AD"/>
    <w:rsid w:val="00E062E4"/>
    <w:rsid w:val="00E06421"/>
    <w:rsid w:val="00E0643B"/>
    <w:rsid w:val="00E06496"/>
    <w:rsid w:val="00E0658D"/>
    <w:rsid w:val="00E06781"/>
    <w:rsid w:val="00E06833"/>
    <w:rsid w:val="00E068AF"/>
    <w:rsid w:val="00E06938"/>
    <w:rsid w:val="00E06B9C"/>
    <w:rsid w:val="00E06BA0"/>
    <w:rsid w:val="00E06C84"/>
    <w:rsid w:val="00E06C85"/>
    <w:rsid w:val="00E06D57"/>
    <w:rsid w:val="00E06EF8"/>
    <w:rsid w:val="00E06FB4"/>
    <w:rsid w:val="00E07034"/>
    <w:rsid w:val="00E0711F"/>
    <w:rsid w:val="00E072EA"/>
    <w:rsid w:val="00E07312"/>
    <w:rsid w:val="00E07599"/>
    <w:rsid w:val="00E07772"/>
    <w:rsid w:val="00E07A19"/>
    <w:rsid w:val="00E07A1E"/>
    <w:rsid w:val="00E07B1D"/>
    <w:rsid w:val="00E07BA6"/>
    <w:rsid w:val="00E07E32"/>
    <w:rsid w:val="00E07EBA"/>
    <w:rsid w:val="00E07FB5"/>
    <w:rsid w:val="00E1001E"/>
    <w:rsid w:val="00E10035"/>
    <w:rsid w:val="00E1014B"/>
    <w:rsid w:val="00E1019F"/>
    <w:rsid w:val="00E102EB"/>
    <w:rsid w:val="00E1033E"/>
    <w:rsid w:val="00E10385"/>
    <w:rsid w:val="00E105B1"/>
    <w:rsid w:val="00E10711"/>
    <w:rsid w:val="00E107BF"/>
    <w:rsid w:val="00E10A73"/>
    <w:rsid w:val="00E10E19"/>
    <w:rsid w:val="00E10E41"/>
    <w:rsid w:val="00E10ED8"/>
    <w:rsid w:val="00E10F40"/>
    <w:rsid w:val="00E11020"/>
    <w:rsid w:val="00E110B0"/>
    <w:rsid w:val="00E11201"/>
    <w:rsid w:val="00E1138B"/>
    <w:rsid w:val="00E113AE"/>
    <w:rsid w:val="00E11533"/>
    <w:rsid w:val="00E11551"/>
    <w:rsid w:val="00E11556"/>
    <w:rsid w:val="00E1156D"/>
    <w:rsid w:val="00E1168F"/>
    <w:rsid w:val="00E117E9"/>
    <w:rsid w:val="00E11812"/>
    <w:rsid w:val="00E1187E"/>
    <w:rsid w:val="00E11977"/>
    <w:rsid w:val="00E11980"/>
    <w:rsid w:val="00E11A51"/>
    <w:rsid w:val="00E11A60"/>
    <w:rsid w:val="00E11BB6"/>
    <w:rsid w:val="00E11C0C"/>
    <w:rsid w:val="00E11C1F"/>
    <w:rsid w:val="00E11C52"/>
    <w:rsid w:val="00E11E02"/>
    <w:rsid w:val="00E12032"/>
    <w:rsid w:val="00E12060"/>
    <w:rsid w:val="00E120F5"/>
    <w:rsid w:val="00E1213B"/>
    <w:rsid w:val="00E122C3"/>
    <w:rsid w:val="00E12454"/>
    <w:rsid w:val="00E12462"/>
    <w:rsid w:val="00E124A8"/>
    <w:rsid w:val="00E1265C"/>
    <w:rsid w:val="00E126EB"/>
    <w:rsid w:val="00E12726"/>
    <w:rsid w:val="00E1274F"/>
    <w:rsid w:val="00E12761"/>
    <w:rsid w:val="00E127A1"/>
    <w:rsid w:val="00E12A72"/>
    <w:rsid w:val="00E12AAC"/>
    <w:rsid w:val="00E12AEE"/>
    <w:rsid w:val="00E12B72"/>
    <w:rsid w:val="00E12CA7"/>
    <w:rsid w:val="00E12F19"/>
    <w:rsid w:val="00E13038"/>
    <w:rsid w:val="00E13339"/>
    <w:rsid w:val="00E13397"/>
    <w:rsid w:val="00E13471"/>
    <w:rsid w:val="00E1352C"/>
    <w:rsid w:val="00E13648"/>
    <w:rsid w:val="00E13761"/>
    <w:rsid w:val="00E13784"/>
    <w:rsid w:val="00E13B06"/>
    <w:rsid w:val="00E13BC5"/>
    <w:rsid w:val="00E13D84"/>
    <w:rsid w:val="00E13DE2"/>
    <w:rsid w:val="00E13E71"/>
    <w:rsid w:val="00E13FAB"/>
    <w:rsid w:val="00E13FDB"/>
    <w:rsid w:val="00E1406B"/>
    <w:rsid w:val="00E1416D"/>
    <w:rsid w:val="00E141B7"/>
    <w:rsid w:val="00E14264"/>
    <w:rsid w:val="00E142A2"/>
    <w:rsid w:val="00E14303"/>
    <w:rsid w:val="00E14316"/>
    <w:rsid w:val="00E1434A"/>
    <w:rsid w:val="00E14570"/>
    <w:rsid w:val="00E145BD"/>
    <w:rsid w:val="00E1475A"/>
    <w:rsid w:val="00E14803"/>
    <w:rsid w:val="00E14843"/>
    <w:rsid w:val="00E14892"/>
    <w:rsid w:val="00E14A5B"/>
    <w:rsid w:val="00E14A91"/>
    <w:rsid w:val="00E14AB0"/>
    <w:rsid w:val="00E14ADE"/>
    <w:rsid w:val="00E14B43"/>
    <w:rsid w:val="00E14B92"/>
    <w:rsid w:val="00E14D50"/>
    <w:rsid w:val="00E14D74"/>
    <w:rsid w:val="00E15035"/>
    <w:rsid w:val="00E150A4"/>
    <w:rsid w:val="00E1524D"/>
    <w:rsid w:val="00E152A0"/>
    <w:rsid w:val="00E152B4"/>
    <w:rsid w:val="00E1541F"/>
    <w:rsid w:val="00E15872"/>
    <w:rsid w:val="00E158CC"/>
    <w:rsid w:val="00E15920"/>
    <w:rsid w:val="00E159E9"/>
    <w:rsid w:val="00E15AB9"/>
    <w:rsid w:val="00E15B07"/>
    <w:rsid w:val="00E15DAD"/>
    <w:rsid w:val="00E160B9"/>
    <w:rsid w:val="00E161C1"/>
    <w:rsid w:val="00E161F2"/>
    <w:rsid w:val="00E162CA"/>
    <w:rsid w:val="00E16370"/>
    <w:rsid w:val="00E16424"/>
    <w:rsid w:val="00E164D6"/>
    <w:rsid w:val="00E165A6"/>
    <w:rsid w:val="00E165DE"/>
    <w:rsid w:val="00E168B7"/>
    <w:rsid w:val="00E16A69"/>
    <w:rsid w:val="00E16A7B"/>
    <w:rsid w:val="00E16B65"/>
    <w:rsid w:val="00E16BE5"/>
    <w:rsid w:val="00E16BF4"/>
    <w:rsid w:val="00E16CB3"/>
    <w:rsid w:val="00E16CC7"/>
    <w:rsid w:val="00E16D0D"/>
    <w:rsid w:val="00E16E2B"/>
    <w:rsid w:val="00E16E5F"/>
    <w:rsid w:val="00E16F76"/>
    <w:rsid w:val="00E17008"/>
    <w:rsid w:val="00E17160"/>
    <w:rsid w:val="00E171C9"/>
    <w:rsid w:val="00E17411"/>
    <w:rsid w:val="00E17422"/>
    <w:rsid w:val="00E176C9"/>
    <w:rsid w:val="00E176F6"/>
    <w:rsid w:val="00E17B9E"/>
    <w:rsid w:val="00E17C03"/>
    <w:rsid w:val="00E17C3E"/>
    <w:rsid w:val="00E17C83"/>
    <w:rsid w:val="00E17D73"/>
    <w:rsid w:val="00E17E1A"/>
    <w:rsid w:val="00E17E5B"/>
    <w:rsid w:val="00E17ECB"/>
    <w:rsid w:val="00E17EDC"/>
    <w:rsid w:val="00E1A887"/>
    <w:rsid w:val="00E20038"/>
    <w:rsid w:val="00E2005E"/>
    <w:rsid w:val="00E2010C"/>
    <w:rsid w:val="00E20110"/>
    <w:rsid w:val="00E2029C"/>
    <w:rsid w:val="00E203C6"/>
    <w:rsid w:val="00E2042A"/>
    <w:rsid w:val="00E204DD"/>
    <w:rsid w:val="00E205EF"/>
    <w:rsid w:val="00E20658"/>
    <w:rsid w:val="00E206BC"/>
    <w:rsid w:val="00E206CB"/>
    <w:rsid w:val="00E20786"/>
    <w:rsid w:val="00E20859"/>
    <w:rsid w:val="00E20956"/>
    <w:rsid w:val="00E20B85"/>
    <w:rsid w:val="00E20B9A"/>
    <w:rsid w:val="00E20C71"/>
    <w:rsid w:val="00E20CDF"/>
    <w:rsid w:val="00E20CE7"/>
    <w:rsid w:val="00E20D7B"/>
    <w:rsid w:val="00E20E90"/>
    <w:rsid w:val="00E20FE5"/>
    <w:rsid w:val="00E210CF"/>
    <w:rsid w:val="00E215B0"/>
    <w:rsid w:val="00E215BC"/>
    <w:rsid w:val="00E21785"/>
    <w:rsid w:val="00E21861"/>
    <w:rsid w:val="00E21882"/>
    <w:rsid w:val="00E21A42"/>
    <w:rsid w:val="00E21DE0"/>
    <w:rsid w:val="00E21E09"/>
    <w:rsid w:val="00E21E82"/>
    <w:rsid w:val="00E21EB4"/>
    <w:rsid w:val="00E21EEE"/>
    <w:rsid w:val="00E21EF7"/>
    <w:rsid w:val="00E21FA1"/>
    <w:rsid w:val="00E22035"/>
    <w:rsid w:val="00E2208C"/>
    <w:rsid w:val="00E2214D"/>
    <w:rsid w:val="00E2215E"/>
    <w:rsid w:val="00E22205"/>
    <w:rsid w:val="00E2222D"/>
    <w:rsid w:val="00E224AA"/>
    <w:rsid w:val="00E22579"/>
    <w:rsid w:val="00E227A6"/>
    <w:rsid w:val="00E22841"/>
    <w:rsid w:val="00E2286F"/>
    <w:rsid w:val="00E2295E"/>
    <w:rsid w:val="00E22AF1"/>
    <w:rsid w:val="00E22BB8"/>
    <w:rsid w:val="00E22CB6"/>
    <w:rsid w:val="00E22D62"/>
    <w:rsid w:val="00E22D78"/>
    <w:rsid w:val="00E230AE"/>
    <w:rsid w:val="00E230C8"/>
    <w:rsid w:val="00E23152"/>
    <w:rsid w:val="00E23175"/>
    <w:rsid w:val="00E23218"/>
    <w:rsid w:val="00E2323C"/>
    <w:rsid w:val="00E2351B"/>
    <w:rsid w:val="00E235DD"/>
    <w:rsid w:val="00E235E6"/>
    <w:rsid w:val="00E23606"/>
    <w:rsid w:val="00E23765"/>
    <w:rsid w:val="00E2389C"/>
    <w:rsid w:val="00E238E1"/>
    <w:rsid w:val="00E2396F"/>
    <w:rsid w:val="00E23983"/>
    <w:rsid w:val="00E239AE"/>
    <w:rsid w:val="00E23B2B"/>
    <w:rsid w:val="00E23BA0"/>
    <w:rsid w:val="00E23C8E"/>
    <w:rsid w:val="00E23FCC"/>
    <w:rsid w:val="00E2402C"/>
    <w:rsid w:val="00E2406C"/>
    <w:rsid w:val="00E24164"/>
    <w:rsid w:val="00E241AE"/>
    <w:rsid w:val="00E241B3"/>
    <w:rsid w:val="00E24309"/>
    <w:rsid w:val="00E24317"/>
    <w:rsid w:val="00E243F5"/>
    <w:rsid w:val="00E2448A"/>
    <w:rsid w:val="00E244AF"/>
    <w:rsid w:val="00E244E6"/>
    <w:rsid w:val="00E24589"/>
    <w:rsid w:val="00E245C9"/>
    <w:rsid w:val="00E246DD"/>
    <w:rsid w:val="00E24792"/>
    <w:rsid w:val="00E24852"/>
    <w:rsid w:val="00E248B0"/>
    <w:rsid w:val="00E248E6"/>
    <w:rsid w:val="00E24924"/>
    <w:rsid w:val="00E24A92"/>
    <w:rsid w:val="00E24B34"/>
    <w:rsid w:val="00E24BC1"/>
    <w:rsid w:val="00E24BF0"/>
    <w:rsid w:val="00E24D8D"/>
    <w:rsid w:val="00E24DC5"/>
    <w:rsid w:val="00E24DEF"/>
    <w:rsid w:val="00E24E3E"/>
    <w:rsid w:val="00E24EBA"/>
    <w:rsid w:val="00E25044"/>
    <w:rsid w:val="00E250CF"/>
    <w:rsid w:val="00E25130"/>
    <w:rsid w:val="00E25150"/>
    <w:rsid w:val="00E2516D"/>
    <w:rsid w:val="00E2532A"/>
    <w:rsid w:val="00E253A7"/>
    <w:rsid w:val="00E25794"/>
    <w:rsid w:val="00E25898"/>
    <w:rsid w:val="00E258EC"/>
    <w:rsid w:val="00E25AC6"/>
    <w:rsid w:val="00E25C3B"/>
    <w:rsid w:val="00E25E18"/>
    <w:rsid w:val="00E25EAC"/>
    <w:rsid w:val="00E25F3A"/>
    <w:rsid w:val="00E25FB0"/>
    <w:rsid w:val="00E25FE7"/>
    <w:rsid w:val="00E2603D"/>
    <w:rsid w:val="00E2617B"/>
    <w:rsid w:val="00E261DE"/>
    <w:rsid w:val="00E26236"/>
    <w:rsid w:val="00E266B8"/>
    <w:rsid w:val="00E26760"/>
    <w:rsid w:val="00E26976"/>
    <w:rsid w:val="00E26AAE"/>
    <w:rsid w:val="00E26B9A"/>
    <w:rsid w:val="00E26BE7"/>
    <w:rsid w:val="00E26C0E"/>
    <w:rsid w:val="00E26D63"/>
    <w:rsid w:val="00E26E44"/>
    <w:rsid w:val="00E26FC3"/>
    <w:rsid w:val="00E2704C"/>
    <w:rsid w:val="00E272F0"/>
    <w:rsid w:val="00E27346"/>
    <w:rsid w:val="00E27406"/>
    <w:rsid w:val="00E2742E"/>
    <w:rsid w:val="00E27535"/>
    <w:rsid w:val="00E27586"/>
    <w:rsid w:val="00E275F8"/>
    <w:rsid w:val="00E275F9"/>
    <w:rsid w:val="00E278C6"/>
    <w:rsid w:val="00E27957"/>
    <w:rsid w:val="00E27959"/>
    <w:rsid w:val="00E27A3B"/>
    <w:rsid w:val="00E27B61"/>
    <w:rsid w:val="00E27D12"/>
    <w:rsid w:val="00E27E0C"/>
    <w:rsid w:val="00E27F1E"/>
    <w:rsid w:val="00E30010"/>
    <w:rsid w:val="00E30031"/>
    <w:rsid w:val="00E3009D"/>
    <w:rsid w:val="00E30115"/>
    <w:rsid w:val="00E3019D"/>
    <w:rsid w:val="00E3024A"/>
    <w:rsid w:val="00E30253"/>
    <w:rsid w:val="00E3025D"/>
    <w:rsid w:val="00E302A4"/>
    <w:rsid w:val="00E3031C"/>
    <w:rsid w:val="00E3036B"/>
    <w:rsid w:val="00E304C3"/>
    <w:rsid w:val="00E304D6"/>
    <w:rsid w:val="00E3061E"/>
    <w:rsid w:val="00E307EC"/>
    <w:rsid w:val="00E309DF"/>
    <w:rsid w:val="00E30BBF"/>
    <w:rsid w:val="00E30C4F"/>
    <w:rsid w:val="00E30D32"/>
    <w:rsid w:val="00E30FCF"/>
    <w:rsid w:val="00E31068"/>
    <w:rsid w:val="00E311E6"/>
    <w:rsid w:val="00E311EA"/>
    <w:rsid w:val="00E31349"/>
    <w:rsid w:val="00E3161A"/>
    <w:rsid w:val="00E3164C"/>
    <w:rsid w:val="00E317F2"/>
    <w:rsid w:val="00E318D0"/>
    <w:rsid w:val="00E31982"/>
    <w:rsid w:val="00E319C7"/>
    <w:rsid w:val="00E31C1C"/>
    <w:rsid w:val="00E31C49"/>
    <w:rsid w:val="00E31EFD"/>
    <w:rsid w:val="00E31F47"/>
    <w:rsid w:val="00E31F92"/>
    <w:rsid w:val="00E31FFE"/>
    <w:rsid w:val="00E32022"/>
    <w:rsid w:val="00E32150"/>
    <w:rsid w:val="00E321F7"/>
    <w:rsid w:val="00E322F4"/>
    <w:rsid w:val="00E323EC"/>
    <w:rsid w:val="00E32433"/>
    <w:rsid w:val="00E324DC"/>
    <w:rsid w:val="00E325B3"/>
    <w:rsid w:val="00E3265E"/>
    <w:rsid w:val="00E326EA"/>
    <w:rsid w:val="00E32838"/>
    <w:rsid w:val="00E32940"/>
    <w:rsid w:val="00E32AB0"/>
    <w:rsid w:val="00E32AFE"/>
    <w:rsid w:val="00E32BDD"/>
    <w:rsid w:val="00E32C44"/>
    <w:rsid w:val="00E32C8F"/>
    <w:rsid w:val="00E32D64"/>
    <w:rsid w:val="00E32ED2"/>
    <w:rsid w:val="00E32FF3"/>
    <w:rsid w:val="00E33041"/>
    <w:rsid w:val="00E331C8"/>
    <w:rsid w:val="00E33366"/>
    <w:rsid w:val="00E3343A"/>
    <w:rsid w:val="00E33471"/>
    <w:rsid w:val="00E33682"/>
    <w:rsid w:val="00E336AC"/>
    <w:rsid w:val="00E33934"/>
    <w:rsid w:val="00E3394D"/>
    <w:rsid w:val="00E3395E"/>
    <w:rsid w:val="00E33971"/>
    <w:rsid w:val="00E33A46"/>
    <w:rsid w:val="00E33AD9"/>
    <w:rsid w:val="00E33BE7"/>
    <w:rsid w:val="00E33C72"/>
    <w:rsid w:val="00E33CD7"/>
    <w:rsid w:val="00E33D27"/>
    <w:rsid w:val="00E33D44"/>
    <w:rsid w:val="00E33E53"/>
    <w:rsid w:val="00E33EF9"/>
    <w:rsid w:val="00E33F73"/>
    <w:rsid w:val="00E34001"/>
    <w:rsid w:val="00E34108"/>
    <w:rsid w:val="00E342A9"/>
    <w:rsid w:val="00E3437B"/>
    <w:rsid w:val="00E34485"/>
    <w:rsid w:val="00E344E3"/>
    <w:rsid w:val="00E3457B"/>
    <w:rsid w:val="00E345F4"/>
    <w:rsid w:val="00E348FE"/>
    <w:rsid w:val="00E349F7"/>
    <w:rsid w:val="00E34A7C"/>
    <w:rsid w:val="00E34AA9"/>
    <w:rsid w:val="00E34B55"/>
    <w:rsid w:val="00E34BB1"/>
    <w:rsid w:val="00E35030"/>
    <w:rsid w:val="00E3507B"/>
    <w:rsid w:val="00E35087"/>
    <w:rsid w:val="00E350D6"/>
    <w:rsid w:val="00E350F7"/>
    <w:rsid w:val="00E3517B"/>
    <w:rsid w:val="00E352F4"/>
    <w:rsid w:val="00E35349"/>
    <w:rsid w:val="00E3541C"/>
    <w:rsid w:val="00E3542E"/>
    <w:rsid w:val="00E3552C"/>
    <w:rsid w:val="00E35579"/>
    <w:rsid w:val="00E3557C"/>
    <w:rsid w:val="00E355F3"/>
    <w:rsid w:val="00E35626"/>
    <w:rsid w:val="00E3566E"/>
    <w:rsid w:val="00E356BC"/>
    <w:rsid w:val="00E35800"/>
    <w:rsid w:val="00E3584D"/>
    <w:rsid w:val="00E35901"/>
    <w:rsid w:val="00E359CC"/>
    <w:rsid w:val="00E35AD5"/>
    <w:rsid w:val="00E35B12"/>
    <w:rsid w:val="00E35BA1"/>
    <w:rsid w:val="00E35C57"/>
    <w:rsid w:val="00E35CC2"/>
    <w:rsid w:val="00E35D6A"/>
    <w:rsid w:val="00E35E25"/>
    <w:rsid w:val="00E35E56"/>
    <w:rsid w:val="00E35FD4"/>
    <w:rsid w:val="00E3602D"/>
    <w:rsid w:val="00E3608E"/>
    <w:rsid w:val="00E3617A"/>
    <w:rsid w:val="00E36266"/>
    <w:rsid w:val="00E362AB"/>
    <w:rsid w:val="00E3634D"/>
    <w:rsid w:val="00E3647B"/>
    <w:rsid w:val="00E364C5"/>
    <w:rsid w:val="00E366E6"/>
    <w:rsid w:val="00E3671F"/>
    <w:rsid w:val="00E367A1"/>
    <w:rsid w:val="00E367C5"/>
    <w:rsid w:val="00E368B4"/>
    <w:rsid w:val="00E36AD5"/>
    <w:rsid w:val="00E36BC2"/>
    <w:rsid w:val="00E36C21"/>
    <w:rsid w:val="00E36FEB"/>
    <w:rsid w:val="00E37288"/>
    <w:rsid w:val="00E373AD"/>
    <w:rsid w:val="00E3745D"/>
    <w:rsid w:val="00E374B9"/>
    <w:rsid w:val="00E37658"/>
    <w:rsid w:val="00E376D3"/>
    <w:rsid w:val="00E3776C"/>
    <w:rsid w:val="00E3798E"/>
    <w:rsid w:val="00E37A18"/>
    <w:rsid w:val="00E37AA8"/>
    <w:rsid w:val="00E37CE2"/>
    <w:rsid w:val="00E37D8A"/>
    <w:rsid w:val="00E37E22"/>
    <w:rsid w:val="00E37E71"/>
    <w:rsid w:val="00E37F0A"/>
    <w:rsid w:val="00E37F19"/>
    <w:rsid w:val="00E37F63"/>
    <w:rsid w:val="00E3C659"/>
    <w:rsid w:val="00E40115"/>
    <w:rsid w:val="00E4012D"/>
    <w:rsid w:val="00E40161"/>
    <w:rsid w:val="00E4034F"/>
    <w:rsid w:val="00E4038B"/>
    <w:rsid w:val="00E4052C"/>
    <w:rsid w:val="00E405E3"/>
    <w:rsid w:val="00E40619"/>
    <w:rsid w:val="00E4065E"/>
    <w:rsid w:val="00E406C3"/>
    <w:rsid w:val="00E407B1"/>
    <w:rsid w:val="00E407F1"/>
    <w:rsid w:val="00E40878"/>
    <w:rsid w:val="00E40927"/>
    <w:rsid w:val="00E4099C"/>
    <w:rsid w:val="00E40C26"/>
    <w:rsid w:val="00E41380"/>
    <w:rsid w:val="00E413C9"/>
    <w:rsid w:val="00E4143E"/>
    <w:rsid w:val="00E4145C"/>
    <w:rsid w:val="00E415C9"/>
    <w:rsid w:val="00E4164F"/>
    <w:rsid w:val="00E41650"/>
    <w:rsid w:val="00E4178E"/>
    <w:rsid w:val="00E417D5"/>
    <w:rsid w:val="00E417E6"/>
    <w:rsid w:val="00E419CE"/>
    <w:rsid w:val="00E41B3B"/>
    <w:rsid w:val="00E41BA8"/>
    <w:rsid w:val="00E41C4F"/>
    <w:rsid w:val="00E41CE5"/>
    <w:rsid w:val="00E41CFC"/>
    <w:rsid w:val="00E41DB8"/>
    <w:rsid w:val="00E41E0D"/>
    <w:rsid w:val="00E41E42"/>
    <w:rsid w:val="00E41EDC"/>
    <w:rsid w:val="00E41F1D"/>
    <w:rsid w:val="00E42085"/>
    <w:rsid w:val="00E420DB"/>
    <w:rsid w:val="00E421EC"/>
    <w:rsid w:val="00E4221F"/>
    <w:rsid w:val="00E4229B"/>
    <w:rsid w:val="00E422B9"/>
    <w:rsid w:val="00E4243B"/>
    <w:rsid w:val="00E42486"/>
    <w:rsid w:val="00E424A6"/>
    <w:rsid w:val="00E424BF"/>
    <w:rsid w:val="00E424DB"/>
    <w:rsid w:val="00E425BD"/>
    <w:rsid w:val="00E42601"/>
    <w:rsid w:val="00E4261A"/>
    <w:rsid w:val="00E426BB"/>
    <w:rsid w:val="00E42747"/>
    <w:rsid w:val="00E42783"/>
    <w:rsid w:val="00E42789"/>
    <w:rsid w:val="00E42792"/>
    <w:rsid w:val="00E42847"/>
    <w:rsid w:val="00E428C2"/>
    <w:rsid w:val="00E428E5"/>
    <w:rsid w:val="00E428F3"/>
    <w:rsid w:val="00E42904"/>
    <w:rsid w:val="00E42A9B"/>
    <w:rsid w:val="00E42AA1"/>
    <w:rsid w:val="00E42AD7"/>
    <w:rsid w:val="00E42B5F"/>
    <w:rsid w:val="00E42C2B"/>
    <w:rsid w:val="00E42EDC"/>
    <w:rsid w:val="00E43193"/>
    <w:rsid w:val="00E431A6"/>
    <w:rsid w:val="00E43263"/>
    <w:rsid w:val="00E433D5"/>
    <w:rsid w:val="00E43434"/>
    <w:rsid w:val="00E434EF"/>
    <w:rsid w:val="00E43543"/>
    <w:rsid w:val="00E435CD"/>
    <w:rsid w:val="00E43669"/>
    <w:rsid w:val="00E436D1"/>
    <w:rsid w:val="00E43749"/>
    <w:rsid w:val="00E438D5"/>
    <w:rsid w:val="00E4394D"/>
    <w:rsid w:val="00E43A09"/>
    <w:rsid w:val="00E43BF9"/>
    <w:rsid w:val="00E43E32"/>
    <w:rsid w:val="00E43F03"/>
    <w:rsid w:val="00E43F0B"/>
    <w:rsid w:val="00E4402E"/>
    <w:rsid w:val="00E44053"/>
    <w:rsid w:val="00E44076"/>
    <w:rsid w:val="00E441D5"/>
    <w:rsid w:val="00E4481D"/>
    <w:rsid w:val="00E449F3"/>
    <w:rsid w:val="00E44A19"/>
    <w:rsid w:val="00E44A8C"/>
    <w:rsid w:val="00E44B72"/>
    <w:rsid w:val="00E44B9C"/>
    <w:rsid w:val="00E44CDD"/>
    <w:rsid w:val="00E44CF2"/>
    <w:rsid w:val="00E44D04"/>
    <w:rsid w:val="00E44D23"/>
    <w:rsid w:val="00E44E86"/>
    <w:rsid w:val="00E45197"/>
    <w:rsid w:val="00E452D1"/>
    <w:rsid w:val="00E45329"/>
    <w:rsid w:val="00E45474"/>
    <w:rsid w:val="00E454D0"/>
    <w:rsid w:val="00E4553C"/>
    <w:rsid w:val="00E45698"/>
    <w:rsid w:val="00E4571B"/>
    <w:rsid w:val="00E4575E"/>
    <w:rsid w:val="00E457AD"/>
    <w:rsid w:val="00E45895"/>
    <w:rsid w:val="00E45899"/>
    <w:rsid w:val="00E45942"/>
    <w:rsid w:val="00E45993"/>
    <w:rsid w:val="00E45A8F"/>
    <w:rsid w:val="00E45BF9"/>
    <w:rsid w:val="00E45CFD"/>
    <w:rsid w:val="00E45DFF"/>
    <w:rsid w:val="00E45E07"/>
    <w:rsid w:val="00E45F19"/>
    <w:rsid w:val="00E45F29"/>
    <w:rsid w:val="00E45F65"/>
    <w:rsid w:val="00E45F8C"/>
    <w:rsid w:val="00E45FAC"/>
    <w:rsid w:val="00E45FBB"/>
    <w:rsid w:val="00E46064"/>
    <w:rsid w:val="00E461C5"/>
    <w:rsid w:val="00E46352"/>
    <w:rsid w:val="00E463DD"/>
    <w:rsid w:val="00E4641C"/>
    <w:rsid w:val="00E4652F"/>
    <w:rsid w:val="00E4663F"/>
    <w:rsid w:val="00E467FC"/>
    <w:rsid w:val="00E4680B"/>
    <w:rsid w:val="00E468D7"/>
    <w:rsid w:val="00E46912"/>
    <w:rsid w:val="00E4695C"/>
    <w:rsid w:val="00E4696B"/>
    <w:rsid w:val="00E46970"/>
    <w:rsid w:val="00E469C9"/>
    <w:rsid w:val="00E46ACE"/>
    <w:rsid w:val="00E46B1F"/>
    <w:rsid w:val="00E46C77"/>
    <w:rsid w:val="00E46D66"/>
    <w:rsid w:val="00E46E35"/>
    <w:rsid w:val="00E46EF6"/>
    <w:rsid w:val="00E46F34"/>
    <w:rsid w:val="00E46F4F"/>
    <w:rsid w:val="00E4702F"/>
    <w:rsid w:val="00E470B9"/>
    <w:rsid w:val="00E470FF"/>
    <w:rsid w:val="00E4716D"/>
    <w:rsid w:val="00E4719C"/>
    <w:rsid w:val="00E47294"/>
    <w:rsid w:val="00E472EC"/>
    <w:rsid w:val="00E47366"/>
    <w:rsid w:val="00E4739C"/>
    <w:rsid w:val="00E473F7"/>
    <w:rsid w:val="00E47440"/>
    <w:rsid w:val="00E4759F"/>
    <w:rsid w:val="00E47701"/>
    <w:rsid w:val="00E47749"/>
    <w:rsid w:val="00E478FE"/>
    <w:rsid w:val="00E47929"/>
    <w:rsid w:val="00E47B86"/>
    <w:rsid w:val="00E47C42"/>
    <w:rsid w:val="00E47CAF"/>
    <w:rsid w:val="00E47CB0"/>
    <w:rsid w:val="00E47D5D"/>
    <w:rsid w:val="00E47DB6"/>
    <w:rsid w:val="00E47DE8"/>
    <w:rsid w:val="00E47F04"/>
    <w:rsid w:val="00E47FAF"/>
    <w:rsid w:val="00E500FD"/>
    <w:rsid w:val="00E50103"/>
    <w:rsid w:val="00E50322"/>
    <w:rsid w:val="00E5032D"/>
    <w:rsid w:val="00E5035A"/>
    <w:rsid w:val="00E503D2"/>
    <w:rsid w:val="00E50414"/>
    <w:rsid w:val="00E50455"/>
    <w:rsid w:val="00E504E4"/>
    <w:rsid w:val="00E506E6"/>
    <w:rsid w:val="00E506F9"/>
    <w:rsid w:val="00E50882"/>
    <w:rsid w:val="00E508AE"/>
    <w:rsid w:val="00E50906"/>
    <w:rsid w:val="00E5091C"/>
    <w:rsid w:val="00E5091F"/>
    <w:rsid w:val="00E509BD"/>
    <w:rsid w:val="00E50A60"/>
    <w:rsid w:val="00E50AC8"/>
    <w:rsid w:val="00E50B5E"/>
    <w:rsid w:val="00E50B67"/>
    <w:rsid w:val="00E50D4D"/>
    <w:rsid w:val="00E50D79"/>
    <w:rsid w:val="00E50E19"/>
    <w:rsid w:val="00E51000"/>
    <w:rsid w:val="00E510EA"/>
    <w:rsid w:val="00E5117A"/>
    <w:rsid w:val="00E5127C"/>
    <w:rsid w:val="00E5129D"/>
    <w:rsid w:val="00E51450"/>
    <w:rsid w:val="00E514B7"/>
    <w:rsid w:val="00E514F8"/>
    <w:rsid w:val="00E51554"/>
    <w:rsid w:val="00E516E4"/>
    <w:rsid w:val="00E51735"/>
    <w:rsid w:val="00E51846"/>
    <w:rsid w:val="00E51886"/>
    <w:rsid w:val="00E518B2"/>
    <w:rsid w:val="00E518D2"/>
    <w:rsid w:val="00E51929"/>
    <w:rsid w:val="00E51AA8"/>
    <w:rsid w:val="00E51B95"/>
    <w:rsid w:val="00E51BC8"/>
    <w:rsid w:val="00E51D62"/>
    <w:rsid w:val="00E51D9F"/>
    <w:rsid w:val="00E51DED"/>
    <w:rsid w:val="00E51EE3"/>
    <w:rsid w:val="00E51EED"/>
    <w:rsid w:val="00E51F7E"/>
    <w:rsid w:val="00E52057"/>
    <w:rsid w:val="00E52122"/>
    <w:rsid w:val="00E52126"/>
    <w:rsid w:val="00E52199"/>
    <w:rsid w:val="00E521FA"/>
    <w:rsid w:val="00E5238C"/>
    <w:rsid w:val="00E52495"/>
    <w:rsid w:val="00E52605"/>
    <w:rsid w:val="00E527CD"/>
    <w:rsid w:val="00E52808"/>
    <w:rsid w:val="00E5281E"/>
    <w:rsid w:val="00E52A4D"/>
    <w:rsid w:val="00E52BF0"/>
    <w:rsid w:val="00E52D7B"/>
    <w:rsid w:val="00E52DA6"/>
    <w:rsid w:val="00E52DAC"/>
    <w:rsid w:val="00E52DC7"/>
    <w:rsid w:val="00E52E40"/>
    <w:rsid w:val="00E52EB6"/>
    <w:rsid w:val="00E52ED8"/>
    <w:rsid w:val="00E52F16"/>
    <w:rsid w:val="00E52F61"/>
    <w:rsid w:val="00E52F86"/>
    <w:rsid w:val="00E52F92"/>
    <w:rsid w:val="00E52FC6"/>
    <w:rsid w:val="00E53176"/>
    <w:rsid w:val="00E533AF"/>
    <w:rsid w:val="00E53437"/>
    <w:rsid w:val="00E53549"/>
    <w:rsid w:val="00E5363F"/>
    <w:rsid w:val="00E5388B"/>
    <w:rsid w:val="00E53897"/>
    <w:rsid w:val="00E53A03"/>
    <w:rsid w:val="00E53B58"/>
    <w:rsid w:val="00E53B87"/>
    <w:rsid w:val="00E53BEA"/>
    <w:rsid w:val="00E53C77"/>
    <w:rsid w:val="00E53DCB"/>
    <w:rsid w:val="00E53E0E"/>
    <w:rsid w:val="00E53F2C"/>
    <w:rsid w:val="00E542C1"/>
    <w:rsid w:val="00E54409"/>
    <w:rsid w:val="00E544BF"/>
    <w:rsid w:val="00E545A1"/>
    <w:rsid w:val="00E546AE"/>
    <w:rsid w:val="00E5479B"/>
    <w:rsid w:val="00E547CF"/>
    <w:rsid w:val="00E54818"/>
    <w:rsid w:val="00E548E2"/>
    <w:rsid w:val="00E54915"/>
    <w:rsid w:val="00E549EC"/>
    <w:rsid w:val="00E549F6"/>
    <w:rsid w:val="00E54A73"/>
    <w:rsid w:val="00E54B0F"/>
    <w:rsid w:val="00E54C23"/>
    <w:rsid w:val="00E54C37"/>
    <w:rsid w:val="00E54D6A"/>
    <w:rsid w:val="00E54DBE"/>
    <w:rsid w:val="00E54DEC"/>
    <w:rsid w:val="00E54E7E"/>
    <w:rsid w:val="00E5507B"/>
    <w:rsid w:val="00E5508B"/>
    <w:rsid w:val="00E5510F"/>
    <w:rsid w:val="00E55205"/>
    <w:rsid w:val="00E552CC"/>
    <w:rsid w:val="00E553C3"/>
    <w:rsid w:val="00E5543D"/>
    <w:rsid w:val="00E555B0"/>
    <w:rsid w:val="00E555DF"/>
    <w:rsid w:val="00E5560B"/>
    <w:rsid w:val="00E5564E"/>
    <w:rsid w:val="00E556C5"/>
    <w:rsid w:val="00E556FD"/>
    <w:rsid w:val="00E557D7"/>
    <w:rsid w:val="00E5581F"/>
    <w:rsid w:val="00E5593F"/>
    <w:rsid w:val="00E55954"/>
    <w:rsid w:val="00E5598F"/>
    <w:rsid w:val="00E559EF"/>
    <w:rsid w:val="00E55A26"/>
    <w:rsid w:val="00E55A6E"/>
    <w:rsid w:val="00E55B2D"/>
    <w:rsid w:val="00E55B63"/>
    <w:rsid w:val="00E55B9C"/>
    <w:rsid w:val="00E55BA0"/>
    <w:rsid w:val="00E55D87"/>
    <w:rsid w:val="00E55FB1"/>
    <w:rsid w:val="00E56088"/>
    <w:rsid w:val="00E56221"/>
    <w:rsid w:val="00E56378"/>
    <w:rsid w:val="00E563BC"/>
    <w:rsid w:val="00E563C3"/>
    <w:rsid w:val="00E56485"/>
    <w:rsid w:val="00E5652E"/>
    <w:rsid w:val="00E5674F"/>
    <w:rsid w:val="00E5691D"/>
    <w:rsid w:val="00E56925"/>
    <w:rsid w:val="00E56B17"/>
    <w:rsid w:val="00E56BBF"/>
    <w:rsid w:val="00E56C8B"/>
    <w:rsid w:val="00E56CBA"/>
    <w:rsid w:val="00E56CD1"/>
    <w:rsid w:val="00E56E6B"/>
    <w:rsid w:val="00E57009"/>
    <w:rsid w:val="00E57034"/>
    <w:rsid w:val="00E571D0"/>
    <w:rsid w:val="00E573D8"/>
    <w:rsid w:val="00E574FE"/>
    <w:rsid w:val="00E57559"/>
    <w:rsid w:val="00E5756E"/>
    <w:rsid w:val="00E578BA"/>
    <w:rsid w:val="00E578D7"/>
    <w:rsid w:val="00E57D92"/>
    <w:rsid w:val="00E57DE3"/>
    <w:rsid w:val="00E57F1D"/>
    <w:rsid w:val="00E5AB6D"/>
    <w:rsid w:val="00E5CEDB"/>
    <w:rsid w:val="00E60045"/>
    <w:rsid w:val="00E60259"/>
    <w:rsid w:val="00E6031B"/>
    <w:rsid w:val="00E6033B"/>
    <w:rsid w:val="00E604A1"/>
    <w:rsid w:val="00E604F3"/>
    <w:rsid w:val="00E6053F"/>
    <w:rsid w:val="00E60782"/>
    <w:rsid w:val="00E60841"/>
    <w:rsid w:val="00E60CCE"/>
    <w:rsid w:val="00E60CFB"/>
    <w:rsid w:val="00E60E36"/>
    <w:rsid w:val="00E60F6D"/>
    <w:rsid w:val="00E6127C"/>
    <w:rsid w:val="00E61335"/>
    <w:rsid w:val="00E613C3"/>
    <w:rsid w:val="00E614D6"/>
    <w:rsid w:val="00E61615"/>
    <w:rsid w:val="00E61740"/>
    <w:rsid w:val="00E6185A"/>
    <w:rsid w:val="00E6193D"/>
    <w:rsid w:val="00E61967"/>
    <w:rsid w:val="00E61984"/>
    <w:rsid w:val="00E61AD4"/>
    <w:rsid w:val="00E61BB1"/>
    <w:rsid w:val="00E61C00"/>
    <w:rsid w:val="00E61C10"/>
    <w:rsid w:val="00E61D76"/>
    <w:rsid w:val="00E61D8B"/>
    <w:rsid w:val="00E61E34"/>
    <w:rsid w:val="00E61F12"/>
    <w:rsid w:val="00E62128"/>
    <w:rsid w:val="00E6226C"/>
    <w:rsid w:val="00E622D2"/>
    <w:rsid w:val="00E62512"/>
    <w:rsid w:val="00E62637"/>
    <w:rsid w:val="00E627BC"/>
    <w:rsid w:val="00E62880"/>
    <w:rsid w:val="00E62895"/>
    <w:rsid w:val="00E62983"/>
    <w:rsid w:val="00E629B7"/>
    <w:rsid w:val="00E629CE"/>
    <w:rsid w:val="00E62B4A"/>
    <w:rsid w:val="00E62B76"/>
    <w:rsid w:val="00E62B8B"/>
    <w:rsid w:val="00E62C12"/>
    <w:rsid w:val="00E62F31"/>
    <w:rsid w:val="00E62FC6"/>
    <w:rsid w:val="00E62FD3"/>
    <w:rsid w:val="00E63147"/>
    <w:rsid w:val="00E6325C"/>
    <w:rsid w:val="00E632CD"/>
    <w:rsid w:val="00E632ED"/>
    <w:rsid w:val="00E63343"/>
    <w:rsid w:val="00E63503"/>
    <w:rsid w:val="00E6372D"/>
    <w:rsid w:val="00E63A72"/>
    <w:rsid w:val="00E63BBA"/>
    <w:rsid w:val="00E63C91"/>
    <w:rsid w:val="00E63D15"/>
    <w:rsid w:val="00E63DF3"/>
    <w:rsid w:val="00E63E86"/>
    <w:rsid w:val="00E63EDC"/>
    <w:rsid w:val="00E63FC3"/>
    <w:rsid w:val="00E64110"/>
    <w:rsid w:val="00E6412C"/>
    <w:rsid w:val="00E64135"/>
    <w:rsid w:val="00E6416D"/>
    <w:rsid w:val="00E6419C"/>
    <w:rsid w:val="00E641B1"/>
    <w:rsid w:val="00E642DC"/>
    <w:rsid w:val="00E6436E"/>
    <w:rsid w:val="00E6438A"/>
    <w:rsid w:val="00E644B7"/>
    <w:rsid w:val="00E64710"/>
    <w:rsid w:val="00E64712"/>
    <w:rsid w:val="00E64770"/>
    <w:rsid w:val="00E64803"/>
    <w:rsid w:val="00E64A50"/>
    <w:rsid w:val="00E64A56"/>
    <w:rsid w:val="00E64A5D"/>
    <w:rsid w:val="00E64A7C"/>
    <w:rsid w:val="00E64A95"/>
    <w:rsid w:val="00E64C46"/>
    <w:rsid w:val="00E64CAE"/>
    <w:rsid w:val="00E64CC0"/>
    <w:rsid w:val="00E64DF5"/>
    <w:rsid w:val="00E64E01"/>
    <w:rsid w:val="00E65092"/>
    <w:rsid w:val="00E650D7"/>
    <w:rsid w:val="00E651AB"/>
    <w:rsid w:val="00E6524B"/>
    <w:rsid w:val="00E65483"/>
    <w:rsid w:val="00E655E3"/>
    <w:rsid w:val="00E655EA"/>
    <w:rsid w:val="00E656A3"/>
    <w:rsid w:val="00E656AC"/>
    <w:rsid w:val="00E656FA"/>
    <w:rsid w:val="00E6578D"/>
    <w:rsid w:val="00E658DA"/>
    <w:rsid w:val="00E65904"/>
    <w:rsid w:val="00E6597C"/>
    <w:rsid w:val="00E659CA"/>
    <w:rsid w:val="00E65A6C"/>
    <w:rsid w:val="00E65C74"/>
    <w:rsid w:val="00E65CB7"/>
    <w:rsid w:val="00E65CD4"/>
    <w:rsid w:val="00E65D97"/>
    <w:rsid w:val="00E65DAE"/>
    <w:rsid w:val="00E65E7D"/>
    <w:rsid w:val="00E65EA8"/>
    <w:rsid w:val="00E65F91"/>
    <w:rsid w:val="00E65F93"/>
    <w:rsid w:val="00E66106"/>
    <w:rsid w:val="00E66562"/>
    <w:rsid w:val="00E665C0"/>
    <w:rsid w:val="00E6663F"/>
    <w:rsid w:val="00E66699"/>
    <w:rsid w:val="00E66817"/>
    <w:rsid w:val="00E66945"/>
    <w:rsid w:val="00E66A3F"/>
    <w:rsid w:val="00E66B74"/>
    <w:rsid w:val="00E66B7A"/>
    <w:rsid w:val="00E66C11"/>
    <w:rsid w:val="00E66C69"/>
    <w:rsid w:val="00E66CC4"/>
    <w:rsid w:val="00E66E3A"/>
    <w:rsid w:val="00E670BE"/>
    <w:rsid w:val="00E671C0"/>
    <w:rsid w:val="00E671D9"/>
    <w:rsid w:val="00E67216"/>
    <w:rsid w:val="00E672A1"/>
    <w:rsid w:val="00E67396"/>
    <w:rsid w:val="00E6746C"/>
    <w:rsid w:val="00E67569"/>
    <w:rsid w:val="00E675E5"/>
    <w:rsid w:val="00E6766A"/>
    <w:rsid w:val="00E676C0"/>
    <w:rsid w:val="00E676C3"/>
    <w:rsid w:val="00E67704"/>
    <w:rsid w:val="00E67763"/>
    <w:rsid w:val="00E677C3"/>
    <w:rsid w:val="00E67A40"/>
    <w:rsid w:val="00E67ACA"/>
    <w:rsid w:val="00E67C6C"/>
    <w:rsid w:val="00E67DA5"/>
    <w:rsid w:val="00E67F8D"/>
    <w:rsid w:val="00E67FD3"/>
    <w:rsid w:val="00E70002"/>
    <w:rsid w:val="00E70016"/>
    <w:rsid w:val="00E700F1"/>
    <w:rsid w:val="00E70123"/>
    <w:rsid w:val="00E7013B"/>
    <w:rsid w:val="00E70140"/>
    <w:rsid w:val="00E7016A"/>
    <w:rsid w:val="00E7018D"/>
    <w:rsid w:val="00E7025B"/>
    <w:rsid w:val="00E7029B"/>
    <w:rsid w:val="00E70354"/>
    <w:rsid w:val="00E70531"/>
    <w:rsid w:val="00E705DF"/>
    <w:rsid w:val="00E70624"/>
    <w:rsid w:val="00E7062E"/>
    <w:rsid w:val="00E7087D"/>
    <w:rsid w:val="00E70985"/>
    <w:rsid w:val="00E70A81"/>
    <w:rsid w:val="00E70B54"/>
    <w:rsid w:val="00E70B58"/>
    <w:rsid w:val="00E70B7F"/>
    <w:rsid w:val="00E70BD9"/>
    <w:rsid w:val="00E70D23"/>
    <w:rsid w:val="00E70D3C"/>
    <w:rsid w:val="00E70D45"/>
    <w:rsid w:val="00E70D7F"/>
    <w:rsid w:val="00E70E97"/>
    <w:rsid w:val="00E70ED2"/>
    <w:rsid w:val="00E70FB5"/>
    <w:rsid w:val="00E71114"/>
    <w:rsid w:val="00E7121A"/>
    <w:rsid w:val="00E7122C"/>
    <w:rsid w:val="00E7122F"/>
    <w:rsid w:val="00E713CA"/>
    <w:rsid w:val="00E71458"/>
    <w:rsid w:val="00E71485"/>
    <w:rsid w:val="00E71560"/>
    <w:rsid w:val="00E7171C"/>
    <w:rsid w:val="00E71723"/>
    <w:rsid w:val="00E71740"/>
    <w:rsid w:val="00E71807"/>
    <w:rsid w:val="00E71828"/>
    <w:rsid w:val="00E7184D"/>
    <w:rsid w:val="00E718BD"/>
    <w:rsid w:val="00E71927"/>
    <w:rsid w:val="00E7192E"/>
    <w:rsid w:val="00E71936"/>
    <w:rsid w:val="00E71989"/>
    <w:rsid w:val="00E71A53"/>
    <w:rsid w:val="00E71AAE"/>
    <w:rsid w:val="00E71B07"/>
    <w:rsid w:val="00E71B51"/>
    <w:rsid w:val="00E71C2B"/>
    <w:rsid w:val="00E71C7E"/>
    <w:rsid w:val="00E71D0B"/>
    <w:rsid w:val="00E71DDF"/>
    <w:rsid w:val="00E71F29"/>
    <w:rsid w:val="00E7212E"/>
    <w:rsid w:val="00E72159"/>
    <w:rsid w:val="00E721D2"/>
    <w:rsid w:val="00E72302"/>
    <w:rsid w:val="00E7237F"/>
    <w:rsid w:val="00E72431"/>
    <w:rsid w:val="00E72575"/>
    <w:rsid w:val="00E726B2"/>
    <w:rsid w:val="00E7273A"/>
    <w:rsid w:val="00E7273C"/>
    <w:rsid w:val="00E7293C"/>
    <w:rsid w:val="00E7298D"/>
    <w:rsid w:val="00E72A63"/>
    <w:rsid w:val="00E72BAD"/>
    <w:rsid w:val="00E72C8C"/>
    <w:rsid w:val="00E72C90"/>
    <w:rsid w:val="00E72E75"/>
    <w:rsid w:val="00E72F6C"/>
    <w:rsid w:val="00E730BD"/>
    <w:rsid w:val="00E73138"/>
    <w:rsid w:val="00E731CD"/>
    <w:rsid w:val="00E731DC"/>
    <w:rsid w:val="00E73290"/>
    <w:rsid w:val="00E73300"/>
    <w:rsid w:val="00E733B4"/>
    <w:rsid w:val="00E733DC"/>
    <w:rsid w:val="00E73478"/>
    <w:rsid w:val="00E734F0"/>
    <w:rsid w:val="00E73605"/>
    <w:rsid w:val="00E73733"/>
    <w:rsid w:val="00E73852"/>
    <w:rsid w:val="00E73A8A"/>
    <w:rsid w:val="00E73AA8"/>
    <w:rsid w:val="00E73BB6"/>
    <w:rsid w:val="00E73C3A"/>
    <w:rsid w:val="00E73C8A"/>
    <w:rsid w:val="00E73D4C"/>
    <w:rsid w:val="00E73FA9"/>
    <w:rsid w:val="00E740A8"/>
    <w:rsid w:val="00E74171"/>
    <w:rsid w:val="00E74282"/>
    <w:rsid w:val="00E742AE"/>
    <w:rsid w:val="00E74322"/>
    <w:rsid w:val="00E7432C"/>
    <w:rsid w:val="00E74401"/>
    <w:rsid w:val="00E74523"/>
    <w:rsid w:val="00E74696"/>
    <w:rsid w:val="00E74B25"/>
    <w:rsid w:val="00E74BB0"/>
    <w:rsid w:val="00E74C3D"/>
    <w:rsid w:val="00E74CB0"/>
    <w:rsid w:val="00E74CC3"/>
    <w:rsid w:val="00E74F33"/>
    <w:rsid w:val="00E74FB2"/>
    <w:rsid w:val="00E75035"/>
    <w:rsid w:val="00E75351"/>
    <w:rsid w:val="00E75502"/>
    <w:rsid w:val="00E75503"/>
    <w:rsid w:val="00E7552C"/>
    <w:rsid w:val="00E7554A"/>
    <w:rsid w:val="00E756A2"/>
    <w:rsid w:val="00E757AA"/>
    <w:rsid w:val="00E7586C"/>
    <w:rsid w:val="00E758B1"/>
    <w:rsid w:val="00E758F4"/>
    <w:rsid w:val="00E7596D"/>
    <w:rsid w:val="00E75A23"/>
    <w:rsid w:val="00E75A47"/>
    <w:rsid w:val="00E75AE9"/>
    <w:rsid w:val="00E75B2C"/>
    <w:rsid w:val="00E75BE7"/>
    <w:rsid w:val="00E75C9A"/>
    <w:rsid w:val="00E75CAE"/>
    <w:rsid w:val="00E75D8F"/>
    <w:rsid w:val="00E75E8A"/>
    <w:rsid w:val="00E75FFA"/>
    <w:rsid w:val="00E76117"/>
    <w:rsid w:val="00E761C1"/>
    <w:rsid w:val="00E76303"/>
    <w:rsid w:val="00E76329"/>
    <w:rsid w:val="00E76397"/>
    <w:rsid w:val="00E763D8"/>
    <w:rsid w:val="00E7649C"/>
    <w:rsid w:val="00E765AF"/>
    <w:rsid w:val="00E76624"/>
    <w:rsid w:val="00E766AA"/>
    <w:rsid w:val="00E766B9"/>
    <w:rsid w:val="00E76736"/>
    <w:rsid w:val="00E767BA"/>
    <w:rsid w:val="00E76812"/>
    <w:rsid w:val="00E7699C"/>
    <w:rsid w:val="00E76C8C"/>
    <w:rsid w:val="00E76C98"/>
    <w:rsid w:val="00E76CD8"/>
    <w:rsid w:val="00E76E11"/>
    <w:rsid w:val="00E770A9"/>
    <w:rsid w:val="00E77118"/>
    <w:rsid w:val="00E77189"/>
    <w:rsid w:val="00E771A2"/>
    <w:rsid w:val="00E771FB"/>
    <w:rsid w:val="00E772C7"/>
    <w:rsid w:val="00E7763A"/>
    <w:rsid w:val="00E77807"/>
    <w:rsid w:val="00E7783B"/>
    <w:rsid w:val="00E77845"/>
    <w:rsid w:val="00E7786D"/>
    <w:rsid w:val="00E778CB"/>
    <w:rsid w:val="00E77B4D"/>
    <w:rsid w:val="00E77BFC"/>
    <w:rsid w:val="00E77CC4"/>
    <w:rsid w:val="00E77D9B"/>
    <w:rsid w:val="00E77E23"/>
    <w:rsid w:val="00E77F19"/>
    <w:rsid w:val="00E77F82"/>
    <w:rsid w:val="00E8002F"/>
    <w:rsid w:val="00E80078"/>
    <w:rsid w:val="00E8013D"/>
    <w:rsid w:val="00E801F4"/>
    <w:rsid w:val="00E80228"/>
    <w:rsid w:val="00E8022A"/>
    <w:rsid w:val="00E80242"/>
    <w:rsid w:val="00E804D1"/>
    <w:rsid w:val="00E805B9"/>
    <w:rsid w:val="00E80645"/>
    <w:rsid w:val="00E8068D"/>
    <w:rsid w:val="00E806FA"/>
    <w:rsid w:val="00E80822"/>
    <w:rsid w:val="00E808B4"/>
    <w:rsid w:val="00E809BC"/>
    <w:rsid w:val="00E80A50"/>
    <w:rsid w:val="00E80AB2"/>
    <w:rsid w:val="00E80B40"/>
    <w:rsid w:val="00E80C91"/>
    <w:rsid w:val="00E80D3F"/>
    <w:rsid w:val="00E80E12"/>
    <w:rsid w:val="00E80F66"/>
    <w:rsid w:val="00E80FF3"/>
    <w:rsid w:val="00E810E3"/>
    <w:rsid w:val="00E811DC"/>
    <w:rsid w:val="00E8142A"/>
    <w:rsid w:val="00E8146C"/>
    <w:rsid w:val="00E81479"/>
    <w:rsid w:val="00E815BD"/>
    <w:rsid w:val="00E815D8"/>
    <w:rsid w:val="00E816A0"/>
    <w:rsid w:val="00E81856"/>
    <w:rsid w:val="00E8196B"/>
    <w:rsid w:val="00E81AF7"/>
    <w:rsid w:val="00E81E44"/>
    <w:rsid w:val="00E81F38"/>
    <w:rsid w:val="00E81F48"/>
    <w:rsid w:val="00E81F59"/>
    <w:rsid w:val="00E81F77"/>
    <w:rsid w:val="00E82065"/>
    <w:rsid w:val="00E8214C"/>
    <w:rsid w:val="00E822BF"/>
    <w:rsid w:val="00E822F1"/>
    <w:rsid w:val="00E823FB"/>
    <w:rsid w:val="00E8272F"/>
    <w:rsid w:val="00E82792"/>
    <w:rsid w:val="00E827EB"/>
    <w:rsid w:val="00E8282D"/>
    <w:rsid w:val="00E828E5"/>
    <w:rsid w:val="00E829E0"/>
    <w:rsid w:val="00E82ABA"/>
    <w:rsid w:val="00E82B1B"/>
    <w:rsid w:val="00E82B7D"/>
    <w:rsid w:val="00E82E13"/>
    <w:rsid w:val="00E82E17"/>
    <w:rsid w:val="00E82EC0"/>
    <w:rsid w:val="00E82ECE"/>
    <w:rsid w:val="00E8316A"/>
    <w:rsid w:val="00E831D4"/>
    <w:rsid w:val="00E8324D"/>
    <w:rsid w:val="00E83387"/>
    <w:rsid w:val="00E834D6"/>
    <w:rsid w:val="00E8358E"/>
    <w:rsid w:val="00E835AC"/>
    <w:rsid w:val="00E836A5"/>
    <w:rsid w:val="00E836D1"/>
    <w:rsid w:val="00E83808"/>
    <w:rsid w:val="00E83831"/>
    <w:rsid w:val="00E839DE"/>
    <w:rsid w:val="00E83E88"/>
    <w:rsid w:val="00E83EE4"/>
    <w:rsid w:val="00E83F68"/>
    <w:rsid w:val="00E83F90"/>
    <w:rsid w:val="00E84031"/>
    <w:rsid w:val="00E84104"/>
    <w:rsid w:val="00E8410B"/>
    <w:rsid w:val="00E8412E"/>
    <w:rsid w:val="00E841FF"/>
    <w:rsid w:val="00E84482"/>
    <w:rsid w:val="00E84702"/>
    <w:rsid w:val="00E847AA"/>
    <w:rsid w:val="00E847DF"/>
    <w:rsid w:val="00E84990"/>
    <w:rsid w:val="00E84BB0"/>
    <w:rsid w:val="00E84BD3"/>
    <w:rsid w:val="00E84BF2"/>
    <w:rsid w:val="00E84C99"/>
    <w:rsid w:val="00E84D1E"/>
    <w:rsid w:val="00E850A8"/>
    <w:rsid w:val="00E85107"/>
    <w:rsid w:val="00E852E6"/>
    <w:rsid w:val="00E85323"/>
    <w:rsid w:val="00E8532F"/>
    <w:rsid w:val="00E8546D"/>
    <w:rsid w:val="00E85598"/>
    <w:rsid w:val="00E856AE"/>
    <w:rsid w:val="00E8571B"/>
    <w:rsid w:val="00E857DE"/>
    <w:rsid w:val="00E85932"/>
    <w:rsid w:val="00E85945"/>
    <w:rsid w:val="00E85949"/>
    <w:rsid w:val="00E859EC"/>
    <w:rsid w:val="00E85A39"/>
    <w:rsid w:val="00E85AEE"/>
    <w:rsid w:val="00E85BA7"/>
    <w:rsid w:val="00E85E41"/>
    <w:rsid w:val="00E85E74"/>
    <w:rsid w:val="00E85E8A"/>
    <w:rsid w:val="00E85F15"/>
    <w:rsid w:val="00E85F9F"/>
    <w:rsid w:val="00E85FAF"/>
    <w:rsid w:val="00E86045"/>
    <w:rsid w:val="00E86068"/>
    <w:rsid w:val="00E860A1"/>
    <w:rsid w:val="00E86174"/>
    <w:rsid w:val="00E861C9"/>
    <w:rsid w:val="00E8620B"/>
    <w:rsid w:val="00E8620E"/>
    <w:rsid w:val="00E8625C"/>
    <w:rsid w:val="00E86444"/>
    <w:rsid w:val="00E86479"/>
    <w:rsid w:val="00E8649C"/>
    <w:rsid w:val="00E864D5"/>
    <w:rsid w:val="00E86575"/>
    <w:rsid w:val="00E865B2"/>
    <w:rsid w:val="00E865CB"/>
    <w:rsid w:val="00E8666E"/>
    <w:rsid w:val="00E8690E"/>
    <w:rsid w:val="00E869D3"/>
    <w:rsid w:val="00E86A52"/>
    <w:rsid w:val="00E86A76"/>
    <w:rsid w:val="00E86ABA"/>
    <w:rsid w:val="00E86AE5"/>
    <w:rsid w:val="00E86B24"/>
    <w:rsid w:val="00E86B7B"/>
    <w:rsid w:val="00E86D2A"/>
    <w:rsid w:val="00E86D9F"/>
    <w:rsid w:val="00E86F7F"/>
    <w:rsid w:val="00E87058"/>
    <w:rsid w:val="00E87080"/>
    <w:rsid w:val="00E870A6"/>
    <w:rsid w:val="00E8711A"/>
    <w:rsid w:val="00E87125"/>
    <w:rsid w:val="00E87174"/>
    <w:rsid w:val="00E87200"/>
    <w:rsid w:val="00E8727C"/>
    <w:rsid w:val="00E87326"/>
    <w:rsid w:val="00E873BA"/>
    <w:rsid w:val="00E873EB"/>
    <w:rsid w:val="00E87686"/>
    <w:rsid w:val="00E8779F"/>
    <w:rsid w:val="00E87882"/>
    <w:rsid w:val="00E879C7"/>
    <w:rsid w:val="00E87A92"/>
    <w:rsid w:val="00E87AB7"/>
    <w:rsid w:val="00E87AD0"/>
    <w:rsid w:val="00E87B70"/>
    <w:rsid w:val="00E87CAB"/>
    <w:rsid w:val="00E87D78"/>
    <w:rsid w:val="00E87E50"/>
    <w:rsid w:val="00E87E51"/>
    <w:rsid w:val="00E90044"/>
    <w:rsid w:val="00E901F3"/>
    <w:rsid w:val="00E90217"/>
    <w:rsid w:val="00E90227"/>
    <w:rsid w:val="00E9031A"/>
    <w:rsid w:val="00E905BC"/>
    <w:rsid w:val="00E905F4"/>
    <w:rsid w:val="00E90679"/>
    <w:rsid w:val="00E90721"/>
    <w:rsid w:val="00E9077C"/>
    <w:rsid w:val="00E9095C"/>
    <w:rsid w:val="00E90A5F"/>
    <w:rsid w:val="00E90B4A"/>
    <w:rsid w:val="00E90B6E"/>
    <w:rsid w:val="00E90E70"/>
    <w:rsid w:val="00E90F4B"/>
    <w:rsid w:val="00E9106A"/>
    <w:rsid w:val="00E910CB"/>
    <w:rsid w:val="00E9112E"/>
    <w:rsid w:val="00E911E4"/>
    <w:rsid w:val="00E911E6"/>
    <w:rsid w:val="00E912C7"/>
    <w:rsid w:val="00E91517"/>
    <w:rsid w:val="00E91A31"/>
    <w:rsid w:val="00E91A8C"/>
    <w:rsid w:val="00E91AC9"/>
    <w:rsid w:val="00E91B4D"/>
    <w:rsid w:val="00E91ECD"/>
    <w:rsid w:val="00E91F2B"/>
    <w:rsid w:val="00E92110"/>
    <w:rsid w:val="00E92223"/>
    <w:rsid w:val="00E92337"/>
    <w:rsid w:val="00E92454"/>
    <w:rsid w:val="00E924C6"/>
    <w:rsid w:val="00E92553"/>
    <w:rsid w:val="00E92594"/>
    <w:rsid w:val="00E925E7"/>
    <w:rsid w:val="00E92746"/>
    <w:rsid w:val="00E92939"/>
    <w:rsid w:val="00E92970"/>
    <w:rsid w:val="00E92AA3"/>
    <w:rsid w:val="00E92E30"/>
    <w:rsid w:val="00E930A1"/>
    <w:rsid w:val="00E930AA"/>
    <w:rsid w:val="00E930B2"/>
    <w:rsid w:val="00E931A4"/>
    <w:rsid w:val="00E93367"/>
    <w:rsid w:val="00E933CA"/>
    <w:rsid w:val="00E93494"/>
    <w:rsid w:val="00E934B4"/>
    <w:rsid w:val="00E93531"/>
    <w:rsid w:val="00E93557"/>
    <w:rsid w:val="00E93657"/>
    <w:rsid w:val="00E9367D"/>
    <w:rsid w:val="00E93688"/>
    <w:rsid w:val="00E936B4"/>
    <w:rsid w:val="00E936CB"/>
    <w:rsid w:val="00E93781"/>
    <w:rsid w:val="00E937A5"/>
    <w:rsid w:val="00E93B88"/>
    <w:rsid w:val="00E93D73"/>
    <w:rsid w:val="00E93DC5"/>
    <w:rsid w:val="00E93F52"/>
    <w:rsid w:val="00E9402D"/>
    <w:rsid w:val="00E940C9"/>
    <w:rsid w:val="00E94190"/>
    <w:rsid w:val="00E941CC"/>
    <w:rsid w:val="00E9422E"/>
    <w:rsid w:val="00E94386"/>
    <w:rsid w:val="00E943D5"/>
    <w:rsid w:val="00E9442A"/>
    <w:rsid w:val="00E94612"/>
    <w:rsid w:val="00E94705"/>
    <w:rsid w:val="00E9477F"/>
    <w:rsid w:val="00E94A32"/>
    <w:rsid w:val="00E94AFA"/>
    <w:rsid w:val="00E94B66"/>
    <w:rsid w:val="00E94B7B"/>
    <w:rsid w:val="00E94EF4"/>
    <w:rsid w:val="00E94F08"/>
    <w:rsid w:val="00E9501C"/>
    <w:rsid w:val="00E950B1"/>
    <w:rsid w:val="00E950C6"/>
    <w:rsid w:val="00E952A3"/>
    <w:rsid w:val="00E952EE"/>
    <w:rsid w:val="00E9542D"/>
    <w:rsid w:val="00E954E1"/>
    <w:rsid w:val="00E955B9"/>
    <w:rsid w:val="00E9562F"/>
    <w:rsid w:val="00E958C4"/>
    <w:rsid w:val="00E95907"/>
    <w:rsid w:val="00E95936"/>
    <w:rsid w:val="00E95991"/>
    <w:rsid w:val="00E9599C"/>
    <w:rsid w:val="00E959BD"/>
    <w:rsid w:val="00E95AD4"/>
    <w:rsid w:val="00E95AE5"/>
    <w:rsid w:val="00E95B9C"/>
    <w:rsid w:val="00E95BA0"/>
    <w:rsid w:val="00E95BFD"/>
    <w:rsid w:val="00E95DC1"/>
    <w:rsid w:val="00E95EFA"/>
    <w:rsid w:val="00E95F36"/>
    <w:rsid w:val="00E9617D"/>
    <w:rsid w:val="00E961C1"/>
    <w:rsid w:val="00E96219"/>
    <w:rsid w:val="00E9634A"/>
    <w:rsid w:val="00E9636C"/>
    <w:rsid w:val="00E96382"/>
    <w:rsid w:val="00E96478"/>
    <w:rsid w:val="00E964D4"/>
    <w:rsid w:val="00E9650C"/>
    <w:rsid w:val="00E96654"/>
    <w:rsid w:val="00E9670F"/>
    <w:rsid w:val="00E9676C"/>
    <w:rsid w:val="00E968A1"/>
    <w:rsid w:val="00E96AC8"/>
    <w:rsid w:val="00E96AD5"/>
    <w:rsid w:val="00E96B34"/>
    <w:rsid w:val="00E96C4B"/>
    <w:rsid w:val="00E96C6B"/>
    <w:rsid w:val="00E96D8B"/>
    <w:rsid w:val="00E96E82"/>
    <w:rsid w:val="00E96EE2"/>
    <w:rsid w:val="00E96F9E"/>
    <w:rsid w:val="00E97090"/>
    <w:rsid w:val="00E97163"/>
    <w:rsid w:val="00E97194"/>
    <w:rsid w:val="00E9723C"/>
    <w:rsid w:val="00E9734F"/>
    <w:rsid w:val="00E97765"/>
    <w:rsid w:val="00E97813"/>
    <w:rsid w:val="00E978F4"/>
    <w:rsid w:val="00E97A80"/>
    <w:rsid w:val="00E97A88"/>
    <w:rsid w:val="00E97B17"/>
    <w:rsid w:val="00E97B6F"/>
    <w:rsid w:val="00E97BEA"/>
    <w:rsid w:val="00E97C8C"/>
    <w:rsid w:val="00E97CCA"/>
    <w:rsid w:val="00E97D7C"/>
    <w:rsid w:val="00E97DC2"/>
    <w:rsid w:val="00E97EE3"/>
    <w:rsid w:val="00EA0143"/>
    <w:rsid w:val="00EA023D"/>
    <w:rsid w:val="00EA0330"/>
    <w:rsid w:val="00EA051D"/>
    <w:rsid w:val="00EA056E"/>
    <w:rsid w:val="00EA0583"/>
    <w:rsid w:val="00EA05A9"/>
    <w:rsid w:val="00EA05EF"/>
    <w:rsid w:val="00EA05F4"/>
    <w:rsid w:val="00EA05F9"/>
    <w:rsid w:val="00EA0610"/>
    <w:rsid w:val="00EA083B"/>
    <w:rsid w:val="00EA0A5D"/>
    <w:rsid w:val="00EA0A6E"/>
    <w:rsid w:val="00EA0A72"/>
    <w:rsid w:val="00EA0B23"/>
    <w:rsid w:val="00EA0B53"/>
    <w:rsid w:val="00EA0CFF"/>
    <w:rsid w:val="00EA0F48"/>
    <w:rsid w:val="00EA1120"/>
    <w:rsid w:val="00EA139C"/>
    <w:rsid w:val="00EA149C"/>
    <w:rsid w:val="00EA14DD"/>
    <w:rsid w:val="00EA1511"/>
    <w:rsid w:val="00EA1568"/>
    <w:rsid w:val="00EA1670"/>
    <w:rsid w:val="00EA16C4"/>
    <w:rsid w:val="00EA19F7"/>
    <w:rsid w:val="00EA1A0A"/>
    <w:rsid w:val="00EA1A2C"/>
    <w:rsid w:val="00EA1A4B"/>
    <w:rsid w:val="00EA1A6A"/>
    <w:rsid w:val="00EA1A96"/>
    <w:rsid w:val="00EA1B39"/>
    <w:rsid w:val="00EA1BC9"/>
    <w:rsid w:val="00EA1C8B"/>
    <w:rsid w:val="00EA1C8C"/>
    <w:rsid w:val="00EA1C8D"/>
    <w:rsid w:val="00EA1D99"/>
    <w:rsid w:val="00EA1F0B"/>
    <w:rsid w:val="00EA2048"/>
    <w:rsid w:val="00EA20C9"/>
    <w:rsid w:val="00EA20E6"/>
    <w:rsid w:val="00EA21E7"/>
    <w:rsid w:val="00EA2206"/>
    <w:rsid w:val="00EA2236"/>
    <w:rsid w:val="00EA23B5"/>
    <w:rsid w:val="00EA2440"/>
    <w:rsid w:val="00EA2537"/>
    <w:rsid w:val="00EA2549"/>
    <w:rsid w:val="00EA258B"/>
    <w:rsid w:val="00EA25BA"/>
    <w:rsid w:val="00EA25CB"/>
    <w:rsid w:val="00EA2603"/>
    <w:rsid w:val="00EA262D"/>
    <w:rsid w:val="00EA27DF"/>
    <w:rsid w:val="00EA29EF"/>
    <w:rsid w:val="00EA29F1"/>
    <w:rsid w:val="00EA2B7E"/>
    <w:rsid w:val="00EA2C3B"/>
    <w:rsid w:val="00EA2C43"/>
    <w:rsid w:val="00EA2CA4"/>
    <w:rsid w:val="00EA2CB9"/>
    <w:rsid w:val="00EA2CFD"/>
    <w:rsid w:val="00EA2D16"/>
    <w:rsid w:val="00EA2DBD"/>
    <w:rsid w:val="00EA2E40"/>
    <w:rsid w:val="00EA2ED4"/>
    <w:rsid w:val="00EA30D1"/>
    <w:rsid w:val="00EA3257"/>
    <w:rsid w:val="00EA329C"/>
    <w:rsid w:val="00EA32A4"/>
    <w:rsid w:val="00EA32D8"/>
    <w:rsid w:val="00EA32E4"/>
    <w:rsid w:val="00EA33E9"/>
    <w:rsid w:val="00EA33F4"/>
    <w:rsid w:val="00EA33F7"/>
    <w:rsid w:val="00EA34CE"/>
    <w:rsid w:val="00EA352B"/>
    <w:rsid w:val="00EA358C"/>
    <w:rsid w:val="00EA35F1"/>
    <w:rsid w:val="00EA38A4"/>
    <w:rsid w:val="00EA38ED"/>
    <w:rsid w:val="00EA3A78"/>
    <w:rsid w:val="00EA3B34"/>
    <w:rsid w:val="00EA3B80"/>
    <w:rsid w:val="00EA3BA8"/>
    <w:rsid w:val="00EA3CBE"/>
    <w:rsid w:val="00EA3FA6"/>
    <w:rsid w:val="00EA3FF6"/>
    <w:rsid w:val="00EA4081"/>
    <w:rsid w:val="00EA40BF"/>
    <w:rsid w:val="00EA411C"/>
    <w:rsid w:val="00EA41CA"/>
    <w:rsid w:val="00EA420C"/>
    <w:rsid w:val="00EA4251"/>
    <w:rsid w:val="00EA42DC"/>
    <w:rsid w:val="00EA430B"/>
    <w:rsid w:val="00EA433A"/>
    <w:rsid w:val="00EA4364"/>
    <w:rsid w:val="00EA43C3"/>
    <w:rsid w:val="00EA44F1"/>
    <w:rsid w:val="00EA45CD"/>
    <w:rsid w:val="00EA45DF"/>
    <w:rsid w:val="00EA4749"/>
    <w:rsid w:val="00EA47B4"/>
    <w:rsid w:val="00EA47F5"/>
    <w:rsid w:val="00EA48FC"/>
    <w:rsid w:val="00EA491A"/>
    <w:rsid w:val="00EA4951"/>
    <w:rsid w:val="00EA49A6"/>
    <w:rsid w:val="00EA4C08"/>
    <w:rsid w:val="00EA4E80"/>
    <w:rsid w:val="00EA4E8F"/>
    <w:rsid w:val="00EA4F7F"/>
    <w:rsid w:val="00EA4FD9"/>
    <w:rsid w:val="00EA503D"/>
    <w:rsid w:val="00EA5044"/>
    <w:rsid w:val="00EA50CE"/>
    <w:rsid w:val="00EA5149"/>
    <w:rsid w:val="00EA51C9"/>
    <w:rsid w:val="00EA5423"/>
    <w:rsid w:val="00EA54C2"/>
    <w:rsid w:val="00EA56F9"/>
    <w:rsid w:val="00EA571F"/>
    <w:rsid w:val="00EA595C"/>
    <w:rsid w:val="00EA5AD1"/>
    <w:rsid w:val="00EA5BDC"/>
    <w:rsid w:val="00EA5C4D"/>
    <w:rsid w:val="00EA5C88"/>
    <w:rsid w:val="00EA5CE5"/>
    <w:rsid w:val="00EA5D77"/>
    <w:rsid w:val="00EA5D7A"/>
    <w:rsid w:val="00EA5DCB"/>
    <w:rsid w:val="00EA5F81"/>
    <w:rsid w:val="00EA608C"/>
    <w:rsid w:val="00EA6237"/>
    <w:rsid w:val="00EA627E"/>
    <w:rsid w:val="00EA643D"/>
    <w:rsid w:val="00EA6503"/>
    <w:rsid w:val="00EA657F"/>
    <w:rsid w:val="00EA6581"/>
    <w:rsid w:val="00EA6635"/>
    <w:rsid w:val="00EA685E"/>
    <w:rsid w:val="00EA68FE"/>
    <w:rsid w:val="00EA6A48"/>
    <w:rsid w:val="00EA6A7C"/>
    <w:rsid w:val="00EA6A93"/>
    <w:rsid w:val="00EA6AA0"/>
    <w:rsid w:val="00EA6AA2"/>
    <w:rsid w:val="00EA6B75"/>
    <w:rsid w:val="00EA6CD2"/>
    <w:rsid w:val="00EA6D5C"/>
    <w:rsid w:val="00EA6DEF"/>
    <w:rsid w:val="00EA6E77"/>
    <w:rsid w:val="00EA6E80"/>
    <w:rsid w:val="00EA6E8E"/>
    <w:rsid w:val="00EA70D8"/>
    <w:rsid w:val="00EA70E3"/>
    <w:rsid w:val="00EA7251"/>
    <w:rsid w:val="00EA7320"/>
    <w:rsid w:val="00EA73A4"/>
    <w:rsid w:val="00EA7425"/>
    <w:rsid w:val="00EA75F8"/>
    <w:rsid w:val="00EA76AF"/>
    <w:rsid w:val="00EA76CB"/>
    <w:rsid w:val="00EA7814"/>
    <w:rsid w:val="00EA790C"/>
    <w:rsid w:val="00EA7AD0"/>
    <w:rsid w:val="00EA7B1F"/>
    <w:rsid w:val="00EA7BB0"/>
    <w:rsid w:val="00EA7BD9"/>
    <w:rsid w:val="00EA7C6A"/>
    <w:rsid w:val="00EA7C73"/>
    <w:rsid w:val="00EA7D7F"/>
    <w:rsid w:val="00EA7D8E"/>
    <w:rsid w:val="00EA7E49"/>
    <w:rsid w:val="00EA7E59"/>
    <w:rsid w:val="00EA7F2A"/>
    <w:rsid w:val="00EA7FF4"/>
    <w:rsid w:val="00EA81C7"/>
    <w:rsid w:val="00EB02D4"/>
    <w:rsid w:val="00EB034F"/>
    <w:rsid w:val="00EB03B7"/>
    <w:rsid w:val="00EB0420"/>
    <w:rsid w:val="00EB046E"/>
    <w:rsid w:val="00EB0584"/>
    <w:rsid w:val="00EB0682"/>
    <w:rsid w:val="00EB06A8"/>
    <w:rsid w:val="00EB06E3"/>
    <w:rsid w:val="00EB0730"/>
    <w:rsid w:val="00EB08F3"/>
    <w:rsid w:val="00EB0BAB"/>
    <w:rsid w:val="00EB0CA2"/>
    <w:rsid w:val="00EB0D18"/>
    <w:rsid w:val="00EB0D39"/>
    <w:rsid w:val="00EB0D9C"/>
    <w:rsid w:val="00EB0E41"/>
    <w:rsid w:val="00EB0EF2"/>
    <w:rsid w:val="00EB1061"/>
    <w:rsid w:val="00EB118F"/>
    <w:rsid w:val="00EB119E"/>
    <w:rsid w:val="00EB11AC"/>
    <w:rsid w:val="00EB1231"/>
    <w:rsid w:val="00EB127A"/>
    <w:rsid w:val="00EB12E9"/>
    <w:rsid w:val="00EB13E4"/>
    <w:rsid w:val="00EB1583"/>
    <w:rsid w:val="00EB15A9"/>
    <w:rsid w:val="00EB16A8"/>
    <w:rsid w:val="00EB170F"/>
    <w:rsid w:val="00EB17FE"/>
    <w:rsid w:val="00EB1844"/>
    <w:rsid w:val="00EB186F"/>
    <w:rsid w:val="00EB1934"/>
    <w:rsid w:val="00EB1A24"/>
    <w:rsid w:val="00EB1A8D"/>
    <w:rsid w:val="00EB1B00"/>
    <w:rsid w:val="00EB1E9D"/>
    <w:rsid w:val="00EB1F8E"/>
    <w:rsid w:val="00EB2138"/>
    <w:rsid w:val="00EB21D4"/>
    <w:rsid w:val="00EB2247"/>
    <w:rsid w:val="00EB2282"/>
    <w:rsid w:val="00EB23C9"/>
    <w:rsid w:val="00EB2425"/>
    <w:rsid w:val="00EB24A5"/>
    <w:rsid w:val="00EB24BA"/>
    <w:rsid w:val="00EB24E7"/>
    <w:rsid w:val="00EB25E3"/>
    <w:rsid w:val="00EB266C"/>
    <w:rsid w:val="00EB267B"/>
    <w:rsid w:val="00EB2723"/>
    <w:rsid w:val="00EB283D"/>
    <w:rsid w:val="00EB2864"/>
    <w:rsid w:val="00EB28AD"/>
    <w:rsid w:val="00EB294C"/>
    <w:rsid w:val="00EB29CA"/>
    <w:rsid w:val="00EB2A7D"/>
    <w:rsid w:val="00EB2B7A"/>
    <w:rsid w:val="00EB2B9B"/>
    <w:rsid w:val="00EB2BCB"/>
    <w:rsid w:val="00EB2D1A"/>
    <w:rsid w:val="00EB2D20"/>
    <w:rsid w:val="00EB2D27"/>
    <w:rsid w:val="00EB2E22"/>
    <w:rsid w:val="00EB2FC6"/>
    <w:rsid w:val="00EB3305"/>
    <w:rsid w:val="00EB3319"/>
    <w:rsid w:val="00EB334B"/>
    <w:rsid w:val="00EB3469"/>
    <w:rsid w:val="00EB357D"/>
    <w:rsid w:val="00EB3582"/>
    <w:rsid w:val="00EB3885"/>
    <w:rsid w:val="00EB3888"/>
    <w:rsid w:val="00EB38E3"/>
    <w:rsid w:val="00EB392D"/>
    <w:rsid w:val="00EB3A4E"/>
    <w:rsid w:val="00EB3AE2"/>
    <w:rsid w:val="00EB3BAD"/>
    <w:rsid w:val="00EB3C48"/>
    <w:rsid w:val="00EB4025"/>
    <w:rsid w:val="00EB4038"/>
    <w:rsid w:val="00EB411B"/>
    <w:rsid w:val="00EB4232"/>
    <w:rsid w:val="00EB44CF"/>
    <w:rsid w:val="00EB4513"/>
    <w:rsid w:val="00EB4608"/>
    <w:rsid w:val="00EB46DC"/>
    <w:rsid w:val="00EB47A5"/>
    <w:rsid w:val="00EB485F"/>
    <w:rsid w:val="00EB49D9"/>
    <w:rsid w:val="00EB4ABE"/>
    <w:rsid w:val="00EB5010"/>
    <w:rsid w:val="00EB5186"/>
    <w:rsid w:val="00EB5280"/>
    <w:rsid w:val="00EB52EC"/>
    <w:rsid w:val="00EB54A9"/>
    <w:rsid w:val="00EB5563"/>
    <w:rsid w:val="00EB57C3"/>
    <w:rsid w:val="00EB5925"/>
    <w:rsid w:val="00EB596E"/>
    <w:rsid w:val="00EB59AA"/>
    <w:rsid w:val="00EB59ED"/>
    <w:rsid w:val="00EB5A7F"/>
    <w:rsid w:val="00EB5E0A"/>
    <w:rsid w:val="00EB608C"/>
    <w:rsid w:val="00EB6162"/>
    <w:rsid w:val="00EB61C3"/>
    <w:rsid w:val="00EB63C2"/>
    <w:rsid w:val="00EB64E2"/>
    <w:rsid w:val="00EB659F"/>
    <w:rsid w:val="00EB663A"/>
    <w:rsid w:val="00EB6864"/>
    <w:rsid w:val="00EB696B"/>
    <w:rsid w:val="00EB69F2"/>
    <w:rsid w:val="00EB6E0B"/>
    <w:rsid w:val="00EB6E1C"/>
    <w:rsid w:val="00EB6EA8"/>
    <w:rsid w:val="00EB6ED7"/>
    <w:rsid w:val="00EB7037"/>
    <w:rsid w:val="00EB7185"/>
    <w:rsid w:val="00EB7203"/>
    <w:rsid w:val="00EB72E8"/>
    <w:rsid w:val="00EB730A"/>
    <w:rsid w:val="00EB731A"/>
    <w:rsid w:val="00EB7332"/>
    <w:rsid w:val="00EB736E"/>
    <w:rsid w:val="00EB73A0"/>
    <w:rsid w:val="00EB73F2"/>
    <w:rsid w:val="00EB7526"/>
    <w:rsid w:val="00EB77B6"/>
    <w:rsid w:val="00EB77DE"/>
    <w:rsid w:val="00EB7918"/>
    <w:rsid w:val="00EB795A"/>
    <w:rsid w:val="00EB7A9E"/>
    <w:rsid w:val="00EB7B48"/>
    <w:rsid w:val="00EB7D6F"/>
    <w:rsid w:val="00EB7E67"/>
    <w:rsid w:val="00EB7F69"/>
    <w:rsid w:val="00EB7F7B"/>
    <w:rsid w:val="00EB7F97"/>
    <w:rsid w:val="00EC02AB"/>
    <w:rsid w:val="00EC02B5"/>
    <w:rsid w:val="00EC0327"/>
    <w:rsid w:val="00EC034F"/>
    <w:rsid w:val="00EC03C7"/>
    <w:rsid w:val="00EC0424"/>
    <w:rsid w:val="00EC0510"/>
    <w:rsid w:val="00EC07CD"/>
    <w:rsid w:val="00EC07EB"/>
    <w:rsid w:val="00EC0849"/>
    <w:rsid w:val="00EC0850"/>
    <w:rsid w:val="00EC089B"/>
    <w:rsid w:val="00EC08A7"/>
    <w:rsid w:val="00EC0900"/>
    <w:rsid w:val="00EC0910"/>
    <w:rsid w:val="00EC0912"/>
    <w:rsid w:val="00EC0975"/>
    <w:rsid w:val="00EC097D"/>
    <w:rsid w:val="00EC0DBE"/>
    <w:rsid w:val="00EC0FF6"/>
    <w:rsid w:val="00EC109D"/>
    <w:rsid w:val="00EC10A0"/>
    <w:rsid w:val="00EC1188"/>
    <w:rsid w:val="00EC126D"/>
    <w:rsid w:val="00EC128A"/>
    <w:rsid w:val="00EC1412"/>
    <w:rsid w:val="00EC15B9"/>
    <w:rsid w:val="00EC15C0"/>
    <w:rsid w:val="00EC160A"/>
    <w:rsid w:val="00EC16D0"/>
    <w:rsid w:val="00EC1724"/>
    <w:rsid w:val="00EC1781"/>
    <w:rsid w:val="00EC1956"/>
    <w:rsid w:val="00EC19B6"/>
    <w:rsid w:val="00EC1A48"/>
    <w:rsid w:val="00EC1A7A"/>
    <w:rsid w:val="00EC1B05"/>
    <w:rsid w:val="00EC1CEE"/>
    <w:rsid w:val="00EC1D19"/>
    <w:rsid w:val="00EC2049"/>
    <w:rsid w:val="00EC21A7"/>
    <w:rsid w:val="00EC2283"/>
    <w:rsid w:val="00EC22BC"/>
    <w:rsid w:val="00EC22F0"/>
    <w:rsid w:val="00EC2381"/>
    <w:rsid w:val="00EC23AB"/>
    <w:rsid w:val="00EC23CC"/>
    <w:rsid w:val="00EC23E7"/>
    <w:rsid w:val="00EC23FB"/>
    <w:rsid w:val="00EC2457"/>
    <w:rsid w:val="00EC24DB"/>
    <w:rsid w:val="00EC2538"/>
    <w:rsid w:val="00EC2609"/>
    <w:rsid w:val="00EC2638"/>
    <w:rsid w:val="00EC2659"/>
    <w:rsid w:val="00EC27E9"/>
    <w:rsid w:val="00EC289D"/>
    <w:rsid w:val="00EC2A5C"/>
    <w:rsid w:val="00EC2AC6"/>
    <w:rsid w:val="00EC2B60"/>
    <w:rsid w:val="00EC2C9D"/>
    <w:rsid w:val="00EC2D14"/>
    <w:rsid w:val="00EC2D6F"/>
    <w:rsid w:val="00EC2D74"/>
    <w:rsid w:val="00EC2D95"/>
    <w:rsid w:val="00EC2F39"/>
    <w:rsid w:val="00EC2F5C"/>
    <w:rsid w:val="00EC30BD"/>
    <w:rsid w:val="00EC3169"/>
    <w:rsid w:val="00EC318F"/>
    <w:rsid w:val="00EC323C"/>
    <w:rsid w:val="00EC3313"/>
    <w:rsid w:val="00EC335B"/>
    <w:rsid w:val="00EC342F"/>
    <w:rsid w:val="00EC359B"/>
    <w:rsid w:val="00EC36E8"/>
    <w:rsid w:val="00EC3886"/>
    <w:rsid w:val="00EC38C0"/>
    <w:rsid w:val="00EC38CB"/>
    <w:rsid w:val="00EC396C"/>
    <w:rsid w:val="00EC3A0B"/>
    <w:rsid w:val="00EC3ADC"/>
    <w:rsid w:val="00EC3B46"/>
    <w:rsid w:val="00EC3C6D"/>
    <w:rsid w:val="00EC3CB5"/>
    <w:rsid w:val="00EC3CF0"/>
    <w:rsid w:val="00EC3E90"/>
    <w:rsid w:val="00EC4023"/>
    <w:rsid w:val="00EC40CB"/>
    <w:rsid w:val="00EC4108"/>
    <w:rsid w:val="00EC4267"/>
    <w:rsid w:val="00EC4559"/>
    <w:rsid w:val="00EC46B7"/>
    <w:rsid w:val="00EC46BB"/>
    <w:rsid w:val="00EC46FD"/>
    <w:rsid w:val="00EC4845"/>
    <w:rsid w:val="00EC48E0"/>
    <w:rsid w:val="00EC4A8A"/>
    <w:rsid w:val="00EC4B4E"/>
    <w:rsid w:val="00EC4BE1"/>
    <w:rsid w:val="00EC4D2D"/>
    <w:rsid w:val="00EC4F3A"/>
    <w:rsid w:val="00EC4F53"/>
    <w:rsid w:val="00EC4F55"/>
    <w:rsid w:val="00EC4FBC"/>
    <w:rsid w:val="00EC4FD5"/>
    <w:rsid w:val="00EC5098"/>
    <w:rsid w:val="00EC50C5"/>
    <w:rsid w:val="00EC52F3"/>
    <w:rsid w:val="00EC5402"/>
    <w:rsid w:val="00EC5703"/>
    <w:rsid w:val="00EC57A5"/>
    <w:rsid w:val="00EC57DA"/>
    <w:rsid w:val="00EC5908"/>
    <w:rsid w:val="00EC596A"/>
    <w:rsid w:val="00EC59C2"/>
    <w:rsid w:val="00EC5ABE"/>
    <w:rsid w:val="00EC5C3F"/>
    <w:rsid w:val="00EC5D16"/>
    <w:rsid w:val="00EC5D4D"/>
    <w:rsid w:val="00EC5D8C"/>
    <w:rsid w:val="00EC619D"/>
    <w:rsid w:val="00EC61EB"/>
    <w:rsid w:val="00EC62E5"/>
    <w:rsid w:val="00EC634C"/>
    <w:rsid w:val="00EC641E"/>
    <w:rsid w:val="00EC6529"/>
    <w:rsid w:val="00EC6767"/>
    <w:rsid w:val="00EC67CD"/>
    <w:rsid w:val="00EC68C3"/>
    <w:rsid w:val="00EC6A2D"/>
    <w:rsid w:val="00EC6ABF"/>
    <w:rsid w:val="00EC6CA4"/>
    <w:rsid w:val="00EC6E28"/>
    <w:rsid w:val="00EC6E3D"/>
    <w:rsid w:val="00EC6F58"/>
    <w:rsid w:val="00EC6F5F"/>
    <w:rsid w:val="00EC6FD6"/>
    <w:rsid w:val="00EC7017"/>
    <w:rsid w:val="00EC70AB"/>
    <w:rsid w:val="00EC720C"/>
    <w:rsid w:val="00EC7247"/>
    <w:rsid w:val="00EC733C"/>
    <w:rsid w:val="00EC73E4"/>
    <w:rsid w:val="00EC7406"/>
    <w:rsid w:val="00EC7470"/>
    <w:rsid w:val="00EC748F"/>
    <w:rsid w:val="00EC760A"/>
    <w:rsid w:val="00EC76B2"/>
    <w:rsid w:val="00EC7931"/>
    <w:rsid w:val="00EC7955"/>
    <w:rsid w:val="00EC7991"/>
    <w:rsid w:val="00EC7997"/>
    <w:rsid w:val="00EC7B20"/>
    <w:rsid w:val="00EC7B69"/>
    <w:rsid w:val="00EC7D13"/>
    <w:rsid w:val="00EC7DAB"/>
    <w:rsid w:val="00EC7F7B"/>
    <w:rsid w:val="00ED0099"/>
    <w:rsid w:val="00ED02B3"/>
    <w:rsid w:val="00ED0378"/>
    <w:rsid w:val="00ED042D"/>
    <w:rsid w:val="00ED08FB"/>
    <w:rsid w:val="00ED0977"/>
    <w:rsid w:val="00ED0A03"/>
    <w:rsid w:val="00ED0B22"/>
    <w:rsid w:val="00ED0BF7"/>
    <w:rsid w:val="00ED0C5A"/>
    <w:rsid w:val="00ED0CD8"/>
    <w:rsid w:val="00ED0DA4"/>
    <w:rsid w:val="00ED0DB8"/>
    <w:rsid w:val="00ED0E84"/>
    <w:rsid w:val="00ED0EC4"/>
    <w:rsid w:val="00ED1065"/>
    <w:rsid w:val="00ED11B1"/>
    <w:rsid w:val="00ED11EE"/>
    <w:rsid w:val="00ED1248"/>
    <w:rsid w:val="00ED13F7"/>
    <w:rsid w:val="00ED14DB"/>
    <w:rsid w:val="00ED1607"/>
    <w:rsid w:val="00ED164B"/>
    <w:rsid w:val="00ED165F"/>
    <w:rsid w:val="00ED1827"/>
    <w:rsid w:val="00ED1928"/>
    <w:rsid w:val="00ED1A4B"/>
    <w:rsid w:val="00ED1A87"/>
    <w:rsid w:val="00ED1AC0"/>
    <w:rsid w:val="00ED1CF0"/>
    <w:rsid w:val="00ED1D20"/>
    <w:rsid w:val="00ED1D2D"/>
    <w:rsid w:val="00ED1E2B"/>
    <w:rsid w:val="00ED1EA2"/>
    <w:rsid w:val="00ED20A4"/>
    <w:rsid w:val="00ED216D"/>
    <w:rsid w:val="00ED228C"/>
    <w:rsid w:val="00ED2354"/>
    <w:rsid w:val="00ED23F9"/>
    <w:rsid w:val="00ED241B"/>
    <w:rsid w:val="00ED2801"/>
    <w:rsid w:val="00ED2812"/>
    <w:rsid w:val="00ED297B"/>
    <w:rsid w:val="00ED2A11"/>
    <w:rsid w:val="00ED2A82"/>
    <w:rsid w:val="00ED2B0B"/>
    <w:rsid w:val="00ED2BC3"/>
    <w:rsid w:val="00ED2E1F"/>
    <w:rsid w:val="00ED2E6A"/>
    <w:rsid w:val="00ED2F9D"/>
    <w:rsid w:val="00ED2FF5"/>
    <w:rsid w:val="00ED301A"/>
    <w:rsid w:val="00ED30E7"/>
    <w:rsid w:val="00ED3265"/>
    <w:rsid w:val="00ED3285"/>
    <w:rsid w:val="00ED3292"/>
    <w:rsid w:val="00ED347C"/>
    <w:rsid w:val="00ED3499"/>
    <w:rsid w:val="00ED377B"/>
    <w:rsid w:val="00ED394A"/>
    <w:rsid w:val="00ED39CF"/>
    <w:rsid w:val="00ED3A40"/>
    <w:rsid w:val="00ED3A8D"/>
    <w:rsid w:val="00ED3C2C"/>
    <w:rsid w:val="00ED3C95"/>
    <w:rsid w:val="00ED3CCB"/>
    <w:rsid w:val="00ED3CE7"/>
    <w:rsid w:val="00ED3DB1"/>
    <w:rsid w:val="00ED3ED7"/>
    <w:rsid w:val="00ED4096"/>
    <w:rsid w:val="00ED40BA"/>
    <w:rsid w:val="00ED40CA"/>
    <w:rsid w:val="00ED4151"/>
    <w:rsid w:val="00ED41F0"/>
    <w:rsid w:val="00ED429A"/>
    <w:rsid w:val="00ED433E"/>
    <w:rsid w:val="00ED4356"/>
    <w:rsid w:val="00ED4A4F"/>
    <w:rsid w:val="00ED4C4C"/>
    <w:rsid w:val="00ED4CDB"/>
    <w:rsid w:val="00ED4D0D"/>
    <w:rsid w:val="00ED4D50"/>
    <w:rsid w:val="00ED4DD9"/>
    <w:rsid w:val="00ED4E0A"/>
    <w:rsid w:val="00ED4F89"/>
    <w:rsid w:val="00ED4FF5"/>
    <w:rsid w:val="00ED52B8"/>
    <w:rsid w:val="00ED5316"/>
    <w:rsid w:val="00ED535B"/>
    <w:rsid w:val="00ED54D3"/>
    <w:rsid w:val="00ED5580"/>
    <w:rsid w:val="00ED558A"/>
    <w:rsid w:val="00ED57EF"/>
    <w:rsid w:val="00ED586E"/>
    <w:rsid w:val="00ED58B1"/>
    <w:rsid w:val="00ED591E"/>
    <w:rsid w:val="00ED5AA5"/>
    <w:rsid w:val="00ED5B41"/>
    <w:rsid w:val="00ED5C18"/>
    <w:rsid w:val="00ED5C71"/>
    <w:rsid w:val="00ED5D3B"/>
    <w:rsid w:val="00ED5D8C"/>
    <w:rsid w:val="00ED5DB2"/>
    <w:rsid w:val="00ED5E3E"/>
    <w:rsid w:val="00ED5E72"/>
    <w:rsid w:val="00ED5F55"/>
    <w:rsid w:val="00ED5F6D"/>
    <w:rsid w:val="00ED5FE7"/>
    <w:rsid w:val="00ED611A"/>
    <w:rsid w:val="00ED6178"/>
    <w:rsid w:val="00ED61DE"/>
    <w:rsid w:val="00ED61EF"/>
    <w:rsid w:val="00ED6208"/>
    <w:rsid w:val="00ED628C"/>
    <w:rsid w:val="00ED63A8"/>
    <w:rsid w:val="00ED63C8"/>
    <w:rsid w:val="00ED63CA"/>
    <w:rsid w:val="00ED6488"/>
    <w:rsid w:val="00ED653C"/>
    <w:rsid w:val="00ED6580"/>
    <w:rsid w:val="00ED6712"/>
    <w:rsid w:val="00ED6783"/>
    <w:rsid w:val="00ED68D5"/>
    <w:rsid w:val="00ED6913"/>
    <w:rsid w:val="00ED69FD"/>
    <w:rsid w:val="00ED6AA3"/>
    <w:rsid w:val="00ED6B23"/>
    <w:rsid w:val="00ED6C21"/>
    <w:rsid w:val="00ED6C70"/>
    <w:rsid w:val="00ED6E65"/>
    <w:rsid w:val="00ED6EFF"/>
    <w:rsid w:val="00ED6F66"/>
    <w:rsid w:val="00ED6FC0"/>
    <w:rsid w:val="00ED6FDC"/>
    <w:rsid w:val="00ED71B1"/>
    <w:rsid w:val="00ED7313"/>
    <w:rsid w:val="00ED75ED"/>
    <w:rsid w:val="00ED7681"/>
    <w:rsid w:val="00ED76C8"/>
    <w:rsid w:val="00ED772D"/>
    <w:rsid w:val="00ED7A1C"/>
    <w:rsid w:val="00ED7A81"/>
    <w:rsid w:val="00ED7AAC"/>
    <w:rsid w:val="00ED7B1D"/>
    <w:rsid w:val="00ED7BDC"/>
    <w:rsid w:val="00ED7C19"/>
    <w:rsid w:val="00ED7C3C"/>
    <w:rsid w:val="00ED7D0A"/>
    <w:rsid w:val="00ED7D5F"/>
    <w:rsid w:val="00ED7D6E"/>
    <w:rsid w:val="00ED7E78"/>
    <w:rsid w:val="00ED7F34"/>
    <w:rsid w:val="00ED7FC7"/>
    <w:rsid w:val="00ED7FF4"/>
    <w:rsid w:val="00EDD3A1"/>
    <w:rsid w:val="00EDFE20"/>
    <w:rsid w:val="00EE002F"/>
    <w:rsid w:val="00EE014E"/>
    <w:rsid w:val="00EE02EB"/>
    <w:rsid w:val="00EE03F7"/>
    <w:rsid w:val="00EE046C"/>
    <w:rsid w:val="00EE04E0"/>
    <w:rsid w:val="00EE0551"/>
    <w:rsid w:val="00EE0570"/>
    <w:rsid w:val="00EE063F"/>
    <w:rsid w:val="00EE07EE"/>
    <w:rsid w:val="00EE08E7"/>
    <w:rsid w:val="00EE0A61"/>
    <w:rsid w:val="00EE0A71"/>
    <w:rsid w:val="00EE0A7F"/>
    <w:rsid w:val="00EE0AD0"/>
    <w:rsid w:val="00EE0D33"/>
    <w:rsid w:val="00EE0DB4"/>
    <w:rsid w:val="00EE0E4A"/>
    <w:rsid w:val="00EE0FAF"/>
    <w:rsid w:val="00EE1199"/>
    <w:rsid w:val="00EE119E"/>
    <w:rsid w:val="00EE11B6"/>
    <w:rsid w:val="00EE1236"/>
    <w:rsid w:val="00EE1334"/>
    <w:rsid w:val="00EE17E6"/>
    <w:rsid w:val="00EE1914"/>
    <w:rsid w:val="00EE1944"/>
    <w:rsid w:val="00EE1A3C"/>
    <w:rsid w:val="00EE1A7B"/>
    <w:rsid w:val="00EE1CBD"/>
    <w:rsid w:val="00EE1D33"/>
    <w:rsid w:val="00EE1E10"/>
    <w:rsid w:val="00EE1E12"/>
    <w:rsid w:val="00EE2206"/>
    <w:rsid w:val="00EE2220"/>
    <w:rsid w:val="00EE2239"/>
    <w:rsid w:val="00EE2305"/>
    <w:rsid w:val="00EE243C"/>
    <w:rsid w:val="00EE24C4"/>
    <w:rsid w:val="00EE27E1"/>
    <w:rsid w:val="00EE2929"/>
    <w:rsid w:val="00EE2A31"/>
    <w:rsid w:val="00EE2D5C"/>
    <w:rsid w:val="00EE2DD3"/>
    <w:rsid w:val="00EE2DF0"/>
    <w:rsid w:val="00EE2DFD"/>
    <w:rsid w:val="00EE2E67"/>
    <w:rsid w:val="00EE2E8D"/>
    <w:rsid w:val="00EE30C0"/>
    <w:rsid w:val="00EE30F8"/>
    <w:rsid w:val="00EE310C"/>
    <w:rsid w:val="00EE3213"/>
    <w:rsid w:val="00EE330D"/>
    <w:rsid w:val="00EE351B"/>
    <w:rsid w:val="00EE35A1"/>
    <w:rsid w:val="00EE35DA"/>
    <w:rsid w:val="00EE3604"/>
    <w:rsid w:val="00EE3654"/>
    <w:rsid w:val="00EE386A"/>
    <w:rsid w:val="00EE38AD"/>
    <w:rsid w:val="00EE38E0"/>
    <w:rsid w:val="00EE38FC"/>
    <w:rsid w:val="00EE3A41"/>
    <w:rsid w:val="00EE3A82"/>
    <w:rsid w:val="00EE3B1D"/>
    <w:rsid w:val="00EE3B82"/>
    <w:rsid w:val="00EE3C2E"/>
    <w:rsid w:val="00EE3C96"/>
    <w:rsid w:val="00EE3CC4"/>
    <w:rsid w:val="00EE3D5A"/>
    <w:rsid w:val="00EE3DC8"/>
    <w:rsid w:val="00EE4000"/>
    <w:rsid w:val="00EE4003"/>
    <w:rsid w:val="00EE4049"/>
    <w:rsid w:val="00EE405C"/>
    <w:rsid w:val="00EE407F"/>
    <w:rsid w:val="00EE40F5"/>
    <w:rsid w:val="00EE4120"/>
    <w:rsid w:val="00EE412F"/>
    <w:rsid w:val="00EE4137"/>
    <w:rsid w:val="00EE413C"/>
    <w:rsid w:val="00EE41E8"/>
    <w:rsid w:val="00EE425C"/>
    <w:rsid w:val="00EE426A"/>
    <w:rsid w:val="00EE4287"/>
    <w:rsid w:val="00EE4296"/>
    <w:rsid w:val="00EE441F"/>
    <w:rsid w:val="00EE444A"/>
    <w:rsid w:val="00EE44AB"/>
    <w:rsid w:val="00EE44E4"/>
    <w:rsid w:val="00EE4536"/>
    <w:rsid w:val="00EE461E"/>
    <w:rsid w:val="00EE4767"/>
    <w:rsid w:val="00EE4C29"/>
    <w:rsid w:val="00EE4C38"/>
    <w:rsid w:val="00EE4CBA"/>
    <w:rsid w:val="00EE520A"/>
    <w:rsid w:val="00EE54BE"/>
    <w:rsid w:val="00EE54E9"/>
    <w:rsid w:val="00EE55B0"/>
    <w:rsid w:val="00EE5630"/>
    <w:rsid w:val="00EE563D"/>
    <w:rsid w:val="00EE566E"/>
    <w:rsid w:val="00EE5671"/>
    <w:rsid w:val="00EE56DF"/>
    <w:rsid w:val="00EE5724"/>
    <w:rsid w:val="00EE58D8"/>
    <w:rsid w:val="00EE5A16"/>
    <w:rsid w:val="00EE5B36"/>
    <w:rsid w:val="00EE5B80"/>
    <w:rsid w:val="00EE5BCF"/>
    <w:rsid w:val="00EE5D4D"/>
    <w:rsid w:val="00EE5D80"/>
    <w:rsid w:val="00EE5D81"/>
    <w:rsid w:val="00EE5EE0"/>
    <w:rsid w:val="00EE5F35"/>
    <w:rsid w:val="00EE6116"/>
    <w:rsid w:val="00EE6150"/>
    <w:rsid w:val="00EE6151"/>
    <w:rsid w:val="00EE6510"/>
    <w:rsid w:val="00EE65AE"/>
    <w:rsid w:val="00EE6602"/>
    <w:rsid w:val="00EE6608"/>
    <w:rsid w:val="00EE6632"/>
    <w:rsid w:val="00EE69D2"/>
    <w:rsid w:val="00EE69D4"/>
    <w:rsid w:val="00EE6B18"/>
    <w:rsid w:val="00EE6B22"/>
    <w:rsid w:val="00EE6B9D"/>
    <w:rsid w:val="00EE6C9F"/>
    <w:rsid w:val="00EE6CAC"/>
    <w:rsid w:val="00EE6CFA"/>
    <w:rsid w:val="00EE6D3D"/>
    <w:rsid w:val="00EE6E3C"/>
    <w:rsid w:val="00EE7081"/>
    <w:rsid w:val="00EE717E"/>
    <w:rsid w:val="00EE71F8"/>
    <w:rsid w:val="00EE7204"/>
    <w:rsid w:val="00EE7208"/>
    <w:rsid w:val="00EE720A"/>
    <w:rsid w:val="00EE7237"/>
    <w:rsid w:val="00EE739C"/>
    <w:rsid w:val="00EE7465"/>
    <w:rsid w:val="00EE7476"/>
    <w:rsid w:val="00EE7580"/>
    <w:rsid w:val="00EE75C3"/>
    <w:rsid w:val="00EE7635"/>
    <w:rsid w:val="00EE782F"/>
    <w:rsid w:val="00EE7955"/>
    <w:rsid w:val="00EE79EB"/>
    <w:rsid w:val="00EE7AB4"/>
    <w:rsid w:val="00EE7B00"/>
    <w:rsid w:val="00EE7BA3"/>
    <w:rsid w:val="00EE7BA5"/>
    <w:rsid w:val="00EE7BE1"/>
    <w:rsid w:val="00EE7BE2"/>
    <w:rsid w:val="00EE7C49"/>
    <w:rsid w:val="00EE7C56"/>
    <w:rsid w:val="00EE7C91"/>
    <w:rsid w:val="00EE7D57"/>
    <w:rsid w:val="00EE7E06"/>
    <w:rsid w:val="00EE7E23"/>
    <w:rsid w:val="00EF0198"/>
    <w:rsid w:val="00EF01EC"/>
    <w:rsid w:val="00EF0286"/>
    <w:rsid w:val="00EF0360"/>
    <w:rsid w:val="00EF03D8"/>
    <w:rsid w:val="00EF03E4"/>
    <w:rsid w:val="00EF049D"/>
    <w:rsid w:val="00EF0532"/>
    <w:rsid w:val="00EF0607"/>
    <w:rsid w:val="00EF069D"/>
    <w:rsid w:val="00EF0736"/>
    <w:rsid w:val="00EF075E"/>
    <w:rsid w:val="00EF0842"/>
    <w:rsid w:val="00EF092F"/>
    <w:rsid w:val="00EF0E2C"/>
    <w:rsid w:val="00EF0E87"/>
    <w:rsid w:val="00EF0E97"/>
    <w:rsid w:val="00EF0F23"/>
    <w:rsid w:val="00EF0F28"/>
    <w:rsid w:val="00EF1001"/>
    <w:rsid w:val="00EF1130"/>
    <w:rsid w:val="00EF138B"/>
    <w:rsid w:val="00EF1407"/>
    <w:rsid w:val="00EF1569"/>
    <w:rsid w:val="00EF1590"/>
    <w:rsid w:val="00EF15B2"/>
    <w:rsid w:val="00EF1719"/>
    <w:rsid w:val="00EF174A"/>
    <w:rsid w:val="00EF1785"/>
    <w:rsid w:val="00EF18D6"/>
    <w:rsid w:val="00EF1A75"/>
    <w:rsid w:val="00EF1B0A"/>
    <w:rsid w:val="00EF1DDA"/>
    <w:rsid w:val="00EF1F36"/>
    <w:rsid w:val="00EF1FAC"/>
    <w:rsid w:val="00EF2063"/>
    <w:rsid w:val="00EF21AF"/>
    <w:rsid w:val="00EF243C"/>
    <w:rsid w:val="00EF251A"/>
    <w:rsid w:val="00EF2561"/>
    <w:rsid w:val="00EF267A"/>
    <w:rsid w:val="00EF2693"/>
    <w:rsid w:val="00EF2982"/>
    <w:rsid w:val="00EF2A9D"/>
    <w:rsid w:val="00EF2B6A"/>
    <w:rsid w:val="00EF2CE1"/>
    <w:rsid w:val="00EF2CE8"/>
    <w:rsid w:val="00EF2D45"/>
    <w:rsid w:val="00EF2E67"/>
    <w:rsid w:val="00EF336A"/>
    <w:rsid w:val="00EF336D"/>
    <w:rsid w:val="00EF3609"/>
    <w:rsid w:val="00EF37F6"/>
    <w:rsid w:val="00EF3807"/>
    <w:rsid w:val="00EF383A"/>
    <w:rsid w:val="00EF3A55"/>
    <w:rsid w:val="00EF3BA2"/>
    <w:rsid w:val="00EF3CFB"/>
    <w:rsid w:val="00EF3CFC"/>
    <w:rsid w:val="00EF3D56"/>
    <w:rsid w:val="00EF3F8F"/>
    <w:rsid w:val="00EF4028"/>
    <w:rsid w:val="00EF406A"/>
    <w:rsid w:val="00EF4232"/>
    <w:rsid w:val="00EF4302"/>
    <w:rsid w:val="00EF4472"/>
    <w:rsid w:val="00EF48A1"/>
    <w:rsid w:val="00EF496A"/>
    <w:rsid w:val="00EF496B"/>
    <w:rsid w:val="00EF4B13"/>
    <w:rsid w:val="00EF4B2D"/>
    <w:rsid w:val="00EF4C72"/>
    <w:rsid w:val="00EF4CDC"/>
    <w:rsid w:val="00EF4D67"/>
    <w:rsid w:val="00EF4DA1"/>
    <w:rsid w:val="00EF4EA0"/>
    <w:rsid w:val="00EF4F79"/>
    <w:rsid w:val="00EF4FCA"/>
    <w:rsid w:val="00EF4FDC"/>
    <w:rsid w:val="00EF4FEC"/>
    <w:rsid w:val="00EF5130"/>
    <w:rsid w:val="00EF5207"/>
    <w:rsid w:val="00EF544C"/>
    <w:rsid w:val="00EF573A"/>
    <w:rsid w:val="00EF580E"/>
    <w:rsid w:val="00EF5B73"/>
    <w:rsid w:val="00EF5C95"/>
    <w:rsid w:val="00EF5D10"/>
    <w:rsid w:val="00EF5EF9"/>
    <w:rsid w:val="00EF5F22"/>
    <w:rsid w:val="00EF5F92"/>
    <w:rsid w:val="00EF5FE5"/>
    <w:rsid w:val="00EF602C"/>
    <w:rsid w:val="00EF60BE"/>
    <w:rsid w:val="00EF61D6"/>
    <w:rsid w:val="00EF6205"/>
    <w:rsid w:val="00EF62D6"/>
    <w:rsid w:val="00EF637A"/>
    <w:rsid w:val="00EF63C6"/>
    <w:rsid w:val="00EF63EF"/>
    <w:rsid w:val="00EF655C"/>
    <w:rsid w:val="00EF6589"/>
    <w:rsid w:val="00EF6636"/>
    <w:rsid w:val="00EF66C2"/>
    <w:rsid w:val="00EF6771"/>
    <w:rsid w:val="00EF67D9"/>
    <w:rsid w:val="00EF682D"/>
    <w:rsid w:val="00EF68C4"/>
    <w:rsid w:val="00EF6949"/>
    <w:rsid w:val="00EF6A30"/>
    <w:rsid w:val="00EF6BC7"/>
    <w:rsid w:val="00EF6CE9"/>
    <w:rsid w:val="00EF6CF1"/>
    <w:rsid w:val="00EF6E05"/>
    <w:rsid w:val="00EF6E84"/>
    <w:rsid w:val="00EF6F36"/>
    <w:rsid w:val="00EF6F9C"/>
    <w:rsid w:val="00EF7062"/>
    <w:rsid w:val="00EF707F"/>
    <w:rsid w:val="00EF70AA"/>
    <w:rsid w:val="00EF7302"/>
    <w:rsid w:val="00EF732B"/>
    <w:rsid w:val="00EF739A"/>
    <w:rsid w:val="00EF740F"/>
    <w:rsid w:val="00EF74A7"/>
    <w:rsid w:val="00EF74F1"/>
    <w:rsid w:val="00EF7571"/>
    <w:rsid w:val="00EF797C"/>
    <w:rsid w:val="00EF79F7"/>
    <w:rsid w:val="00EF7B40"/>
    <w:rsid w:val="00EF7BCF"/>
    <w:rsid w:val="00EF7C54"/>
    <w:rsid w:val="00EF7D10"/>
    <w:rsid w:val="00EF7E49"/>
    <w:rsid w:val="00EF7F1B"/>
    <w:rsid w:val="00EF7F7F"/>
    <w:rsid w:val="00F00050"/>
    <w:rsid w:val="00F00260"/>
    <w:rsid w:val="00F00273"/>
    <w:rsid w:val="00F002A1"/>
    <w:rsid w:val="00F004F7"/>
    <w:rsid w:val="00F005F2"/>
    <w:rsid w:val="00F00664"/>
    <w:rsid w:val="00F00700"/>
    <w:rsid w:val="00F00701"/>
    <w:rsid w:val="00F00713"/>
    <w:rsid w:val="00F0099D"/>
    <w:rsid w:val="00F009B5"/>
    <w:rsid w:val="00F00A89"/>
    <w:rsid w:val="00F00AB4"/>
    <w:rsid w:val="00F00AF7"/>
    <w:rsid w:val="00F00BC9"/>
    <w:rsid w:val="00F00D13"/>
    <w:rsid w:val="00F00D2D"/>
    <w:rsid w:val="00F00E3E"/>
    <w:rsid w:val="00F00F1A"/>
    <w:rsid w:val="00F00F9B"/>
    <w:rsid w:val="00F00FC1"/>
    <w:rsid w:val="00F01080"/>
    <w:rsid w:val="00F0116D"/>
    <w:rsid w:val="00F0132C"/>
    <w:rsid w:val="00F0159C"/>
    <w:rsid w:val="00F016CB"/>
    <w:rsid w:val="00F01856"/>
    <w:rsid w:val="00F018D2"/>
    <w:rsid w:val="00F019D0"/>
    <w:rsid w:val="00F01A2F"/>
    <w:rsid w:val="00F01CAB"/>
    <w:rsid w:val="00F01CCB"/>
    <w:rsid w:val="00F01D1A"/>
    <w:rsid w:val="00F01D29"/>
    <w:rsid w:val="00F01D74"/>
    <w:rsid w:val="00F01DA3"/>
    <w:rsid w:val="00F01E39"/>
    <w:rsid w:val="00F01FBC"/>
    <w:rsid w:val="00F0211D"/>
    <w:rsid w:val="00F02139"/>
    <w:rsid w:val="00F022C3"/>
    <w:rsid w:val="00F0238B"/>
    <w:rsid w:val="00F023EB"/>
    <w:rsid w:val="00F0248B"/>
    <w:rsid w:val="00F026C7"/>
    <w:rsid w:val="00F02AA1"/>
    <w:rsid w:val="00F02D14"/>
    <w:rsid w:val="00F02D49"/>
    <w:rsid w:val="00F02E10"/>
    <w:rsid w:val="00F02E85"/>
    <w:rsid w:val="00F02E8D"/>
    <w:rsid w:val="00F02F2C"/>
    <w:rsid w:val="00F02F36"/>
    <w:rsid w:val="00F02FBC"/>
    <w:rsid w:val="00F0302A"/>
    <w:rsid w:val="00F030B2"/>
    <w:rsid w:val="00F031F6"/>
    <w:rsid w:val="00F032E7"/>
    <w:rsid w:val="00F03343"/>
    <w:rsid w:val="00F03452"/>
    <w:rsid w:val="00F0346E"/>
    <w:rsid w:val="00F034AD"/>
    <w:rsid w:val="00F034FB"/>
    <w:rsid w:val="00F0366C"/>
    <w:rsid w:val="00F036E0"/>
    <w:rsid w:val="00F0372E"/>
    <w:rsid w:val="00F0383A"/>
    <w:rsid w:val="00F038E4"/>
    <w:rsid w:val="00F03909"/>
    <w:rsid w:val="00F03935"/>
    <w:rsid w:val="00F03A14"/>
    <w:rsid w:val="00F03BE6"/>
    <w:rsid w:val="00F03DF7"/>
    <w:rsid w:val="00F03F8E"/>
    <w:rsid w:val="00F04270"/>
    <w:rsid w:val="00F04366"/>
    <w:rsid w:val="00F043C4"/>
    <w:rsid w:val="00F04449"/>
    <w:rsid w:val="00F0448D"/>
    <w:rsid w:val="00F044B8"/>
    <w:rsid w:val="00F04588"/>
    <w:rsid w:val="00F04633"/>
    <w:rsid w:val="00F046D1"/>
    <w:rsid w:val="00F047DF"/>
    <w:rsid w:val="00F04934"/>
    <w:rsid w:val="00F04974"/>
    <w:rsid w:val="00F049DF"/>
    <w:rsid w:val="00F04A39"/>
    <w:rsid w:val="00F04AC2"/>
    <w:rsid w:val="00F04AE8"/>
    <w:rsid w:val="00F04BB4"/>
    <w:rsid w:val="00F04DC1"/>
    <w:rsid w:val="00F05031"/>
    <w:rsid w:val="00F050EE"/>
    <w:rsid w:val="00F0515A"/>
    <w:rsid w:val="00F052C2"/>
    <w:rsid w:val="00F05306"/>
    <w:rsid w:val="00F053DA"/>
    <w:rsid w:val="00F054EC"/>
    <w:rsid w:val="00F054F0"/>
    <w:rsid w:val="00F0551E"/>
    <w:rsid w:val="00F055C9"/>
    <w:rsid w:val="00F055D2"/>
    <w:rsid w:val="00F05606"/>
    <w:rsid w:val="00F0562A"/>
    <w:rsid w:val="00F05697"/>
    <w:rsid w:val="00F056CB"/>
    <w:rsid w:val="00F058F3"/>
    <w:rsid w:val="00F059CA"/>
    <w:rsid w:val="00F05DC4"/>
    <w:rsid w:val="00F05E1A"/>
    <w:rsid w:val="00F05F63"/>
    <w:rsid w:val="00F05F99"/>
    <w:rsid w:val="00F06002"/>
    <w:rsid w:val="00F06048"/>
    <w:rsid w:val="00F06075"/>
    <w:rsid w:val="00F06159"/>
    <w:rsid w:val="00F0626A"/>
    <w:rsid w:val="00F0627F"/>
    <w:rsid w:val="00F0631A"/>
    <w:rsid w:val="00F063AB"/>
    <w:rsid w:val="00F066A8"/>
    <w:rsid w:val="00F066C6"/>
    <w:rsid w:val="00F06817"/>
    <w:rsid w:val="00F068AD"/>
    <w:rsid w:val="00F06A78"/>
    <w:rsid w:val="00F06B9F"/>
    <w:rsid w:val="00F06C47"/>
    <w:rsid w:val="00F06C7B"/>
    <w:rsid w:val="00F06E0F"/>
    <w:rsid w:val="00F06E66"/>
    <w:rsid w:val="00F06F0F"/>
    <w:rsid w:val="00F06F80"/>
    <w:rsid w:val="00F0729F"/>
    <w:rsid w:val="00F07303"/>
    <w:rsid w:val="00F07398"/>
    <w:rsid w:val="00F07540"/>
    <w:rsid w:val="00F075E9"/>
    <w:rsid w:val="00F07786"/>
    <w:rsid w:val="00F077D4"/>
    <w:rsid w:val="00F07854"/>
    <w:rsid w:val="00F07930"/>
    <w:rsid w:val="00F07941"/>
    <w:rsid w:val="00F079BC"/>
    <w:rsid w:val="00F07A11"/>
    <w:rsid w:val="00F07AF6"/>
    <w:rsid w:val="00F07B7E"/>
    <w:rsid w:val="00F07CA9"/>
    <w:rsid w:val="00F07CB0"/>
    <w:rsid w:val="00F10004"/>
    <w:rsid w:val="00F1004D"/>
    <w:rsid w:val="00F101A1"/>
    <w:rsid w:val="00F10393"/>
    <w:rsid w:val="00F105F5"/>
    <w:rsid w:val="00F10693"/>
    <w:rsid w:val="00F106D9"/>
    <w:rsid w:val="00F1075A"/>
    <w:rsid w:val="00F107CE"/>
    <w:rsid w:val="00F10B50"/>
    <w:rsid w:val="00F10EB0"/>
    <w:rsid w:val="00F10F70"/>
    <w:rsid w:val="00F10FEC"/>
    <w:rsid w:val="00F110B3"/>
    <w:rsid w:val="00F110BB"/>
    <w:rsid w:val="00F110F7"/>
    <w:rsid w:val="00F11194"/>
    <w:rsid w:val="00F111A8"/>
    <w:rsid w:val="00F111B6"/>
    <w:rsid w:val="00F11226"/>
    <w:rsid w:val="00F11297"/>
    <w:rsid w:val="00F113A5"/>
    <w:rsid w:val="00F114A2"/>
    <w:rsid w:val="00F1151D"/>
    <w:rsid w:val="00F1164A"/>
    <w:rsid w:val="00F1166F"/>
    <w:rsid w:val="00F116BC"/>
    <w:rsid w:val="00F116F5"/>
    <w:rsid w:val="00F11761"/>
    <w:rsid w:val="00F117BE"/>
    <w:rsid w:val="00F11833"/>
    <w:rsid w:val="00F118BB"/>
    <w:rsid w:val="00F11997"/>
    <w:rsid w:val="00F119B7"/>
    <w:rsid w:val="00F11B18"/>
    <w:rsid w:val="00F11B4A"/>
    <w:rsid w:val="00F11B7E"/>
    <w:rsid w:val="00F11BF2"/>
    <w:rsid w:val="00F11D6C"/>
    <w:rsid w:val="00F11E70"/>
    <w:rsid w:val="00F11FC7"/>
    <w:rsid w:val="00F12115"/>
    <w:rsid w:val="00F1212C"/>
    <w:rsid w:val="00F12468"/>
    <w:rsid w:val="00F12684"/>
    <w:rsid w:val="00F12730"/>
    <w:rsid w:val="00F127AE"/>
    <w:rsid w:val="00F127B7"/>
    <w:rsid w:val="00F127F1"/>
    <w:rsid w:val="00F128A4"/>
    <w:rsid w:val="00F1292E"/>
    <w:rsid w:val="00F129E3"/>
    <w:rsid w:val="00F12A69"/>
    <w:rsid w:val="00F12ADB"/>
    <w:rsid w:val="00F12B20"/>
    <w:rsid w:val="00F12BF0"/>
    <w:rsid w:val="00F12C64"/>
    <w:rsid w:val="00F12C6A"/>
    <w:rsid w:val="00F12C75"/>
    <w:rsid w:val="00F12C8D"/>
    <w:rsid w:val="00F12CA7"/>
    <w:rsid w:val="00F12DE5"/>
    <w:rsid w:val="00F12E6E"/>
    <w:rsid w:val="00F1316C"/>
    <w:rsid w:val="00F1322D"/>
    <w:rsid w:val="00F13298"/>
    <w:rsid w:val="00F1330C"/>
    <w:rsid w:val="00F13362"/>
    <w:rsid w:val="00F133BD"/>
    <w:rsid w:val="00F134EC"/>
    <w:rsid w:val="00F137BD"/>
    <w:rsid w:val="00F1381E"/>
    <w:rsid w:val="00F13943"/>
    <w:rsid w:val="00F13BC0"/>
    <w:rsid w:val="00F13FD1"/>
    <w:rsid w:val="00F14005"/>
    <w:rsid w:val="00F14010"/>
    <w:rsid w:val="00F144B7"/>
    <w:rsid w:val="00F144D1"/>
    <w:rsid w:val="00F14501"/>
    <w:rsid w:val="00F1475F"/>
    <w:rsid w:val="00F147CE"/>
    <w:rsid w:val="00F148E4"/>
    <w:rsid w:val="00F149B4"/>
    <w:rsid w:val="00F14CFC"/>
    <w:rsid w:val="00F14E12"/>
    <w:rsid w:val="00F14ED3"/>
    <w:rsid w:val="00F14FA0"/>
    <w:rsid w:val="00F152B5"/>
    <w:rsid w:val="00F154A6"/>
    <w:rsid w:val="00F15644"/>
    <w:rsid w:val="00F15680"/>
    <w:rsid w:val="00F156EE"/>
    <w:rsid w:val="00F15748"/>
    <w:rsid w:val="00F15895"/>
    <w:rsid w:val="00F1596C"/>
    <w:rsid w:val="00F1599A"/>
    <w:rsid w:val="00F15A21"/>
    <w:rsid w:val="00F15AD0"/>
    <w:rsid w:val="00F15B7B"/>
    <w:rsid w:val="00F15CBB"/>
    <w:rsid w:val="00F15E24"/>
    <w:rsid w:val="00F15EC3"/>
    <w:rsid w:val="00F16058"/>
    <w:rsid w:val="00F16087"/>
    <w:rsid w:val="00F160E1"/>
    <w:rsid w:val="00F16102"/>
    <w:rsid w:val="00F1612E"/>
    <w:rsid w:val="00F1616E"/>
    <w:rsid w:val="00F162D6"/>
    <w:rsid w:val="00F1636E"/>
    <w:rsid w:val="00F16419"/>
    <w:rsid w:val="00F164D3"/>
    <w:rsid w:val="00F16587"/>
    <w:rsid w:val="00F166C0"/>
    <w:rsid w:val="00F167E1"/>
    <w:rsid w:val="00F16858"/>
    <w:rsid w:val="00F16875"/>
    <w:rsid w:val="00F16A3B"/>
    <w:rsid w:val="00F16A46"/>
    <w:rsid w:val="00F16C0B"/>
    <w:rsid w:val="00F16C0F"/>
    <w:rsid w:val="00F16E1E"/>
    <w:rsid w:val="00F16E77"/>
    <w:rsid w:val="00F16F05"/>
    <w:rsid w:val="00F16FC5"/>
    <w:rsid w:val="00F17215"/>
    <w:rsid w:val="00F17303"/>
    <w:rsid w:val="00F17314"/>
    <w:rsid w:val="00F17366"/>
    <w:rsid w:val="00F173D3"/>
    <w:rsid w:val="00F17404"/>
    <w:rsid w:val="00F1749D"/>
    <w:rsid w:val="00F174F5"/>
    <w:rsid w:val="00F174F7"/>
    <w:rsid w:val="00F17516"/>
    <w:rsid w:val="00F175B9"/>
    <w:rsid w:val="00F175DF"/>
    <w:rsid w:val="00F17648"/>
    <w:rsid w:val="00F17769"/>
    <w:rsid w:val="00F17911"/>
    <w:rsid w:val="00F17A59"/>
    <w:rsid w:val="00F17B26"/>
    <w:rsid w:val="00F17C64"/>
    <w:rsid w:val="00F17E0B"/>
    <w:rsid w:val="00F17EAE"/>
    <w:rsid w:val="00F17F0C"/>
    <w:rsid w:val="00F20150"/>
    <w:rsid w:val="00F20205"/>
    <w:rsid w:val="00F20263"/>
    <w:rsid w:val="00F202DD"/>
    <w:rsid w:val="00F206F2"/>
    <w:rsid w:val="00F20907"/>
    <w:rsid w:val="00F20A0C"/>
    <w:rsid w:val="00F20B9D"/>
    <w:rsid w:val="00F20C66"/>
    <w:rsid w:val="00F20D50"/>
    <w:rsid w:val="00F20DE9"/>
    <w:rsid w:val="00F20E81"/>
    <w:rsid w:val="00F20E97"/>
    <w:rsid w:val="00F20F3F"/>
    <w:rsid w:val="00F20FAA"/>
    <w:rsid w:val="00F210EF"/>
    <w:rsid w:val="00F21176"/>
    <w:rsid w:val="00F211D1"/>
    <w:rsid w:val="00F2133B"/>
    <w:rsid w:val="00F2135D"/>
    <w:rsid w:val="00F21427"/>
    <w:rsid w:val="00F2152B"/>
    <w:rsid w:val="00F21561"/>
    <w:rsid w:val="00F21751"/>
    <w:rsid w:val="00F21752"/>
    <w:rsid w:val="00F2176A"/>
    <w:rsid w:val="00F217FB"/>
    <w:rsid w:val="00F2188E"/>
    <w:rsid w:val="00F21AD8"/>
    <w:rsid w:val="00F2205F"/>
    <w:rsid w:val="00F22193"/>
    <w:rsid w:val="00F221C2"/>
    <w:rsid w:val="00F22485"/>
    <w:rsid w:val="00F224CF"/>
    <w:rsid w:val="00F224E0"/>
    <w:rsid w:val="00F225EF"/>
    <w:rsid w:val="00F22652"/>
    <w:rsid w:val="00F22808"/>
    <w:rsid w:val="00F22842"/>
    <w:rsid w:val="00F2288E"/>
    <w:rsid w:val="00F22893"/>
    <w:rsid w:val="00F22997"/>
    <w:rsid w:val="00F22A10"/>
    <w:rsid w:val="00F22B72"/>
    <w:rsid w:val="00F22C61"/>
    <w:rsid w:val="00F22E82"/>
    <w:rsid w:val="00F22EF8"/>
    <w:rsid w:val="00F22EFC"/>
    <w:rsid w:val="00F22F71"/>
    <w:rsid w:val="00F22F90"/>
    <w:rsid w:val="00F22FBD"/>
    <w:rsid w:val="00F2310E"/>
    <w:rsid w:val="00F2311C"/>
    <w:rsid w:val="00F2313D"/>
    <w:rsid w:val="00F2318C"/>
    <w:rsid w:val="00F231F8"/>
    <w:rsid w:val="00F23356"/>
    <w:rsid w:val="00F233AB"/>
    <w:rsid w:val="00F2344E"/>
    <w:rsid w:val="00F23581"/>
    <w:rsid w:val="00F235E8"/>
    <w:rsid w:val="00F23645"/>
    <w:rsid w:val="00F237F6"/>
    <w:rsid w:val="00F23820"/>
    <w:rsid w:val="00F239FD"/>
    <w:rsid w:val="00F23A07"/>
    <w:rsid w:val="00F23AC7"/>
    <w:rsid w:val="00F23ACC"/>
    <w:rsid w:val="00F23BA7"/>
    <w:rsid w:val="00F23BB5"/>
    <w:rsid w:val="00F23CC5"/>
    <w:rsid w:val="00F23CCB"/>
    <w:rsid w:val="00F23E72"/>
    <w:rsid w:val="00F24073"/>
    <w:rsid w:val="00F240CB"/>
    <w:rsid w:val="00F240D5"/>
    <w:rsid w:val="00F24103"/>
    <w:rsid w:val="00F24336"/>
    <w:rsid w:val="00F24385"/>
    <w:rsid w:val="00F245C5"/>
    <w:rsid w:val="00F2483A"/>
    <w:rsid w:val="00F24886"/>
    <w:rsid w:val="00F24A5D"/>
    <w:rsid w:val="00F24B73"/>
    <w:rsid w:val="00F24BA4"/>
    <w:rsid w:val="00F24C17"/>
    <w:rsid w:val="00F24D7B"/>
    <w:rsid w:val="00F24E27"/>
    <w:rsid w:val="00F24E44"/>
    <w:rsid w:val="00F24EC8"/>
    <w:rsid w:val="00F24F21"/>
    <w:rsid w:val="00F24F3C"/>
    <w:rsid w:val="00F25038"/>
    <w:rsid w:val="00F250AE"/>
    <w:rsid w:val="00F25186"/>
    <w:rsid w:val="00F2527B"/>
    <w:rsid w:val="00F25471"/>
    <w:rsid w:val="00F2555B"/>
    <w:rsid w:val="00F25612"/>
    <w:rsid w:val="00F2576D"/>
    <w:rsid w:val="00F257A8"/>
    <w:rsid w:val="00F258D3"/>
    <w:rsid w:val="00F25928"/>
    <w:rsid w:val="00F25970"/>
    <w:rsid w:val="00F25A33"/>
    <w:rsid w:val="00F25AA7"/>
    <w:rsid w:val="00F25B67"/>
    <w:rsid w:val="00F25F2E"/>
    <w:rsid w:val="00F25F7A"/>
    <w:rsid w:val="00F25FAC"/>
    <w:rsid w:val="00F26139"/>
    <w:rsid w:val="00F261AE"/>
    <w:rsid w:val="00F2623D"/>
    <w:rsid w:val="00F262EE"/>
    <w:rsid w:val="00F2632F"/>
    <w:rsid w:val="00F268C3"/>
    <w:rsid w:val="00F269FC"/>
    <w:rsid w:val="00F26A23"/>
    <w:rsid w:val="00F26A75"/>
    <w:rsid w:val="00F26B0C"/>
    <w:rsid w:val="00F26B69"/>
    <w:rsid w:val="00F26BF9"/>
    <w:rsid w:val="00F26CCE"/>
    <w:rsid w:val="00F26D05"/>
    <w:rsid w:val="00F26E36"/>
    <w:rsid w:val="00F26E37"/>
    <w:rsid w:val="00F26E77"/>
    <w:rsid w:val="00F26F7A"/>
    <w:rsid w:val="00F26F9A"/>
    <w:rsid w:val="00F26FAE"/>
    <w:rsid w:val="00F26FC7"/>
    <w:rsid w:val="00F272E4"/>
    <w:rsid w:val="00F273A2"/>
    <w:rsid w:val="00F274AA"/>
    <w:rsid w:val="00F275ED"/>
    <w:rsid w:val="00F2769F"/>
    <w:rsid w:val="00F277DC"/>
    <w:rsid w:val="00F278B1"/>
    <w:rsid w:val="00F27975"/>
    <w:rsid w:val="00F279AD"/>
    <w:rsid w:val="00F27A4B"/>
    <w:rsid w:val="00F27B8A"/>
    <w:rsid w:val="00F27D56"/>
    <w:rsid w:val="00F27DDD"/>
    <w:rsid w:val="00F27EFB"/>
    <w:rsid w:val="00F30056"/>
    <w:rsid w:val="00F3010C"/>
    <w:rsid w:val="00F30110"/>
    <w:rsid w:val="00F3016A"/>
    <w:rsid w:val="00F30208"/>
    <w:rsid w:val="00F30274"/>
    <w:rsid w:val="00F302BC"/>
    <w:rsid w:val="00F30302"/>
    <w:rsid w:val="00F30398"/>
    <w:rsid w:val="00F30465"/>
    <w:rsid w:val="00F304A1"/>
    <w:rsid w:val="00F304D9"/>
    <w:rsid w:val="00F3061A"/>
    <w:rsid w:val="00F3061F"/>
    <w:rsid w:val="00F3064C"/>
    <w:rsid w:val="00F30652"/>
    <w:rsid w:val="00F3085B"/>
    <w:rsid w:val="00F30864"/>
    <w:rsid w:val="00F308B9"/>
    <w:rsid w:val="00F30973"/>
    <w:rsid w:val="00F30AB0"/>
    <w:rsid w:val="00F30AE0"/>
    <w:rsid w:val="00F30B86"/>
    <w:rsid w:val="00F30BF4"/>
    <w:rsid w:val="00F30D08"/>
    <w:rsid w:val="00F30F08"/>
    <w:rsid w:val="00F30F2D"/>
    <w:rsid w:val="00F313E9"/>
    <w:rsid w:val="00F31524"/>
    <w:rsid w:val="00F315BE"/>
    <w:rsid w:val="00F317CD"/>
    <w:rsid w:val="00F3187F"/>
    <w:rsid w:val="00F31A32"/>
    <w:rsid w:val="00F31C71"/>
    <w:rsid w:val="00F31CD6"/>
    <w:rsid w:val="00F31D0F"/>
    <w:rsid w:val="00F31E79"/>
    <w:rsid w:val="00F3209D"/>
    <w:rsid w:val="00F320E0"/>
    <w:rsid w:val="00F3210A"/>
    <w:rsid w:val="00F321A4"/>
    <w:rsid w:val="00F321FD"/>
    <w:rsid w:val="00F32340"/>
    <w:rsid w:val="00F324A7"/>
    <w:rsid w:val="00F324D5"/>
    <w:rsid w:val="00F3252F"/>
    <w:rsid w:val="00F325CA"/>
    <w:rsid w:val="00F3272F"/>
    <w:rsid w:val="00F328E3"/>
    <w:rsid w:val="00F32917"/>
    <w:rsid w:val="00F32AB4"/>
    <w:rsid w:val="00F32B56"/>
    <w:rsid w:val="00F32BEC"/>
    <w:rsid w:val="00F32BF2"/>
    <w:rsid w:val="00F32C26"/>
    <w:rsid w:val="00F32D21"/>
    <w:rsid w:val="00F32E2C"/>
    <w:rsid w:val="00F32E37"/>
    <w:rsid w:val="00F32F66"/>
    <w:rsid w:val="00F33054"/>
    <w:rsid w:val="00F331A1"/>
    <w:rsid w:val="00F33211"/>
    <w:rsid w:val="00F3323F"/>
    <w:rsid w:val="00F33437"/>
    <w:rsid w:val="00F33515"/>
    <w:rsid w:val="00F33540"/>
    <w:rsid w:val="00F3368D"/>
    <w:rsid w:val="00F3369E"/>
    <w:rsid w:val="00F33700"/>
    <w:rsid w:val="00F33761"/>
    <w:rsid w:val="00F337BF"/>
    <w:rsid w:val="00F338A3"/>
    <w:rsid w:val="00F33A12"/>
    <w:rsid w:val="00F33A4F"/>
    <w:rsid w:val="00F33ABB"/>
    <w:rsid w:val="00F33C8C"/>
    <w:rsid w:val="00F33CFD"/>
    <w:rsid w:val="00F33D14"/>
    <w:rsid w:val="00F33E0F"/>
    <w:rsid w:val="00F34055"/>
    <w:rsid w:val="00F341A2"/>
    <w:rsid w:val="00F341CF"/>
    <w:rsid w:val="00F34284"/>
    <w:rsid w:val="00F343E2"/>
    <w:rsid w:val="00F34479"/>
    <w:rsid w:val="00F3447D"/>
    <w:rsid w:val="00F345C7"/>
    <w:rsid w:val="00F34757"/>
    <w:rsid w:val="00F3483E"/>
    <w:rsid w:val="00F34923"/>
    <w:rsid w:val="00F34952"/>
    <w:rsid w:val="00F34BC0"/>
    <w:rsid w:val="00F34D28"/>
    <w:rsid w:val="00F34E4E"/>
    <w:rsid w:val="00F34FE6"/>
    <w:rsid w:val="00F350BA"/>
    <w:rsid w:val="00F350D3"/>
    <w:rsid w:val="00F35214"/>
    <w:rsid w:val="00F3524C"/>
    <w:rsid w:val="00F3528B"/>
    <w:rsid w:val="00F354D6"/>
    <w:rsid w:val="00F355AC"/>
    <w:rsid w:val="00F3562F"/>
    <w:rsid w:val="00F35652"/>
    <w:rsid w:val="00F3589E"/>
    <w:rsid w:val="00F3591A"/>
    <w:rsid w:val="00F3593D"/>
    <w:rsid w:val="00F35967"/>
    <w:rsid w:val="00F3596D"/>
    <w:rsid w:val="00F35A28"/>
    <w:rsid w:val="00F35A6D"/>
    <w:rsid w:val="00F35B05"/>
    <w:rsid w:val="00F35BF0"/>
    <w:rsid w:val="00F35D8E"/>
    <w:rsid w:val="00F35E62"/>
    <w:rsid w:val="00F35EEC"/>
    <w:rsid w:val="00F35F32"/>
    <w:rsid w:val="00F35FBC"/>
    <w:rsid w:val="00F35FDA"/>
    <w:rsid w:val="00F3612B"/>
    <w:rsid w:val="00F36189"/>
    <w:rsid w:val="00F36418"/>
    <w:rsid w:val="00F36433"/>
    <w:rsid w:val="00F3649B"/>
    <w:rsid w:val="00F364FC"/>
    <w:rsid w:val="00F36562"/>
    <w:rsid w:val="00F36664"/>
    <w:rsid w:val="00F36729"/>
    <w:rsid w:val="00F36741"/>
    <w:rsid w:val="00F36789"/>
    <w:rsid w:val="00F367CB"/>
    <w:rsid w:val="00F36817"/>
    <w:rsid w:val="00F3695A"/>
    <w:rsid w:val="00F36B13"/>
    <w:rsid w:val="00F36BB9"/>
    <w:rsid w:val="00F36C33"/>
    <w:rsid w:val="00F36CB5"/>
    <w:rsid w:val="00F36CE2"/>
    <w:rsid w:val="00F36D8A"/>
    <w:rsid w:val="00F36F6D"/>
    <w:rsid w:val="00F371F7"/>
    <w:rsid w:val="00F3720E"/>
    <w:rsid w:val="00F37235"/>
    <w:rsid w:val="00F373BE"/>
    <w:rsid w:val="00F3742C"/>
    <w:rsid w:val="00F374C4"/>
    <w:rsid w:val="00F37513"/>
    <w:rsid w:val="00F37589"/>
    <w:rsid w:val="00F375C0"/>
    <w:rsid w:val="00F376B7"/>
    <w:rsid w:val="00F37711"/>
    <w:rsid w:val="00F377F3"/>
    <w:rsid w:val="00F37BC9"/>
    <w:rsid w:val="00F37BFB"/>
    <w:rsid w:val="00F37D02"/>
    <w:rsid w:val="00F37D98"/>
    <w:rsid w:val="00F37DE4"/>
    <w:rsid w:val="00F40058"/>
    <w:rsid w:val="00F400B7"/>
    <w:rsid w:val="00F401F7"/>
    <w:rsid w:val="00F403B7"/>
    <w:rsid w:val="00F403FB"/>
    <w:rsid w:val="00F40459"/>
    <w:rsid w:val="00F4045E"/>
    <w:rsid w:val="00F40709"/>
    <w:rsid w:val="00F407BB"/>
    <w:rsid w:val="00F408B8"/>
    <w:rsid w:val="00F4095C"/>
    <w:rsid w:val="00F40A45"/>
    <w:rsid w:val="00F40C01"/>
    <w:rsid w:val="00F40CF9"/>
    <w:rsid w:val="00F40CFB"/>
    <w:rsid w:val="00F40DA4"/>
    <w:rsid w:val="00F40DDD"/>
    <w:rsid w:val="00F40E14"/>
    <w:rsid w:val="00F4113D"/>
    <w:rsid w:val="00F412EA"/>
    <w:rsid w:val="00F41307"/>
    <w:rsid w:val="00F41377"/>
    <w:rsid w:val="00F413A2"/>
    <w:rsid w:val="00F4153E"/>
    <w:rsid w:val="00F4159A"/>
    <w:rsid w:val="00F416CE"/>
    <w:rsid w:val="00F41745"/>
    <w:rsid w:val="00F41773"/>
    <w:rsid w:val="00F417D1"/>
    <w:rsid w:val="00F417F2"/>
    <w:rsid w:val="00F41875"/>
    <w:rsid w:val="00F41A0D"/>
    <w:rsid w:val="00F41A42"/>
    <w:rsid w:val="00F41B83"/>
    <w:rsid w:val="00F41D70"/>
    <w:rsid w:val="00F41DC3"/>
    <w:rsid w:val="00F41DF4"/>
    <w:rsid w:val="00F41E31"/>
    <w:rsid w:val="00F42085"/>
    <w:rsid w:val="00F420FA"/>
    <w:rsid w:val="00F42278"/>
    <w:rsid w:val="00F4229B"/>
    <w:rsid w:val="00F42368"/>
    <w:rsid w:val="00F423F1"/>
    <w:rsid w:val="00F425B3"/>
    <w:rsid w:val="00F425F0"/>
    <w:rsid w:val="00F426F8"/>
    <w:rsid w:val="00F42873"/>
    <w:rsid w:val="00F428B9"/>
    <w:rsid w:val="00F429E0"/>
    <w:rsid w:val="00F42A15"/>
    <w:rsid w:val="00F42AAA"/>
    <w:rsid w:val="00F42AD4"/>
    <w:rsid w:val="00F42C8E"/>
    <w:rsid w:val="00F42DB8"/>
    <w:rsid w:val="00F42E56"/>
    <w:rsid w:val="00F42E6A"/>
    <w:rsid w:val="00F42EB6"/>
    <w:rsid w:val="00F42EC9"/>
    <w:rsid w:val="00F430CE"/>
    <w:rsid w:val="00F43113"/>
    <w:rsid w:val="00F431A3"/>
    <w:rsid w:val="00F433A8"/>
    <w:rsid w:val="00F433EA"/>
    <w:rsid w:val="00F4352C"/>
    <w:rsid w:val="00F437F8"/>
    <w:rsid w:val="00F43802"/>
    <w:rsid w:val="00F43898"/>
    <w:rsid w:val="00F438D7"/>
    <w:rsid w:val="00F4393A"/>
    <w:rsid w:val="00F4396C"/>
    <w:rsid w:val="00F43A93"/>
    <w:rsid w:val="00F43BE6"/>
    <w:rsid w:val="00F43CF4"/>
    <w:rsid w:val="00F43F55"/>
    <w:rsid w:val="00F43FAF"/>
    <w:rsid w:val="00F4403D"/>
    <w:rsid w:val="00F4426E"/>
    <w:rsid w:val="00F443A0"/>
    <w:rsid w:val="00F445D1"/>
    <w:rsid w:val="00F4468D"/>
    <w:rsid w:val="00F447DE"/>
    <w:rsid w:val="00F447E6"/>
    <w:rsid w:val="00F44967"/>
    <w:rsid w:val="00F44972"/>
    <w:rsid w:val="00F44997"/>
    <w:rsid w:val="00F44A95"/>
    <w:rsid w:val="00F44AB9"/>
    <w:rsid w:val="00F44ABD"/>
    <w:rsid w:val="00F44BA3"/>
    <w:rsid w:val="00F44E0A"/>
    <w:rsid w:val="00F44E35"/>
    <w:rsid w:val="00F44F59"/>
    <w:rsid w:val="00F450B6"/>
    <w:rsid w:val="00F450E1"/>
    <w:rsid w:val="00F4512F"/>
    <w:rsid w:val="00F45399"/>
    <w:rsid w:val="00F45499"/>
    <w:rsid w:val="00F454DA"/>
    <w:rsid w:val="00F455AE"/>
    <w:rsid w:val="00F4573C"/>
    <w:rsid w:val="00F45778"/>
    <w:rsid w:val="00F4578E"/>
    <w:rsid w:val="00F45993"/>
    <w:rsid w:val="00F459F5"/>
    <w:rsid w:val="00F45A98"/>
    <w:rsid w:val="00F45B28"/>
    <w:rsid w:val="00F45D74"/>
    <w:rsid w:val="00F45EC1"/>
    <w:rsid w:val="00F45F15"/>
    <w:rsid w:val="00F45F22"/>
    <w:rsid w:val="00F45F5E"/>
    <w:rsid w:val="00F46074"/>
    <w:rsid w:val="00F46178"/>
    <w:rsid w:val="00F461D4"/>
    <w:rsid w:val="00F46246"/>
    <w:rsid w:val="00F46271"/>
    <w:rsid w:val="00F4638D"/>
    <w:rsid w:val="00F463FB"/>
    <w:rsid w:val="00F46400"/>
    <w:rsid w:val="00F46561"/>
    <w:rsid w:val="00F46629"/>
    <w:rsid w:val="00F4669D"/>
    <w:rsid w:val="00F466F1"/>
    <w:rsid w:val="00F4673B"/>
    <w:rsid w:val="00F46944"/>
    <w:rsid w:val="00F46964"/>
    <w:rsid w:val="00F469AC"/>
    <w:rsid w:val="00F469FC"/>
    <w:rsid w:val="00F46A43"/>
    <w:rsid w:val="00F46B7C"/>
    <w:rsid w:val="00F46B9F"/>
    <w:rsid w:val="00F46CDF"/>
    <w:rsid w:val="00F46D86"/>
    <w:rsid w:val="00F47001"/>
    <w:rsid w:val="00F47053"/>
    <w:rsid w:val="00F4713A"/>
    <w:rsid w:val="00F471EF"/>
    <w:rsid w:val="00F473B6"/>
    <w:rsid w:val="00F47404"/>
    <w:rsid w:val="00F4753D"/>
    <w:rsid w:val="00F475A6"/>
    <w:rsid w:val="00F475DF"/>
    <w:rsid w:val="00F476E9"/>
    <w:rsid w:val="00F476EB"/>
    <w:rsid w:val="00F47860"/>
    <w:rsid w:val="00F478C5"/>
    <w:rsid w:val="00F47A99"/>
    <w:rsid w:val="00F47AE9"/>
    <w:rsid w:val="00F47B48"/>
    <w:rsid w:val="00F47B67"/>
    <w:rsid w:val="00F47BF9"/>
    <w:rsid w:val="00F47CFB"/>
    <w:rsid w:val="00F47D41"/>
    <w:rsid w:val="00F47FEA"/>
    <w:rsid w:val="00F49028"/>
    <w:rsid w:val="00F502F6"/>
    <w:rsid w:val="00F5037A"/>
    <w:rsid w:val="00F503D6"/>
    <w:rsid w:val="00F5045C"/>
    <w:rsid w:val="00F504B8"/>
    <w:rsid w:val="00F505F3"/>
    <w:rsid w:val="00F505FE"/>
    <w:rsid w:val="00F50723"/>
    <w:rsid w:val="00F5083C"/>
    <w:rsid w:val="00F50930"/>
    <w:rsid w:val="00F5093E"/>
    <w:rsid w:val="00F50B68"/>
    <w:rsid w:val="00F50B6F"/>
    <w:rsid w:val="00F50CFE"/>
    <w:rsid w:val="00F50DFC"/>
    <w:rsid w:val="00F50E57"/>
    <w:rsid w:val="00F50EA5"/>
    <w:rsid w:val="00F50EB8"/>
    <w:rsid w:val="00F50EFB"/>
    <w:rsid w:val="00F50F78"/>
    <w:rsid w:val="00F50F88"/>
    <w:rsid w:val="00F510A5"/>
    <w:rsid w:val="00F511D6"/>
    <w:rsid w:val="00F51256"/>
    <w:rsid w:val="00F51289"/>
    <w:rsid w:val="00F512E1"/>
    <w:rsid w:val="00F5148C"/>
    <w:rsid w:val="00F51573"/>
    <w:rsid w:val="00F517E4"/>
    <w:rsid w:val="00F5189A"/>
    <w:rsid w:val="00F51992"/>
    <w:rsid w:val="00F51A73"/>
    <w:rsid w:val="00F51B35"/>
    <w:rsid w:val="00F51BEE"/>
    <w:rsid w:val="00F51CD1"/>
    <w:rsid w:val="00F51CE3"/>
    <w:rsid w:val="00F51D53"/>
    <w:rsid w:val="00F5203E"/>
    <w:rsid w:val="00F520E5"/>
    <w:rsid w:val="00F52131"/>
    <w:rsid w:val="00F52250"/>
    <w:rsid w:val="00F522E0"/>
    <w:rsid w:val="00F523C7"/>
    <w:rsid w:val="00F524F7"/>
    <w:rsid w:val="00F525D2"/>
    <w:rsid w:val="00F52682"/>
    <w:rsid w:val="00F52704"/>
    <w:rsid w:val="00F527B9"/>
    <w:rsid w:val="00F527C4"/>
    <w:rsid w:val="00F5286A"/>
    <w:rsid w:val="00F52A4A"/>
    <w:rsid w:val="00F52A9A"/>
    <w:rsid w:val="00F52B91"/>
    <w:rsid w:val="00F52D3A"/>
    <w:rsid w:val="00F52DF6"/>
    <w:rsid w:val="00F52E57"/>
    <w:rsid w:val="00F53017"/>
    <w:rsid w:val="00F53120"/>
    <w:rsid w:val="00F5324B"/>
    <w:rsid w:val="00F53261"/>
    <w:rsid w:val="00F53263"/>
    <w:rsid w:val="00F5329A"/>
    <w:rsid w:val="00F5329F"/>
    <w:rsid w:val="00F5351B"/>
    <w:rsid w:val="00F53533"/>
    <w:rsid w:val="00F536CB"/>
    <w:rsid w:val="00F53855"/>
    <w:rsid w:val="00F53898"/>
    <w:rsid w:val="00F53962"/>
    <w:rsid w:val="00F53A8E"/>
    <w:rsid w:val="00F53AC1"/>
    <w:rsid w:val="00F53BB9"/>
    <w:rsid w:val="00F53C45"/>
    <w:rsid w:val="00F53D3B"/>
    <w:rsid w:val="00F53D75"/>
    <w:rsid w:val="00F53DFC"/>
    <w:rsid w:val="00F53E06"/>
    <w:rsid w:val="00F53F11"/>
    <w:rsid w:val="00F53FA1"/>
    <w:rsid w:val="00F54105"/>
    <w:rsid w:val="00F54188"/>
    <w:rsid w:val="00F543AE"/>
    <w:rsid w:val="00F5461E"/>
    <w:rsid w:val="00F546EF"/>
    <w:rsid w:val="00F547D1"/>
    <w:rsid w:val="00F547E2"/>
    <w:rsid w:val="00F54AC7"/>
    <w:rsid w:val="00F54B26"/>
    <w:rsid w:val="00F54B99"/>
    <w:rsid w:val="00F54C67"/>
    <w:rsid w:val="00F54CBC"/>
    <w:rsid w:val="00F54CC0"/>
    <w:rsid w:val="00F54CD4"/>
    <w:rsid w:val="00F54D4D"/>
    <w:rsid w:val="00F54DB3"/>
    <w:rsid w:val="00F54ECC"/>
    <w:rsid w:val="00F550C8"/>
    <w:rsid w:val="00F55171"/>
    <w:rsid w:val="00F55261"/>
    <w:rsid w:val="00F5538B"/>
    <w:rsid w:val="00F554CF"/>
    <w:rsid w:val="00F55570"/>
    <w:rsid w:val="00F556C2"/>
    <w:rsid w:val="00F558A1"/>
    <w:rsid w:val="00F559EF"/>
    <w:rsid w:val="00F55AD5"/>
    <w:rsid w:val="00F55B28"/>
    <w:rsid w:val="00F55D82"/>
    <w:rsid w:val="00F55DD1"/>
    <w:rsid w:val="00F55E43"/>
    <w:rsid w:val="00F55E44"/>
    <w:rsid w:val="00F55FB3"/>
    <w:rsid w:val="00F5602C"/>
    <w:rsid w:val="00F560BC"/>
    <w:rsid w:val="00F5617F"/>
    <w:rsid w:val="00F56207"/>
    <w:rsid w:val="00F562C2"/>
    <w:rsid w:val="00F56346"/>
    <w:rsid w:val="00F56467"/>
    <w:rsid w:val="00F56668"/>
    <w:rsid w:val="00F5670C"/>
    <w:rsid w:val="00F56763"/>
    <w:rsid w:val="00F5689B"/>
    <w:rsid w:val="00F56A2C"/>
    <w:rsid w:val="00F56A52"/>
    <w:rsid w:val="00F56ACD"/>
    <w:rsid w:val="00F56B50"/>
    <w:rsid w:val="00F56D83"/>
    <w:rsid w:val="00F56DF7"/>
    <w:rsid w:val="00F56E05"/>
    <w:rsid w:val="00F56EC6"/>
    <w:rsid w:val="00F57090"/>
    <w:rsid w:val="00F570F1"/>
    <w:rsid w:val="00F57100"/>
    <w:rsid w:val="00F57241"/>
    <w:rsid w:val="00F57354"/>
    <w:rsid w:val="00F574C6"/>
    <w:rsid w:val="00F5751A"/>
    <w:rsid w:val="00F576C9"/>
    <w:rsid w:val="00F578FC"/>
    <w:rsid w:val="00F5795C"/>
    <w:rsid w:val="00F579BD"/>
    <w:rsid w:val="00F57A8D"/>
    <w:rsid w:val="00F57C89"/>
    <w:rsid w:val="00F57E8A"/>
    <w:rsid w:val="00F57FCE"/>
    <w:rsid w:val="00F57FF7"/>
    <w:rsid w:val="00F5A13A"/>
    <w:rsid w:val="00F60040"/>
    <w:rsid w:val="00F600DC"/>
    <w:rsid w:val="00F600F5"/>
    <w:rsid w:val="00F60106"/>
    <w:rsid w:val="00F60177"/>
    <w:rsid w:val="00F6017B"/>
    <w:rsid w:val="00F60372"/>
    <w:rsid w:val="00F603BC"/>
    <w:rsid w:val="00F60651"/>
    <w:rsid w:val="00F60731"/>
    <w:rsid w:val="00F60769"/>
    <w:rsid w:val="00F60A1F"/>
    <w:rsid w:val="00F60A4E"/>
    <w:rsid w:val="00F60AEA"/>
    <w:rsid w:val="00F60C1F"/>
    <w:rsid w:val="00F60CCA"/>
    <w:rsid w:val="00F60D0E"/>
    <w:rsid w:val="00F60D51"/>
    <w:rsid w:val="00F60DBD"/>
    <w:rsid w:val="00F60E0B"/>
    <w:rsid w:val="00F61021"/>
    <w:rsid w:val="00F61043"/>
    <w:rsid w:val="00F61079"/>
    <w:rsid w:val="00F6134F"/>
    <w:rsid w:val="00F6165A"/>
    <w:rsid w:val="00F616F4"/>
    <w:rsid w:val="00F61715"/>
    <w:rsid w:val="00F6182F"/>
    <w:rsid w:val="00F6186A"/>
    <w:rsid w:val="00F6186E"/>
    <w:rsid w:val="00F6194A"/>
    <w:rsid w:val="00F61960"/>
    <w:rsid w:val="00F619A3"/>
    <w:rsid w:val="00F619C9"/>
    <w:rsid w:val="00F619F6"/>
    <w:rsid w:val="00F61AE6"/>
    <w:rsid w:val="00F61BD8"/>
    <w:rsid w:val="00F61C3E"/>
    <w:rsid w:val="00F61F19"/>
    <w:rsid w:val="00F620B4"/>
    <w:rsid w:val="00F62105"/>
    <w:rsid w:val="00F622FC"/>
    <w:rsid w:val="00F623B9"/>
    <w:rsid w:val="00F623CC"/>
    <w:rsid w:val="00F623DD"/>
    <w:rsid w:val="00F62538"/>
    <w:rsid w:val="00F625FA"/>
    <w:rsid w:val="00F6275A"/>
    <w:rsid w:val="00F6299C"/>
    <w:rsid w:val="00F629B4"/>
    <w:rsid w:val="00F62A25"/>
    <w:rsid w:val="00F62B73"/>
    <w:rsid w:val="00F62B9F"/>
    <w:rsid w:val="00F62C66"/>
    <w:rsid w:val="00F62CE9"/>
    <w:rsid w:val="00F62D83"/>
    <w:rsid w:val="00F62E68"/>
    <w:rsid w:val="00F6307F"/>
    <w:rsid w:val="00F63120"/>
    <w:rsid w:val="00F63171"/>
    <w:rsid w:val="00F6317D"/>
    <w:rsid w:val="00F631E3"/>
    <w:rsid w:val="00F63358"/>
    <w:rsid w:val="00F634E8"/>
    <w:rsid w:val="00F636A9"/>
    <w:rsid w:val="00F636AA"/>
    <w:rsid w:val="00F6382E"/>
    <w:rsid w:val="00F63857"/>
    <w:rsid w:val="00F639A7"/>
    <w:rsid w:val="00F63AA7"/>
    <w:rsid w:val="00F63AD4"/>
    <w:rsid w:val="00F63C4F"/>
    <w:rsid w:val="00F63CE1"/>
    <w:rsid w:val="00F63E54"/>
    <w:rsid w:val="00F63F57"/>
    <w:rsid w:val="00F63F72"/>
    <w:rsid w:val="00F64127"/>
    <w:rsid w:val="00F6422E"/>
    <w:rsid w:val="00F64232"/>
    <w:rsid w:val="00F64261"/>
    <w:rsid w:val="00F643F8"/>
    <w:rsid w:val="00F64578"/>
    <w:rsid w:val="00F645C5"/>
    <w:rsid w:val="00F64876"/>
    <w:rsid w:val="00F64921"/>
    <w:rsid w:val="00F64A51"/>
    <w:rsid w:val="00F64A9A"/>
    <w:rsid w:val="00F64ACB"/>
    <w:rsid w:val="00F64B78"/>
    <w:rsid w:val="00F64CAE"/>
    <w:rsid w:val="00F64D0A"/>
    <w:rsid w:val="00F64D50"/>
    <w:rsid w:val="00F64E2C"/>
    <w:rsid w:val="00F64E3B"/>
    <w:rsid w:val="00F64F12"/>
    <w:rsid w:val="00F6503E"/>
    <w:rsid w:val="00F650B9"/>
    <w:rsid w:val="00F652B2"/>
    <w:rsid w:val="00F6532F"/>
    <w:rsid w:val="00F653C8"/>
    <w:rsid w:val="00F6560D"/>
    <w:rsid w:val="00F65670"/>
    <w:rsid w:val="00F656AD"/>
    <w:rsid w:val="00F656C2"/>
    <w:rsid w:val="00F65713"/>
    <w:rsid w:val="00F65714"/>
    <w:rsid w:val="00F657AD"/>
    <w:rsid w:val="00F657CC"/>
    <w:rsid w:val="00F65A36"/>
    <w:rsid w:val="00F65C3F"/>
    <w:rsid w:val="00F65D48"/>
    <w:rsid w:val="00F65FC9"/>
    <w:rsid w:val="00F66029"/>
    <w:rsid w:val="00F66078"/>
    <w:rsid w:val="00F660C7"/>
    <w:rsid w:val="00F6613A"/>
    <w:rsid w:val="00F66187"/>
    <w:rsid w:val="00F6618A"/>
    <w:rsid w:val="00F661B9"/>
    <w:rsid w:val="00F6622E"/>
    <w:rsid w:val="00F664AD"/>
    <w:rsid w:val="00F6665B"/>
    <w:rsid w:val="00F667C4"/>
    <w:rsid w:val="00F66883"/>
    <w:rsid w:val="00F66937"/>
    <w:rsid w:val="00F669E0"/>
    <w:rsid w:val="00F66C20"/>
    <w:rsid w:val="00F66C73"/>
    <w:rsid w:val="00F66C8E"/>
    <w:rsid w:val="00F66CAC"/>
    <w:rsid w:val="00F66CB2"/>
    <w:rsid w:val="00F66D42"/>
    <w:rsid w:val="00F66E28"/>
    <w:rsid w:val="00F66E8D"/>
    <w:rsid w:val="00F66EBB"/>
    <w:rsid w:val="00F66F48"/>
    <w:rsid w:val="00F66FD3"/>
    <w:rsid w:val="00F66FDB"/>
    <w:rsid w:val="00F67140"/>
    <w:rsid w:val="00F67250"/>
    <w:rsid w:val="00F67251"/>
    <w:rsid w:val="00F674B3"/>
    <w:rsid w:val="00F674D1"/>
    <w:rsid w:val="00F675AD"/>
    <w:rsid w:val="00F67715"/>
    <w:rsid w:val="00F677BC"/>
    <w:rsid w:val="00F677D9"/>
    <w:rsid w:val="00F67845"/>
    <w:rsid w:val="00F678B7"/>
    <w:rsid w:val="00F67937"/>
    <w:rsid w:val="00F67942"/>
    <w:rsid w:val="00F67A9B"/>
    <w:rsid w:val="00F67DCE"/>
    <w:rsid w:val="00F67EA7"/>
    <w:rsid w:val="00F70144"/>
    <w:rsid w:val="00F70146"/>
    <w:rsid w:val="00F70225"/>
    <w:rsid w:val="00F7034F"/>
    <w:rsid w:val="00F70383"/>
    <w:rsid w:val="00F703B9"/>
    <w:rsid w:val="00F706E2"/>
    <w:rsid w:val="00F7092D"/>
    <w:rsid w:val="00F70975"/>
    <w:rsid w:val="00F70A54"/>
    <w:rsid w:val="00F70B3D"/>
    <w:rsid w:val="00F70C85"/>
    <w:rsid w:val="00F70CA6"/>
    <w:rsid w:val="00F70F1F"/>
    <w:rsid w:val="00F70F66"/>
    <w:rsid w:val="00F70F79"/>
    <w:rsid w:val="00F710D2"/>
    <w:rsid w:val="00F710EC"/>
    <w:rsid w:val="00F7121C"/>
    <w:rsid w:val="00F7128E"/>
    <w:rsid w:val="00F714F1"/>
    <w:rsid w:val="00F715EF"/>
    <w:rsid w:val="00F7172F"/>
    <w:rsid w:val="00F717A6"/>
    <w:rsid w:val="00F719A6"/>
    <w:rsid w:val="00F71A3E"/>
    <w:rsid w:val="00F71AF8"/>
    <w:rsid w:val="00F71BB4"/>
    <w:rsid w:val="00F71DD1"/>
    <w:rsid w:val="00F71EFB"/>
    <w:rsid w:val="00F71F8B"/>
    <w:rsid w:val="00F7201F"/>
    <w:rsid w:val="00F720B8"/>
    <w:rsid w:val="00F720E7"/>
    <w:rsid w:val="00F72140"/>
    <w:rsid w:val="00F721AA"/>
    <w:rsid w:val="00F72296"/>
    <w:rsid w:val="00F727A5"/>
    <w:rsid w:val="00F7299A"/>
    <w:rsid w:val="00F72A70"/>
    <w:rsid w:val="00F72B19"/>
    <w:rsid w:val="00F73060"/>
    <w:rsid w:val="00F7313C"/>
    <w:rsid w:val="00F7328F"/>
    <w:rsid w:val="00F73394"/>
    <w:rsid w:val="00F735C3"/>
    <w:rsid w:val="00F7372F"/>
    <w:rsid w:val="00F73A11"/>
    <w:rsid w:val="00F73A14"/>
    <w:rsid w:val="00F73AD5"/>
    <w:rsid w:val="00F73B1E"/>
    <w:rsid w:val="00F73EE2"/>
    <w:rsid w:val="00F7411D"/>
    <w:rsid w:val="00F7413D"/>
    <w:rsid w:val="00F741B7"/>
    <w:rsid w:val="00F74665"/>
    <w:rsid w:val="00F747A8"/>
    <w:rsid w:val="00F74806"/>
    <w:rsid w:val="00F7486D"/>
    <w:rsid w:val="00F748C2"/>
    <w:rsid w:val="00F74A41"/>
    <w:rsid w:val="00F74A9E"/>
    <w:rsid w:val="00F74B98"/>
    <w:rsid w:val="00F74BEA"/>
    <w:rsid w:val="00F74C86"/>
    <w:rsid w:val="00F74D07"/>
    <w:rsid w:val="00F74E46"/>
    <w:rsid w:val="00F74F3C"/>
    <w:rsid w:val="00F74F46"/>
    <w:rsid w:val="00F74F4F"/>
    <w:rsid w:val="00F75065"/>
    <w:rsid w:val="00F75148"/>
    <w:rsid w:val="00F7519A"/>
    <w:rsid w:val="00F751AE"/>
    <w:rsid w:val="00F75335"/>
    <w:rsid w:val="00F75379"/>
    <w:rsid w:val="00F75456"/>
    <w:rsid w:val="00F754A1"/>
    <w:rsid w:val="00F754BA"/>
    <w:rsid w:val="00F754E2"/>
    <w:rsid w:val="00F754F0"/>
    <w:rsid w:val="00F75508"/>
    <w:rsid w:val="00F75641"/>
    <w:rsid w:val="00F75678"/>
    <w:rsid w:val="00F756A7"/>
    <w:rsid w:val="00F756AC"/>
    <w:rsid w:val="00F756D1"/>
    <w:rsid w:val="00F759C0"/>
    <w:rsid w:val="00F759CE"/>
    <w:rsid w:val="00F75A54"/>
    <w:rsid w:val="00F75B27"/>
    <w:rsid w:val="00F75C06"/>
    <w:rsid w:val="00F75C3D"/>
    <w:rsid w:val="00F75E32"/>
    <w:rsid w:val="00F7604A"/>
    <w:rsid w:val="00F760EE"/>
    <w:rsid w:val="00F7616B"/>
    <w:rsid w:val="00F765F1"/>
    <w:rsid w:val="00F76602"/>
    <w:rsid w:val="00F7660C"/>
    <w:rsid w:val="00F767F2"/>
    <w:rsid w:val="00F768BC"/>
    <w:rsid w:val="00F768E6"/>
    <w:rsid w:val="00F76942"/>
    <w:rsid w:val="00F76B6E"/>
    <w:rsid w:val="00F76D9A"/>
    <w:rsid w:val="00F76DD7"/>
    <w:rsid w:val="00F76EC2"/>
    <w:rsid w:val="00F76FA9"/>
    <w:rsid w:val="00F76FD0"/>
    <w:rsid w:val="00F7701B"/>
    <w:rsid w:val="00F77040"/>
    <w:rsid w:val="00F770B3"/>
    <w:rsid w:val="00F7727D"/>
    <w:rsid w:val="00F7731E"/>
    <w:rsid w:val="00F775FB"/>
    <w:rsid w:val="00F7763C"/>
    <w:rsid w:val="00F77790"/>
    <w:rsid w:val="00F779B9"/>
    <w:rsid w:val="00F77A91"/>
    <w:rsid w:val="00F77CDC"/>
    <w:rsid w:val="00F77E51"/>
    <w:rsid w:val="00F8008A"/>
    <w:rsid w:val="00F80123"/>
    <w:rsid w:val="00F8055B"/>
    <w:rsid w:val="00F80596"/>
    <w:rsid w:val="00F805B1"/>
    <w:rsid w:val="00F805FC"/>
    <w:rsid w:val="00F8060F"/>
    <w:rsid w:val="00F806B1"/>
    <w:rsid w:val="00F806B2"/>
    <w:rsid w:val="00F806E7"/>
    <w:rsid w:val="00F8085C"/>
    <w:rsid w:val="00F808AC"/>
    <w:rsid w:val="00F80A30"/>
    <w:rsid w:val="00F80A69"/>
    <w:rsid w:val="00F80A7E"/>
    <w:rsid w:val="00F80AF5"/>
    <w:rsid w:val="00F80B67"/>
    <w:rsid w:val="00F80BCF"/>
    <w:rsid w:val="00F80D66"/>
    <w:rsid w:val="00F80E13"/>
    <w:rsid w:val="00F80EB2"/>
    <w:rsid w:val="00F80F08"/>
    <w:rsid w:val="00F80FB9"/>
    <w:rsid w:val="00F81199"/>
    <w:rsid w:val="00F811D3"/>
    <w:rsid w:val="00F814D8"/>
    <w:rsid w:val="00F81599"/>
    <w:rsid w:val="00F815E2"/>
    <w:rsid w:val="00F816E4"/>
    <w:rsid w:val="00F818D3"/>
    <w:rsid w:val="00F81A72"/>
    <w:rsid w:val="00F81AFB"/>
    <w:rsid w:val="00F81F1C"/>
    <w:rsid w:val="00F81F67"/>
    <w:rsid w:val="00F820EF"/>
    <w:rsid w:val="00F8218B"/>
    <w:rsid w:val="00F821C4"/>
    <w:rsid w:val="00F8223A"/>
    <w:rsid w:val="00F82316"/>
    <w:rsid w:val="00F82397"/>
    <w:rsid w:val="00F82554"/>
    <w:rsid w:val="00F827AE"/>
    <w:rsid w:val="00F828F9"/>
    <w:rsid w:val="00F82900"/>
    <w:rsid w:val="00F829A1"/>
    <w:rsid w:val="00F829D5"/>
    <w:rsid w:val="00F82D1B"/>
    <w:rsid w:val="00F82D7F"/>
    <w:rsid w:val="00F82D8D"/>
    <w:rsid w:val="00F82DBB"/>
    <w:rsid w:val="00F82DCE"/>
    <w:rsid w:val="00F82DF2"/>
    <w:rsid w:val="00F82E46"/>
    <w:rsid w:val="00F82EE7"/>
    <w:rsid w:val="00F82FAD"/>
    <w:rsid w:val="00F831D7"/>
    <w:rsid w:val="00F831E1"/>
    <w:rsid w:val="00F83292"/>
    <w:rsid w:val="00F832AF"/>
    <w:rsid w:val="00F832EA"/>
    <w:rsid w:val="00F8341D"/>
    <w:rsid w:val="00F834CC"/>
    <w:rsid w:val="00F83564"/>
    <w:rsid w:val="00F837E0"/>
    <w:rsid w:val="00F83827"/>
    <w:rsid w:val="00F838AC"/>
    <w:rsid w:val="00F838F2"/>
    <w:rsid w:val="00F83910"/>
    <w:rsid w:val="00F83938"/>
    <w:rsid w:val="00F8397B"/>
    <w:rsid w:val="00F839B8"/>
    <w:rsid w:val="00F839C1"/>
    <w:rsid w:val="00F839D9"/>
    <w:rsid w:val="00F839E5"/>
    <w:rsid w:val="00F83B73"/>
    <w:rsid w:val="00F83C89"/>
    <w:rsid w:val="00F83D0A"/>
    <w:rsid w:val="00F83DA9"/>
    <w:rsid w:val="00F83F36"/>
    <w:rsid w:val="00F840A3"/>
    <w:rsid w:val="00F840B8"/>
    <w:rsid w:val="00F8411C"/>
    <w:rsid w:val="00F84165"/>
    <w:rsid w:val="00F841B4"/>
    <w:rsid w:val="00F841D9"/>
    <w:rsid w:val="00F842B2"/>
    <w:rsid w:val="00F842D2"/>
    <w:rsid w:val="00F84342"/>
    <w:rsid w:val="00F84441"/>
    <w:rsid w:val="00F84445"/>
    <w:rsid w:val="00F84479"/>
    <w:rsid w:val="00F84598"/>
    <w:rsid w:val="00F846C8"/>
    <w:rsid w:val="00F84707"/>
    <w:rsid w:val="00F847A9"/>
    <w:rsid w:val="00F84819"/>
    <w:rsid w:val="00F848A4"/>
    <w:rsid w:val="00F848C1"/>
    <w:rsid w:val="00F84CCF"/>
    <w:rsid w:val="00F84D87"/>
    <w:rsid w:val="00F84F3D"/>
    <w:rsid w:val="00F84F83"/>
    <w:rsid w:val="00F84FA5"/>
    <w:rsid w:val="00F8508C"/>
    <w:rsid w:val="00F85123"/>
    <w:rsid w:val="00F85149"/>
    <w:rsid w:val="00F851FE"/>
    <w:rsid w:val="00F8530C"/>
    <w:rsid w:val="00F85373"/>
    <w:rsid w:val="00F853C2"/>
    <w:rsid w:val="00F853EC"/>
    <w:rsid w:val="00F8542F"/>
    <w:rsid w:val="00F8546A"/>
    <w:rsid w:val="00F8571B"/>
    <w:rsid w:val="00F85842"/>
    <w:rsid w:val="00F8586B"/>
    <w:rsid w:val="00F85916"/>
    <w:rsid w:val="00F85993"/>
    <w:rsid w:val="00F859F0"/>
    <w:rsid w:val="00F85A48"/>
    <w:rsid w:val="00F85AFD"/>
    <w:rsid w:val="00F85B6C"/>
    <w:rsid w:val="00F85C34"/>
    <w:rsid w:val="00F85C4E"/>
    <w:rsid w:val="00F85CD9"/>
    <w:rsid w:val="00F85DC2"/>
    <w:rsid w:val="00F85E6B"/>
    <w:rsid w:val="00F85EB9"/>
    <w:rsid w:val="00F85EFA"/>
    <w:rsid w:val="00F85FE8"/>
    <w:rsid w:val="00F8603F"/>
    <w:rsid w:val="00F86089"/>
    <w:rsid w:val="00F861C4"/>
    <w:rsid w:val="00F86415"/>
    <w:rsid w:val="00F86432"/>
    <w:rsid w:val="00F86479"/>
    <w:rsid w:val="00F864CD"/>
    <w:rsid w:val="00F8655A"/>
    <w:rsid w:val="00F867A1"/>
    <w:rsid w:val="00F867C7"/>
    <w:rsid w:val="00F868F5"/>
    <w:rsid w:val="00F86945"/>
    <w:rsid w:val="00F86B88"/>
    <w:rsid w:val="00F86C05"/>
    <w:rsid w:val="00F86C9B"/>
    <w:rsid w:val="00F86DBF"/>
    <w:rsid w:val="00F86E6A"/>
    <w:rsid w:val="00F86E6E"/>
    <w:rsid w:val="00F86E8A"/>
    <w:rsid w:val="00F86F60"/>
    <w:rsid w:val="00F86F84"/>
    <w:rsid w:val="00F8700B"/>
    <w:rsid w:val="00F87275"/>
    <w:rsid w:val="00F87681"/>
    <w:rsid w:val="00F8769F"/>
    <w:rsid w:val="00F876A7"/>
    <w:rsid w:val="00F876EB"/>
    <w:rsid w:val="00F87820"/>
    <w:rsid w:val="00F87A04"/>
    <w:rsid w:val="00F87A92"/>
    <w:rsid w:val="00F87A99"/>
    <w:rsid w:val="00F87B3E"/>
    <w:rsid w:val="00F87B97"/>
    <w:rsid w:val="00F87BB1"/>
    <w:rsid w:val="00F87C27"/>
    <w:rsid w:val="00F87CBE"/>
    <w:rsid w:val="00F87D0E"/>
    <w:rsid w:val="00F87E28"/>
    <w:rsid w:val="00F87F93"/>
    <w:rsid w:val="00F9011E"/>
    <w:rsid w:val="00F9023C"/>
    <w:rsid w:val="00F9037D"/>
    <w:rsid w:val="00F903D5"/>
    <w:rsid w:val="00F90406"/>
    <w:rsid w:val="00F90478"/>
    <w:rsid w:val="00F90521"/>
    <w:rsid w:val="00F905C1"/>
    <w:rsid w:val="00F90692"/>
    <w:rsid w:val="00F907C0"/>
    <w:rsid w:val="00F90810"/>
    <w:rsid w:val="00F909F1"/>
    <w:rsid w:val="00F90DD9"/>
    <w:rsid w:val="00F90E96"/>
    <w:rsid w:val="00F90F67"/>
    <w:rsid w:val="00F91136"/>
    <w:rsid w:val="00F9129B"/>
    <w:rsid w:val="00F915F7"/>
    <w:rsid w:val="00F916AA"/>
    <w:rsid w:val="00F916C3"/>
    <w:rsid w:val="00F91707"/>
    <w:rsid w:val="00F917A1"/>
    <w:rsid w:val="00F917CA"/>
    <w:rsid w:val="00F9189B"/>
    <w:rsid w:val="00F91B15"/>
    <w:rsid w:val="00F91DBA"/>
    <w:rsid w:val="00F91DD0"/>
    <w:rsid w:val="00F91E0E"/>
    <w:rsid w:val="00F92033"/>
    <w:rsid w:val="00F9216B"/>
    <w:rsid w:val="00F92235"/>
    <w:rsid w:val="00F922FA"/>
    <w:rsid w:val="00F92331"/>
    <w:rsid w:val="00F92496"/>
    <w:rsid w:val="00F925A5"/>
    <w:rsid w:val="00F9260F"/>
    <w:rsid w:val="00F9275D"/>
    <w:rsid w:val="00F927FC"/>
    <w:rsid w:val="00F92879"/>
    <w:rsid w:val="00F9288A"/>
    <w:rsid w:val="00F929AE"/>
    <w:rsid w:val="00F92A25"/>
    <w:rsid w:val="00F92B77"/>
    <w:rsid w:val="00F92E54"/>
    <w:rsid w:val="00F92EE9"/>
    <w:rsid w:val="00F92EEA"/>
    <w:rsid w:val="00F92F30"/>
    <w:rsid w:val="00F93213"/>
    <w:rsid w:val="00F932EF"/>
    <w:rsid w:val="00F93344"/>
    <w:rsid w:val="00F93355"/>
    <w:rsid w:val="00F934CF"/>
    <w:rsid w:val="00F934E6"/>
    <w:rsid w:val="00F93502"/>
    <w:rsid w:val="00F9350E"/>
    <w:rsid w:val="00F9351E"/>
    <w:rsid w:val="00F93673"/>
    <w:rsid w:val="00F9367B"/>
    <w:rsid w:val="00F936B3"/>
    <w:rsid w:val="00F9388D"/>
    <w:rsid w:val="00F938A1"/>
    <w:rsid w:val="00F93902"/>
    <w:rsid w:val="00F93915"/>
    <w:rsid w:val="00F93A86"/>
    <w:rsid w:val="00F93AF2"/>
    <w:rsid w:val="00F93CA5"/>
    <w:rsid w:val="00F93CBC"/>
    <w:rsid w:val="00F93CC6"/>
    <w:rsid w:val="00F93F3C"/>
    <w:rsid w:val="00F93FC3"/>
    <w:rsid w:val="00F9411D"/>
    <w:rsid w:val="00F94124"/>
    <w:rsid w:val="00F9423D"/>
    <w:rsid w:val="00F94E4D"/>
    <w:rsid w:val="00F94E93"/>
    <w:rsid w:val="00F94EA4"/>
    <w:rsid w:val="00F94FFF"/>
    <w:rsid w:val="00F950AC"/>
    <w:rsid w:val="00F950B1"/>
    <w:rsid w:val="00F952A3"/>
    <w:rsid w:val="00F95333"/>
    <w:rsid w:val="00F9536E"/>
    <w:rsid w:val="00F95399"/>
    <w:rsid w:val="00F954AA"/>
    <w:rsid w:val="00F954B1"/>
    <w:rsid w:val="00F95898"/>
    <w:rsid w:val="00F958F2"/>
    <w:rsid w:val="00F95927"/>
    <w:rsid w:val="00F95BE8"/>
    <w:rsid w:val="00F95DBA"/>
    <w:rsid w:val="00F95DEB"/>
    <w:rsid w:val="00F95F5A"/>
    <w:rsid w:val="00F9607E"/>
    <w:rsid w:val="00F961E6"/>
    <w:rsid w:val="00F9639E"/>
    <w:rsid w:val="00F9645D"/>
    <w:rsid w:val="00F9650E"/>
    <w:rsid w:val="00F966B9"/>
    <w:rsid w:val="00F96701"/>
    <w:rsid w:val="00F96762"/>
    <w:rsid w:val="00F9693F"/>
    <w:rsid w:val="00F96A89"/>
    <w:rsid w:val="00F96AF6"/>
    <w:rsid w:val="00F96CBE"/>
    <w:rsid w:val="00F96D0F"/>
    <w:rsid w:val="00F96EB4"/>
    <w:rsid w:val="00F96EFA"/>
    <w:rsid w:val="00F970D3"/>
    <w:rsid w:val="00F971C4"/>
    <w:rsid w:val="00F9723B"/>
    <w:rsid w:val="00F972B6"/>
    <w:rsid w:val="00F97358"/>
    <w:rsid w:val="00F97368"/>
    <w:rsid w:val="00F973DA"/>
    <w:rsid w:val="00F97561"/>
    <w:rsid w:val="00F976FC"/>
    <w:rsid w:val="00F9772C"/>
    <w:rsid w:val="00F977B3"/>
    <w:rsid w:val="00F9780A"/>
    <w:rsid w:val="00F97A9F"/>
    <w:rsid w:val="00F97BAF"/>
    <w:rsid w:val="00F97DEA"/>
    <w:rsid w:val="00F97F99"/>
    <w:rsid w:val="00F9BD9D"/>
    <w:rsid w:val="00FA0053"/>
    <w:rsid w:val="00FA00B9"/>
    <w:rsid w:val="00FA00C0"/>
    <w:rsid w:val="00FA0300"/>
    <w:rsid w:val="00FA041C"/>
    <w:rsid w:val="00FA04CA"/>
    <w:rsid w:val="00FA0578"/>
    <w:rsid w:val="00FA0584"/>
    <w:rsid w:val="00FA07D5"/>
    <w:rsid w:val="00FA08BC"/>
    <w:rsid w:val="00FA090C"/>
    <w:rsid w:val="00FA09EC"/>
    <w:rsid w:val="00FA0A61"/>
    <w:rsid w:val="00FA0AF9"/>
    <w:rsid w:val="00FA0B4B"/>
    <w:rsid w:val="00FA0B4C"/>
    <w:rsid w:val="00FA0BC1"/>
    <w:rsid w:val="00FA0C5F"/>
    <w:rsid w:val="00FA0C97"/>
    <w:rsid w:val="00FA0D54"/>
    <w:rsid w:val="00FA0E55"/>
    <w:rsid w:val="00FA0ECE"/>
    <w:rsid w:val="00FA0EF5"/>
    <w:rsid w:val="00FA0F3D"/>
    <w:rsid w:val="00FA0F61"/>
    <w:rsid w:val="00FA0F73"/>
    <w:rsid w:val="00FA0FEF"/>
    <w:rsid w:val="00FA0FFC"/>
    <w:rsid w:val="00FA10A4"/>
    <w:rsid w:val="00FA11C5"/>
    <w:rsid w:val="00FA11DA"/>
    <w:rsid w:val="00FA1338"/>
    <w:rsid w:val="00FA14A5"/>
    <w:rsid w:val="00FA14DC"/>
    <w:rsid w:val="00FA14E5"/>
    <w:rsid w:val="00FA1568"/>
    <w:rsid w:val="00FA15FF"/>
    <w:rsid w:val="00FA1603"/>
    <w:rsid w:val="00FA1654"/>
    <w:rsid w:val="00FA166E"/>
    <w:rsid w:val="00FA16B2"/>
    <w:rsid w:val="00FA18AE"/>
    <w:rsid w:val="00FA1A0D"/>
    <w:rsid w:val="00FA1A92"/>
    <w:rsid w:val="00FA1DF2"/>
    <w:rsid w:val="00FA1F28"/>
    <w:rsid w:val="00FA210C"/>
    <w:rsid w:val="00FA216B"/>
    <w:rsid w:val="00FA2218"/>
    <w:rsid w:val="00FA227E"/>
    <w:rsid w:val="00FA22BD"/>
    <w:rsid w:val="00FA22BF"/>
    <w:rsid w:val="00FA232F"/>
    <w:rsid w:val="00FA2769"/>
    <w:rsid w:val="00FA27CD"/>
    <w:rsid w:val="00FA27E6"/>
    <w:rsid w:val="00FA2805"/>
    <w:rsid w:val="00FA2854"/>
    <w:rsid w:val="00FA2C18"/>
    <w:rsid w:val="00FA2C45"/>
    <w:rsid w:val="00FA2CA2"/>
    <w:rsid w:val="00FA2CA8"/>
    <w:rsid w:val="00FA2DA4"/>
    <w:rsid w:val="00FA2DA5"/>
    <w:rsid w:val="00FA2DD9"/>
    <w:rsid w:val="00FA2EE8"/>
    <w:rsid w:val="00FA312D"/>
    <w:rsid w:val="00FA319A"/>
    <w:rsid w:val="00FA3367"/>
    <w:rsid w:val="00FA33A0"/>
    <w:rsid w:val="00FA342B"/>
    <w:rsid w:val="00FA34E0"/>
    <w:rsid w:val="00FA356C"/>
    <w:rsid w:val="00FA3582"/>
    <w:rsid w:val="00FA3607"/>
    <w:rsid w:val="00FA3692"/>
    <w:rsid w:val="00FA379A"/>
    <w:rsid w:val="00FA395E"/>
    <w:rsid w:val="00FA3978"/>
    <w:rsid w:val="00FA3B75"/>
    <w:rsid w:val="00FA3CA6"/>
    <w:rsid w:val="00FA3D68"/>
    <w:rsid w:val="00FA40D4"/>
    <w:rsid w:val="00FA41F0"/>
    <w:rsid w:val="00FA42DD"/>
    <w:rsid w:val="00FA4354"/>
    <w:rsid w:val="00FA44CD"/>
    <w:rsid w:val="00FA4577"/>
    <w:rsid w:val="00FA485E"/>
    <w:rsid w:val="00FA48A5"/>
    <w:rsid w:val="00FA4941"/>
    <w:rsid w:val="00FA4A4F"/>
    <w:rsid w:val="00FA4AA2"/>
    <w:rsid w:val="00FA4D86"/>
    <w:rsid w:val="00FA4DA5"/>
    <w:rsid w:val="00FA4E17"/>
    <w:rsid w:val="00FA4EA9"/>
    <w:rsid w:val="00FA50E8"/>
    <w:rsid w:val="00FA5268"/>
    <w:rsid w:val="00FA5378"/>
    <w:rsid w:val="00FA54B1"/>
    <w:rsid w:val="00FA54F5"/>
    <w:rsid w:val="00FA5658"/>
    <w:rsid w:val="00FA56F5"/>
    <w:rsid w:val="00FA5781"/>
    <w:rsid w:val="00FA582A"/>
    <w:rsid w:val="00FA592D"/>
    <w:rsid w:val="00FA5935"/>
    <w:rsid w:val="00FA59B0"/>
    <w:rsid w:val="00FA59D2"/>
    <w:rsid w:val="00FA5A91"/>
    <w:rsid w:val="00FA5AD9"/>
    <w:rsid w:val="00FA5AF0"/>
    <w:rsid w:val="00FA5B6C"/>
    <w:rsid w:val="00FA5C42"/>
    <w:rsid w:val="00FA5C5A"/>
    <w:rsid w:val="00FA5C72"/>
    <w:rsid w:val="00FA5E22"/>
    <w:rsid w:val="00FA5EE5"/>
    <w:rsid w:val="00FA5F37"/>
    <w:rsid w:val="00FA5FD1"/>
    <w:rsid w:val="00FA5FE9"/>
    <w:rsid w:val="00FA602C"/>
    <w:rsid w:val="00FA60B3"/>
    <w:rsid w:val="00FA60FF"/>
    <w:rsid w:val="00FA61A1"/>
    <w:rsid w:val="00FA6224"/>
    <w:rsid w:val="00FA6257"/>
    <w:rsid w:val="00FA6282"/>
    <w:rsid w:val="00FA6372"/>
    <w:rsid w:val="00FA63C0"/>
    <w:rsid w:val="00FA63E2"/>
    <w:rsid w:val="00FA64A6"/>
    <w:rsid w:val="00FA652D"/>
    <w:rsid w:val="00FA6555"/>
    <w:rsid w:val="00FA6719"/>
    <w:rsid w:val="00FA6723"/>
    <w:rsid w:val="00FA6793"/>
    <w:rsid w:val="00FA67D2"/>
    <w:rsid w:val="00FA68CE"/>
    <w:rsid w:val="00FA68FC"/>
    <w:rsid w:val="00FA6972"/>
    <w:rsid w:val="00FA6AF5"/>
    <w:rsid w:val="00FA6B2B"/>
    <w:rsid w:val="00FA6B56"/>
    <w:rsid w:val="00FA6B6C"/>
    <w:rsid w:val="00FA6C1B"/>
    <w:rsid w:val="00FA6D84"/>
    <w:rsid w:val="00FA6DDE"/>
    <w:rsid w:val="00FA6E67"/>
    <w:rsid w:val="00FA6EE0"/>
    <w:rsid w:val="00FA6FAF"/>
    <w:rsid w:val="00FA720A"/>
    <w:rsid w:val="00FA72AF"/>
    <w:rsid w:val="00FA738E"/>
    <w:rsid w:val="00FA751D"/>
    <w:rsid w:val="00FA75BE"/>
    <w:rsid w:val="00FA78A8"/>
    <w:rsid w:val="00FA7937"/>
    <w:rsid w:val="00FA79A9"/>
    <w:rsid w:val="00FA79C9"/>
    <w:rsid w:val="00FA7AF1"/>
    <w:rsid w:val="00FA7BEB"/>
    <w:rsid w:val="00FA7C0C"/>
    <w:rsid w:val="00FA7C58"/>
    <w:rsid w:val="00FA7DB4"/>
    <w:rsid w:val="00FA7DD7"/>
    <w:rsid w:val="00FA7FA3"/>
    <w:rsid w:val="00FB01AB"/>
    <w:rsid w:val="00FB02C2"/>
    <w:rsid w:val="00FB0425"/>
    <w:rsid w:val="00FB04FD"/>
    <w:rsid w:val="00FB0562"/>
    <w:rsid w:val="00FB0784"/>
    <w:rsid w:val="00FB0794"/>
    <w:rsid w:val="00FB0A12"/>
    <w:rsid w:val="00FB0C71"/>
    <w:rsid w:val="00FB0DDC"/>
    <w:rsid w:val="00FB0E2A"/>
    <w:rsid w:val="00FB0F8F"/>
    <w:rsid w:val="00FB0FBE"/>
    <w:rsid w:val="00FB1245"/>
    <w:rsid w:val="00FB124E"/>
    <w:rsid w:val="00FB1272"/>
    <w:rsid w:val="00FB13D2"/>
    <w:rsid w:val="00FB13DD"/>
    <w:rsid w:val="00FB13E9"/>
    <w:rsid w:val="00FB14EE"/>
    <w:rsid w:val="00FB1562"/>
    <w:rsid w:val="00FB1814"/>
    <w:rsid w:val="00FB1891"/>
    <w:rsid w:val="00FB193A"/>
    <w:rsid w:val="00FB197E"/>
    <w:rsid w:val="00FB1990"/>
    <w:rsid w:val="00FB1A1D"/>
    <w:rsid w:val="00FB1B5C"/>
    <w:rsid w:val="00FB1C1D"/>
    <w:rsid w:val="00FB1E5F"/>
    <w:rsid w:val="00FB1FC6"/>
    <w:rsid w:val="00FB20D2"/>
    <w:rsid w:val="00FB21DF"/>
    <w:rsid w:val="00FB2227"/>
    <w:rsid w:val="00FB2282"/>
    <w:rsid w:val="00FB2290"/>
    <w:rsid w:val="00FB236E"/>
    <w:rsid w:val="00FB23BE"/>
    <w:rsid w:val="00FB249C"/>
    <w:rsid w:val="00FB256C"/>
    <w:rsid w:val="00FB258D"/>
    <w:rsid w:val="00FB25D0"/>
    <w:rsid w:val="00FB26BF"/>
    <w:rsid w:val="00FB2708"/>
    <w:rsid w:val="00FB274A"/>
    <w:rsid w:val="00FB2901"/>
    <w:rsid w:val="00FB295F"/>
    <w:rsid w:val="00FB2B5D"/>
    <w:rsid w:val="00FB2C55"/>
    <w:rsid w:val="00FB2F0E"/>
    <w:rsid w:val="00FB2F4B"/>
    <w:rsid w:val="00FB2F66"/>
    <w:rsid w:val="00FB2FB5"/>
    <w:rsid w:val="00FB301E"/>
    <w:rsid w:val="00FB302F"/>
    <w:rsid w:val="00FB3067"/>
    <w:rsid w:val="00FB3092"/>
    <w:rsid w:val="00FB32D7"/>
    <w:rsid w:val="00FB346F"/>
    <w:rsid w:val="00FB34ED"/>
    <w:rsid w:val="00FB350F"/>
    <w:rsid w:val="00FB37A1"/>
    <w:rsid w:val="00FB3819"/>
    <w:rsid w:val="00FB3AA4"/>
    <w:rsid w:val="00FB3D3F"/>
    <w:rsid w:val="00FB3E96"/>
    <w:rsid w:val="00FB4018"/>
    <w:rsid w:val="00FB4021"/>
    <w:rsid w:val="00FB4085"/>
    <w:rsid w:val="00FB40B8"/>
    <w:rsid w:val="00FB44F2"/>
    <w:rsid w:val="00FB4515"/>
    <w:rsid w:val="00FB4561"/>
    <w:rsid w:val="00FB4649"/>
    <w:rsid w:val="00FB4869"/>
    <w:rsid w:val="00FB4A5B"/>
    <w:rsid w:val="00FB4C71"/>
    <w:rsid w:val="00FB4CB5"/>
    <w:rsid w:val="00FB4D03"/>
    <w:rsid w:val="00FB4D33"/>
    <w:rsid w:val="00FB4D74"/>
    <w:rsid w:val="00FB4DCE"/>
    <w:rsid w:val="00FB4EEE"/>
    <w:rsid w:val="00FB4F5E"/>
    <w:rsid w:val="00FB4FC4"/>
    <w:rsid w:val="00FB5084"/>
    <w:rsid w:val="00FB50AE"/>
    <w:rsid w:val="00FB50B1"/>
    <w:rsid w:val="00FB5384"/>
    <w:rsid w:val="00FB5594"/>
    <w:rsid w:val="00FB560D"/>
    <w:rsid w:val="00FB5726"/>
    <w:rsid w:val="00FB577D"/>
    <w:rsid w:val="00FB5A92"/>
    <w:rsid w:val="00FB5BDB"/>
    <w:rsid w:val="00FB5BE7"/>
    <w:rsid w:val="00FB5C50"/>
    <w:rsid w:val="00FB5C64"/>
    <w:rsid w:val="00FB5CAE"/>
    <w:rsid w:val="00FB5D67"/>
    <w:rsid w:val="00FB5DD0"/>
    <w:rsid w:val="00FB5E10"/>
    <w:rsid w:val="00FB5EE8"/>
    <w:rsid w:val="00FB6019"/>
    <w:rsid w:val="00FB6169"/>
    <w:rsid w:val="00FB6199"/>
    <w:rsid w:val="00FB62C7"/>
    <w:rsid w:val="00FB63F6"/>
    <w:rsid w:val="00FB63FD"/>
    <w:rsid w:val="00FB64DB"/>
    <w:rsid w:val="00FB6606"/>
    <w:rsid w:val="00FB6668"/>
    <w:rsid w:val="00FB67F4"/>
    <w:rsid w:val="00FB694D"/>
    <w:rsid w:val="00FB696F"/>
    <w:rsid w:val="00FB6AC8"/>
    <w:rsid w:val="00FB6BF3"/>
    <w:rsid w:val="00FB6C69"/>
    <w:rsid w:val="00FB6CB3"/>
    <w:rsid w:val="00FB6D08"/>
    <w:rsid w:val="00FB6D48"/>
    <w:rsid w:val="00FB6D87"/>
    <w:rsid w:val="00FB6DE5"/>
    <w:rsid w:val="00FB6F35"/>
    <w:rsid w:val="00FB6F42"/>
    <w:rsid w:val="00FB70F3"/>
    <w:rsid w:val="00FB7245"/>
    <w:rsid w:val="00FB7260"/>
    <w:rsid w:val="00FB7293"/>
    <w:rsid w:val="00FB72B0"/>
    <w:rsid w:val="00FB736A"/>
    <w:rsid w:val="00FB73BC"/>
    <w:rsid w:val="00FB753D"/>
    <w:rsid w:val="00FB755A"/>
    <w:rsid w:val="00FB7630"/>
    <w:rsid w:val="00FB7880"/>
    <w:rsid w:val="00FB78C8"/>
    <w:rsid w:val="00FB79FA"/>
    <w:rsid w:val="00FB7C5C"/>
    <w:rsid w:val="00FB7CF2"/>
    <w:rsid w:val="00FB7E5B"/>
    <w:rsid w:val="00FB7F4D"/>
    <w:rsid w:val="00FC00E2"/>
    <w:rsid w:val="00FC00FF"/>
    <w:rsid w:val="00FC0114"/>
    <w:rsid w:val="00FC015C"/>
    <w:rsid w:val="00FC0163"/>
    <w:rsid w:val="00FC0214"/>
    <w:rsid w:val="00FC02B3"/>
    <w:rsid w:val="00FC030C"/>
    <w:rsid w:val="00FC043B"/>
    <w:rsid w:val="00FC0451"/>
    <w:rsid w:val="00FC0462"/>
    <w:rsid w:val="00FC05B9"/>
    <w:rsid w:val="00FC05E2"/>
    <w:rsid w:val="00FC080E"/>
    <w:rsid w:val="00FC08A2"/>
    <w:rsid w:val="00FC0C7C"/>
    <w:rsid w:val="00FC0DE0"/>
    <w:rsid w:val="00FC0E51"/>
    <w:rsid w:val="00FC10AB"/>
    <w:rsid w:val="00FC1196"/>
    <w:rsid w:val="00FC11C9"/>
    <w:rsid w:val="00FC12BA"/>
    <w:rsid w:val="00FC12BE"/>
    <w:rsid w:val="00FC1474"/>
    <w:rsid w:val="00FC1544"/>
    <w:rsid w:val="00FC158A"/>
    <w:rsid w:val="00FC167D"/>
    <w:rsid w:val="00FC170C"/>
    <w:rsid w:val="00FC189D"/>
    <w:rsid w:val="00FC1936"/>
    <w:rsid w:val="00FC19BE"/>
    <w:rsid w:val="00FC19C0"/>
    <w:rsid w:val="00FC1A08"/>
    <w:rsid w:val="00FC1A6B"/>
    <w:rsid w:val="00FC1B1B"/>
    <w:rsid w:val="00FC1BC0"/>
    <w:rsid w:val="00FC1BE9"/>
    <w:rsid w:val="00FC1C2D"/>
    <w:rsid w:val="00FC1C69"/>
    <w:rsid w:val="00FC1C9B"/>
    <w:rsid w:val="00FC1CD6"/>
    <w:rsid w:val="00FC1DA7"/>
    <w:rsid w:val="00FC1E62"/>
    <w:rsid w:val="00FC1EFD"/>
    <w:rsid w:val="00FC1F5C"/>
    <w:rsid w:val="00FC1FD9"/>
    <w:rsid w:val="00FC2041"/>
    <w:rsid w:val="00FC23C6"/>
    <w:rsid w:val="00FC2415"/>
    <w:rsid w:val="00FC24E4"/>
    <w:rsid w:val="00FC278C"/>
    <w:rsid w:val="00FC2927"/>
    <w:rsid w:val="00FC294E"/>
    <w:rsid w:val="00FC297D"/>
    <w:rsid w:val="00FC29D5"/>
    <w:rsid w:val="00FC2A09"/>
    <w:rsid w:val="00FC2AAE"/>
    <w:rsid w:val="00FC2B43"/>
    <w:rsid w:val="00FC2CA9"/>
    <w:rsid w:val="00FC2DCE"/>
    <w:rsid w:val="00FC2DD9"/>
    <w:rsid w:val="00FC2DFD"/>
    <w:rsid w:val="00FC2E4D"/>
    <w:rsid w:val="00FC2EF8"/>
    <w:rsid w:val="00FC2F90"/>
    <w:rsid w:val="00FC31B5"/>
    <w:rsid w:val="00FC32B1"/>
    <w:rsid w:val="00FC330D"/>
    <w:rsid w:val="00FC33AE"/>
    <w:rsid w:val="00FC33C0"/>
    <w:rsid w:val="00FC357D"/>
    <w:rsid w:val="00FC35B2"/>
    <w:rsid w:val="00FC362A"/>
    <w:rsid w:val="00FC3647"/>
    <w:rsid w:val="00FC3739"/>
    <w:rsid w:val="00FC37B2"/>
    <w:rsid w:val="00FC394B"/>
    <w:rsid w:val="00FC396F"/>
    <w:rsid w:val="00FC3B6B"/>
    <w:rsid w:val="00FC3D16"/>
    <w:rsid w:val="00FC3D75"/>
    <w:rsid w:val="00FC3DB5"/>
    <w:rsid w:val="00FC3E66"/>
    <w:rsid w:val="00FC3ED5"/>
    <w:rsid w:val="00FC406A"/>
    <w:rsid w:val="00FC4179"/>
    <w:rsid w:val="00FC41E1"/>
    <w:rsid w:val="00FC4498"/>
    <w:rsid w:val="00FC44AA"/>
    <w:rsid w:val="00FC4766"/>
    <w:rsid w:val="00FC493C"/>
    <w:rsid w:val="00FC4B50"/>
    <w:rsid w:val="00FC4BA9"/>
    <w:rsid w:val="00FC4CCA"/>
    <w:rsid w:val="00FC4D2D"/>
    <w:rsid w:val="00FC4D30"/>
    <w:rsid w:val="00FC4DDE"/>
    <w:rsid w:val="00FC4E54"/>
    <w:rsid w:val="00FC4F98"/>
    <w:rsid w:val="00FC500F"/>
    <w:rsid w:val="00FC5039"/>
    <w:rsid w:val="00FC50E0"/>
    <w:rsid w:val="00FC5151"/>
    <w:rsid w:val="00FC5185"/>
    <w:rsid w:val="00FC533F"/>
    <w:rsid w:val="00FC534E"/>
    <w:rsid w:val="00FC53D2"/>
    <w:rsid w:val="00FC5401"/>
    <w:rsid w:val="00FC5515"/>
    <w:rsid w:val="00FC565D"/>
    <w:rsid w:val="00FC5735"/>
    <w:rsid w:val="00FC579D"/>
    <w:rsid w:val="00FC580D"/>
    <w:rsid w:val="00FC58C6"/>
    <w:rsid w:val="00FC590F"/>
    <w:rsid w:val="00FC59C8"/>
    <w:rsid w:val="00FC5CC8"/>
    <w:rsid w:val="00FC5CE9"/>
    <w:rsid w:val="00FC5ECC"/>
    <w:rsid w:val="00FC5F93"/>
    <w:rsid w:val="00FC603D"/>
    <w:rsid w:val="00FC60A2"/>
    <w:rsid w:val="00FC6186"/>
    <w:rsid w:val="00FC61C7"/>
    <w:rsid w:val="00FC61EE"/>
    <w:rsid w:val="00FC620E"/>
    <w:rsid w:val="00FC6387"/>
    <w:rsid w:val="00FC64D4"/>
    <w:rsid w:val="00FC655F"/>
    <w:rsid w:val="00FC6684"/>
    <w:rsid w:val="00FC66C8"/>
    <w:rsid w:val="00FC66D0"/>
    <w:rsid w:val="00FC67D1"/>
    <w:rsid w:val="00FC68E9"/>
    <w:rsid w:val="00FC6BDF"/>
    <w:rsid w:val="00FC6CD6"/>
    <w:rsid w:val="00FC6DF1"/>
    <w:rsid w:val="00FC6E8C"/>
    <w:rsid w:val="00FC6F98"/>
    <w:rsid w:val="00FC7058"/>
    <w:rsid w:val="00FC719D"/>
    <w:rsid w:val="00FC7267"/>
    <w:rsid w:val="00FC72F3"/>
    <w:rsid w:val="00FC7359"/>
    <w:rsid w:val="00FC74C1"/>
    <w:rsid w:val="00FC74D8"/>
    <w:rsid w:val="00FC7519"/>
    <w:rsid w:val="00FC7540"/>
    <w:rsid w:val="00FC75D6"/>
    <w:rsid w:val="00FC7647"/>
    <w:rsid w:val="00FC76C5"/>
    <w:rsid w:val="00FC771F"/>
    <w:rsid w:val="00FC7767"/>
    <w:rsid w:val="00FC77F6"/>
    <w:rsid w:val="00FC7965"/>
    <w:rsid w:val="00FC7A63"/>
    <w:rsid w:val="00FC7AC2"/>
    <w:rsid w:val="00FC7BE8"/>
    <w:rsid w:val="00FC7C25"/>
    <w:rsid w:val="00FC7D25"/>
    <w:rsid w:val="00FC7DB2"/>
    <w:rsid w:val="00FC7E42"/>
    <w:rsid w:val="00FC7E74"/>
    <w:rsid w:val="00FC7F56"/>
    <w:rsid w:val="00FD0165"/>
    <w:rsid w:val="00FD039C"/>
    <w:rsid w:val="00FD04C3"/>
    <w:rsid w:val="00FD06B0"/>
    <w:rsid w:val="00FD08AC"/>
    <w:rsid w:val="00FD09B3"/>
    <w:rsid w:val="00FD0A15"/>
    <w:rsid w:val="00FD0A23"/>
    <w:rsid w:val="00FD0A30"/>
    <w:rsid w:val="00FD0BA0"/>
    <w:rsid w:val="00FD0BB4"/>
    <w:rsid w:val="00FD0C96"/>
    <w:rsid w:val="00FD0CA0"/>
    <w:rsid w:val="00FD0CB3"/>
    <w:rsid w:val="00FD0CE7"/>
    <w:rsid w:val="00FD0DE3"/>
    <w:rsid w:val="00FD0E55"/>
    <w:rsid w:val="00FD0EE8"/>
    <w:rsid w:val="00FD0F48"/>
    <w:rsid w:val="00FD11EB"/>
    <w:rsid w:val="00FD12CF"/>
    <w:rsid w:val="00FD1384"/>
    <w:rsid w:val="00FD143A"/>
    <w:rsid w:val="00FD1552"/>
    <w:rsid w:val="00FD15B9"/>
    <w:rsid w:val="00FD1775"/>
    <w:rsid w:val="00FD17D2"/>
    <w:rsid w:val="00FD1816"/>
    <w:rsid w:val="00FD189C"/>
    <w:rsid w:val="00FD1937"/>
    <w:rsid w:val="00FD1991"/>
    <w:rsid w:val="00FD1A2B"/>
    <w:rsid w:val="00FD1A47"/>
    <w:rsid w:val="00FD1B05"/>
    <w:rsid w:val="00FD1B29"/>
    <w:rsid w:val="00FD1B76"/>
    <w:rsid w:val="00FD1D46"/>
    <w:rsid w:val="00FD1EEF"/>
    <w:rsid w:val="00FD20D8"/>
    <w:rsid w:val="00FD21F1"/>
    <w:rsid w:val="00FD22C3"/>
    <w:rsid w:val="00FD2317"/>
    <w:rsid w:val="00FD235A"/>
    <w:rsid w:val="00FD23CF"/>
    <w:rsid w:val="00FD244F"/>
    <w:rsid w:val="00FD24E7"/>
    <w:rsid w:val="00FD2814"/>
    <w:rsid w:val="00FD293A"/>
    <w:rsid w:val="00FD2B67"/>
    <w:rsid w:val="00FD2B9F"/>
    <w:rsid w:val="00FD2CBC"/>
    <w:rsid w:val="00FD2D8D"/>
    <w:rsid w:val="00FD2E92"/>
    <w:rsid w:val="00FD2EAD"/>
    <w:rsid w:val="00FD2FA2"/>
    <w:rsid w:val="00FD3052"/>
    <w:rsid w:val="00FD3058"/>
    <w:rsid w:val="00FD3208"/>
    <w:rsid w:val="00FD3279"/>
    <w:rsid w:val="00FD32BA"/>
    <w:rsid w:val="00FD3364"/>
    <w:rsid w:val="00FD33AB"/>
    <w:rsid w:val="00FD33C4"/>
    <w:rsid w:val="00FD34AC"/>
    <w:rsid w:val="00FD34D8"/>
    <w:rsid w:val="00FD362B"/>
    <w:rsid w:val="00FD36F8"/>
    <w:rsid w:val="00FD37AC"/>
    <w:rsid w:val="00FD37BA"/>
    <w:rsid w:val="00FD37E4"/>
    <w:rsid w:val="00FD388E"/>
    <w:rsid w:val="00FD3949"/>
    <w:rsid w:val="00FD399E"/>
    <w:rsid w:val="00FD3AC9"/>
    <w:rsid w:val="00FD3B39"/>
    <w:rsid w:val="00FD3B9F"/>
    <w:rsid w:val="00FD3CA9"/>
    <w:rsid w:val="00FD3CE5"/>
    <w:rsid w:val="00FD3D4F"/>
    <w:rsid w:val="00FD3D53"/>
    <w:rsid w:val="00FD3E16"/>
    <w:rsid w:val="00FD3EF8"/>
    <w:rsid w:val="00FD3F03"/>
    <w:rsid w:val="00FD3F7C"/>
    <w:rsid w:val="00FD400D"/>
    <w:rsid w:val="00FD4037"/>
    <w:rsid w:val="00FD4194"/>
    <w:rsid w:val="00FD41C6"/>
    <w:rsid w:val="00FD41D4"/>
    <w:rsid w:val="00FD42EE"/>
    <w:rsid w:val="00FD4377"/>
    <w:rsid w:val="00FD438A"/>
    <w:rsid w:val="00FD4392"/>
    <w:rsid w:val="00FD4436"/>
    <w:rsid w:val="00FD4613"/>
    <w:rsid w:val="00FD46EC"/>
    <w:rsid w:val="00FD46F1"/>
    <w:rsid w:val="00FD4775"/>
    <w:rsid w:val="00FD4980"/>
    <w:rsid w:val="00FD4B16"/>
    <w:rsid w:val="00FD4B64"/>
    <w:rsid w:val="00FD4DCC"/>
    <w:rsid w:val="00FD4DF5"/>
    <w:rsid w:val="00FD4E6F"/>
    <w:rsid w:val="00FD4ECA"/>
    <w:rsid w:val="00FD4EDE"/>
    <w:rsid w:val="00FD4F0D"/>
    <w:rsid w:val="00FD4F8F"/>
    <w:rsid w:val="00FD507E"/>
    <w:rsid w:val="00FD523D"/>
    <w:rsid w:val="00FD526F"/>
    <w:rsid w:val="00FD52F4"/>
    <w:rsid w:val="00FD5482"/>
    <w:rsid w:val="00FD551E"/>
    <w:rsid w:val="00FD5628"/>
    <w:rsid w:val="00FD568B"/>
    <w:rsid w:val="00FD5739"/>
    <w:rsid w:val="00FD57DF"/>
    <w:rsid w:val="00FD57FD"/>
    <w:rsid w:val="00FD58C5"/>
    <w:rsid w:val="00FD5909"/>
    <w:rsid w:val="00FD592A"/>
    <w:rsid w:val="00FD5A35"/>
    <w:rsid w:val="00FD5A75"/>
    <w:rsid w:val="00FD5A80"/>
    <w:rsid w:val="00FD5BF6"/>
    <w:rsid w:val="00FD5C66"/>
    <w:rsid w:val="00FD5CA0"/>
    <w:rsid w:val="00FD5D3E"/>
    <w:rsid w:val="00FD5E62"/>
    <w:rsid w:val="00FD6053"/>
    <w:rsid w:val="00FD60DA"/>
    <w:rsid w:val="00FD6172"/>
    <w:rsid w:val="00FD6189"/>
    <w:rsid w:val="00FD62ED"/>
    <w:rsid w:val="00FD639D"/>
    <w:rsid w:val="00FD644E"/>
    <w:rsid w:val="00FD653B"/>
    <w:rsid w:val="00FD66F3"/>
    <w:rsid w:val="00FD6782"/>
    <w:rsid w:val="00FD689C"/>
    <w:rsid w:val="00FD68D7"/>
    <w:rsid w:val="00FD69C7"/>
    <w:rsid w:val="00FD69DA"/>
    <w:rsid w:val="00FD6AC3"/>
    <w:rsid w:val="00FD6B2E"/>
    <w:rsid w:val="00FD6B49"/>
    <w:rsid w:val="00FD6E43"/>
    <w:rsid w:val="00FD6E54"/>
    <w:rsid w:val="00FD6EF7"/>
    <w:rsid w:val="00FD7064"/>
    <w:rsid w:val="00FD70A1"/>
    <w:rsid w:val="00FD70A8"/>
    <w:rsid w:val="00FD7167"/>
    <w:rsid w:val="00FD71EC"/>
    <w:rsid w:val="00FD7270"/>
    <w:rsid w:val="00FD7288"/>
    <w:rsid w:val="00FD72AE"/>
    <w:rsid w:val="00FD734F"/>
    <w:rsid w:val="00FD73F1"/>
    <w:rsid w:val="00FD7411"/>
    <w:rsid w:val="00FD7445"/>
    <w:rsid w:val="00FD7498"/>
    <w:rsid w:val="00FD74D7"/>
    <w:rsid w:val="00FD7652"/>
    <w:rsid w:val="00FD7696"/>
    <w:rsid w:val="00FD7717"/>
    <w:rsid w:val="00FD79E4"/>
    <w:rsid w:val="00FD7A9E"/>
    <w:rsid w:val="00FD7C07"/>
    <w:rsid w:val="00FD7CBA"/>
    <w:rsid w:val="00FD7CEB"/>
    <w:rsid w:val="00FD7EA6"/>
    <w:rsid w:val="00FD7FD6"/>
    <w:rsid w:val="00FE0006"/>
    <w:rsid w:val="00FE0058"/>
    <w:rsid w:val="00FE012C"/>
    <w:rsid w:val="00FE0217"/>
    <w:rsid w:val="00FE02BE"/>
    <w:rsid w:val="00FE02DD"/>
    <w:rsid w:val="00FE0301"/>
    <w:rsid w:val="00FE0475"/>
    <w:rsid w:val="00FE0654"/>
    <w:rsid w:val="00FE0693"/>
    <w:rsid w:val="00FE0761"/>
    <w:rsid w:val="00FE078D"/>
    <w:rsid w:val="00FE08CC"/>
    <w:rsid w:val="00FE0917"/>
    <w:rsid w:val="00FE0AB9"/>
    <w:rsid w:val="00FE0B0E"/>
    <w:rsid w:val="00FE0C04"/>
    <w:rsid w:val="00FE0DDF"/>
    <w:rsid w:val="00FE0E35"/>
    <w:rsid w:val="00FE0E87"/>
    <w:rsid w:val="00FE0F20"/>
    <w:rsid w:val="00FE1283"/>
    <w:rsid w:val="00FE153E"/>
    <w:rsid w:val="00FE15F2"/>
    <w:rsid w:val="00FE161D"/>
    <w:rsid w:val="00FE1632"/>
    <w:rsid w:val="00FE1652"/>
    <w:rsid w:val="00FE165F"/>
    <w:rsid w:val="00FE177F"/>
    <w:rsid w:val="00FE190D"/>
    <w:rsid w:val="00FE1983"/>
    <w:rsid w:val="00FE19A1"/>
    <w:rsid w:val="00FE19DF"/>
    <w:rsid w:val="00FE1A95"/>
    <w:rsid w:val="00FE1ACC"/>
    <w:rsid w:val="00FE1AD5"/>
    <w:rsid w:val="00FE1BCC"/>
    <w:rsid w:val="00FE1CA3"/>
    <w:rsid w:val="00FE1E55"/>
    <w:rsid w:val="00FE1F26"/>
    <w:rsid w:val="00FE1F90"/>
    <w:rsid w:val="00FE2034"/>
    <w:rsid w:val="00FE20A2"/>
    <w:rsid w:val="00FE2237"/>
    <w:rsid w:val="00FE2280"/>
    <w:rsid w:val="00FE2302"/>
    <w:rsid w:val="00FE2497"/>
    <w:rsid w:val="00FE25F1"/>
    <w:rsid w:val="00FE25F4"/>
    <w:rsid w:val="00FE2602"/>
    <w:rsid w:val="00FE26A6"/>
    <w:rsid w:val="00FE26BC"/>
    <w:rsid w:val="00FE2823"/>
    <w:rsid w:val="00FE2966"/>
    <w:rsid w:val="00FE2970"/>
    <w:rsid w:val="00FE2B10"/>
    <w:rsid w:val="00FE2C37"/>
    <w:rsid w:val="00FE2D04"/>
    <w:rsid w:val="00FE2F56"/>
    <w:rsid w:val="00FE2FDF"/>
    <w:rsid w:val="00FE301F"/>
    <w:rsid w:val="00FE303A"/>
    <w:rsid w:val="00FE329C"/>
    <w:rsid w:val="00FE33B7"/>
    <w:rsid w:val="00FE3578"/>
    <w:rsid w:val="00FE3793"/>
    <w:rsid w:val="00FE38AE"/>
    <w:rsid w:val="00FE39C4"/>
    <w:rsid w:val="00FE39FC"/>
    <w:rsid w:val="00FE3A2F"/>
    <w:rsid w:val="00FE3B71"/>
    <w:rsid w:val="00FE3D07"/>
    <w:rsid w:val="00FE3ECB"/>
    <w:rsid w:val="00FE3F30"/>
    <w:rsid w:val="00FE3F92"/>
    <w:rsid w:val="00FE3FA3"/>
    <w:rsid w:val="00FE4063"/>
    <w:rsid w:val="00FE410B"/>
    <w:rsid w:val="00FE41A9"/>
    <w:rsid w:val="00FE41AC"/>
    <w:rsid w:val="00FE42A8"/>
    <w:rsid w:val="00FE433E"/>
    <w:rsid w:val="00FE43A2"/>
    <w:rsid w:val="00FE4433"/>
    <w:rsid w:val="00FE4737"/>
    <w:rsid w:val="00FE487A"/>
    <w:rsid w:val="00FE487E"/>
    <w:rsid w:val="00FE4921"/>
    <w:rsid w:val="00FE495E"/>
    <w:rsid w:val="00FE4A82"/>
    <w:rsid w:val="00FE4B4D"/>
    <w:rsid w:val="00FE4D37"/>
    <w:rsid w:val="00FE4D57"/>
    <w:rsid w:val="00FE4DEC"/>
    <w:rsid w:val="00FE4E56"/>
    <w:rsid w:val="00FE4E5D"/>
    <w:rsid w:val="00FE501C"/>
    <w:rsid w:val="00FE50D6"/>
    <w:rsid w:val="00FE56C0"/>
    <w:rsid w:val="00FE573D"/>
    <w:rsid w:val="00FE57CA"/>
    <w:rsid w:val="00FE57E9"/>
    <w:rsid w:val="00FE5925"/>
    <w:rsid w:val="00FE599F"/>
    <w:rsid w:val="00FE5A21"/>
    <w:rsid w:val="00FE5AC0"/>
    <w:rsid w:val="00FE5AD9"/>
    <w:rsid w:val="00FE5BD5"/>
    <w:rsid w:val="00FE5BDA"/>
    <w:rsid w:val="00FE5C47"/>
    <w:rsid w:val="00FE5C9D"/>
    <w:rsid w:val="00FE5D69"/>
    <w:rsid w:val="00FE5E82"/>
    <w:rsid w:val="00FE614D"/>
    <w:rsid w:val="00FE61A8"/>
    <w:rsid w:val="00FE61D2"/>
    <w:rsid w:val="00FE61FE"/>
    <w:rsid w:val="00FE6285"/>
    <w:rsid w:val="00FE629D"/>
    <w:rsid w:val="00FE64E8"/>
    <w:rsid w:val="00FE6657"/>
    <w:rsid w:val="00FE6765"/>
    <w:rsid w:val="00FE6914"/>
    <w:rsid w:val="00FE6936"/>
    <w:rsid w:val="00FE6982"/>
    <w:rsid w:val="00FE6C3F"/>
    <w:rsid w:val="00FE6C85"/>
    <w:rsid w:val="00FE6D31"/>
    <w:rsid w:val="00FE72DF"/>
    <w:rsid w:val="00FE732D"/>
    <w:rsid w:val="00FE736C"/>
    <w:rsid w:val="00FE7381"/>
    <w:rsid w:val="00FE73A4"/>
    <w:rsid w:val="00FE76EB"/>
    <w:rsid w:val="00FE78B6"/>
    <w:rsid w:val="00FE79DF"/>
    <w:rsid w:val="00FE7A33"/>
    <w:rsid w:val="00FE7AB9"/>
    <w:rsid w:val="00FE7ABD"/>
    <w:rsid w:val="00FE7B13"/>
    <w:rsid w:val="00FE7B4C"/>
    <w:rsid w:val="00FE7D51"/>
    <w:rsid w:val="00FE7E6A"/>
    <w:rsid w:val="00FE7F6A"/>
    <w:rsid w:val="00FE8264"/>
    <w:rsid w:val="00FF0069"/>
    <w:rsid w:val="00FF01FE"/>
    <w:rsid w:val="00FF02F8"/>
    <w:rsid w:val="00FF035C"/>
    <w:rsid w:val="00FF043A"/>
    <w:rsid w:val="00FF0469"/>
    <w:rsid w:val="00FF04D4"/>
    <w:rsid w:val="00FF0500"/>
    <w:rsid w:val="00FF060C"/>
    <w:rsid w:val="00FF0660"/>
    <w:rsid w:val="00FF0906"/>
    <w:rsid w:val="00FF0924"/>
    <w:rsid w:val="00FF0B1D"/>
    <w:rsid w:val="00FF0C60"/>
    <w:rsid w:val="00FF0E99"/>
    <w:rsid w:val="00FF0F10"/>
    <w:rsid w:val="00FF0F69"/>
    <w:rsid w:val="00FF103E"/>
    <w:rsid w:val="00FF1113"/>
    <w:rsid w:val="00FF1190"/>
    <w:rsid w:val="00FF1268"/>
    <w:rsid w:val="00FF1279"/>
    <w:rsid w:val="00FF12B4"/>
    <w:rsid w:val="00FF136F"/>
    <w:rsid w:val="00FF140E"/>
    <w:rsid w:val="00FF144A"/>
    <w:rsid w:val="00FF149A"/>
    <w:rsid w:val="00FF15C4"/>
    <w:rsid w:val="00FF160D"/>
    <w:rsid w:val="00FF1625"/>
    <w:rsid w:val="00FF1659"/>
    <w:rsid w:val="00FF16AB"/>
    <w:rsid w:val="00FF16DA"/>
    <w:rsid w:val="00FF1753"/>
    <w:rsid w:val="00FF17A3"/>
    <w:rsid w:val="00FF19C2"/>
    <w:rsid w:val="00FF19D0"/>
    <w:rsid w:val="00FF1AA4"/>
    <w:rsid w:val="00FF1DB2"/>
    <w:rsid w:val="00FF1DBC"/>
    <w:rsid w:val="00FF20BD"/>
    <w:rsid w:val="00FF220F"/>
    <w:rsid w:val="00FF2219"/>
    <w:rsid w:val="00FF2385"/>
    <w:rsid w:val="00FF239D"/>
    <w:rsid w:val="00FF243D"/>
    <w:rsid w:val="00FF245E"/>
    <w:rsid w:val="00FF24A1"/>
    <w:rsid w:val="00FF25D1"/>
    <w:rsid w:val="00FF271B"/>
    <w:rsid w:val="00FF2787"/>
    <w:rsid w:val="00FF281A"/>
    <w:rsid w:val="00FF2883"/>
    <w:rsid w:val="00FF2916"/>
    <w:rsid w:val="00FF2950"/>
    <w:rsid w:val="00FF2A4B"/>
    <w:rsid w:val="00FF2A57"/>
    <w:rsid w:val="00FF2A5E"/>
    <w:rsid w:val="00FF2A95"/>
    <w:rsid w:val="00FF2B74"/>
    <w:rsid w:val="00FF2CF1"/>
    <w:rsid w:val="00FF2D52"/>
    <w:rsid w:val="00FF2EE8"/>
    <w:rsid w:val="00FF2F64"/>
    <w:rsid w:val="00FF2F6A"/>
    <w:rsid w:val="00FF2F83"/>
    <w:rsid w:val="00FF30FE"/>
    <w:rsid w:val="00FF319E"/>
    <w:rsid w:val="00FF3233"/>
    <w:rsid w:val="00FF32DB"/>
    <w:rsid w:val="00FF3359"/>
    <w:rsid w:val="00FF3414"/>
    <w:rsid w:val="00FF3472"/>
    <w:rsid w:val="00FF3574"/>
    <w:rsid w:val="00FF378D"/>
    <w:rsid w:val="00FF37B6"/>
    <w:rsid w:val="00FF37D9"/>
    <w:rsid w:val="00FF37F5"/>
    <w:rsid w:val="00FF3865"/>
    <w:rsid w:val="00FF38A0"/>
    <w:rsid w:val="00FF39A7"/>
    <w:rsid w:val="00FF3A2A"/>
    <w:rsid w:val="00FF3AE7"/>
    <w:rsid w:val="00FF3BB2"/>
    <w:rsid w:val="00FF3C26"/>
    <w:rsid w:val="00FF3D8E"/>
    <w:rsid w:val="00FF3E1E"/>
    <w:rsid w:val="00FF3EC6"/>
    <w:rsid w:val="00FF3EE3"/>
    <w:rsid w:val="00FF41AE"/>
    <w:rsid w:val="00FF41E8"/>
    <w:rsid w:val="00FF41F0"/>
    <w:rsid w:val="00FF4419"/>
    <w:rsid w:val="00FF444D"/>
    <w:rsid w:val="00FF4481"/>
    <w:rsid w:val="00FF450F"/>
    <w:rsid w:val="00FF45F5"/>
    <w:rsid w:val="00FF46A0"/>
    <w:rsid w:val="00FF4707"/>
    <w:rsid w:val="00FF47D0"/>
    <w:rsid w:val="00FF4803"/>
    <w:rsid w:val="00FF486F"/>
    <w:rsid w:val="00FF4A35"/>
    <w:rsid w:val="00FF4AE2"/>
    <w:rsid w:val="00FF4C36"/>
    <w:rsid w:val="00FF4CB0"/>
    <w:rsid w:val="00FF4EBF"/>
    <w:rsid w:val="00FF4F39"/>
    <w:rsid w:val="00FF4FBA"/>
    <w:rsid w:val="00FF4FFA"/>
    <w:rsid w:val="00FF50AD"/>
    <w:rsid w:val="00FF512D"/>
    <w:rsid w:val="00FF5191"/>
    <w:rsid w:val="00FF53FA"/>
    <w:rsid w:val="00FF5482"/>
    <w:rsid w:val="00FF5546"/>
    <w:rsid w:val="00FF5550"/>
    <w:rsid w:val="00FF5576"/>
    <w:rsid w:val="00FF570E"/>
    <w:rsid w:val="00FF5715"/>
    <w:rsid w:val="00FF576F"/>
    <w:rsid w:val="00FF5B2F"/>
    <w:rsid w:val="00FF5D17"/>
    <w:rsid w:val="00FF5E3D"/>
    <w:rsid w:val="00FF5ED9"/>
    <w:rsid w:val="00FF5F84"/>
    <w:rsid w:val="00FF5FAF"/>
    <w:rsid w:val="00FF614C"/>
    <w:rsid w:val="00FF6233"/>
    <w:rsid w:val="00FF627A"/>
    <w:rsid w:val="00FF62AC"/>
    <w:rsid w:val="00FF634D"/>
    <w:rsid w:val="00FF64A4"/>
    <w:rsid w:val="00FF64B4"/>
    <w:rsid w:val="00FF64F7"/>
    <w:rsid w:val="00FF64FD"/>
    <w:rsid w:val="00FF6660"/>
    <w:rsid w:val="00FF6849"/>
    <w:rsid w:val="00FF693A"/>
    <w:rsid w:val="00FF6A38"/>
    <w:rsid w:val="00FF6ABD"/>
    <w:rsid w:val="00FF6AF7"/>
    <w:rsid w:val="00FF6BAC"/>
    <w:rsid w:val="00FF6D07"/>
    <w:rsid w:val="00FF6EFF"/>
    <w:rsid w:val="00FF702C"/>
    <w:rsid w:val="00FF702D"/>
    <w:rsid w:val="00FF72DE"/>
    <w:rsid w:val="00FF741F"/>
    <w:rsid w:val="00FF7455"/>
    <w:rsid w:val="00FF7512"/>
    <w:rsid w:val="00FF751C"/>
    <w:rsid w:val="00FF75B9"/>
    <w:rsid w:val="00FF763A"/>
    <w:rsid w:val="00FF76BF"/>
    <w:rsid w:val="00FF76C3"/>
    <w:rsid w:val="00FF7721"/>
    <w:rsid w:val="00FF782E"/>
    <w:rsid w:val="00FF792A"/>
    <w:rsid w:val="00FF7A7E"/>
    <w:rsid w:val="00FF7A97"/>
    <w:rsid w:val="00FF7C0C"/>
    <w:rsid w:val="00FF7D48"/>
    <w:rsid w:val="00FF7D4A"/>
    <w:rsid w:val="00FF7DA2"/>
    <w:rsid w:val="00FF7DF7"/>
    <w:rsid w:val="00FF7F17"/>
    <w:rsid w:val="01048E68"/>
    <w:rsid w:val="01049A03"/>
    <w:rsid w:val="0108AC5C"/>
    <w:rsid w:val="01095B29"/>
    <w:rsid w:val="010B5F11"/>
    <w:rsid w:val="010E3D34"/>
    <w:rsid w:val="010E6F82"/>
    <w:rsid w:val="010FF26B"/>
    <w:rsid w:val="0110CBE2"/>
    <w:rsid w:val="01120EAF"/>
    <w:rsid w:val="01176BED"/>
    <w:rsid w:val="0117A36A"/>
    <w:rsid w:val="011B8D78"/>
    <w:rsid w:val="0121C580"/>
    <w:rsid w:val="012995D0"/>
    <w:rsid w:val="012ED0C0"/>
    <w:rsid w:val="01309182"/>
    <w:rsid w:val="013096D1"/>
    <w:rsid w:val="01340CD9"/>
    <w:rsid w:val="0138EB93"/>
    <w:rsid w:val="0144B79B"/>
    <w:rsid w:val="014900E6"/>
    <w:rsid w:val="014BFF2D"/>
    <w:rsid w:val="014C36FF"/>
    <w:rsid w:val="01538544"/>
    <w:rsid w:val="0153D6DB"/>
    <w:rsid w:val="015A1DF9"/>
    <w:rsid w:val="015E37AC"/>
    <w:rsid w:val="015EC171"/>
    <w:rsid w:val="015F457B"/>
    <w:rsid w:val="015F6ABD"/>
    <w:rsid w:val="01617EC4"/>
    <w:rsid w:val="0161EAC0"/>
    <w:rsid w:val="0167FC79"/>
    <w:rsid w:val="016CB35E"/>
    <w:rsid w:val="0170C4D2"/>
    <w:rsid w:val="0171121E"/>
    <w:rsid w:val="01742233"/>
    <w:rsid w:val="01764789"/>
    <w:rsid w:val="01776A4D"/>
    <w:rsid w:val="01779DD0"/>
    <w:rsid w:val="017A7E1F"/>
    <w:rsid w:val="017AD322"/>
    <w:rsid w:val="017E1461"/>
    <w:rsid w:val="0182DCD5"/>
    <w:rsid w:val="018BE0FD"/>
    <w:rsid w:val="018E6D95"/>
    <w:rsid w:val="019001E4"/>
    <w:rsid w:val="01906D9B"/>
    <w:rsid w:val="0190A5DC"/>
    <w:rsid w:val="0190B50A"/>
    <w:rsid w:val="0198475A"/>
    <w:rsid w:val="019B045D"/>
    <w:rsid w:val="01A37AE1"/>
    <w:rsid w:val="01A7B241"/>
    <w:rsid w:val="01A954D7"/>
    <w:rsid w:val="01AAB180"/>
    <w:rsid w:val="01AB186E"/>
    <w:rsid w:val="01ACE80A"/>
    <w:rsid w:val="01AF6275"/>
    <w:rsid w:val="01B2D27B"/>
    <w:rsid w:val="01B6142C"/>
    <w:rsid w:val="01B9F369"/>
    <w:rsid w:val="01BB38CD"/>
    <w:rsid w:val="01C32032"/>
    <w:rsid w:val="01CCA5B0"/>
    <w:rsid w:val="01D5D1F1"/>
    <w:rsid w:val="01D91D7F"/>
    <w:rsid w:val="01E06F63"/>
    <w:rsid w:val="01E33473"/>
    <w:rsid w:val="01E3AE5E"/>
    <w:rsid w:val="01E4B874"/>
    <w:rsid w:val="01E9A1E9"/>
    <w:rsid w:val="01ECE428"/>
    <w:rsid w:val="01EE517D"/>
    <w:rsid w:val="01EE62BC"/>
    <w:rsid w:val="01F198AD"/>
    <w:rsid w:val="01F78435"/>
    <w:rsid w:val="01FCA364"/>
    <w:rsid w:val="01FF209E"/>
    <w:rsid w:val="01FFFF8A"/>
    <w:rsid w:val="0203221F"/>
    <w:rsid w:val="0204307A"/>
    <w:rsid w:val="02063C62"/>
    <w:rsid w:val="0208ECC6"/>
    <w:rsid w:val="020E396C"/>
    <w:rsid w:val="02111A01"/>
    <w:rsid w:val="021181B5"/>
    <w:rsid w:val="0212096F"/>
    <w:rsid w:val="021456EB"/>
    <w:rsid w:val="02164DE0"/>
    <w:rsid w:val="021659D2"/>
    <w:rsid w:val="02207E5B"/>
    <w:rsid w:val="02207FB0"/>
    <w:rsid w:val="02253126"/>
    <w:rsid w:val="02256981"/>
    <w:rsid w:val="0226731D"/>
    <w:rsid w:val="022731E5"/>
    <w:rsid w:val="0227F8B6"/>
    <w:rsid w:val="0238AA86"/>
    <w:rsid w:val="02397200"/>
    <w:rsid w:val="023EBA6D"/>
    <w:rsid w:val="0244F0CF"/>
    <w:rsid w:val="0246FB6F"/>
    <w:rsid w:val="0249E0DF"/>
    <w:rsid w:val="024B8D2A"/>
    <w:rsid w:val="024BC2C5"/>
    <w:rsid w:val="02522412"/>
    <w:rsid w:val="02545C6D"/>
    <w:rsid w:val="02561284"/>
    <w:rsid w:val="0262545F"/>
    <w:rsid w:val="02667AE4"/>
    <w:rsid w:val="026E7504"/>
    <w:rsid w:val="02729D2A"/>
    <w:rsid w:val="0273F832"/>
    <w:rsid w:val="027C72A2"/>
    <w:rsid w:val="027C7EF5"/>
    <w:rsid w:val="0286D537"/>
    <w:rsid w:val="0288120B"/>
    <w:rsid w:val="0288FF37"/>
    <w:rsid w:val="02896FC6"/>
    <w:rsid w:val="028A5936"/>
    <w:rsid w:val="028A5F3E"/>
    <w:rsid w:val="028E69AA"/>
    <w:rsid w:val="028FB702"/>
    <w:rsid w:val="029425DD"/>
    <w:rsid w:val="029712B1"/>
    <w:rsid w:val="029A4AD9"/>
    <w:rsid w:val="029A6288"/>
    <w:rsid w:val="029D05F1"/>
    <w:rsid w:val="029F94EB"/>
    <w:rsid w:val="02A88C5C"/>
    <w:rsid w:val="02A8D9F7"/>
    <w:rsid w:val="02AAEF28"/>
    <w:rsid w:val="02ABC9C9"/>
    <w:rsid w:val="02B20E8D"/>
    <w:rsid w:val="02B3FCCB"/>
    <w:rsid w:val="02B6074E"/>
    <w:rsid w:val="02BE39F7"/>
    <w:rsid w:val="02C6B49F"/>
    <w:rsid w:val="02CED8B0"/>
    <w:rsid w:val="02D112FD"/>
    <w:rsid w:val="02D21027"/>
    <w:rsid w:val="02D591DB"/>
    <w:rsid w:val="02D5A684"/>
    <w:rsid w:val="02D5BF84"/>
    <w:rsid w:val="02D8EA7D"/>
    <w:rsid w:val="02DBCAAF"/>
    <w:rsid w:val="02DC6F42"/>
    <w:rsid w:val="02E127FD"/>
    <w:rsid w:val="02E159D7"/>
    <w:rsid w:val="02E49C4C"/>
    <w:rsid w:val="02E5043B"/>
    <w:rsid w:val="02E61097"/>
    <w:rsid w:val="02E7ED07"/>
    <w:rsid w:val="02EE3DC9"/>
    <w:rsid w:val="02EF4F05"/>
    <w:rsid w:val="02F0B527"/>
    <w:rsid w:val="02FCFA92"/>
    <w:rsid w:val="02FEF6A1"/>
    <w:rsid w:val="0305C09C"/>
    <w:rsid w:val="03075DD8"/>
    <w:rsid w:val="03095263"/>
    <w:rsid w:val="030A7607"/>
    <w:rsid w:val="030BB961"/>
    <w:rsid w:val="030ED1BB"/>
    <w:rsid w:val="030F18C6"/>
    <w:rsid w:val="030FB7CD"/>
    <w:rsid w:val="03163A70"/>
    <w:rsid w:val="03182360"/>
    <w:rsid w:val="0318EB41"/>
    <w:rsid w:val="031B94E3"/>
    <w:rsid w:val="031BF2D4"/>
    <w:rsid w:val="03241645"/>
    <w:rsid w:val="0328120C"/>
    <w:rsid w:val="032E8DEB"/>
    <w:rsid w:val="033054A1"/>
    <w:rsid w:val="033507E2"/>
    <w:rsid w:val="0337770B"/>
    <w:rsid w:val="0338DB08"/>
    <w:rsid w:val="033ABD72"/>
    <w:rsid w:val="033CE0F8"/>
    <w:rsid w:val="033F10A6"/>
    <w:rsid w:val="033FFB91"/>
    <w:rsid w:val="034275A2"/>
    <w:rsid w:val="03473555"/>
    <w:rsid w:val="034A2B69"/>
    <w:rsid w:val="034B07CF"/>
    <w:rsid w:val="034CB2B5"/>
    <w:rsid w:val="034D2C93"/>
    <w:rsid w:val="0356A856"/>
    <w:rsid w:val="03572C51"/>
    <w:rsid w:val="035737D6"/>
    <w:rsid w:val="035C8313"/>
    <w:rsid w:val="0366CFEB"/>
    <w:rsid w:val="0369ED6B"/>
    <w:rsid w:val="036B0DF0"/>
    <w:rsid w:val="0370446B"/>
    <w:rsid w:val="0372CD8C"/>
    <w:rsid w:val="0372F6C0"/>
    <w:rsid w:val="0373C8DF"/>
    <w:rsid w:val="03779E41"/>
    <w:rsid w:val="0378AC1F"/>
    <w:rsid w:val="037A91A8"/>
    <w:rsid w:val="037AAAC9"/>
    <w:rsid w:val="037B7EF8"/>
    <w:rsid w:val="037BE6DC"/>
    <w:rsid w:val="037D10BF"/>
    <w:rsid w:val="037F6DBA"/>
    <w:rsid w:val="03804A7F"/>
    <w:rsid w:val="03837870"/>
    <w:rsid w:val="038677D4"/>
    <w:rsid w:val="03899CBA"/>
    <w:rsid w:val="038EF2CE"/>
    <w:rsid w:val="038F0B05"/>
    <w:rsid w:val="03909C4C"/>
    <w:rsid w:val="03954CDE"/>
    <w:rsid w:val="03990785"/>
    <w:rsid w:val="039AE362"/>
    <w:rsid w:val="039FC8D2"/>
    <w:rsid w:val="03A24AE6"/>
    <w:rsid w:val="03A3579B"/>
    <w:rsid w:val="03A3C39A"/>
    <w:rsid w:val="03A422AC"/>
    <w:rsid w:val="03A9722B"/>
    <w:rsid w:val="03AA1CDE"/>
    <w:rsid w:val="03AD5470"/>
    <w:rsid w:val="03AF4417"/>
    <w:rsid w:val="03B2A922"/>
    <w:rsid w:val="03B2ECB8"/>
    <w:rsid w:val="03C77A66"/>
    <w:rsid w:val="03CD4967"/>
    <w:rsid w:val="03D04EF1"/>
    <w:rsid w:val="03D0AF30"/>
    <w:rsid w:val="03D242E3"/>
    <w:rsid w:val="03D3B878"/>
    <w:rsid w:val="03D9E37E"/>
    <w:rsid w:val="03DB3CD7"/>
    <w:rsid w:val="03DC32D4"/>
    <w:rsid w:val="03DF5F1F"/>
    <w:rsid w:val="03E6E881"/>
    <w:rsid w:val="03E8F4D3"/>
    <w:rsid w:val="03EBE04E"/>
    <w:rsid w:val="03ED039A"/>
    <w:rsid w:val="03EF4845"/>
    <w:rsid w:val="03F08088"/>
    <w:rsid w:val="03F5940D"/>
    <w:rsid w:val="03F745C4"/>
    <w:rsid w:val="03F9081A"/>
    <w:rsid w:val="03FBA118"/>
    <w:rsid w:val="03FEF186"/>
    <w:rsid w:val="0400BB80"/>
    <w:rsid w:val="040372F0"/>
    <w:rsid w:val="0404EB8E"/>
    <w:rsid w:val="04057DB0"/>
    <w:rsid w:val="0405B764"/>
    <w:rsid w:val="04090829"/>
    <w:rsid w:val="040C81D3"/>
    <w:rsid w:val="040DEB35"/>
    <w:rsid w:val="0412DDC2"/>
    <w:rsid w:val="04143B2F"/>
    <w:rsid w:val="0415ECD4"/>
    <w:rsid w:val="041685F3"/>
    <w:rsid w:val="041891DD"/>
    <w:rsid w:val="041A7986"/>
    <w:rsid w:val="041AD2FD"/>
    <w:rsid w:val="0420916B"/>
    <w:rsid w:val="0420B6D2"/>
    <w:rsid w:val="0420D467"/>
    <w:rsid w:val="04224999"/>
    <w:rsid w:val="0422E35E"/>
    <w:rsid w:val="04245E73"/>
    <w:rsid w:val="0425564D"/>
    <w:rsid w:val="0428A9CF"/>
    <w:rsid w:val="042BC40C"/>
    <w:rsid w:val="043F18D7"/>
    <w:rsid w:val="04487E02"/>
    <w:rsid w:val="044AD953"/>
    <w:rsid w:val="044B986A"/>
    <w:rsid w:val="044E5E88"/>
    <w:rsid w:val="044F3F4C"/>
    <w:rsid w:val="045090EC"/>
    <w:rsid w:val="04519761"/>
    <w:rsid w:val="0459038F"/>
    <w:rsid w:val="0459653E"/>
    <w:rsid w:val="045FE5CF"/>
    <w:rsid w:val="04603D5A"/>
    <w:rsid w:val="0463010E"/>
    <w:rsid w:val="046752C2"/>
    <w:rsid w:val="04679770"/>
    <w:rsid w:val="046861CC"/>
    <w:rsid w:val="0468D5FE"/>
    <w:rsid w:val="046A07C2"/>
    <w:rsid w:val="046B91F3"/>
    <w:rsid w:val="046D3E94"/>
    <w:rsid w:val="046DBCC9"/>
    <w:rsid w:val="046F427C"/>
    <w:rsid w:val="046F955F"/>
    <w:rsid w:val="0470EF44"/>
    <w:rsid w:val="0476D2E7"/>
    <w:rsid w:val="047F5DFE"/>
    <w:rsid w:val="048182CC"/>
    <w:rsid w:val="0483273A"/>
    <w:rsid w:val="0485BD1B"/>
    <w:rsid w:val="0485E284"/>
    <w:rsid w:val="0485EAF4"/>
    <w:rsid w:val="0486207B"/>
    <w:rsid w:val="0486B7B3"/>
    <w:rsid w:val="048C1874"/>
    <w:rsid w:val="04907C23"/>
    <w:rsid w:val="04915AF3"/>
    <w:rsid w:val="0493AC08"/>
    <w:rsid w:val="04956BB2"/>
    <w:rsid w:val="049AB307"/>
    <w:rsid w:val="049D2328"/>
    <w:rsid w:val="049D4D76"/>
    <w:rsid w:val="04A6D5D2"/>
    <w:rsid w:val="04A93B8E"/>
    <w:rsid w:val="04A95239"/>
    <w:rsid w:val="04AB7CBE"/>
    <w:rsid w:val="04AF71D5"/>
    <w:rsid w:val="04B5B7AE"/>
    <w:rsid w:val="04B65EB5"/>
    <w:rsid w:val="04B675C7"/>
    <w:rsid w:val="04B86162"/>
    <w:rsid w:val="04BF6A38"/>
    <w:rsid w:val="04C26FB5"/>
    <w:rsid w:val="04C556D4"/>
    <w:rsid w:val="04C5CB6A"/>
    <w:rsid w:val="04C6308A"/>
    <w:rsid w:val="04CB2D3C"/>
    <w:rsid w:val="04D1A807"/>
    <w:rsid w:val="04D238A1"/>
    <w:rsid w:val="04D988D8"/>
    <w:rsid w:val="04DCC314"/>
    <w:rsid w:val="04DDBDB5"/>
    <w:rsid w:val="04EA1044"/>
    <w:rsid w:val="04EA927B"/>
    <w:rsid w:val="04EB05BA"/>
    <w:rsid w:val="04EDC8EC"/>
    <w:rsid w:val="04EDCB62"/>
    <w:rsid w:val="04EEE250"/>
    <w:rsid w:val="04F06B05"/>
    <w:rsid w:val="04F09F6B"/>
    <w:rsid w:val="04F1753A"/>
    <w:rsid w:val="04F48F7C"/>
    <w:rsid w:val="04F4E225"/>
    <w:rsid w:val="04FBF021"/>
    <w:rsid w:val="04FD1317"/>
    <w:rsid w:val="04FECD32"/>
    <w:rsid w:val="05004CF1"/>
    <w:rsid w:val="050295CF"/>
    <w:rsid w:val="0507F02B"/>
    <w:rsid w:val="050C3583"/>
    <w:rsid w:val="050C36F4"/>
    <w:rsid w:val="0510186F"/>
    <w:rsid w:val="05111209"/>
    <w:rsid w:val="05124F66"/>
    <w:rsid w:val="051303C5"/>
    <w:rsid w:val="051564EE"/>
    <w:rsid w:val="05167A67"/>
    <w:rsid w:val="0516DF23"/>
    <w:rsid w:val="0517BAC0"/>
    <w:rsid w:val="051A3CE3"/>
    <w:rsid w:val="051A8072"/>
    <w:rsid w:val="051B9E76"/>
    <w:rsid w:val="0521BE24"/>
    <w:rsid w:val="0522E7C7"/>
    <w:rsid w:val="052996ED"/>
    <w:rsid w:val="05356CC4"/>
    <w:rsid w:val="053573A9"/>
    <w:rsid w:val="05358EBA"/>
    <w:rsid w:val="0537922D"/>
    <w:rsid w:val="0537B3C2"/>
    <w:rsid w:val="053B17BF"/>
    <w:rsid w:val="053B30B6"/>
    <w:rsid w:val="053CBB19"/>
    <w:rsid w:val="0542A46F"/>
    <w:rsid w:val="05431A26"/>
    <w:rsid w:val="0543627C"/>
    <w:rsid w:val="0546F09F"/>
    <w:rsid w:val="054A9FC5"/>
    <w:rsid w:val="054ACEE2"/>
    <w:rsid w:val="054C4197"/>
    <w:rsid w:val="054D0A42"/>
    <w:rsid w:val="054D7277"/>
    <w:rsid w:val="054E6A75"/>
    <w:rsid w:val="054EF69A"/>
    <w:rsid w:val="0550DC1C"/>
    <w:rsid w:val="055243C5"/>
    <w:rsid w:val="05543812"/>
    <w:rsid w:val="055640F0"/>
    <w:rsid w:val="0556CC19"/>
    <w:rsid w:val="055831C8"/>
    <w:rsid w:val="0559191B"/>
    <w:rsid w:val="055D8875"/>
    <w:rsid w:val="0565543A"/>
    <w:rsid w:val="056D9B97"/>
    <w:rsid w:val="056FF388"/>
    <w:rsid w:val="057180CB"/>
    <w:rsid w:val="05749F09"/>
    <w:rsid w:val="05750184"/>
    <w:rsid w:val="057958AF"/>
    <w:rsid w:val="057E0A99"/>
    <w:rsid w:val="058157C3"/>
    <w:rsid w:val="05819593"/>
    <w:rsid w:val="0586CCAB"/>
    <w:rsid w:val="05898AAE"/>
    <w:rsid w:val="058A55E2"/>
    <w:rsid w:val="058C74E3"/>
    <w:rsid w:val="058DBB4D"/>
    <w:rsid w:val="058DD6D0"/>
    <w:rsid w:val="058F53E0"/>
    <w:rsid w:val="05902EE2"/>
    <w:rsid w:val="05923948"/>
    <w:rsid w:val="0596306E"/>
    <w:rsid w:val="059830A8"/>
    <w:rsid w:val="0599E4DE"/>
    <w:rsid w:val="059F8A3A"/>
    <w:rsid w:val="05A086C4"/>
    <w:rsid w:val="05A2DD47"/>
    <w:rsid w:val="05A391B7"/>
    <w:rsid w:val="05A62026"/>
    <w:rsid w:val="05A62BC9"/>
    <w:rsid w:val="05A7DCDC"/>
    <w:rsid w:val="05A814C2"/>
    <w:rsid w:val="05A81E17"/>
    <w:rsid w:val="05A88732"/>
    <w:rsid w:val="05AC4047"/>
    <w:rsid w:val="05ADF1F3"/>
    <w:rsid w:val="05AF1E8E"/>
    <w:rsid w:val="05AF41C6"/>
    <w:rsid w:val="05B2A41A"/>
    <w:rsid w:val="05B30E96"/>
    <w:rsid w:val="05BB7F5D"/>
    <w:rsid w:val="05BDB9D3"/>
    <w:rsid w:val="05C35829"/>
    <w:rsid w:val="05C83514"/>
    <w:rsid w:val="05CD42B9"/>
    <w:rsid w:val="05D982F4"/>
    <w:rsid w:val="05D9E87A"/>
    <w:rsid w:val="05DA2C5D"/>
    <w:rsid w:val="05DC8314"/>
    <w:rsid w:val="05E02EBB"/>
    <w:rsid w:val="05E145D1"/>
    <w:rsid w:val="05E56161"/>
    <w:rsid w:val="05E5FFB8"/>
    <w:rsid w:val="05E95CE9"/>
    <w:rsid w:val="05ED9F74"/>
    <w:rsid w:val="05EE3086"/>
    <w:rsid w:val="05F42484"/>
    <w:rsid w:val="05FB5B68"/>
    <w:rsid w:val="05FC6EA6"/>
    <w:rsid w:val="05FDD374"/>
    <w:rsid w:val="05FF49A2"/>
    <w:rsid w:val="06008230"/>
    <w:rsid w:val="0602B19A"/>
    <w:rsid w:val="060FD6FC"/>
    <w:rsid w:val="061113FC"/>
    <w:rsid w:val="06126F56"/>
    <w:rsid w:val="06167829"/>
    <w:rsid w:val="061B8DA4"/>
    <w:rsid w:val="061BCA87"/>
    <w:rsid w:val="061C36C8"/>
    <w:rsid w:val="061EDB0D"/>
    <w:rsid w:val="061FF841"/>
    <w:rsid w:val="0620655B"/>
    <w:rsid w:val="06244A94"/>
    <w:rsid w:val="0626E499"/>
    <w:rsid w:val="06274227"/>
    <w:rsid w:val="062762BF"/>
    <w:rsid w:val="062837B8"/>
    <w:rsid w:val="06293FB4"/>
    <w:rsid w:val="062BDF7B"/>
    <w:rsid w:val="062E2A3D"/>
    <w:rsid w:val="06302F0A"/>
    <w:rsid w:val="06311868"/>
    <w:rsid w:val="0637901D"/>
    <w:rsid w:val="063885DA"/>
    <w:rsid w:val="063F79F4"/>
    <w:rsid w:val="0643CE6E"/>
    <w:rsid w:val="0644A432"/>
    <w:rsid w:val="0646DEF6"/>
    <w:rsid w:val="0649154E"/>
    <w:rsid w:val="0649CFF7"/>
    <w:rsid w:val="0649F69B"/>
    <w:rsid w:val="064C0F50"/>
    <w:rsid w:val="064DF179"/>
    <w:rsid w:val="0654CDEB"/>
    <w:rsid w:val="06563001"/>
    <w:rsid w:val="065759F1"/>
    <w:rsid w:val="065BE362"/>
    <w:rsid w:val="065BF932"/>
    <w:rsid w:val="065D524A"/>
    <w:rsid w:val="065D8144"/>
    <w:rsid w:val="066590D1"/>
    <w:rsid w:val="066E76D3"/>
    <w:rsid w:val="066E7A75"/>
    <w:rsid w:val="066E9B48"/>
    <w:rsid w:val="06728253"/>
    <w:rsid w:val="0673B1BC"/>
    <w:rsid w:val="0674C8A3"/>
    <w:rsid w:val="0675125B"/>
    <w:rsid w:val="06777434"/>
    <w:rsid w:val="0677BE21"/>
    <w:rsid w:val="067A23C7"/>
    <w:rsid w:val="067ACC32"/>
    <w:rsid w:val="067C6F93"/>
    <w:rsid w:val="067E6C2F"/>
    <w:rsid w:val="067E8594"/>
    <w:rsid w:val="067F09E0"/>
    <w:rsid w:val="06813D53"/>
    <w:rsid w:val="068A70D8"/>
    <w:rsid w:val="068B88B2"/>
    <w:rsid w:val="068D11DF"/>
    <w:rsid w:val="0693962F"/>
    <w:rsid w:val="0694B5CC"/>
    <w:rsid w:val="06958C56"/>
    <w:rsid w:val="0696A7B3"/>
    <w:rsid w:val="06970048"/>
    <w:rsid w:val="0697F597"/>
    <w:rsid w:val="06983A70"/>
    <w:rsid w:val="069CCC7E"/>
    <w:rsid w:val="06A4BB7D"/>
    <w:rsid w:val="06A85AAD"/>
    <w:rsid w:val="06A9549A"/>
    <w:rsid w:val="06AACB82"/>
    <w:rsid w:val="06AF3C1C"/>
    <w:rsid w:val="06B2F0A2"/>
    <w:rsid w:val="06B5703A"/>
    <w:rsid w:val="06B8227D"/>
    <w:rsid w:val="06B88C82"/>
    <w:rsid w:val="06B933DF"/>
    <w:rsid w:val="06BCB4EA"/>
    <w:rsid w:val="06BD87EA"/>
    <w:rsid w:val="06C353DD"/>
    <w:rsid w:val="06C82051"/>
    <w:rsid w:val="06C9609A"/>
    <w:rsid w:val="06CB23D8"/>
    <w:rsid w:val="06CC0EFD"/>
    <w:rsid w:val="06CC488F"/>
    <w:rsid w:val="06D696A5"/>
    <w:rsid w:val="06D8AA1B"/>
    <w:rsid w:val="06DAFFAB"/>
    <w:rsid w:val="06DCFE25"/>
    <w:rsid w:val="06DDD828"/>
    <w:rsid w:val="06E58BC7"/>
    <w:rsid w:val="06E72166"/>
    <w:rsid w:val="06E73C1A"/>
    <w:rsid w:val="06E7AD0C"/>
    <w:rsid w:val="06EB0E4F"/>
    <w:rsid w:val="06EB608A"/>
    <w:rsid w:val="06F28343"/>
    <w:rsid w:val="06F98025"/>
    <w:rsid w:val="06FCEE3C"/>
    <w:rsid w:val="06FF4F05"/>
    <w:rsid w:val="06FFF31B"/>
    <w:rsid w:val="07037F01"/>
    <w:rsid w:val="070452FE"/>
    <w:rsid w:val="070582B5"/>
    <w:rsid w:val="07062AA5"/>
    <w:rsid w:val="07107176"/>
    <w:rsid w:val="0713575B"/>
    <w:rsid w:val="07136459"/>
    <w:rsid w:val="07143E90"/>
    <w:rsid w:val="0717C839"/>
    <w:rsid w:val="07182AB5"/>
    <w:rsid w:val="071ABB3B"/>
    <w:rsid w:val="071E5042"/>
    <w:rsid w:val="0720A8E0"/>
    <w:rsid w:val="07212E87"/>
    <w:rsid w:val="07278897"/>
    <w:rsid w:val="072EA95B"/>
    <w:rsid w:val="07312D74"/>
    <w:rsid w:val="07353E79"/>
    <w:rsid w:val="0736AC90"/>
    <w:rsid w:val="073AE822"/>
    <w:rsid w:val="073B8369"/>
    <w:rsid w:val="073C80D1"/>
    <w:rsid w:val="073D9238"/>
    <w:rsid w:val="0744FC8A"/>
    <w:rsid w:val="07479AD0"/>
    <w:rsid w:val="074AAE8D"/>
    <w:rsid w:val="074C47BC"/>
    <w:rsid w:val="074E2AAC"/>
    <w:rsid w:val="074E6E99"/>
    <w:rsid w:val="0751C666"/>
    <w:rsid w:val="075489D8"/>
    <w:rsid w:val="0755569B"/>
    <w:rsid w:val="0757B008"/>
    <w:rsid w:val="0758BB6E"/>
    <w:rsid w:val="075A7BDD"/>
    <w:rsid w:val="075AAD41"/>
    <w:rsid w:val="075B9143"/>
    <w:rsid w:val="075BC5EF"/>
    <w:rsid w:val="075F70C9"/>
    <w:rsid w:val="07612A89"/>
    <w:rsid w:val="07632EC1"/>
    <w:rsid w:val="0767EE9F"/>
    <w:rsid w:val="07711190"/>
    <w:rsid w:val="07717054"/>
    <w:rsid w:val="077AF901"/>
    <w:rsid w:val="077B4935"/>
    <w:rsid w:val="0788D9D1"/>
    <w:rsid w:val="078C6D5C"/>
    <w:rsid w:val="078E66CF"/>
    <w:rsid w:val="078FB1F7"/>
    <w:rsid w:val="078FDACA"/>
    <w:rsid w:val="078FE54B"/>
    <w:rsid w:val="07921ADB"/>
    <w:rsid w:val="0794A83E"/>
    <w:rsid w:val="0796AE66"/>
    <w:rsid w:val="07971013"/>
    <w:rsid w:val="079ADCFC"/>
    <w:rsid w:val="079AF214"/>
    <w:rsid w:val="079B5A93"/>
    <w:rsid w:val="079CB5D9"/>
    <w:rsid w:val="079CEE12"/>
    <w:rsid w:val="079D56DF"/>
    <w:rsid w:val="07A315D6"/>
    <w:rsid w:val="07A3FA51"/>
    <w:rsid w:val="07A7FE9A"/>
    <w:rsid w:val="07AC7653"/>
    <w:rsid w:val="07AE73C8"/>
    <w:rsid w:val="07B4545B"/>
    <w:rsid w:val="07B58772"/>
    <w:rsid w:val="07B65EBE"/>
    <w:rsid w:val="07B80181"/>
    <w:rsid w:val="07BA7B67"/>
    <w:rsid w:val="07BC3927"/>
    <w:rsid w:val="07BCC506"/>
    <w:rsid w:val="07BD722A"/>
    <w:rsid w:val="07BE0129"/>
    <w:rsid w:val="07C0E4DC"/>
    <w:rsid w:val="07C2AAAC"/>
    <w:rsid w:val="07C599E7"/>
    <w:rsid w:val="07C7BFB3"/>
    <w:rsid w:val="07CB9C43"/>
    <w:rsid w:val="07CC1405"/>
    <w:rsid w:val="07CC24CD"/>
    <w:rsid w:val="07CC4718"/>
    <w:rsid w:val="07CCEC02"/>
    <w:rsid w:val="07D39393"/>
    <w:rsid w:val="07D97218"/>
    <w:rsid w:val="07DC6415"/>
    <w:rsid w:val="07E5786D"/>
    <w:rsid w:val="07E5910E"/>
    <w:rsid w:val="07EA0F07"/>
    <w:rsid w:val="07F113F5"/>
    <w:rsid w:val="07F273DF"/>
    <w:rsid w:val="07F9BBBB"/>
    <w:rsid w:val="0801FC3E"/>
    <w:rsid w:val="080432FC"/>
    <w:rsid w:val="08044215"/>
    <w:rsid w:val="08046944"/>
    <w:rsid w:val="0805ACD9"/>
    <w:rsid w:val="080C382F"/>
    <w:rsid w:val="080F8A2C"/>
    <w:rsid w:val="081A93CA"/>
    <w:rsid w:val="081B0E0D"/>
    <w:rsid w:val="08200CD0"/>
    <w:rsid w:val="0820FF49"/>
    <w:rsid w:val="08288F33"/>
    <w:rsid w:val="0828BFEB"/>
    <w:rsid w:val="083341CC"/>
    <w:rsid w:val="0834EF52"/>
    <w:rsid w:val="08359753"/>
    <w:rsid w:val="08362E30"/>
    <w:rsid w:val="0839702C"/>
    <w:rsid w:val="083B0C2B"/>
    <w:rsid w:val="083D22D5"/>
    <w:rsid w:val="083D49A8"/>
    <w:rsid w:val="083E9541"/>
    <w:rsid w:val="083FA5A5"/>
    <w:rsid w:val="0841AFDF"/>
    <w:rsid w:val="084A2C53"/>
    <w:rsid w:val="084AA675"/>
    <w:rsid w:val="084F1EDC"/>
    <w:rsid w:val="0850128C"/>
    <w:rsid w:val="085051B1"/>
    <w:rsid w:val="0851FFFA"/>
    <w:rsid w:val="0852D816"/>
    <w:rsid w:val="0855F07F"/>
    <w:rsid w:val="0855FCBA"/>
    <w:rsid w:val="08583D60"/>
    <w:rsid w:val="0858A8DC"/>
    <w:rsid w:val="085A4CE2"/>
    <w:rsid w:val="085CD0BB"/>
    <w:rsid w:val="08600307"/>
    <w:rsid w:val="0860ABE4"/>
    <w:rsid w:val="0863084D"/>
    <w:rsid w:val="0865CCCB"/>
    <w:rsid w:val="08666623"/>
    <w:rsid w:val="08690780"/>
    <w:rsid w:val="086E5E5E"/>
    <w:rsid w:val="08725F85"/>
    <w:rsid w:val="087454D5"/>
    <w:rsid w:val="0877BF0B"/>
    <w:rsid w:val="087A226B"/>
    <w:rsid w:val="088094C3"/>
    <w:rsid w:val="08809ABF"/>
    <w:rsid w:val="0881351B"/>
    <w:rsid w:val="0882968F"/>
    <w:rsid w:val="088699C8"/>
    <w:rsid w:val="08876E25"/>
    <w:rsid w:val="088A92ED"/>
    <w:rsid w:val="088D8EFB"/>
    <w:rsid w:val="0890E79A"/>
    <w:rsid w:val="08979BD6"/>
    <w:rsid w:val="089F2993"/>
    <w:rsid w:val="08A04914"/>
    <w:rsid w:val="08A09940"/>
    <w:rsid w:val="08A3D058"/>
    <w:rsid w:val="08A496E0"/>
    <w:rsid w:val="08A4D3D5"/>
    <w:rsid w:val="08A66124"/>
    <w:rsid w:val="08A78315"/>
    <w:rsid w:val="08ACC3E8"/>
    <w:rsid w:val="08AE10B2"/>
    <w:rsid w:val="08B0C9A9"/>
    <w:rsid w:val="08B3DC95"/>
    <w:rsid w:val="08B62705"/>
    <w:rsid w:val="08B70686"/>
    <w:rsid w:val="08B7E44C"/>
    <w:rsid w:val="08BD24ED"/>
    <w:rsid w:val="08C22B3F"/>
    <w:rsid w:val="08C34323"/>
    <w:rsid w:val="08C5D885"/>
    <w:rsid w:val="08CA7749"/>
    <w:rsid w:val="08CB8DFF"/>
    <w:rsid w:val="08D0A4AB"/>
    <w:rsid w:val="08D441D3"/>
    <w:rsid w:val="08D7134E"/>
    <w:rsid w:val="08D767FE"/>
    <w:rsid w:val="08D89C01"/>
    <w:rsid w:val="08DA306F"/>
    <w:rsid w:val="08DAD796"/>
    <w:rsid w:val="08DAFB56"/>
    <w:rsid w:val="08E2539F"/>
    <w:rsid w:val="08E2C683"/>
    <w:rsid w:val="08E2F226"/>
    <w:rsid w:val="08E55B38"/>
    <w:rsid w:val="08E71E18"/>
    <w:rsid w:val="08E88745"/>
    <w:rsid w:val="08E93150"/>
    <w:rsid w:val="08EB11D4"/>
    <w:rsid w:val="08ED6093"/>
    <w:rsid w:val="08F02735"/>
    <w:rsid w:val="08F4E2C1"/>
    <w:rsid w:val="08F7490A"/>
    <w:rsid w:val="08FA7344"/>
    <w:rsid w:val="08FCBAB5"/>
    <w:rsid w:val="08FD4D6A"/>
    <w:rsid w:val="08FE74B8"/>
    <w:rsid w:val="090073E4"/>
    <w:rsid w:val="0900ECF3"/>
    <w:rsid w:val="09023D8E"/>
    <w:rsid w:val="0909BD51"/>
    <w:rsid w:val="090D56F5"/>
    <w:rsid w:val="090D9F91"/>
    <w:rsid w:val="0910DF8C"/>
    <w:rsid w:val="0911750D"/>
    <w:rsid w:val="091322CB"/>
    <w:rsid w:val="0918FEAB"/>
    <w:rsid w:val="091FE2B2"/>
    <w:rsid w:val="0922A6DA"/>
    <w:rsid w:val="0923F873"/>
    <w:rsid w:val="092A923C"/>
    <w:rsid w:val="092B8B22"/>
    <w:rsid w:val="092D724E"/>
    <w:rsid w:val="092E2DB4"/>
    <w:rsid w:val="0931C4D3"/>
    <w:rsid w:val="093385E8"/>
    <w:rsid w:val="0936FDD0"/>
    <w:rsid w:val="0937A64D"/>
    <w:rsid w:val="093B4402"/>
    <w:rsid w:val="094464F1"/>
    <w:rsid w:val="094941FD"/>
    <w:rsid w:val="094B6D03"/>
    <w:rsid w:val="094DA2EF"/>
    <w:rsid w:val="0958C784"/>
    <w:rsid w:val="095B0EFC"/>
    <w:rsid w:val="095F1B0B"/>
    <w:rsid w:val="09609EA6"/>
    <w:rsid w:val="09660825"/>
    <w:rsid w:val="096A1B97"/>
    <w:rsid w:val="096F5351"/>
    <w:rsid w:val="0970547B"/>
    <w:rsid w:val="097170AA"/>
    <w:rsid w:val="0971D396"/>
    <w:rsid w:val="097604C9"/>
    <w:rsid w:val="097669C4"/>
    <w:rsid w:val="097C6FF7"/>
    <w:rsid w:val="097F3F0B"/>
    <w:rsid w:val="0985D285"/>
    <w:rsid w:val="098639D0"/>
    <w:rsid w:val="09899CE8"/>
    <w:rsid w:val="098BB0F9"/>
    <w:rsid w:val="09900FC6"/>
    <w:rsid w:val="0991314C"/>
    <w:rsid w:val="0991EB26"/>
    <w:rsid w:val="09966F7D"/>
    <w:rsid w:val="0996C4FF"/>
    <w:rsid w:val="0997F3FE"/>
    <w:rsid w:val="0999AEAF"/>
    <w:rsid w:val="099C7292"/>
    <w:rsid w:val="09A118F4"/>
    <w:rsid w:val="09AA9137"/>
    <w:rsid w:val="09AB4754"/>
    <w:rsid w:val="09AB7C93"/>
    <w:rsid w:val="09AEE739"/>
    <w:rsid w:val="09B18405"/>
    <w:rsid w:val="09B672E5"/>
    <w:rsid w:val="09B70CF4"/>
    <w:rsid w:val="09B72ABE"/>
    <w:rsid w:val="09B82477"/>
    <w:rsid w:val="09B9AEB1"/>
    <w:rsid w:val="09C26610"/>
    <w:rsid w:val="09C6FAC8"/>
    <w:rsid w:val="09CDC4E0"/>
    <w:rsid w:val="09D01D74"/>
    <w:rsid w:val="09D552FE"/>
    <w:rsid w:val="09D61ECB"/>
    <w:rsid w:val="09D64948"/>
    <w:rsid w:val="09DBF1C6"/>
    <w:rsid w:val="09DBF743"/>
    <w:rsid w:val="09DCC0DC"/>
    <w:rsid w:val="09E1B1B1"/>
    <w:rsid w:val="09E25A0E"/>
    <w:rsid w:val="09E2F64C"/>
    <w:rsid w:val="09E7FB7F"/>
    <w:rsid w:val="09E88EC4"/>
    <w:rsid w:val="09F0F9E1"/>
    <w:rsid w:val="09F3E4F6"/>
    <w:rsid w:val="09F95311"/>
    <w:rsid w:val="09F95724"/>
    <w:rsid w:val="09F9D7CA"/>
    <w:rsid w:val="09FF9CF2"/>
    <w:rsid w:val="0A03B1C3"/>
    <w:rsid w:val="0A086592"/>
    <w:rsid w:val="0A0B758B"/>
    <w:rsid w:val="0A0DFE66"/>
    <w:rsid w:val="0A1B2304"/>
    <w:rsid w:val="0A2558DF"/>
    <w:rsid w:val="0A26BECD"/>
    <w:rsid w:val="0A270B0A"/>
    <w:rsid w:val="0A27D6D4"/>
    <w:rsid w:val="0A27DCD0"/>
    <w:rsid w:val="0A281BE9"/>
    <w:rsid w:val="0A284E18"/>
    <w:rsid w:val="0A2A30AB"/>
    <w:rsid w:val="0A2A370D"/>
    <w:rsid w:val="0A2BD5BF"/>
    <w:rsid w:val="0A2C27B2"/>
    <w:rsid w:val="0A2D9519"/>
    <w:rsid w:val="0A2E50F4"/>
    <w:rsid w:val="0A38FC3F"/>
    <w:rsid w:val="0A394FCF"/>
    <w:rsid w:val="0A3ABA70"/>
    <w:rsid w:val="0A3BB969"/>
    <w:rsid w:val="0A3CC98C"/>
    <w:rsid w:val="0A3EEDCB"/>
    <w:rsid w:val="0A42C051"/>
    <w:rsid w:val="0A4596B5"/>
    <w:rsid w:val="0A4AABC7"/>
    <w:rsid w:val="0A4AD1B9"/>
    <w:rsid w:val="0A55411C"/>
    <w:rsid w:val="0A57B46F"/>
    <w:rsid w:val="0A58D8B5"/>
    <w:rsid w:val="0A59A1E8"/>
    <w:rsid w:val="0A604BA8"/>
    <w:rsid w:val="0A610756"/>
    <w:rsid w:val="0A61817B"/>
    <w:rsid w:val="0A6B00CD"/>
    <w:rsid w:val="0A6B6F83"/>
    <w:rsid w:val="0A701742"/>
    <w:rsid w:val="0A717EAD"/>
    <w:rsid w:val="0A7596AA"/>
    <w:rsid w:val="0A759C5D"/>
    <w:rsid w:val="0A7DF570"/>
    <w:rsid w:val="0A7E591D"/>
    <w:rsid w:val="0A886566"/>
    <w:rsid w:val="0A8D9CAF"/>
    <w:rsid w:val="0A8E6A2A"/>
    <w:rsid w:val="0A8EFAEF"/>
    <w:rsid w:val="0A90C641"/>
    <w:rsid w:val="0A91D566"/>
    <w:rsid w:val="0A99AA91"/>
    <w:rsid w:val="0A9B0A11"/>
    <w:rsid w:val="0A9B2A02"/>
    <w:rsid w:val="0A9E56E3"/>
    <w:rsid w:val="0AA0DA95"/>
    <w:rsid w:val="0AA2270C"/>
    <w:rsid w:val="0AB08E9D"/>
    <w:rsid w:val="0AB34132"/>
    <w:rsid w:val="0AB5547B"/>
    <w:rsid w:val="0ABC3BE2"/>
    <w:rsid w:val="0ABCD575"/>
    <w:rsid w:val="0ABCDC7F"/>
    <w:rsid w:val="0ABE3728"/>
    <w:rsid w:val="0AC01319"/>
    <w:rsid w:val="0AC4EE18"/>
    <w:rsid w:val="0AC51EE1"/>
    <w:rsid w:val="0AC54A68"/>
    <w:rsid w:val="0AC8BED2"/>
    <w:rsid w:val="0ACE1D26"/>
    <w:rsid w:val="0AD1A202"/>
    <w:rsid w:val="0AD26DD2"/>
    <w:rsid w:val="0AD5AE50"/>
    <w:rsid w:val="0AD7B9C6"/>
    <w:rsid w:val="0AD9542C"/>
    <w:rsid w:val="0ADA5BC9"/>
    <w:rsid w:val="0ADB7DA4"/>
    <w:rsid w:val="0ADC22A8"/>
    <w:rsid w:val="0AE0371F"/>
    <w:rsid w:val="0AE1B2B6"/>
    <w:rsid w:val="0AE1D4BE"/>
    <w:rsid w:val="0AE33392"/>
    <w:rsid w:val="0AE69DAF"/>
    <w:rsid w:val="0AE8B551"/>
    <w:rsid w:val="0AE9B407"/>
    <w:rsid w:val="0AEAA673"/>
    <w:rsid w:val="0AEBE021"/>
    <w:rsid w:val="0AEF82BC"/>
    <w:rsid w:val="0AF00517"/>
    <w:rsid w:val="0AF02CA3"/>
    <w:rsid w:val="0AF6D8A5"/>
    <w:rsid w:val="0AF93C6A"/>
    <w:rsid w:val="0B03B574"/>
    <w:rsid w:val="0B08A686"/>
    <w:rsid w:val="0B130B49"/>
    <w:rsid w:val="0B14883E"/>
    <w:rsid w:val="0B1DE0BE"/>
    <w:rsid w:val="0B1F0BFB"/>
    <w:rsid w:val="0B1F15B3"/>
    <w:rsid w:val="0B2BC8A4"/>
    <w:rsid w:val="0B2CC255"/>
    <w:rsid w:val="0B31B18A"/>
    <w:rsid w:val="0B31E397"/>
    <w:rsid w:val="0B3677E2"/>
    <w:rsid w:val="0B40AF8B"/>
    <w:rsid w:val="0B418868"/>
    <w:rsid w:val="0B434488"/>
    <w:rsid w:val="0B46AC83"/>
    <w:rsid w:val="0B4977B9"/>
    <w:rsid w:val="0B4A713E"/>
    <w:rsid w:val="0B4AAD13"/>
    <w:rsid w:val="0B4C0192"/>
    <w:rsid w:val="0B4DD259"/>
    <w:rsid w:val="0B4FCBA2"/>
    <w:rsid w:val="0B5033DA"/>
    <w:rsid w:val="0B510C7B"/>
    <w:rsid w:val="0B516D25"/>
    <w:rsid w:val="0B543018"/>
    <w:rsid w:val="0B58C384"/>
    <w:rsid w:val="0B5B8411"/>
    <w:rsid w:val="0B5BCD3F"/>
    <w:rsid w:val="0B5F19E0"/>
    <w:rsid w:val="0B607B57"/>
    <w:rsid w:val="0B61DF3D"/>
    <w:rsid w:val="0B61E8BF"/>
    <w:rsid w:val="0B62A8A2"/>
    <w:rsid w:val="0B62DFA6"/>
    <w:rsid w:val="0B6BE590"/>
    <w:rsid w:val="0B75362B"/>
    <w:rsid w:val="0B756A06"/>
    <w:rsid w:val="0B759A46"/>
    <w:rsid w:val="0B7F2FD0"/>
    <w:rsid w:val="0B803763"/>
    <w:rsid w:val="0B808359"/>
    <w:rsid w:val="0B81F464"/>
    <w:rsid w:val="0B8276C0"/>
    <w:rsid w:val="0B836E4D"/>
    <w:rsid w:val="0B84EF0E"/>
    <w:rsid w:val="0B881895"/>
    <w:rsid w:val="0B889E29"/>
    <w:rsid w:val="0B89EBD9"/>
    <w:rsid w:val="0B949660"/>
    <w:rsid w:val="0B96D083"/>
    <w:rsid w:val="0B96E856"/>
    <w:rsid w:val="0B988ADA"/>
    <w:rsid w:val="0B9A4259"/>
    <w:rsid w:val="0B9AB390"/>
    <w:rsid w:val="0B9BF5A4"/>
    <w:rsid w:val="0B9D5DC2"/>
    <w:rsid w:val="0BA57009"/>
    <w:rsid w:val="0BA5CC72"/>
    <w:rsid w:val="0BA6E0EE"/>
    <w:rsid w:val="0BA87ABC"/>
    <w:rsid w:val="0BAC9D46"/>
    <w:rsid w:val="0BB1297F"/>
    <w:rsid w:val="0BB251E5"/>
    <w:rsid w:val="0BB3282F"/>
    <w:rsid w:val="0BB6BC10"/>
    <w:rsid w:val="0BB7A8B2"/>
    <w:rsid w:val="0BB9E853"/>
    <w:rsid w:val="0BBDB3F1"/>
    <w:rsid w:val="0BBDC392"/>
    <w:rsid w:val="0BBED154"/>
    <w:rsid w:val="0BC0156C"/>
    <w:rsid w:val="0BC6FEBF"/>
    <w:rsid w:val="0BC7E9CE"/>
    <w:rsid w:val="0BC9BEDE"/>
    <w:rsid w:val="0BC9E65C"/>
    <w:rsid w:val="0BCA668D"/>
    <w:rsid w:val="0BCE9200"/>
    <w:rsid w:val="0BD09DC6"/>
    <w:rsid w:val="0BD127DC"/>
    <w:rsid w:val="0BD51CFC"/>
    <w:rsid w:val="0BD7534F"/>
    <w:rsid w:val="0BE7E95E"/>
    <w:rsid w:val="0BE9A73C"/>
    <w:rsid w:val="0BEA62E7"/>
    <w:rsid w:val="0BF2724B"/>
    <w:rsid w:val="0BF88FCE"/>
    <w:rsid w:val="0BFE7796"/>
    <w:rsid w:val="0C008F18"/>
    <w:rsid w:val="0C00C661"/>
    <w:rsid w:val="0C030496"/>
    <w:rsid w:val="0C03C10C"/>
    <w:rsid w:val="0C07F123"/>
    <w:rsid w:val="0C08816B"/>
    <w:rsid w:val="0C09A3BD"/>
    <w:rsid w:val="0C0D98E0"/>
    <w:rsid w:val="0C13FE5E"/>
    <w:rsid w:val="0C14418F"/>
    <w:rsid w:val="0C1470DF"/>
    <w:rsid w:val="0C181A88"/>
    <w:rsid w:val="0C19A513"/>
    <w:rsid w:val="0C24C141"/>
    <w:rsid w:val="0C266F6B"/>
    <w:rsid w:val="0C27E081"/>
    <w:rsid w:val="0C2910D4"/>
    <w:rsid w:val="0C34D733"/>
    <w:rsid w:val="0C34EEA9"/>
    <w:rsid w:val="0C3A57A3"/>
    <w:rsid w:val="0C3CC9D4"/>
    <w:rsid w:val="0C42BBAC"/>
    <w:rsid w:val="0C443485"/>
    <w:rsid w:val="0C44EF9B"/>
    <w:rsid w:val="0C47AB1A"/>
    <w:rsid w:val="0C4BF87A"/>
    <w:rsid w:val="0C4CEB27"/>
    <w:rsid w:val="0C4D57DC"/>
    <w:rsid w:val="0C55E852"/>
    <w:rsid w:val="0C5BE2B1"/>
    <w:rsid w:val="0C5CD314"/>
    <w:rsid w:val="0C5D662B"/>
    <w:rsid w:val="0C5E0480"/>
    <w:rsid w:val="0C5E0671"/>
    <w:rsid w:val="0C6B330B"/>
    <w:rsid w:val="0C6D6D6F"/>
    <w:rsid w:val="0C76BF87"/>
    <w:rsid w:val="0C774D11"/>
    <w:rsid w:val="0C7BAF43"/>
    <w:rsid w:val="0C839CB4"/>
    <w:rsid w:val="0C877054"/>
    <w:rsid w:val="0C8A006F"/>
    <w:rsid w:val="0C8A40B5"/>
    <w:rsid w:val="0C8D6B68"/>
    <w:rsid w:val="0C8E3ED1"/>
    <w:rsid w:val="0C929F44"/>
    <w:rsid w:val="0C9529CF"/>
    <w:rsid w:val="0C97C838"/>
    <w:rsid w:val="0C9B5BF2"/>
    <w:rsid w:val="0C9D41A7"/>
    <w:rsid w:val="0CA25303"/>
    <w:rsid w:val="0CA58E24"/>
    <w:rsid w:val="0CAAD502"/>
    <w:rsid w:val="0CB3B7AE"/>
    <w:rsid w:val="0CB3BC32"/>
    <w:rsid w:val="0CB3FAA1"/>
    <w:rsid w:val="0CB557E2"/>
    <w:rsid w:val="0CBA3CAD"/>
    <w:rsid w:val="0CBF63A5"/>
    <w:rsid w:val="0CBF69DD"/>
    <w:rsid w:val="0CC0EBF3"/>
    <w:rsid w:val="0CC18005"/>
    <w:rsid w:val="0CC2C04B"/>
    <w:rsid w:val="0CC76EA5"/>
    <w:rsid w:val="0CC996CF"/>
    <w:rsid w:val="0CCFE0CE"/>
    <w:rsid w:val="0CD39178"/>
    <w:rsid w:val="0CD452B0"/>
    <w:rsid w:val="0CD90C3E"/>
    <w:rsid w:val="0CD9779E"/>
    <w:rsid w:val="0CDE7906"/>
    <w:rsid w:val="0CDE8AB8"/>
    <w:rsid w:val="0CE0595D"/>
    <w:rsid w:val="0CE0F39A"/>
    <w:rsid w:val="0CE7FB6E"/>
    <w:rsid w:val="0CEAFA1A"/>
    <w:rsid w:val="0CF6856A"/>
    <w:rsid w:val="0CFC3F02"/>
    <w:rsid w:val="0CFE0410"/>
    <w:rsid w:val="0CFEB15B"/>
    <w:rsid w:val="0D041F91"/>
    <w:rsid w:val="0D0A71BF"/>
    <w:rsid w:val="0D0A898A"/>
    <w:rsid w:val="0D16B2EB"/>
    <w:rsid w:val="0D172756"/>
    <w:rsid w:val="0D18D8BA"/>
    <w:rsid w:val="0D1A3593"/>
    <w:rsid w:val="0D1E4462"/>
    <w:rsid w:val="0D214A15"/>
    <w:rsid w:val="0D2687F9"/>
    <w:rsid w:val="0D272C17"/>
    <w:rsid w:val="0D284CA2"/>
    <w:rsid w:val="0D2BB316"/>
    <w:rsid w:val="0D2E6A45"/>
    <w:rsid w:val="0D301631"/>
    <w:rsid w:val="0D3169AB"/>
    <w:rsid w:val="0D343485"/>
    <w:rsid w:val="0D3464DE"/>
    <w:rsid w:val="0D34862D"/>
    <w:rsid w:val="0D38F194"/>
    <w:rsid w:val="0D3A9C1A"/>
    <w:rsid w:val="0D3DE6CC"/>
    <w:rsid w:val="0D4118BB"/>
    <w:rsid w:val="0D42EACE"/>
    <w:rsid w:val="0D475377"/>
    <w:rsid w:val="0D4C5A57"/>
    <w:rsid w:val="0D4D64FD"/>
    <w:rsid w:val="0D4DCE24"/>
    <w:rsid w:val="0D516EB4"/>
    <w:rsid w:val="0D538828"/>
    <w:rsid w:val="0D5394CD"/>
    <w:rsid w:val="0D559CB3"/>
    <w:rsid w:val="0D5A6188"/>
    <w:rsid w:val="0D5A78A7"/>
    <w:rsid w:val="0D60A8B2"/>
    <w:rsid w:val="0D65A975"/>
    <w:rsid w:val="0D66803E"/>
    <w:rsid w:val="0D6CC5FF"/>
    <w:rsid w:val="0D73872C"/>
    <w:rsid w:val="0D74C243"/>
    <w:rsid w:val="0D776B16"/>
    <w:rsid w:val="0D78DA1B"/>
    <w:rsid w:val="0D821CCA"/>
    <w:rsid w:val="0D8481D5"/>
    <w:rsid w:val="0D8F6112"/>
    <w:rsid w:val="0D928CA4"/>
    <w:rsid w:val="0D9449DD"/>
    <w:rsid w:val="0D95931A"/>
    <w:rsid w:val="0D97C0D9"/>
    <w:rsid w:val="0D97DDB2"/>
    <w:rsid w:val="0D9A7C87"/>
    <w:rsid w:val="0D9D3542"/>
    <w:rsid w:val="0D9D4D3B"/>
    <w:rsid w:val="0D9FACE9"/>
    <w:rsid w:val="0DA01B78"/>
    <w:rsid w:val="0DA0E21C"/>
    <w:rsid w:val="0DA1AD3C"/>
    <w:rsid w:val="0DA35822"/>
    <w:rsid w:val="0DA617D7"/>
    <w:rsid w:val="0DA9098C"/>
    <w:rsid w:val="0DAC01BD"/>
    <w:rsid w:val="0DAC389A"/>
    <w:rsid w:val="0DADD002"/>
    <w:rsid w:val="0DAEE4A0"/>
    <w:rsid w:val="0DB4C280"/>
    <w:rsid w:val="0DB816C2"/>
    <w:rsid w:val="0DBBC49A"/>
    <w:rsid w:val="0DBCC0BC"/>
    <w:rsid w:val="0DBDB208"/>
    <w:rsid w:val="0DC2BF7C"/>
    <w:rsid w:val="0DC71915"/>
    <w:rsid w:val="0DC852B0"/>
    <w:rsid w:val="0DC92FA5"/>
    <w:rsid w:val="0DCEC286"/>
    <w:rsid w:val="0DCED5EA"/>
    <w:rsid w:val="0DD33E3C"/>
    <w:rsid w:val="0DD48599"/>
    <w:rsid w:val="0DDBDE1F"/>
    <w:rsid w:val="0DE946E1"/>
    <w:rsid w:val="0DEB3F34"/>
    <w:rsid w:val="0DEC0B9F"/>
    <w:rsid w:val="0DF1482C"/>
    <w:rsid w:val="0DF34A1A"/>
    <w:rsid w:val="0DF361F8"/>
    <w:rsid w:val="0DF3C067"/>
    <w:rsid w:val="0DFD0725"/>
    <w:rsid w:val="0DFDD88D"/>
    <w:rsid w:val="0DFED46A"/>
    <w:rsid w:val="0E07DEFB"/>
    <w:rsid w:val="0E091D0D"/>
    <w:rsid w:val="0E0998B2"/>
    <w:rsid w:val="0E0A5FEA"/>
    <w:rsid w:val="0E0C54DE"/>
    <w:rsid w:val="0E0CBA84"/>
    <w:rsid w:val="0E0CF3FE"/>
    <w:rsid w:val="0E110A93"/>
    <w:rsid w:val="0E1416FA"/>
    <w:rsid w:val="0E1527B7"/>
    <w:rsid w:val="0E15946D"/>
    <w:rsid w:val="0E15E412"/>
    <w:rsid w:val="0E1AD7EE"/>
    <w:rsid w:val="0E1C7D6C"/>
    <w:rsid w:val="0E1E0B69"/>
    <w:rsid w:val="0E218C35"/>
    <w:rsid w:val="0E221167"/>
    <w:rsid w:val="0E26B96A"/>
    <w:rsid w:val="0E270CEF"/>
    <w:rsid w:val="0E2DD48D"/>
    <w:rsid w:val="0E31A8D0"/>
    <w:rsid w:val="0E31ABB6"/>
    <w:rsid w:val="0E358E3B"/>
    <w:rsid w:val="0E37F49D"/>
    <w:rsid w:val="0E3BD022"/>
    <w:rsid w:val="0E3D59E9"/>
    <w:rsid w:val="0E3D62B1"/>
    <w:rsid w:val="0E3F03F6"/>
    <w:rsid w:val="0E3F8570"/>
    <w:rsid w:val="0E43A045"/>
    <w:rsid w:val="0E43A10A"/>
    <w:rsid w:val="0E4613C0"/>
    <w:rsid w:val="0E47FA04"/>
    <w:rsid w:val="0E48D278"/>
    <w:rsid w:val="0E492B1F"/>
    <w:rsid w:val="0E4AE269"/>
    <w:rsid w:val="0E4CB24E"/>
    <w:rsid w:val="0E4CF637"/>
    <w:rsid w:val="0E4DDAB0"/>
    <w:rsid w:val="0E4DE526"/>
    <w:rsid w:val="0E50595A"/>
    <w:rsid w:val="0E541532"/>
    <w:rsid w:val="0E5E80C3"/>
    <w:rsid w:val="0E5EA8F7"/>
    <w:rsid w:val="0E714E8D"/>
    <w:rsid w:val="0E72DF09"/>
    <w:rsid w:val="0E73048C"/>
    <w:rsid w:val="0E77A80E"/>
    <w:rsid w:val="0E7AEE24"/>
    <w:rsid w:val="0E7C9523"/>
    <w:rsid w:val="0E7D570C"/>
    <w:rsid w:val="0E7DDE32"/>
    <w:rsid w:val="0E8305DA"/>
    <w:rsid w:val="0E851596"/>
    <w:rsid w:val="0E876D52"/>
    <w:rsid w:val="0E89FE4B"/>
    <w:rsid w:val="0E8B5FBE"/>
    <w:rsid w:val="0E8B76B6"/>
    <w:rsid w:val="0E8DE9DD"/>
    <w:rsid w:val="0E8F5025"/>
    <w:rsid w:val="0E90A690"/>
    <w:rsid w:val="0E919C2D"/>
    <w:rsid w:val="0E933764"/>
    <w:rsid w:val="0E95322C"/>
    <w:rsid w:val="0E956E80"/>
    <w:rsid w:val="0E980DCB"/>
    <w:rsid w:val="0E995F8D"/>
    <w:rsid w:val="0E9A8554"/>
    <w:rsid w:val="0E9E049A"/>
    <w:rsid w:val="0E9E4447"/>
    <w:rsid w:val="0EA10CE7"/>
    <w:rsid w:val="0EA11775"/>
    <w:rsid w:val="0EA5D2F1"/>
    <w:rsid w:val="0EAE6366"/>
    <w:rsid w:val="0EAF86C8"/>
    <w:rsid w:val="0EB45068"/>
    <w:rsid w:val="0EB5D8C0"/>
    <w:rsid w:val="0EB75591"/>
    <w:rsid w:val="0EB79A3E"/>
    <w:rsid w:val="0EBAC429"/>
    <w:rsid w:val="0ECE3CD5"/>
    <w:rsid w:val="0ED42797"/>
    <w:rsid w:val="0ED4E587"/>
    <w:rsid w:val="0ED5AFC0"/>
    <w:rsid w:val="0ED5C4BD"/>
    <w:rsid w:val="0ED7BCCE"/>
    <w:rsid w:val="0EE0FAAB"/>
    <w:rsid w:val="0EE1050C"/>
    <w:rsid w:val="0EE1A953"/>
    <w:rsid w:val="0EE245CC"/>
    <w:rsid w:val="0EE5AFA8"/>
    <w:rsid w:val="0EE6B75E"/>
    <w:rsid w:val="0EE72790"/>
    <w:rsid w:val="0EE88F79"/>
    <w:rsid w:val="0EE906A9"/>
    <w:rsid w:val="0EEFE26D"/>
    <w:rsid w:val="0EF32738"/>
    <w:rsid w:val="0EFA45BA"/>
    <w:rsid w:val="0EFDA161"/>
    <w:rsid w:val="0F0044BD"/>
    <w:rsid w:val="0F0407B5"/>
    <w:rsid w:val="0F0534E3"/>
    <w:rsid w:val="0F0658DF"/>
    <w:rsid w:val="0F0B7304"/>
    <w:rsid w:val="0F0E2D0A"/>
    <w:rsid w:val="0F1034B3"/>
    <w:rsid w:val="0F10B688"/>
    <w:rsid w:val="0F1323E0"/>
    <w:rsid w:val="0F172926"/>
    <w:rsid w:val="0F179916"/>
    <w:rsid w:val="0F212F61"/>
    <w:rsid w:val="0F23748D"/>
    <w:rsid w:val="0F245269"/>
    <w:rsid w:val="0F251DE5"/>
    <w:rsid w:val="0F2889FF"/>
    <w:rsid w:val="0F2E647F"/>
    <w:rsid w:val="0F302563"/>
    <w:rsid w:val="0F34B0F8"/>
    <w:rsid w:val="0F36BFFE"/>
    <w:rsid w:val="0F372F19"/>
    <w:rsid w:val="0F394B76"/>
    <w:rsid w:val="0F3C3373"/>
    <w:rsid w:val="0F3C5473"/>
    <w:rsid w:val="0F3F10E7"/>
    <w:rsid w:val="0F400A2C"/>
    <w:rsid w:val="0F41310A"/>
    <w:rsid w:val="0F4188FC"/>
    <w:rsid w:val="0F424DE6"/>
    <w:rsid w:val="0F4329FC"/>
    <w:rsid w:val="0F484A20"/>
    <w:rsid w:val="0F4E3158"/>
    <w:rsid w:val="0F4F7C23"/>
    <w:rsid w:val="0F4FA9DE"/>
    <w:rsid w:val="0F53B047"/>
    <w:rsid w:val="0F54443B"/>
    <w:rsid w:val="0F5854A9"/>
    <w:rsid w:val="0F5C9714"/>
    <w:rsid w:val="0F5F401C"/>
    <w:rsid w:val="0F605B52"/>
    <w:rsid w:val="0F644569"/>
    <w:rsid w:val="0F69CBE0"/>
    <w:rsid w:val="0F6A5B8E"/>
    <w:rsid w:val="0F6B9136"/>
    <w:rsid w:val="0F6CC128"/>
    <w:rsid w:val="0F7045F1"/>
    <w:rsid w:val="0F71A625"/>
    <w:rsid w:val="0F76A347"/>
    <w:rsid w:val="0F77DA8B"/>
    <w:rsid w:val="0F7938FF"/>
    <w:rsid w:val="0F79459C"/>
    <w:rsid w:val="0F79C9EB"/>
    <w:rsid w:val="0F7E53A4"/>
    <w:rsid w:val="0F801555"/>
    <w:rsid w:val="0F80CE36"/>
    <w:rsid w:val="0F83203F"/>
    <w:rsid w:val="0F8450F8"/>
    <w:rsid w:val="0F877F5D"/>
    <w:rsid w:val="0F87BB0C"/>
    <w:rsid w:val="0F8A9853"/>
    <w:rsid w:val="0F8ABFE5"/>
    <w:rsid w:val="0F8B36B7"/>
    <w:rsid w:val="0F8EBDFE"/>
    <w:rsid w:val="0F917405"/>
    <w:rsid w:val="0F9411FC"/>
    <w:rsid w:val="0F970DA4"/>
    <w:rsid w:val="0F9A9847"/>
    <w:rsid w:val="0F9B7A8B"/>
    <w:rsid w:val="0F9C5C64"/>
    <w:rsid w:val="0FA12297"/>
    <w:rsid w:val="0FA157DC"/>
    <w:rsid w:val="0FA3C71B"/>
    <w:rsid w:val="0FA5912E"/>
    <w:rsid w:val="0FA7C62F"/>
    <w:rsid w:val="0FAB6607"/>
    <w:rsid w:val="0FAC2786"/>
    <w:rsid w:val="0FAC77A4"/>
    <w:rsid w:val="0FB0648A"/>
    <w:rsid w:val="0FB2951C"/>
    <w:rsid w:val="0FB45CC9"/>
    <w:rsid w:val="0FB69D7D"/>
    <w:rsid w:val="0FB6A6E1"/>
    <w:rsid w:val="0FB6C2AC"/>
    <w:rsid w:val="0FBBC0FE"/>
    <w:rsid w:val="0FC1B4B4"/>
    <w:rsid w:val="0FC1EAA1"/>
    <w:rsid w:val="0FC61202"/>
    <w:rsid w:val="0FCF69BD"/>
    <w:rsid w:val="0FD23767"/>
    <w:rsid w:val="0FD377F2"/>
    <w:rsid w:val="0FD3BFA9"/>
    <w:rsid w:val="0FD82071"/>
    <w:rsid w:val="0FE4D07A"/>
    <w:rsid w:val="0FE56FD5"/>
    <w:rsid w:val="0FF0F58C"/>
    <w:rsid w:val="0FF4D56E"/>
    <w:rsid w:val="0FF873F7"/>
    <w:rsid w:val="0FFA46EC"/>
    <w:rsid w:val="0FFB0F75"/>
    <w:rsid w:val="1002357C"/>
    <w:rsid w:val="10049C30"/>
    <w:rsid w:val="1007422F"/>
    <w:rsid w:val="1007D612"/>
    <w:rsid w:val="1007F671"/>
    <w:rsid w:val="100F7C4C"/>
    <w:rsid w:val="10134DCA"/>
    <w:rsid w:val="10180D2E"/>
    <w:rsid w:val="101C5CD1"/>
    <w:rsid w:val="102728F3"/>
    <w:rsid w:val="102ED044"/>
    <w:rsid w:val="10314D0E"/>
    <w:rsid w:val="103170E4"/>
    <w:rsid w:val="1032C2A9"/>
    <w:rsid w:val="103339EC"/>
    <w:rsid w:val="10339CEF"/>
    <w:rsid w:val="10352CF8"/>
    <w:rsid w:val="1035FA60"/>
    <w:rsid w:val="10369820"/>
    <w:rsid w:val="1038BF39"/>
    <w:rsid w:val="1039B113"/>
    <w:rsid w:val="103C8DFB"/>
    <w:rsid w:val="103FE920"/>
    <w:rsid w:val="1040109E"/>
    <w:rsid w:val="104121BA"/>
    <w:rsid w:val="1043227D"/>
    <w:rsid w:val="1044DAF7"/>
    <w:rsid w:val="1049884D"/>
    <w:rsid w:val="104B5C83"/>
    <w:rsid w:val="104BE735"/>
    <w:rsid w:val="104CFDCE"/>
    <w:rsid w:val="10527FEF"/>
    <w:rsid w:val="1053F313"/>
    <w:rsid w:val="10549B86"/>
    <w:rsid w:val="105C912A"/>
    <w:rsid w:val="105FCF85"/>
    <w:rsid w:val="10663BB9"/>
    <w:rsid w:val="10679773"/>
    <w:rsid w:val="1069E41F"/>
    <w:rsid w:val="106AE2F4"/>
    <w:rsid w:val="106C99D4"/>
    <w:rsid w:val="106FF348"/>
    <w:rsid w:val="1070C0CB"/>
    <w:rsid w:val="10717615"/>
    <w:rsid w:val="107196B8"/>
    <w:rsid w:val="1073F6A1"/>
    <w:rsid w:val="1075D53F"/>
    <w:rsid w:val="107A330F"/>
    <w:rsid w:val="107AFDFD"/>
    <w:rsid w:val="107BAC1B"/>
    <w:rsid w:val="107BED39"/>
    <w:rsid w:val="107EA26D"/>
    <w:rsid w:val="1083160C"/>
    <w:rsid w:val="1084758C"/>
    <w:rsid w:val="108C9CBC"/>
    <w:rsid w:val="108FD250"/>
    <w:rsid w:val="10950E6F"/>
    <w:rsid w:val="109EDBC8"/>
    <w:rsid w:val="10A58407"/>
    <w:rsid w:val="10A66627"/>
    <w:rsid w:val="10A6BCF6"/>
    <w:rsid w:val="10A7BD26"/>
    <w:rsid w:val="10A93B93"/>
    <w:rsid w:val="10AD5EB8"/>
    <w:rsid w:val="10AF47A0"/>
    <w:rsid w:val="10B1BDD8"/>
    <w:rsid w:val="10B1EF42"/>
    <w:rsid w:val="10B27307"/>
    <w:rsid w:val="10B3A181"/>
    <w:rsid w:val="10B7F2F3"/>
    <w:rsid w:val="10B92F9B"/>
    <w:rsid w:val="10C011B1"/>
    <w:rsid w:val="10C73168"/>
    <w:rsid w:val="10CC59E5"/>
    <w:rsid w:val="10CF764D"/>
    <w:rsid w:val="10CFE4FB"/>
    <w:rsid w:val="10CFEAD3"/>
    <w:rsid w:val="10D1DC98"/>
    <w:rsid w:val="10D38B87"/>
    <w:rsid w:val="10D45CE4"/>
    <w:rsid w:val="10D59AF3"/>
    <w:rsid w:val="10D9D0C2"/>
    <w:rsid w:val="10DA6D8A"/>
    <w:rsid w:val="10DDCD2B"/>
    <w:rsid w:val="10DE0B98"/>
    <w:rsid w:val="10EB193E"/>
    <w:rsid w:val="10F31D26"/>
    <w:rsid w:val="10F420E4"/>
    <w:rsid w:val="10FA86E8"/>
    <w:rsid w:val="10FB69E0"/>
    <w:rsid w:val="10FC2B57"/>
    <w:rsid w:val="10FC4FC6"/>
    <w:rsid w:val="11042AF0"/>
    <w:rsid w:val="11083198"/>
    <w:rsid w:val="110A8B9A"/>
    <w:rsid w:val="110B37ED"/>
    <w:rsid w:val="110C4026"/>
    <w:rsid w:val="11140DED"/>
    <w:rsid w:val="11144C97"/>
    <w:rsid w:val="11150EBC"/>
    <w:rsid w:val="1115DFAA"/>
    <w:rsid w:val="1116535F"/>
    <w:rsid w:val="1119AB06"/>
    <w:rsid w:val="111E17AB"/>
    <w:rsid w:val="111ECD8B"/>
    <w:rsid w:val="11218767"/>
    <w:rsid w:val="112479F8"/>
    <w:rsid w:val="1129512E"/>
    <w:rsid w:val="112BAFFA"/>
    <w:rsid w:val="112DFE9A"/>
    <w:rsid w:val="112E88CA"/>
    <w:rsid w:val="11311030"/>
    <w:rsid w:val="1139CD2C"/>
    <w:rsid w:val="113A4A62"/>
    <w:rsid w:val="1141D8E6"/>
    <w:rsid w:val="114349CB"/>
    <w:rsid w:val="1147B072"/>
    <w:rsid w:val="114995A2"/>
    <w:rsid w:val="114AC3F3"/>
    <w:rsid w:val="114DB259"/>
    <w:rsid w:val="114E52B6"/>
    <w:rsid w:val="1150F9A5"/>
    <w:rsid w:val="1152595A"/>
    <w:rsid w:val="1153E6DE"/>
    <w:rsid w:val="11586052"/>
    <w:rsid w:val="11597642"/>
    <w:rsid w:val="1159F190"/>
    <w:rsid w:val="115FC1D9"/>
    <w:rsid w:val="1163F74B"/>
    <w:rsid w:val="1164960F"/>
    <w:rsid w:val="116D397C"/>
    <w:rsid w:val="116D80E7"/>
    <w:rsid w:val="1177163A"/>
    <w:rsid w:val="117737C8"/>
    <w:rsid w:val="117A0233"/>
    <w:rsid w:val="117F916E"/>
    <w:rsid w:val="118774AB"/>
    <w:rsid w:val="118DE1B5"/>
    <w:rsid w:val="11905632"/>
    <w:rsid w:val="11931FDC"/>
    <w:rsid w:val="119C91F2"/>
    <w:rsid w:val="119DDA9F"/>
    <w:rsid w:val="119E7F3E"/>
    <w:rsid w:val="119E9F4A"/>
    <w:rsid w:val="11A27271"/>
    <w:rsid w:val="11A8DF65"/>
    <w:rsid w:val="11AD4765"/>
    <w:rsid w:val="11B39AB8"/>
    <w:rsid w:val="11B69E70"/>
    <w:rsid w:val="11B7E657"/>
    <w:rsid w:val="11BD1C71"/>
    <w:rsid w:val="11C20F64"/>
    <w:rsid w:val="11C3E2A0"/>
    <w:rsid w:val="11D05538"/>
    <w:rsid w:val="11D45309"/>
    <w:rsid w:val="11D5A127"/>
    <w:rsid w:val="11D7089E"/>
    <w:rsid w:val="11D8756F"/>
    <w:rsid w:val="11D8A7D8"/>
    <w:rsid w:val="11DD4BB8"/>
    <w:rsid w:val="11DD67D5"/>
    <w:rsid w:val="11DF6127"/>
    <w:rsid w:val="11E55B0F"/>
    <w:rsid w:val="11E61DE1"/>
    <w:rsid w:val="11E75938"/>
    <w:rsid w:val="11E9A155"/>
    <w:rsid w:val="11EF1297"/>
    <w:rsid w:val="11F28808"/>
    <w:rsid w:val="11F2D1CA"/>
    <w:rsid w:val="11FA4789"/>
    <w:rsid w:val="11FAE77C"/>
    <w:rsid w:val="11FAECDA"/>
    <w:rsid w:val="11FCA3AF"/>
    <w:rsid w:val="11FCC235"/>
    <w:rsid w:val="11FE1154"/>
    <w:rsid w:val="1202B92D"/>
    <w:rsid w:val="120441D4"/>
    <w:rsid w:val="1207A369"/>
    <w:rsid w:val="1207A44E"/>
    <w:rsid w:val="120DBD52"/>
    <w:rsid w:val="12133CB6"/>
    <w:rsid w:val="1213C1F2"/>
    <w:rsid w:val="1215FD90"/>
    <w:rsid w:val="12195889"/>
    <w:rsid w:val="121E0533"/>
    <w:rsid w:val="122A8C25"/>
    <w:rsid w:val="122A9A1E"/>
    <w:rsid w:val="1230BD0A"/>
    <w:rsid w:val="1230DF1D"/>
    <w:rsid w:val="12339A60"/>
    <w:rsid w:val="1234874A"/>
    <w:rsid w:val="1238BA64"/>
    <w:rsid w:val="123A4E6C"/>
    <w:rsid w:val="123D291F"/>
    <w:rsid w:val="123D30D4"/>
    <w:rsid w:val="123F2FEF"/>
    <w:rsid w:val="12412CD9"/>
    <w:rsid w:val="12430194"/>
    <w:rsid w:val="124360F4"/>
    <w:rsid w:val="124E089B"/>
    <w:rsid w:val="124E7F59"/>
    <w:rsid w:val="124EF433"/>
    <w:rsid w:val="1257BF49"/>
    <w:rsid w:val="125A7E2F"/>
    <w:rsid w:val="125AA41C"/>
    <w:rsid w:val="125E4870"/>
    <w:rsid w:val="12608DEA"/>
    <w:rsid w:val="126203AE"/>
    <w:rsid w:val="1262CD58"/>
    <w:rsid w:val="12648F8E"/>
    <w:rsid w:val="126D815F"/>
    <w:rsid w:val="127435CD"/>
    <w:rsid w:val="1276DAE3"/>
    <w:rsid w:val="1277996D"/>
    <w:rsid w:val="127962C5"/>
    <w:rsid w:val="12797C2D"/>
    <w:rsid w:val="1284843B"/>
    <w:rsid w:val="128A386A"/>
    <w:rsid w:val="128B062B"/>
    <w:rsid w:val="128BB67B"/>
    <w:rsid w:val="12961C36"/>
    <w:rsid w:val="129BE77D"/>
    <w:rsid w:val="129C993D"/>
    <w:rsid w:val="129E5395"/>
    <w:rsid w:val="12A2F85F"/>
    <w:rsid w:val="12A3CAE4"/>
    <w:rsid w:val="12A64ABE"/>
    <w:rsid w:val="12A73A3A"/>
    <w:rsid w:val="12A79E56"/>
    <w:rsid w:val="12AA4B5A"/>
    <w:rsid w:val="12AE34CA"/>
    <w:rsid w:val="12AF29D9"/>
    <w:rsid w:val="12AFC2D7"/>
    <w:rsid w:val="12B5270F"/>
    <w:rsid w:val="12B69367"/>
    <w:rsid w:val="12B6F05D"/>
    <w:rsid w:val="12BB55B6"/>
    <w:rsid w:val="12BCF1E4"/>
    <w:rsid w:val="12BCF726"/>
    <w:rsid w:val="12BD9ECE"/>
    <w:rsid w:val="12BE1FDF"/>
    <w:rsid w:val="12C5A533"/>
    <w:rsid w:val="12C9B554"/>
    <w:rsid w:val="12CB5359"/>
    <w:rsid w:val="12CBE68E"/>
    <w:rsid w:val="12D3499C"/>
    <w:rsid w:val="12D9CA39"/>
    <w:rsid w:val="12DBE9B2"/>
    <w:rsid w:val="12DC4CC5"/>
    <w:rsid w:val="12DD51EE"/>
    <w:rsid w:val="12E6D2D2"/>
    <w:rsid w:val="12E77E29"/>
    <w:rsid w:val="12E9AAE0"/>
    <w:rsid w:val="12EAC74D"/>
    <w:rsid w:val="12EB6632"/>
    <w:rsid w:val="12EC6167"/>
    <w:rsid w:val="12EC84F6"/>
    <w:rsid w:val="12F2B431"/>
    <w:rsid w:val="12F96473"/>
    <w:rsid w:val="12F9FE4E"/>
    <w:rsid w:val="12FC0311"/>
    <w:rsid w:val="12FCFF9A"/>
    <w:rsid w:val="12FD1276"/>
    <w:rsid w:val="12FEB8F7"/>
    <w:rsid w:val="1302CD22"/>
    <w:rsid w:val="1308BEBC"/>
    <w:rsid w:val="1309FB2E"/>
    <w:rsid w:val="130E7724"/>
    <w:rsid w:val="13121000"/>
    <w:rsid w:val="1319B733"/>
    <w:rsid w:val="131C814A"/>
    <w:rsid w:val="1324111D"/>
    <w:rsid w:val="1325A1F1"/>
    <w:rsid w:val="1327CD00"/>
    <w:rsid w:val="132926F8"/>
    <w:rsid w:val="132C10D3"/>
    <w:rsid w:val="132CAA90"/>
    <w:rsid w:val="13349FA0"/>
    <w:rsid w:val="13381B6E"/>
    <w:rsid w:val="133CCF2E"/>
    <w:rsid w:val="134898A3"/>
    <w:rsid w:val="13490060"/>
    <w:rsid w:val="134E2CA7"/>
    <w:rsid w:val="134FF860"/>
    <w:rsid w:val="1350A735"/>
    <w:rsid w:val="13536163"/>
    <w:rsid w:val="13540B30"/>
    <w:rsid w:val="1357C5B8"/>
    <w:rsid w:val="135856A3"/>
    <w:rsid w:val="135B6575"/>
    <w:rsid w:val="13608901"/>
    <w:rsid w:val="1368983D"/>
    <w:rsid w:val="136926FF"/>
    <w:rsid w:val="136C0BB4"/>
    <w:rsid w:val="137275D1"/>
    <w:rsid w:val="13740851"/>
    <w:rsid w:val="1376CE93"/>
    <w:rsid w:val="13786328"/>
    <w:rsid w:val="1378B516"/>
    <w:rsid w:val="13791510"/>
    <w:rsid w:val="137AAF30"/>
    <w:rsid w:val="137D89E3"/>
    <w:rsid w:val="137D8BA1"/>
    <w:rsid w:val="138639DE"/>
    <w:rsid w:val="138830C2"/>
    <w:rsid w:val="1389E4E9"/>
    <w:rsid w:val="138B8CFD"/>
    <w:rsid w:val="138D0D23"/>
    <w:rsid w:val="13914865"/>
    <w:rsid w:val="13915BCC"/>
    <w:rsid w:val="1391A7AF"/>
    <w:rsid w:val="1392352A"/>
    <w:rsid w:val="13924035"/>
    <w:rsid w:val="13927C75"/>
    <w:rsid w:val="1392FBC5"/>
    <w:rsid w:val="139A4DB9"/>
    <w:rsid w:val="139E2144"/>
    <w:rsid w:val="13A09450"/>
    <w:rsid w:val="13A09BC6"/>
    <w:rsid w:val="13A3D12C"/>
    <w:rsid w:val="13A3D597"/>
    <w:rsid w:val="13A43B13"/>
    <w:rsid w:val="13A55B88"/>
    <w:rsid w:val="13A9954A"/>
    <w:rsid w:val="13A9E8AD"/>
    <w:rsid w:val="13AB39B1"/>
    <w:rsid w:val="13ABD8E9"/>
    <w:rsid w:val="13AD720A"/>
    <w:rsid w:val="13B26B9B"/>
    <w:rsid w:val="13B595F1"/>
    <w:rsid w:val="13BD1C26"/>
    <w:rsid w:val="13BD63CA"/>
    <w:rsid w:val="13C2E17D"/>
    <w:rsid w:val="13C5BB39"/>
    <w:rsid w:val="13CA2EAA"/>
    <w:rsid w:val="13CE3B87"/>
    <w:rsid w:val="13D14E9B"/>
    <w:rsid w:val="13D283E6"/>
    <w:rsid w:val="13D33474"/>
    <w:rsid w:val="13D3F70C"/>
    <w:rsid w:val="13D84A15"/>
    <w:rsid w:val="13DCDF1B"/>
    <w:rsid w:val="13E3B60D"/>
    <w:rsid w:val="13E41DED"/>
    <w:rsid w:val="13E77263"/>
    <w:rsid w:val="13ECD91A"/>
    <w:rsid w:val="13EE92BD"/>
    <w:rsid w:val="13F43979"/>
    <w:rsid w:val="13F570C0"/>
    <w:rsid w:val="13F6660C"/>
    <w:rsid w:val="13F9451D"/>
    <w:rsid w:val="13FB567C"/>
    <w:rsid w:val="13FF8FE8"/>
    <w:rsid w:val="140157D2"/>
    <w:rsid w:val="14046BFF"/>
    <w:rsid w:val="1405D270"/>
    <w:rsid w:val="1406FCF6"/>
    <w:rsid w:val="14087EFA"/>
    <w:rsid w:val="140A6BFE"/>
    <w:rsid w:val="140AC00A"/>
    <w:rsid w:val="140F1A79"/>
    <w:rsid w:val="140FAF2A"/>
    <w:rsid w:val="1412C4C6"/>
    <w:rsid w:val="141B2E62"/>
    <w:rsid w:val="141C0B7E"/>
    <w:rsid w:val="141D2868"/>
    <w:rsid w:val="1423E855"/>
    <w:rsid w:val="14242B14"/>
    <w:rsid w:val="1427FC55"/>
    <w:rsid w:val="142F6611"/>
    <w:rsid w:val="1430FA5B"/>
    <w:rsid w:val="14315192"/>
    <w:rsid w:val="14317D3D"/>
    <w:rsid w:val="14375F34"/>
    <w:rsid w:val="1439B4A4"/>
    <w:rsid w:val="143B45D6"/>
    <w:rsid w:val="143CCD1E"/>
    <w:rsid w:val="1440954E"/>
    <w:rsid w:val="144353FD"/>
    <w:rsid w:val="144A2459"/>
    <w:rsid w:val="144DCDA1"/>
    <w:rsid w:val="144E229B"/>
    <w:rsid w:val="144E3616"/>
    <w:rsid w:val="144F62AD"/>
    <w:rsid w:val="145047F8"/>
    <w:rsid w:val="145404D3"/>
    <w:rsid w:val="14565D90"/>
    <w:rsid w:val="145966F1"/>
    <w:rsid w:val="14599E66"/>
    <w:rsid w:val="145A1363"/>
    <w:rsid w:val="145F7B9E"/>
    <w:rsid w:val="1461539D"/>
    <w:rsid w:val="14626053"/>
    <w:rsid w:val="14638FE7"/>
    <w:rsid w:val="14654CE2"/>
    <w:rsid w:val="1466228B"/>
    <w:rsid w:val="1466398E"/>
    <w:rsid w:val="14664D31"/>
    <w:rsid w:val="146FCAD8"/>
    <w:rsid w:val="146FEDD7"/>
    <w:rsid w:val="147095A8"/>
    <w:rsid w:val="1472F7D5"/>
    <w:rsid w:val="147583DF"/>
    <w:rsid w:val="14761DF6"/>
    <w:rsid w:val="147A90C7"/>
    <w:rsid w:val="147AE0E7"/>
    <w:rsid w:val="14838D9B"/>
    <w:rsid w:val="148531ED"/>
    <w:rsid w:val="1487E4F3"/>
    <w:rsid w:val="14943BD9"/>
    <w:rsid w:val="14995CB7"/>
    <w:rsid w:val="149DF249"/>
    <w:rsid w:val="14A02CAD"/>
    <w:rsid w:val="14A0D502"/>
    <w:rsid w:val="14A3FD56"/>
    <w:rsid w:val="14A92370"/>
    <w:rsid w:val="14A9B9E9"/>
    <w:rsid w:val="14AB690F"/>
    <w:rsid w:val="14AB9F4E"/>
    <w:rsid w:val="14B3F06B"/>
    <w:rsid w:val="14B8931B"/>
    <w:rsid w:val="14BA4098"/>
    <w:rsid w:val="14BA7674"/>
    <w:rsid w:val="14BAAC24"/>
    <w:rsid w:val="14BB24BD"/>
    <w:rsid w:val="14BB6F41"/>
    <w:rsid w:val="14BD01B1"/>
    <w:rsid w:val="14BF9634"/>
    <w:rsid w:val="14C0CD02"/>
    <w:rsid w:val="14C7BA3B"/>
    <w:rsid w:val="14C92281"/>
    <w:rsid w:val="14CB2107"/>
    <w:rsid w:val="14CBC11D"/>
    <w:rsid w:val="14CC03D2"/>
    <w:rsid w:val="14CC3B5D"/>
    <w:rsid w:val="14CC91EA"/>
    <w:rsid w:val="14CE7B01"/>
    <w:rsid w:val="14D0C9AB"/>
    <w:rsid w:val="14D0DFB4"/>
    <w:rsid w:val="14D24A2D"/>
    <w:rsid w:val="14D2D43C"/>
    <w:rsid w:val="14D45791"/>
    <w:rsid w:val="14D63AD4"/>
    <w:rsid w:val="14D7256E"/>
    <w:rsid w:val="14D79C3D"/>
    <w:rsid w:val="14D80BE5"/>
    <w:rsid w:val="14E2F91F"/>
    <w:rsid w:val="14E54D17"/>
    <w:rsid w:val="14E55459"/>
    <w:rsid w:val="14EBF2D8"/>
    <w:rsid w:val="14ED3CB6"/>
    <w:rsid w:val="14F01727"/>
    <w:rsid w:val="14F0BE61"/>
    <w:rsid w:val="14F2E0ED"/>
    <w:rsid w:val="14F5ECCC"/>
    <w:rsid w:val="14F7EB50"/>
    <w:rsid w:val="14FB27C0"/>
    <w:rsid w:val="14FCC980"/>
    <w:rsid w:val="14FCD2DD"/>
    <w:rsid w:val="14FFFF78"/>
    <w:rsid w:val="150214C0"/>
    <w:rsid w:val="1505C062"/>
    <w:rsid w:val="15086AFD"/>
    <w:rsid w:val="1509B411"/>
    <w:rsid w:val="1510981A"/>
    <w:rsid w:val="15116A5C"/>
    <w:rsid w:val="151247F3"/>
    <w:rsid w:val="15140ECF"/>
    <w:rsid w:val="15144A19"/>
    <w:rsid w:val="1514925F"/>
    <w:rsid w:val="151651AF"/>
    <w:rsid w:val="151C997E"/>
    <w:rsid w:val="151D487E"/>
    <w:rsid w:val="151DEBF5"/>
    <w:rsid w:val="1521D67D"/>
    <w:rsid w:val="15222A1E"/>
    <w:rsid w:val="15224CDB"/>
    <w:rsid w:val="1523FEFD"/>
    <w:rsid w:val="1525C1EF"/>
    <w:rsid w:val="1526C45E"/>
    <w:rsid w:val="152C4CB1"/>
    <w:rsid w:val="152D7416"/>
    <w:rsid w:val="152E6B94"/>
    <w:rsid w:val="152F0E96"/>
    <w:rsid w:val="1531040D"/>
    <w:rsid w:val="15329CFA"/>
    <w:rsid w:val="153509AD"/>
    <w:rsid w:val="153666B3"/>
    <w:rsid w:val="1536B32E"/>
    <w:rsid w:val="1539E1FB"/>
    <w:rsid w:val="153D4107"/>
    <w:rsid w:val="153FBFFF"/>
    <w:rsid w:val="15458EAC"/>
    <w:rsid w:val="1546AD08"/>
    <w:rsid w:val="1548B56A"/>
    <w:rsid w:val="1549C98B"/>
    <w:rsid w:val="154AC186"/>
    <w:rsid w:val="154D0C1A"/>
    <w:rsid w:val="154F2706"/>
    <w:rsid w:val="1550E3C1"/>
    <w:rsid w:val="155919AC"/>
    <w:rsid w:val="155A1AA3"/>
    <w:rsid w:val="155B1B57"/>
    <w:rsid w:val="155C7573"/>
    <w:rsid w:val="155CEEB9"/>
    <w:rsid w:val="155D6020"/>
    <w:rsid w:val="155E1462"/>
    <w:rsid w:val="155F9564"/>
    <w:rsid w:val="1561DDCC"/>
    <w:rsid w:val="1566D70A"/>
    <w:rsid w:val="1567531C"/>
    <w:rsid w:val="15683B39"/>
    <w:rsid w:val="1568DEAB"/>
    <w:rsid w:val="156E35F7"/>
    <w:rsid w:val="15715C22"/>
    <w:rsid w:val="15765C78"/>
    <w:rsid w:val="157ACC8C"/>
    <w:rsid w:val="157EA68A"/>
    <w:rsid w:val="15800579"/>
    <w:rsid w:val="1586F3A3"/>
    <w:rsid w:val="1587C8FF"/>
    <w:rsid w:val="15891707"/>
    <w:rsid w:val="158D4F1B"/>
    <w:rsid w:val="158DBE1B"/>
    <w:rsid w:val="158E43A9"/>
    <w:rsid w:val="1590BF20"/>
    <w:rsid w:val="159163A5"/>
    <w:rsid w:val="15919D05"/>
    <w:rsid w:val="159549D3"/>
    <w:rsid w:val="1595A95C"/>
    <w:rsid w:val="15961945"/>
    <w:rsid w:val="15985532"/>
    <w:rsid w:val="159CAB44"/>
    <w:rsid w:val="159ED6B0"/>
    <w:rsid w:val="15A06713"/>
    <w:rsid w:val="15A1A728"/>
    <w:rsid w:val="15A1BB6A"/>
    <w:rsid w:val="15B05912"/>
    <w:rsid w:val="15B1B04D"/>
    <w:rsid w:val="15B5ADE0"/>
    <w:rsid w:val="15B84A56"/>
    <w:rsid w:val="15B93F99"/>
    <w:rsid w:val="15BFCA95"/>
    <w:rsid w:val="15C6EA7E"/>
    <w:rsid w:val="15C8FFCC"/>
    <w:rsid w:val="15D0356D"/>
    <w:rsid w:val="15D2F80C"/>
    <w:rsid w:val="15D2FDF7"/>
    <w:rsid w:val="15D45C8B"/>
    <w:rsid w:val="15D86F5B"/>
    <w:rsid w:val="15DC83FC"/>
    <w:rsid w:val="15E6843F"/>
    <w:rsid w:val="15E8AE21"/>
    <w:rsid w:val="15EB5DFB"/>
    <w:rsid w:val="15ED5213"/>
    <w:rsid w:val="15F0B344"/>
    <w:rsid w:val="15F3B52F"/>
    <w:rsid w:val="15FA730A"/>
    <w:rsid w:val="15FBCEA3"/>
    <w:rsid w:val="15FBFF7C"/>
    <w:rsid w:val="15FC7054"/>
    <w:rsid w:val="16005B0A"/>
    <w:rsid w:val="16013627"/>
    <w:rsid w:val="16016515"/>
    <w:rsid w:val="16020275"/>
    <w:rsid w:val="16020ECE"/>
    <w:rsid w:val="1606AA01"/>
    <w:rsid w:val="160900F1"/>
    <w:rsid w:val="1609E75A"/>
    <w:rsid w:val="160B63ED"/>
    <w:rsid w:val="160C5FA2"/>
    <w:rsid w:val="160C7C87"/>
    <w:rsid w:val="16105A4F"/>
    <w:rsid w:val="1610D8A9"/>
    <w:rsid w:val="16120215"/>
    <w:rsid w:val="161421A7"/>
    <w:rsid w:val="161434EC"/>
    <w:rsid w:val="161725B3"/>
    <w:rsid w:val="1617B790"/>
    <w:rsid w:val="161CECE4"/>
    <w:rsid w:val="161D5F1D"/>
    <w:rsid w:val="1621954C"/>
    <w:rsid w:val="16219AE3"/>
    <w:rsid w:val="1626898C"/>
    <w:rsid w:val="162CF8B4"/>
    <w:rsid w:val="162F2CB1"/>
    <w:rsid w:val="163321D4"/>
    <w:rsid w:val="1634DB50"/>
    <w:rsid w:val="163E4365"/>
    <w:rsid w:val="164325FD"/>
    <w:rsid w:val="164423B8"/>
    <w:rsid w:val="1645A359"/>
    <w:rsid w:val="1645D303"/>
    <w:rsid w:val="1648BF70"/>
    <w:rsid w:val="16495C3A"/>
    <w:rsid w:val="164B4508"/>
    <w:rsid w:val="164BB159"/>
    <w:rsid w:val="164D4456"/>
    <w:rsid w:val="16512ADA"/>
    <w:rsid w:val="165692D9"/>
    <w:rsid w:val="1658B552"/>
    <w:rsid w:val="16598B08"/>
    <w:rsid w:val="165A8D7A"/>
    <w:rsid w:val="16609D30"/>
    <w:rsid w:val="16614107"/>
    <w:rsid w:val="16628220"/>
    <w:rsid w:val="1669780B"/>
    <w:rsid w:val="166A3325"/>
    <w:rsid w:val="166AE7CD"/>
    <w:rsid w:val="167135F8"/>
    <w:rsid w:val="16751E71"/>
    <w:rsid w:val="16811A22"/>
    <w:rsid w:val="1681F924"/>
    <w:rsid w:val="16839A6C"/>
    <w:rsid w:val="1683CB9B"/>
    <w:rsid w:val="168692CA"/>
    <w:rsid w:val="1686ECD4"/>
    <w:rsid w:val="1687CD14"/>
    <w:rsid w:val="168B423F"/>
    <w:rsid w:val="168BB1BF"/>
    <w:rsid w:val="168D0913"/>
    <w:rsid w:val="16913AB9"/>
    <w:rsid w:val="16935BB0"/>
    <w:rsid w:val="16977AC0"/>
    <w:rsid w:val="169832CD"/>
    <w:rsid w:val="169B9F9D"/>
    <w:rsid w:val="169C9DA2"/>
    <w:rsid w:val="169CBC0E"/>
    <w:rsid w:val="169DD883"/>
    <w:rsid w:val="169E01D5"/>
    <w:rsid w:val="169F2A8F"/>
    <w:rsid w:val="16A3DEBB"/>
    <w:rsid w:val="16A7D7D3"/>
    <w:rsid w:val="16AA98B3"/>
    <w:rsid w:val="16AE7138"/>
    <w:rsid w:val="16AFFCB4"/>
    <w:rsid w:val="16B12E37"/>
    <w:rsid w:val="16B40E90"/>
    <w:rsid w:val="16B4DEC4"/>
    <w:rsid w:val="16B51F2C"/>
    <w:rsid w:val="16BF07A8"/>
    <w:rsid w:val="16BF2B3D"/>
    <w:rsid w:val="16C33DAB"/>
    <w:rsid w:val="16C3AD4F"/>
    <w:rsid w:val="16C7EBC5"/>
    <w:rsid w:val="16D68A3C"/>
    <w:rsid w:val="16D853EB"/>
    <w:rsid w:val="16DBCEEA"/>
    <w:rsid w:val="16DD1C8A"/>
    <w:rsid w:val="16E893F4"/>
    <w:rsid w:val="16EC81DC"/>
    <w:rsid w:val="16F09C1F"/>
    <w:rsid w:val="16FAA03E"/>
    <w:rsid w:val="16FCD996"/>
    <w:rsid w:val="16FD4818"/>
    <w:rsid w:val="16FE69EA"/>
    <w:rsid w:val="16FE948D"/>
    <w:rsid w:val="16FFF330"/>
    <w:rsid w:val="1700C025"/>
    <w:rsid w:val="1701F681"/>
    <w:rsid w:val="17062C6B"/>
    <w:rsid w:val="1707EF55"/>
    <w:rsid w:val="17094528"/>
    <w:rsid w:val="1709AF79"/>
    <w:rsid w:val="170C5FF9"/>
    <w:rsid w:val="170D952D"/>
    <w:rsid w:val="170EF247"/>
    <w:rsid w:val="170F5CFD"/>
    <w:rsid w:val="170FE581"/>
    <w:rsid w:val="17138779"/>
    <w:rsid w:val="17169CED"/>
    <w:rsid w:val="171C2CBC"/>
    <w:rsid w:val="171DD3A6"/>
    <w:rsid w:val="172073F9"/>
    <w:rsid w:val="1726A871"/>
    <w:rsid w:val="172E749F"/>
    <w:rsid w:val="1732D35F"/>
    <w:rsid w:val="17331DE9"/>
    <w:rsid w:val="1734295E"/>
    <w:rsid w:val="17377941"/>
    <w:rsid w:val="173CA25F"/>
    <w:rsid w:val="173CCADF"/>
    <w:rsid w:val="173DCD38"/>
    <w:rsid w:val="173F59E3"/>
    <w:rsid w:val="174054AB"/>
    <w:rsid w:val="17443526"/>
    <w:rsid w:val="17447DAE"/>
    <w:rsid w:val="1748F84C"/>
    <w:rsid w:val="17497BE2"/>
    <w:rsid w:val="174D1078"/>
    <w:rsid w:val="174D6C09"/>
    <w:rsid w:val="1751D716"/>
    <w:rsid w:val="175372E2"/>
    <w:rsid w:val="17567034"/>
    <w:rsid w:val="17578541"/>
    <w:rsid w:val="17584E88"/>
    <w:rsid w:val="1759A620"/>
    <w:rsid w:val="175E6816"/>
    <w:rsid w:val="17610F5F"/>
    <w:rsid w:val="1763D67D"/>
    <w:rsid w:val="1765B53E"/>
    <w:rsid w:val="1767EF5A"/>
    <w:rsid w:val="176C63B6"/>
    <w:rsid w:val="176CC54D"/>
    <w:rsid w:val="1770C8BB"/>
    <w:rsid w:val="1770CCC7"/>
    <w:rsid w:val="17732B9E"/>
    <w:rsid w:val="17734BC0"/>
    <w:rsid w:val="177A364D"/>
    <w:rsid w:val="177BE66E"/>
    <w:rsid w:val="17830D87"/>
    <w:rsid w:val="178503B3"/>
    <w:rsid w:val="1788E065"/>
    <w:rsid w:val="178CE0B9"/>
    <w:rsid w:val="179017DD"/>
    <w:rsid w:val="17918C6A"/>
    <w:rsid w:val="17926FC5"/>
    <w:rsid w:val="1799BA96"/>
    <w:rsid w:val="179A1FE2"/>
    <w:rsid w:val="179C7E49"/>
    <w:rsid w:val="179EE2A0"/>
    <w:rsid w:val="17A21292"/>
    <w:rsid w:val="17AC069B"/>
    <w:rsid w:val="17B04AE8"/>
    <w:rsid w:val="17B2F691"/>
    <w:rsid w:val="17B5FDCD"/>
    <w:rsid w:val="17BAEB3F"/>
    <w:rsid w:val="17BD8B1F"/>
    <w:rsid w:val="17C1549E"/>
    <w:rsid w:val="17C5A9FD"/>
    <w:rsid w:val="17CAAF2B"/>
    <w:rsid w:val="17D2BBDD"/>
    <w:rsid w:val="17D856E4"/>
    <w:rsid w:val="17DAC96C"/>
    <w:rsid w:val="17DDFA4F"/>
    <w:rsid w:val="17DF30A3"/>
    <w:rsid w:val="17E2318E"/>
    <w:rsid w:val="17E536CB"/>
    <w:rsid w:val="17E64248"/>
    <w:rsid w:val="17E717F5"/>
    <w:rsid w:val="17E7992B"/>
    <w:rsid w:val="17F9B0D7"/>
    <w:rsid w:val="17FA8995"/>
    <w:rsid w:val="17FC4B3B"/>
    <w:rsid w:val="17FFF78F"/>
    <w:rsid w:val="18046436"/>
    <w:rsid w:val="180495B3"/>
    <w:rsid w:val="1805AD9C"/>
    <w:rsid w:val="1805C1DA"/>
    <w:rsid w:val="1806BC76"/>
    <w:rsid w:val="1806D67F"/>
    <w:rsid w:val="1809B1CD"/>
    <w:rsid w:val="180ACFA1"/>
    <w:rsid w:val="180B7FA9"/>
    <w:rsid w:val="180DF03D"/>
    <w:rsid w:val="180E34D3"/>
    <w:rsid w:val="18101B1A"/>
    <w:rsid w:val="181334B4"/>
    <w:rsid w:val="181449FF"/>
    <w:rsid w:val="18150A2F"/>
    <w:rsid w:val="181B9072"/>
    <w:rsid w:val="181E8FBE"/>
    <w:rsid w:val="181FD656"/>
    <w:rsid w:val="1821B9E3"/>
    <w:rsid w:val="1821C42E"/>
    <w:rsid w:val="18234576"/>
    <w:rsid w:val="1823B312"/>
    <w:rsid w:val="1824E08D"/>
    <w:rsid w:val="182B6DC7"/>
    <w:rsid w:val="182F8492"/>
    <w:rsid w:val="18315CC7"/>
    <w:rsid w:val="1834CE03"/>
    <w:rsid w:val="18371740"/>
    <w:rsid w:val="183BFD9E"/>
    <w:rsid w:val="183C3349"/>
    <w:rsid w:val="183DDF9C"/>
    <w:rsid w:val="183EBCDF"/>
    <w:rsid w:val="183F2328"/>
    <w:rsid w:val="18428B61"/>
    <w:rsid w:val="1844D0AC"/>
    <w:rsid w:val="18453738"/>
    <w:rsid w:val="184633AE"/>
    <w:rsid w:val="1848E740"/>
    <w:rsid w:val="1856D3E1"/>
    <w:rsid w:val="18586DA4"/>
    <w:rsid w:val="1859D8AC"/>
    <w:rsid w:val="185A1DBD"/>
    <w:rsid w:val="185C3E1C"/>
    <w:rsid w:val="186332CA"/>
    <w:rsid w:val="186A0606"/>
    <w:rsid w:val="186F6E2B"/>
    <w:rsid w:val="186F85C3"/>
    <w:rsid w:val="187102FD"/>
    <w:rsid w:val="1872A497"/>
    <w:rsid w:val="187438BB"/>
    <w:rsid w:val="187D0E37"/>
    <w:rsid w:val="187D220B"/>
    <w:rsid w:val="187D4BBE"/>
    <w:rsid w:val="1881CE07"/>
    <w:rsid w:val="1883645F"/>
    <w:rsid w:val="18885F86"/>
    <w:rsid w:val="18899683"/>
    <w:rsid w:val="188998B0"/>
    <w:rsid w:val="188A9FC5"/>
    <w:rsid w:val="188EA165"/>
    <w:rsid w:val="188EB6E6"/>
    <w:rsid w:val="1890768F"/>
    <w:rsid w:val="1893B47C"/>
    <w:rsid w:val="1898AFBA"/>
    <w:rsid w:val="189999AB"/>
    <w:rsid w:val="189FE4CF"/>
    <w:rsid w:val="18A03CD3"/>
    <w:rsid w:val="18A1036C"/>
    <w:rsid w:val="18A25272"/>
    <w:rsid w:val="18A42072"/>
    <w:rsid w:val="18A93887"/>
    <w:rsid w:val="18AC6A73"/>
    <w:rsid w:val="18B26D4E"/>
    <w:rsid w:val="18B52A24"/>
    <w:rsid w:val="18B56DD5"/>
    <w:rsid w:val="18B75E50"/>
    <w:rsid w:val="18B7F248"/>
    <w:rsid w:val="18B86896"/>
    <w:rsid w:val="18B8B75C"/>
    <w:rsid w:val="18B8C820"/>
    <w:rsid w:val="18C07E61"/>
    <w:rsid w:val="18C70838"/>
    <w:rsid w:val="18C92237"/>
    <w:rsid w:val="18CBA774"/>
    <w:rsid w:val="18CC69B2"/>
    <w:rsid w:val="18D7A347"/>
    <w:rsid w:val="18D875D0"/>
    <w:rsid w:val="18D8969A"/>
    <w:rsid w:val="18DB371B"/>
    <w:rsid w:val="18DFECC6"/>
    <w:rsid w:val="18E3C8B8"/>
    <w:rsid w:val="18E408E1"/>
    <w:rsid w:val="18E91761"/>
    <w:rsid w:val="18EA0E31"/>
    <w:rsid w:val="18F077FC"/>
    <w:rsid w:val="18F17877"/>
    <w:rsid w:val="18F21772"/>
    <w:rsid w:val="18F402F7"/>
    <w:rsid w:val="18FA3DA6"/>
    <w:rsid w:val="18FCF186"/>
    <w:rsid w:val="19024CDA"/>
    <w:rsid w:val="190ED762"/>
    <w:rsid w:val="190ED7FA"/>
    <w:rsid w:val="1912CE5A"/>
    <w:rsid w:val="19188B86"/>
    <w:rsid w:val="1919C055"/>
    <w:rsid w:val="191A9C6C"/>
    <w:rsid w:val="1921677C"/>
    <w:rsid w:val="19230588"/>
    <w:rsid w:val="1925EFC4"/>
    <w:rsid w:val="1927DEF9"/>
    <w:rsid w:val="19299374"/>
    <w:rsid w:val="192C408E"/>
    <w:rsid w:val="192C769C"/>
    <w:rsid w:val="192E7178"/>
    <w:rsid w:val="19347303"/>
    <w:rsid w:val="193E8DA0"/>
    <w:rsid w:val="193EBB39"/>
    <w:rsid w:val="193ED3A5"/>
    <w:rsid w:val="1941F284"/>
    <w:rsid w:val="19445687"/>
    <w:rsid w:val="1945FFB1"/>
    <w:rsid w:val="1947ACEF"/>
    <w:rsid w:val="1948840C"/>
    <w:rsid w:val="194D01CD"/>
    <w:rsid w:val="194DB251"/>
    <w:rsid w:val="1951C5D3"/>
    <w:rsid w:val="19541C18"/>
    <w:rsid w:val="195691F2"/>
    <w:rsid w:val="19573840"/>
    <w:rsid w:val="19582F58"/>
    <w:rsid w:val="195B8BFD"/>
    <w:rsid w:val="195BCFF0"/>
    <w:rsid w:val="195E2868"/>
    <w:rsid w:val="195E6341"/>
    <w:rsid w:val="19608123"/>
    <w:rsid w:val="1960DE36"/>
    <w:rsid w:val="196367C8"/>
    <w:rsid w:val="1964DABB"/>
    <w:rsid w:val="19670467"/>
    <w:rsid w:val="196C82BD"/>
    <w:rsid w:val="196DCC3B"/>
    <w:rsid w:val="196FA896"/>
    <w:rsid w:val="197076F7"/>
    <w:rsid w:val="1970A28F"/>
    <w:rsid w:val="197460BD"/>
    <w:rsid w:val="1974B818"/>
    <w:rsid w:val="197B0431"/>
    <w:rsid w:val="197E5BB1"/>
    <w:rsid w:val="1985607D"/>
    <w:rsid w:val="19880453"/>
    <w:rsid w:val="198A5DE2"/>
    <w:rsid w:val="198E0E38"/>
    <w:rsid w:val="198EEC9D"/>
    <w:rsid w:val="1990EC6A"/>
    <w:rsid w:val="199842CE"/>
    <w:rsid w:val="19989BAE"/>
    <w:rsid w:val="1998CA48"/>
    <w:rsid w:val="199A9EDB"/>
    <w:rsid w:val="199B4401"/>
    <w:rsid w:val="199F481D"/>
    <w:rsid w:val="199F550D"/>
    <w:rsid w:val="19A1E553"/>
    <w:rsid w:val="19A50623"/>
    <w:rsid w:val="19A5245D"/>
    <w:rsid w:val="19A52C9C"/>
    <w:rsid w:val="19A868B4"/>
    <w:rsid w:val="19A918AA"/>
    <w:rsid w:val="19AC8AC3"/>
    <w:rsid w:val="19AED2FE"/>
    <w:rsid w:val="19AF034B"/>
    <w:rsid w:val="19B23E69"/>
    <w:rsid w:val="19B49764"/>
    <w:rsid w:val="19B59E3D"/>
    <w:rsid w:val="19B802A8"/>
    <w:rsid w:val="19B96DB9"/>
    <w:rsid w:val="19BFA8B4"/>
    <w:rsid w:val="19C0CCE6"/>
    <w:rsid w:val="19C2602F"/>
    <w:rsid w:val="19C59316"/>
    <w:rsid w:val="19CB80DB"/>
    <w:rsid w:val="19CF93F6"/>
    <w:rsid w:val="19D1E8A8"/>
    <w:rsid w:val="19D3D8F2"/>
    <w:rsid w:val="19D7E945"/>
    <w:rsid w:val="19DE209E"/>
    <w:rsid w:val="19E0AAAA"/>
    <w:rsid w:val="19E0E99E"/>
    <w:rsid w:val="19E3CE14"/>
    <w:rsid w:val="19E97815"/>
    <w:rsid w:val="19E98D37"/>
    <w:rsid w:val="19EC8194"/>
    <w:rsid w:val="19ED6CED"/>
    <w:rsid w:val="19F2009D"/>
    <w:rsid w:val="19F2AF2D"/>
    <w:rsid w:val="19F2B008"/>
    <w:rsid w:val="19F520CD"/>
    <w:rsid w:val="19F6EDDA"/>
    <w:rsid w:val="19F7802E"/>
    <w:rsid w:val="19F8C2FE"/>
    <w:rsid w:val="19F8FBA0"/>
    <w:rsid w:val="1A083E88"/>
    <w:rsid w:val="1A0D0B18"/>
    <w:rsid w:val="1A0D30DA"/>
    <w:rsid w:val="1A1164FB"/>
    <w:rsid w:val="1A12A3A9"/>
    <w:rsid w:val="1A144AEA"/>
    <w:rsid w:val="1A14E1A8"/>
    <w:rsid w:val="1A150163"/>
    <w:rsid w:val="1A16FFA1"/>
    <w:rsid w:val="1A1D082E"/>
    <w:rsid w:val="1A1E9044"/>
    <w:rsid w:val="1A1F13B8"/>
    <w:rsid w:val="1A21EC68"/>
    <w:rsid w:val="1A22626E"/>
    <w:rsid w:val="1A24B97D"/>
    <w:rsid w:val="1A26B5D3"/>
    <w:rsid w:val="1A279783"/>
    <w:rsid w:val="1A2CC002"/>
    <w:rsid w:val="1A35FBD1"/>
    <w:rsid w:val="1A3AC778"/>
    <w:rsid w:val="1A3F92A7"/>
    <w:rsid w:val="1A4506B2"/>
    <w:rsid w:val="1A4D3744"/>
    <w:rsid w:val="1A4E3DAF"/>
    <w:rsid w:val="1A53AC23"/>
    <w:rsid w:val="1A53E82A"/>
    <w:rsid w:val="1A540CD0"/>
    <w:rsid w:val="1A545B20"/>
    <w:rsid w:val="1A54B8A5"/>
    <w:rsid w:val="1A558A7E"/>
    <w:rsid w:val="1A572E5F"/>
    <w:rsid w:val="1A595B02"/>
    <w:rsid w:val="1A5CDD50"/>
    <w:rsid w:val="1A6223F5"/>
    <w:rsid w:val="1A641DF8"/>
    <w:rsid w:val="1A673A85"/>
    <w:rsid w:val="1A6A060C"/>
    <w:rsid w:val="1A6D5A6A"/>
    <w:rsid w:val="1A746BA1"/>
    <w:rsid w:val="1A758FDF"/>
    <w:rsid w:val="1A797A8F"/>
    <w:rsid w:val="1A7A3807"/>
    <w:rsid w:val="1A7AF2C0"/>
    <w:rsid w:val="1A7DF799"/>
    <w:rsid w:val="1A7EC564"/>
    <w:rsid w:val="1A8102A3"/>
    <w:rsid w:val="1A8247D3"/>
    <w:rsid w:val="1A854E0B"/>
    <w:rsid w:val="1A8592D5"/>
    <w:rsid w:val="1A88C3BD"/>
    <w:rsid w:val="1A8907EA"/>
    <w:rsid w:val="1A8C045D"/>
    <w:rsid w:val="1A8C323D"/>
    <w:rsid w:val="1A8DF5E6"/>
    <w:rsid w:val="1A8E3780"/>
    <w:rsid w:val="1A9641F8"/>
    <w:rsid w:val="1A9AEC22"/>
    <w:rsid w:val="1A9D4F7D"/>
    <w:rsid w:val="1A9E7598"/>
    <w:rsid w:val="1AA18144"/>
    <w:rsid w:val="1AA2A93A"/>
    <w:rsid w:val="1AA2D4D5"/>
    <w:rsid w:val="1AA31721"/>
    <w:rsid w:val="1AA4BC7B"/>
    <w:rsid w:val="1AA4D37A"/>
    <w:rsid w:val="1AA5F0EA"/>
    <w:rsid w:val="1AA7C362"/>
    <w:rsid w:val="1AA94F3F"/>
    <w:rsid w:val="1AAAAEC1"/>
    <w:rsid w:val="1AAADD89"/>
    <w:rsid w:val="1AAE7D22"/>
    <w:rsid w:val="1AAE9289"/>
    <w:rsid w:val="1AAF4555"/>
    <w:rsid w:val="1AB1B273"/>
    <w:rsid w:val="1AB20C5C"/>
    <w:rsid w:val="1AB8353F"/>
    <w:rsid w:val="1AB9A504"/>
    <w:rsid w:val="1ABC8AFB"/>
    <w:rsid w:val="1ABE00A2"/>
    <w:rsid w:val="1ABEEBFC"/>
    <w:rsid w:val="1ABFDE1A"/>
    <w:rsid w:val="1AC0F7CE"/>
    <w:rsid w:val="1AC3D9E7"/>
    <w:rsid w:val="1AC58620"/>
    <w:rsid w:val="1ACACA1E"/>
    <w:rsid w:val="1ACCA992"/>
    <w:rsid w:val="1ACF1627"/>
    <w:rsid w:val="1AD492F5"/>
    <w:rsid w:val="1AD5BFD4"/>
    <w:rsid w:val="1ADBF5BF"/>
    <w:rsid w:val="1AE24EAD"/>
    <w:rsid w:val="1AE6B18B"/>
    <w:rsid w:val="1AEBA24A"/>
    <w:rsid w:val="1AED5069"/>
    <w:rsid w:val="1AF51F0F"/>
    <w:rsid w:val="1AF7FD4B"/>
    <w:rsid w:val="1AF97B6F"/>
    <w:rsid w:val="1AFA11CB"/>
    <w:rsid w:val="1AFB5A07"/>
    <w:rsid w:val="1AFE562A"/>
    <w:rsid w:val="1B067CC5"/>
    <w:rsid w:val="1B0D4898"/>
    <w:rsid w:val="1B0F3726"/>
    <w:rsid w:val="1B13EEC5"/>
    <w:rsid w:val="1B143F00"/>
    <w:rsid w:val="1B147EDD"/>
    <w:rsid w:val="1B15AF5B"/>
    <w:rsid w:val="1B1CDC7E"/>
    <w:rsid w:val="1B1D335F"/>
    <w:rsid w:val="1B1D9CE1"/>
    <w:rsid w:val="1B21E564"/>
    <w:rsid w:val="1B22CB08"/>
    <w:rsid w:val="1B28C74B"/>
    <w:rsid w:val="1B28DB6E"/>
    <w:rsid w:val="1B2B6A36"/>
    <w:rsid w:val="1B2DE7B6"/>
    <w:rsid w:val="1B30E100"/>
    <w:rsid w:val="1B328FBB"/>
    <w:rsid w:val="1B35B5AB"/>
    <w:rsid w:val="1B36CE8F"/>
    <w:rsid w:val="1B376AFD"/>
    <w:rsid w:val="1B396DB8"/>
    <w:rsid w:val="1B3AEDF1"/>
    <w:rsid w:val="1B3C2689"/>
    <w:rsid w:val="1B3EA1C6"/>
    <w:rsid w:val="1B3FCE91"/>
    <w:rsid w:val="1B406E24"/>
    <w:rsid w:val="1B43CBFE"/>
    <w:rsid w:val="1B49D229"/>
    <w:rsid w:val="1B4B6EF1"/>
    <w:rsid w:val="1B4F0159"/>
    <w:rsid w:val="1B4F4E80"/>
    <w:rsid w:val="1B5183E2"/>
    <w:rsid w:val="1B54AAD8"/>
    <w:rsid w:val="1B56A00A"/>
    <w:rsid w:val="1B575C60"/>
    <w:rsid w:val="1B5863BF"/>
    <w:rsid w:val="1B59A5BE"/>
    <w:rsid w:val="1B5C3CC0"/>
    <w:rsid w:val="1B5C4780"/>
    <w:rsid w:val="1B5FF3C4"/>
    <w:rsid w:val="1B66C1FD"/>
    <w:rsid w:val="1B689BE8"/>
    <w:rsid w:val="1B6B79C6"/>
    <w:rsid w:val="1B6C1A22"/>
    <w:rsid w:val="1B6CC197"/>
    <w:rsid w:val="1B6CC32B"/>
    <w:rsid w:val="1B6EE934"/>
    <w:rsid w:val="1B6F8C43"/>
    <w:rsid w:val="1B6FA75B"/>
    <w:rsid w:val="1B72269D"/>
    <w:rsid w:val="1B729885"/>
    <w:rsid w:val="1B738D0E"/>
    <w:rsid w:val="1B75134D"/>
    <w:rsid w:val="1B76FAFC"/>
    <w:rsid w:val="1B79B561"/>
    <w:rsid w:val="1B7BC2DD"/>
    <w:rsid w:val="1B824479"/>
    <w:rsid w:val="1B85DB90"/>
    <w:rsid w:val="1B86A7EF"/>
    <w:rsid w:val="1B881F24"/>
    <w:rsid w:val="1B8AB4D0"/>
    <w:rsid w:val="1B8C7542"/>
    <w:rsid w:val="1B8D39DC"/>
    <w:rsid w:val="1B8F2719"/>
    <w:rsid w:val="1B93C3C3"/>
    <w:rsid w:val="1B957AF6"/>
    <w:rsid w:val="1B9A9CE4"/>
    <w:rsid w:val="1B9DBE17"/>
    <w:rsid w:val="1B9FA8B2"/>
    <w:rsid w:val="1BA348BF"/>
    <w:rsid w:val="1BA725EE"/>
    <w:rsid w:val="1BA93459"/>
    <w:rsid w:val="1BADF527"/>
    <w:rsid w:val="1BAE1074"/>
    <w:rsid w:val="1BAF5C1A"/>
    <w:rsid w:val="1BB37CC9"/>
    <w:rsid w:val="1BB37E2C"/>
    <w:rsid w:val="1BB6C9B3"/>
    <w:rsid w:val="1BBB5E52"/>
    <w:rsid w:val="1BBC99F2"/>
    <w:rsid w:val="1BBFDC7D"/>
    <w:rsid w:val="1BC041D2"/>
    <w:rsid w:val="1BC1164E"/>
    <w:rsid w:val="1BC125D0"/>
    <w:rsid w:val="1BC23AAB"/>
    <w:rsid w:val="1BC9034F"/>
    <w:rsid w:val="1BCA4250"/>
    <w:rsid w:val="1BDAB2DB"/>
    <w:rsid w:val="1BDE4883"/>
    <w:rsid w:val="1BE2D9BC"/>
    <w:rsid w:val="1BE3913B"/>
    <w:rsid w:val="1BE48240"/>
    <w:rsid w:val="1BF1E586"/>
    <w:rsid w:val="1BF42B0F"/>
    <w:rsid w:val="1BF7F1D4"/>
    <w:rsid w:val="1BF84DB7"/>
    <w:rsid w:val="1C00ABB7"/>
    <w:rsid w:val="1C024CCC"/>
    <w:rsid w:val="1C0939C7"/>
    <w:rsid w:val="1C0C42C5"/>
    <w:rsid w:val="1C0F80EC"/>
    <w:rsid w:val="1C191ADE"/>
    <w:rsid w:val="1C193158"/>
    <w:rsid w:val="1C237AB6"/>
    <w:rsid w:val="1C241E85"/>
    <w:rsid w:val="1C24A3F9"/>
    <w:rsid w:val="1C279AB7"/>
    <w:rsid w:val="1C2B8965"/>
    <w:rsid w:val="1C2BFEAD"/>
    <w:rsid w:val="1C2DA232"/>
    <w:rsid w:val="1C2E6D4C"/>
    <w:rsid w:val="1C2FB979"/>
    <w:rsid w:val="1C2FCFC0"/>
    <w:rsid w:val="1C301FCD"/>
    <w:rsid w:val="1C30EE58"/>
    <w:rsid w:val="1C324E50"/>
    <w:rsid w:val="1C32CF2C"/>
    <w:rsid w:val="1C349551"/>
    <w:rsid w:val="1C357ABB"/>
    <w:rsid w:val="1C3E4C27"/>
    <w:rsid w:val="1C3F050A"/>
    <w:rsid w:val="1C446759"/>
    <w:rsid w:val="1C490A30"/>
    <w:rsid w:val="1C4932FB"/>
    <w:rsid w:val="1C4A71D8"/>
    <w:rsid w:val="1C504111"/>
    <w:rsid w:val="1C506BC9"/>
    <w:rsid w:val="1C50F61D"/>
    <w:rsid w:val="1C533BF8"/>
    <w:rsid w:val="1C597E12"/>
    <w:rsid w:val="1C598199"/>
    <w:rsid w:val="1C5E6C12"/>
    <w:rsid w:val="1C605AAE"/>
    <w:rsid w:val="1C6319B2"/>
    <w:rsid w:val="1C65D387"/>
    <w:rsid w:val="1C6A6384"/>
    <w:rsid w:val="1C7CEA0B"/>
    <w:rsid w:val="1C7D4E64"/>
    <w:rsid w:val="1C7D7B0D"/>
    <w:rsid w:val="1C7E6704"/>
    <w:rsid w:val="1C8321E2"/>
    <w:rsid w:val="1C834FEB"/>
    <w:rsid w:val="1C88F66E"/>
    <w:rsid w:val="1C8AD746"/>
    <w:rsid w:val="1C8B59D1"/>
    <w:rsid w:val="1C8FAEA5"/>
    <w:rsid w:val="1C913707"/>
    <w:rsid w:val="1C91FA1F"/>
    <w:rsid w:val="1C95BB90"/>
    <w:rsid w:val="1C9EA24F"/>
    <w:rsid w:val="1C9F21AB"/>
    <w:rsid w:val="1CA115A6"/>
    <w:rsid w:val="1CA38DA0"/>
    <w:rsid w:val="1CA46B9E"/>
    <w:rsid w:val="1CAA870A"/>
    <w:rsid w:val="1CADBBE3"/>
    <w:rsid w:val="1CADC608"/>
    <w:rsid w:val="1CAE4055"/>
    <w:rsid w:val="1CAF8512"/>
    <w:rsid w:val="1CB2B1E5"/>
    <w:rsid w:val="1CB83280"/>
    <w:rsid w:val="1CB98EAC"/>
    <w:rsid w:val="1CBBADDC"/>
    <w:rsid w:val="1CBC2316"/>
    <w:rsid w:val="1CC1E84B"/>
    <w:rsid w:val="1CC4651D"/>
    <w:rsid w:val="1CC5A9C6"/>
    <w:rsid w:val="1CC69A82"/>
    <w:rsid w:val="1CCAEA7A"/>
    <w:rsid w:val="1CD41435"/>
    <w:rsid w:val="1CD921A4"/>
    <w:rsid w:val="1CDB4FD0"/>
    <w:rsid w:val="1CDF7796"/>
    <w:rsid w:val="1CE1BB81"/>
    <w:rsid w:val="1CE319EF"/>
    <w:rsid w:val="1CE67B41"/>
    <w:rsid w:val="1CE9D631"/>
    <w:rsid w:val="1CEAEE02"/>
    <w:rsid w:val="1CEBC105"/>
    <w:rsid w:val="1CED3205"/>
    <w:rsid w:val="1CED7A9A"/>
    <w:rsid w:val="1CF62534"/>
    <w:rsid w:val="1CF6F943"/>
    <w:rsid w:val="1CFADDFF"/>
    <w:rsid w:val="1CFB643E"/>
    <w:rsid w:val="1D00A120"/>
    <w:rsid w:val="1D0298EF"/>
    <w:rsid w:val="1D02E629"/>
    <w:rsid w:val="1D033DA1"/>
    <w:rsid w:val="1D04270C"/>
    <w:rsid w:val="1D059B2E"/>
    <w:rsid w:val="1D0A74BA"/>
    <w:rsid w:val="1D0F40FC"/>
    <w:rsid w:val="1D109ED0"/>
    <w:rsid w:val="1D123C78"/>
    <w:rsid w:val="1D14CF43"/>
    <w:rsid w:val="1D15627C"/>
    <w:rsid w:val="1D16172A"/>
    <w:rsid w:val="1D1A3A69"/>
    <w:rsid w:val="1D1B4CEC"/>
    <w:rsid w:val="1D1F5CD9"/>
    <w:rsid w:val="1D22FE8A"/>
    <w:rsid w:val="1D25FCED"/>
    <w:rsid w:val="1D2919F1"/>
    <w:rsid w:val="1D29B7D7"/>
    <w:rsid w:val="1D2E36A2"/>
    <w:rsid w:val="1D2EDBFA"/>
    <w:rsid w:val="1D300746"/>
    <w:rsid w:val="1D312992"/>
    <w:rsid w:val="1D323863"/>
    <w:rsid w:val="1D33A201"/>
    <w:rsid w:val="1D35AE85"/>
    <w:rsid w:val="1D38FBDA"/>
    <w:rsid w:val="1D44936F"/>
    <w:rsid w:val="1D44C3BC"/>
    <w:rsid w:val="1D4EFCAD"/>
    <w:rsid w:val="1D50D26B"/>
    <w:rsid w:val="1D53D80C"/>
    <w:rsid w:val="1D559595"/>
    <w:rsid w:val="1D56DB49"/>
    <w:rsid w:val="1D593B89"/>
    <w:rsid w:val="1D5BBBBB"/>
    <w:rsid w:val="1D5E75BF"/>
    <w:rsid w:val="1D5E9171"/>
    <w:rsid w:val="1D616F95"/>
    <w:rsid w:val="1D61BE5E"/>
    <w:rsid w:val="1D63AFEE"/>
    <w:rsid w:val="1D64D605"/>
    <w:rsid w:val="1D662C28"/>
    <w:rsid w:val="1D696870"/>
    <w:rsid w:val="1D697354"/>
    <w:rsid w:val="1D698CDD"/>
    <w:rsid w:val="1D69E229"/>
    <w:rsid w:val="1D7020EE"/>
    <w:rsid w:val="1D7116CF"/>
    <w:rsid w:val="1D716A77"/>
    <w:rsid w:val="1D73CED0"/>
    <w:rsid w:val="1D7428E9"/>
    <w:rsid w:val="1D7733A7"/>
    <w:rsid w:val="1D7BEE15"/>
    <w:rsid w:val="1D7C0F3E"/>
    <w:rsid w:val="1D7E31C8"/>
    <w:rsid w:val="1D7FD63F"/>
    <w:rsid w:val="1D82D2CB"/>
    <w:rsid w:val="1D8D3D55"/>
    <w:rsid w:val="1D9134AC"/>
    <w:rsid w:val="1D93A3B2"/>
    <w:rsid w:val="1D955B4E"/>
    <w:rsid w:val="1D98397A"/>
    <w:rsid w:val="1D98B525"/>
    <w:rsid w:val="1D99D3A4"/>
    <w:rsid w:val="1D9A0F2E"/>
    <w:rsid w:val="1D9CD491"/>
    <w:rsid w:val="1D9F47D2"/>
    <w:rsid w:val="1DA37486"/>
    <w:rsid w:val="1DA6F508"/>
    <w:rsid w:val="1DA8AC34"/>
    <w:rsid w:val="1DB3D097"/>
    <w:rsid w:val="1DB76C55"/>
    <w:rsid w:val="1DBC7553"/>
    <w:rsid w:val="1DC0170E"/>
    <w:rsid w:val="1DC1A411"/>
    <w:rsid w:val="1DC5D60F"/>
    <w:rsid w:val="1DC9F1D6"/>
    <w:rsid w:val="1DCCEFFF"/>
    <w:rsid w:val="1DCF5497"/>
    <w:rsid w:val="1DD0EFEF"/>
    <w:rsid w:val="1DD2B45C"/>
    <w:rsid w:val="1DD2FF8F"/>
    <w:rsid w:val="1DD48C8A"/>
    <w:rsid w:val="1DD8A67C"/>
    <w:rsid w:val="1DDD679C"/>
    <w:rsid w:val="1DE0DB1C"/>
    <w:rsid w:val="1DE249A7"/>
    <w:rsid w:val="1DE6FE44"/>
    <w:rsid w:val="1DE819F5"/>
    <w:rsid w:val="1DEB40DD"/>
    <w:rsid w:val="1DECA400"/>
    <w:rsid w:val="1DECEFEE"/>
    <w:rsid w:val="1DF5EEF3"/>
    <w:rsid w:val="1DF68613"/>
    <w:rsid w:val="1DF99D58"/>
    <w:rsid w:val="1DFB5108"/>
    <w:rsid w:val="1DFF675D"/>
    <w:rsid w:val="1E05B4F8"/>
    <w:rsid w:val="1E095BB6"/>
    <w:rsid w:val="1E0F4449"/>
    <w:rsid w:val="1E133883"/>
    <w:rsid w:val="1E14133C"/>
    <w:rsid w:val="1E16E580"/>
    <w:rsid w:val="1E19A090"/>
    <w:rsid w:val="1E1A77C7"/>
    <w:rsid w:val="1E1CA325"/>
    <w:rsid w:val="1E259CD8"/>
    <w:rsid w:val="1E2D710A"/>
    <w:rsid w:val="1E2E758C"/>
    <w:rsid w:val="1E31DD63"/>
    <w:rsid w:val="1E36F320"/>
    <w:rsid w:val="1E372511"/>
    <w:rsid w:val="1E395495"/>
    <w:rsid w:val="1E3BD019"/>
    <w:rsid w:val="1E3C26AD"/>
    <w:rsid w:val="1E3EDF94"/>
    <w:rsid w:val="1E465FB4"/>
    <w:rsid w:val="1E46AD4B"/>
    <w:rsid w:val="1E4F57CC"/>
    <w:rsid w:val="1E50C19A"/>
    <w:rsid w:val="1E517C4B"/>
    <w:rsid w:val="1E51AEDA"/>
    <w:rsid w:val="1E56590E"/>
    <w:rsid w:val="1E577B01"/>
    <w:rsid w:val="1E59BB85"/>
    <w:rsid w:val="1E5F1CB0"/>
    <w:rsid w:val="1E5FDF4E"/>
    <w:rsid w:val="1E62D650"/>
    <w:rsid w:val="1E66D48F"/>
    <w:rsid w:val="1E686197"/>
    <w:rsid w:val="1E6BB7E2"/>
    <w:rsid w:val="1E6E4F7D"/>
    <w:rsid w:val="1E6E5FF5"/>
    <w:rsid w:val="1E6F0D8B"/>
    <w:rsid w:val="1E797C34"/>
    <w:rsid w:val="1E7A7DC7"/>
    <w:rsid w:val="1E7D4752"/>
    <w:rsid w:val="1E8109AE"/>
    <w:rsid w:val="1E81AECB"/>
    <w:rsid w:val="1E8223B6"/>
    <w:rsid w:val="1E8B142E"/>
    <w:rsid w:val="1E9009B4"/>
    <w:rsid w:val="1E904AA7"/>
    <w:rsid w:val="1E947E12"/>
    <w:rsid w:val="1E967497"/>
    <w:rsid w:val="1E96EA0A"/>
    <w:rsid w:val="1E980FB8"/>
    <w:rsid w:val="1E989510"/>
    <w:rsid w:val="1E9E4D5D"/>
    <w:rsid w:val="1E9F1B13"/>
    <w:rsid w:val="1E9F2D88"/>
    <w:rsid w:val="1EA10F44"/>
    <w:rsid w:val="1EA190BC"/>
    <w:rsid w:val="1EA5D4A0"/>
    <w:rsid w:val="1EAB82F8"/>
    <w:rsid w:val="1EABCB7F"/>
    <w:rsid w:val="1EABED6E"/>
    <w:rsid w:val="1EAF59B4"/>
    <w:rsid w:val="1EB1315C"/>
    <w:rsid w:val="1EB2C1B9"/>
    <w:rsid w:val="1EB3E6A1"/>
    <w:rsid w:val="1EB4131E"/>
    <w:rsid w:val="1EB4C4E9"/>
    <w:rsid w:val="1EB63951"/>
    <w:rsid w:val="1EB709ED"/>
    <w:rsid w:val="1EBC230F"/>
    <w:rsid w:val="1EBED7CC"/>
    <w:rsid w:val="1EC0DBB0"/>
    <w:rsid w:val="1EC0EAAA"/>
    <w:rsid w:val="1EC30340"/>
    <w:rsid w:val="1EC6E556"/>
    <w:rsid w:val="1EC784F5"/>
    <w:rsid w:val="1EC89D5E"/>
    <w:rsid w:val="1ECE8E87"/>
    <w:rsid w:val="1ECFFB0F"/>
    <w:rsid w:val="1ED0B2E2"/>
    <w:rsid w:val="1ED5DEC2"/>
    <w:rsid w:val="1EDAC38F"/>
    <w:rsid w:val="1EDE67E5"/>
    <w:rsid w:val="1EDFA2A7"/>
    <w:rsid w:val="1EEA51CE"/>
    <w:rsid w:val="1EEF52B2"/>
    <w:rsid w:val="1EF69D13"/>
    <w:rsid w:val="1EF9D6B0"/>
    <w:rsid w:val="1F005F2B"/>
    <w:rsid w:val="1F07416C"/>
    <w:rsid w:val="1F0A7937"/>
    <w:rsid w:val="1F0B500A"/>
    <w:rsid w:val="1F0DFEA1"/>
    <w:rsid w:val="1F0E5298"/>
    <w:rsid w:val="1F0F49DD"/>
    <w:rsid w:val="1F116B15"/>
    <w:rsid w:val="1F1830BE"/>
    <w:rsid w:val="1F1C289B"/>
    <w:rsid w:val="1F1DAA9D"/>
    <w:rsid w:val="1F2057DA"/>
    <w:rsid w:val="1F221D02"/>
    <w:rsid w:val="1F22943B"/>
    <w:rsid w:val="1F2321ED"/>
    <w:rsid w:val="1F256AA9"/>
    <w:rsid w:val="1F26C17E"/>
    <w:rsid w:val="1F296F34"/>
    <w:rsid w:val="1F2BF956"/>
    <w:rsid w:val="1F303A7A"/>
    <w:rsid w:val="1F389165"/>
    <w:rsid w:val="1F3DDEA3"/>
    <w:rsid w:val="1F415317"/>
    <w:rsid w:val="1F48F2C1"/>
    <w:rsid w:val="1F4CA637"/>
    <w:rsid w:val="1F4EA8EE"/>
    <w:rsid w:val="1F54FAB5"/>
    <w:rsid w:val="1F5A377A"/>
    <w:rsid w:val="1F5AD693"/>
    <w:rsid w:val="1F5BE014"/>
    <w:rsid w:val="1F5D5DFF"/>
    <w:rsid w:val="1F60E1AB"/>
    <w:rsid w:val="1F64A851"/>
    <w:rsid w:val="1F665D50"/>
    <w:rsid w:val="1F688B7F"/>
    <w:rsid w:val="1F6DE12B"/>
    <w:rsid w:val="1F735561"/>
    <w:rsid w:val="1F768FD9"/>
    <w:rsid w:val="1F7B70A3"/>
    <w:rsid w:val="1F80910A"/>
    <w:rsid w:val="1F85ABD8"/>
    <w:rsid w:val="1F86AE40"/>
    <w:rsid w:val="1F8974EC"/>
    <w:rsid w:val="1F8AAB40"/>
    <w:rsid w:val="1F932801"/>
    <w:rsid w:val="1F944B0D"/>
    <w:rsid w:val="1F978B89"/>
    <w:rsid w:val="1F9A82B5"/>
    <w:rsid w:val="1F9C286C"/>
    <w:rsid w:val="1F9C724E"/>
    <w:rsid w:val="1F9CCEEF"/>
    <w:rsid w:val="1FA230E9"/>
    <w:rsid w:val="1FA2F354"/>
    <w:rsid w:val="1FA79AC6"/>
    <w:rsid w:val="1FA9D661"/>
    <w:rsid w:val="1FAAB709"/>
    <w:rsid w:val="1FABDD8D"/>
    <w:rsid w:val="1FAC0CD0"/>
    <w:rsid w:val="1FAE054F"/>
    <w:rsid w:val="1FB1B45C"/>
    <w:rsid w:val="1FB4C69B"/>
    <w:rsid w:val="1FB6EC4A"/>
    <w:rsid w:val="1FB80CE7"/>
    <w:rsid w:val="1FBA46FD"/>
    <w:rsid w:val="1FBAC9CF"/>
    <w:rsid w:val="1FC007BB"/>
    <w:rsid w:val="1FC29B83"/>
    <w:rsid w:val="1FC45D70"/>
    <w:rsid w:val="1FCBEAFF"/>
    <w:rsid w:val="1FD187E1"/>
    <w:rsid w:val="1FD2CB24"/>
    <w:rsid w:val="1FE0595A"/>
    <w:rsid w:val="1FE196D0"/>
    <w:rsid w:val="1FE29525"/>
    <w:rsid w:val="1FE301EF"/>
    <w:rsid w:val="1FE34CE2"/>
    <w:rsid w:val="1FE87A32"/>
    <w:rsid w:val="1FEA3D53"/>
    <w:rsid w:val="1FEA6205"/>
    <w:rsid w:val="1FEBD375"/>
    <w:rsid w:val="1FEBFEEE"/>
    <w:rsid w:val="1FEDE08C"/>
    <w:rsid w:val="1FF0383C"/>
    <w:rsid w:val="1FF2191C"/>
    <w:rsid w:val="1FF2D37E"/>
    <w:rsid w:val="1FF3408A"/>
    <w:rsid w:val="1FF42FB7"/>
    <w:rsid w:val="1FF4A36E"/>
    <w:rsid w:val="1FF7B057"/>
    <w:rsid w:val="1FFCB7AD"/>
    <w:rsid w:val="1FFD968F"/>
    <w:rsid w:val="20054F43"/>
    <w:rsid w:val="2008EE31"/>
    <w:rsid w:val="200D358D"/>
    <w:rsid w:val="200E6618"/>
    <w:rsid w:val="20124AC0"/>
    <w:rsid w:val="201AE8BE"/>
    <w:rsid w:val="201BDA1A"/>
    <w:rsid w:val="201C4D62"/>
    <w:rsid w:val="201D251D"/>
    <w:rsid w:val="2020A8BA"/>
    <w:rsid w:val="202734EC"/>
    <w:rsid w:val="202812D3"/>
    <w:rsid w:val="20282597"/>
    <w:rsid w:val="2028A4F8"/>
    <w:rsid w:val="202954C8"/>
    <w:rsid w:val="202ABFA3"/>
    <w:rsid w:val="202D27AD"/>
    <w:rsid w:val="2032FADA"/>
    <w:rsid w:val="2035FD24"/>
    <w:rsid w:val="2036A94D"/>
    <w:rsid w:val="20373065"/>
    <w:rsid w:val="20388754"/>
    <w:rsid w:val="20388B99"/>
    <w:rsid w:val="2039A1D8"/>
    <w:rsid w:val="2039D90C"/>
    <w:rsid w:val="203C3F5B"/>
    <w:rsid w:val="20423FA8"/>
    <w:rsid w:val="20434198"/>
    <w:rsid w:val="20438855"/>
    <w:rsid w:val="2045F851"/>
    <w:rsid w:val="204D199D"/>
    <w:rsid w:val="20523BC6"/>
    <w:rsid w:val="2053D324"/>
    <w:rsid w:val="2062C8BB"/>
    <w:rsid w:val="20669F5D"/>
    <w:rsid w:val="206F3ECA"/>
    <w:rsid w:val="206F6F54"/>
    <w:rsid w:val="20817994"/>
    <w:rsid w:val="20870D12"/>
    <w:rsid w:val="2087E9B3"/>
    <w:rsid w:val="20884907"/>
    <w:rsid w:val="2089B615"/>
    <w:rsid w:val="208A0011"/>
    <w:rsid w:val="208A3647"/>
    <w:rsid w:val="208A9221"/>
    <w:rsid w:val="208B077E"/>
    <w:rsid w:val="208C7AD7"/>
    <w:rsid w:val="208EA5E4"/>
    <w:rsid w:val="20919F5D"/>
    <w:rsid w:val="2096AEA4"/>
    <w:rsid w:val="20993E43"/>
    <w:rsid w:val="209C36BF"/>
    <w:rsid w:val="209DA4CE"/>
    <w:rsid w:val="20A2A5DB"/>
    <w:rsid w:val="20A2CD1C"/>
    <w:rsid w:val="20A7BA23"/>
    <w:rsid w:val="20A7D5A7"/>
    <w:rsid w:val="20AB0965"/>
    <w:rsid w:val="20B85954"/>
    <w:rsid w:val="20BB54A0"/>
    <w:rsid w:val="20BC2570"/>
    <w:rsid w:val="20BC5B08"/>
    <w:rsid w:val="20C199A2"/>
    <w:rsid w:val="20C27444"/>
    <w:rsid w:val="20C5CA03"/>
    <w:rsid w:val="20D051E7"/>
    <w:rsid w:val="20D2A44A"/>
    <w:rsid w:val="20D42D54"/>
    <w:rsid w:val="20D63951"/>
    <w:rsid w:val="20D998A4"/>
    <w:rsid w:val="20DD4411"/>
    <w:rsid w:val="20DF9A1C"/>
    <w:rsid w:val="20E82416"/>
    <w:rsid w:val="20E86DB9"/>
    <w:rsid w:val="20EB03F3"/>
    <w:rsid w:val="20ECCBDD"/>
    <w:rsid w:val="20ED4F7E"/>
    <w:rsid w:val="20F5515F"/>
    <w:rsid w:val="20FBF292"/>
    <w:rsid w:val="20FD0925"/>
    <w:rsid w:val="20FD41EB"/>
    <w:rsid w:val="210338A8"/>
    <w:rsid w:val="2104B444"/>
    <w:rsid w:val="210CF72B"/>
    <w:rsid w:val="210E90CC"/>
    <w:rsid w:val="211498EB"/>
    <w:rsid w:val="2115A621"/>
    <w:rsid w:val="211B3099"/>
    <w:rsid w:val="211C0729"/>
    <w:rsid w:val="211D080C"/>
    <w:rsid w:val="211DA2A4"/>
    <w:rsid w:val="211F2D61"/>
    <w:rsid w:val="21206730"/>
    <w:rsid w:val="212460CB"/>
    <w:rsid w:val="21246E2F"/>
    <w:rsid w:val="212671F0"/>
    <w:rsid w:val="212D5E69"/>
    <w:rsid w:val="212F4769"/>
    <w:rsid w:val="213138C3"/>
    <w:rsid w:val="213E35AC"/>
    <w:rsid w:val="213F1C73"/>
    <w:rsid w:val="213FA3A4"/>
    <w:rsid w:val="21435E1D"/>
    <w:rsid w:val="21464755"/>
    <w:rsid w:val="21472CA8"/>
    <w:rsid w:val="214C19EB"/>
    <w:rsid w:val="214CBCF7"/>
    <w:rsid w:val="214D033A"/>
    <w:rsid w:val="214F901A"/>
    <w:rsid w:val="2151285E"/>
    <w:rsid w:val="2154DFE4"/>
    <w:rsid w:val="2157E5F2"/>
    <w:rsid w:val="215B273E"/>
    <w:rsid w:val="215ECC9D"/>
    <w:rsid w:val="215F3777"/>
    <w:rsid w:val="215F5ED7"/>
    <w:rsid w:val="215F758C"/>
    <w:rsid w:val="21670677"/>
    <w:rsid w:val="2167E1BE"/>
    <w:rsid w:val="216C6FF9"/>
    <w:rsid w:val="216E7955"/>
    <w:rsid w:val="21728619"/>
    <w:rsid w:val="2172B0EB"/>
    <w:rsid w:val="2173AA4B"/>
    <w:rsid w:val="21748B1F"/>
    <w:rsid w:val="21757553"/>
    <w:rsid w:val="21772B85"/>
    <w:rsid w:val="21775372"/>
    <w:rsid w:val="217779CA"/>
    <w:rsid w:val="21796625"/>
    <w:rsid w:val="217A6B88"/>
    <w:rsid w:val="217A8CCC"/>
    <w:rsid w:val="217AE7F3"/>
    <w:rsid w:val="217D3697"/>
    <w:rsid w:val="217E708B"/>
    <w:rsid w:val="217EBA04"/>
    <w:rsid w:val="21815949"/>
    <w:rsid w:val="218BB658"/>
    <w:rsid w:val="218BE5AC"/>
    <w:rsid w:val="218D6627"/>
    <w:rsid w:val="218D92A4"/>
    <w:rsid w:val="218E37CD"/>
    <w:rsid w:val="218F4813"/>
    <w:rsid w:val="219156A7"/>
    <w:rsid w:val="21925C13"/>
    <w:rsid w:val="219320AB"/>
    <w:rsid w:val="219829A7"/>
    <w:rsid w:val="219B6230"/>
    <w:rsid w:val="219EDCA3"/>
    <w:rsid w:val="21A2C4FB"/>
    <w:rsid w:val="21A4ACD3"/>
    <w:rsid w:val="21A6F9B2"/>
    <w:rsid w:val="21AB873C"/>
    <w:rsid w:val="21AD12B5"/>
    <w:rsid w:val="21AF2414"/>
    <w:rsid w:val="21AFA21D"/>
    <w:rsid w:val="21B2CD2F"/>
    <w:rsid w:val="21B3718E"/>
    <w:rsid w:val="21B48E10"/>
    <w:rsid w:val="21B803D6"/>
    <w:rsid w:val="21BA0A85"/>
    <w:rsid w:val="21BA76A4"/>
    <w:rsid w:val="21BA8AB2"/>
    <w:rsid w:val="21C8EFAE"/>
    <w:rsid w:val="21C919AB"/>
    <w:rsid w:val="21CA4C50"/>
    <w:rsid w:val="21CAC9CD"/>
    <w:rsid w:val="21CD4F6C"/>
    <w:rsid w:val="21D01F66"/>
    <w:rsid w:val="21D1A965"/>
    <w:rsid w:val="21D351B8"/>
    <w:rsid w:val="21D40447"/>
    <w:rsid w:val="21D704C9"/>
    <w:rsid w:val="21DBE58E"/>
    <w:rsid w:val="21E15B55"/>
    <w:rsid w:val="21E392AF"/>
    <w:rsid w:val="21E5C5F6"/>
    <w:rsid w:val="21E7916E"/>
    <w:rsid w:val="21F118A6"/>
    <w:rsid w:val="21F24973"/>
    <w:rsid w:val="21F63CA9"/>
    <w:rsid w:val="21F7C6A3"/>
    <w:rsid w:val="21FDBABB"/>
    <w:rsid w:val="2203F9C4"/>
    <w:rsid w:val="220B5170"/>
    <w:rsid w:val="220B839E"/>
    <w:rsid w:val="220CEC54"/>
    <w:rsid w:val="22228F44"/>
    <w:rsid w:val="22232C7E"/>
    <w:rsid w:val="2225F21D"/>
    <w:rsid w:val="22279C1D"/>
    <w:rsid w:val="2227E25E"/>
    <w:rsid w:val="2227E7A8"/>
    <w:rsid w:val="22288E1C"/>
    <w:rsid w:val="222F3A9A"/>
    <w:rsid w:val="223301F5"/>
    <w:rsid w:val="2235103C"/>
    <w:rsid w:val="22354A33"/>
    <w:rsid w:val="223A4007"/>
    <w:rsid w:val="223C3B1E"/>
    <w:rsid w:val="223DF1BD"/>
    <w:rsid w:val="2245AE59"/>
    <w:rsid w:val="22488FBF"/>
    <w:rsid w:val="2249D98E"/>
    <w:rsid w:val="224B8B54"/>
    <w:rsid w:val="224E08AD"/>
    <w:rsid w:val="225216B2"/>
    <w:rsid w:val="22568CCD"/>
    <w:rsid w:val="22579425"/>
    <w:rsid w:val="22591FEF"/>
    <w:rsid w:val="225C2CCD"/>
    <w:rsid w:val="225F8B75"/>
    <w:rsid w:val="226433EE"/>
    <w:rsid w:val="226593B4"/>
    <w:rsid w:val="2265A09B"/>
    <w:rsid w:val="2268398E"/>
    <w:rsid w:val="2269CB91"/>
    <w:rsid w:val="226BD52D"/>
    <w:rsid w:val="226C5CC4"/>
    <w:rsid w:val="226CEB26"/>
    <w:rsid w:val="227101CE"/>
    <w:rsid w:val="22748ACB"/>
    <w:rsid w:val="227D2D0F"/>
    <w:rsid w:val="227D31B4"/>
    <w:rsid w:val="22820085"/>
    <w:rsid w:val="22823FF6"/>
    <w:rsid w:val="2284FDBC"/>
    <w:rsid w:val="2288D1D8"/>
    <w:rsid w:val="228C7DCA"/>
    <w:rsid w:val="2290F307"/>
    <w:rsid w:val="2294B70A"/>
    <w:rsid w:val="22980483"/>
    <w:rsid w:val="229B8F81"/>
    <w:rsid w:val="22A00C67"/>
    <w:rsid w:val="22A00F70"/>
    <w:rsid w:val="22A1CBF6"/>
    <w:rsid w:val="22A73B61"/>
    <w:rsid w:val="22ACF7A9"/>
    <w:rsid w:val="22B5B812"/>
    <w:rsid w:val="22BA482C"/>
    <w:rsid w:val="22BBACF0"/>
    <w:rsid w:val="22BDCEDB"/>
    <w:rsid w:val="22BED9AA"/>
    <w:rsid w:val="22CBD4C9"/>
    <w:rsid w:val="22CD11DF"/>
    <w:rsid w:val="22D2C565"/>
    <w:rsid w:val="22DD5878"/>
    <w:rsid w:val="22E8346A"/>
    <w:rsid w:val="22EAB66C"/>
    <w:rsid w:val="22EB8400"/>
    <w:rsid w:val="22F381AA"/>
    <w:rsid w:val="22F7D37C"/>
    <w:rsid w:val="22F885CF"/>
    <w:rsid w:val="22F8A166"/>
    <w:rsid w:val="22F9BA44"/>
    <w:rsid w:val="22FC8435"/>
    <w:rsid w:val="22FE763E"/>
    <w:rsid w:val="23027BD7"/>
    <w:rsid w:val="2302DB5D"/>
    <w:rsid w:val="2306BA16"/>
    <w:rsid w:val="2307098C"/>
    <w:rsid w:val="230789FD"/>
    <w:rsid w:val="2309B974"/>
    <w:rsid w:val="230A301F"/>
    <w:rsid w:val="230B170D"/>
    <w:rsid w:val="230B3AB6"/>
    <w:rsid w:val="230BCF04"/>
    <w:rsid w:val="230BD2C3"/>
    <w:rsid w:val="230C13AA"/>
    <w:rsid w:val="23172556"/>
    <w:rsid w:val="231777CB"/>
    <w:rsid w:val="23199C63"/>
    <w:rsid w:val="2322BBB6"/>
    <w:rsid w:val="232870CB"/>
    <w:rsid w:val="2328AEC6"/>
    <w:rsid w:val="2328F9F1"/>
    <w:rsid w:val="2329AB8D"/>
    <w:rsid w:val="232C84FA"/>
    <w:rsid w:val="232F486D"/>
    <w:rsid w:val="233222C7"/>
    <w:rsid w:val="233543A4"/>
    <w:rsid w:val="233670EF"/>
    <w:rsid w:val="23384739"/>
    <w:rsid w:val="233B3C0A"/>
    <w:rsid w:val="233B6CBC"/>
    <w:rsid w:val="233D06FB"/>
    <w:rsid w:val="23416D56"/>
    <w:rsid w:val="23481056"/>
    <w:rsid w:val="234BB4DB"/>
    <w:rsid w:val="234C4494"/>
    <w:rsid w:val="234E99A8"/>
    <w:rsid w:val="2355C07F"/>
    <w:rsid w:val="23565A81"/>
    <w:rsid w:val="23587CBA"/>
    <w:rsid w:val="235A562A"/>
    <w:rsid w:val="235F95F7"/>
    <w:rsid w:val="235FA56E"/>
    <w:rsid w:val="236050D7"/>
    <w:rsid w:val="23630CE1"/>
    <w:rsid w:val="2363D7A6"/>
    <w:rsid w:val="236533A4"/>
    <w:rsid w:val="23690ACE"/>
    <w:rsid w:val="2374629D"/>
    <w:rsid w:val="2375611D"/>
    <w:rsid w:val="2375B6FB"/>
    <w:rsid w:val="237D876F"/>
    <w:rsid w:val="237F5A95"/>
    <w:rsid w:val="237FBA08"/>
    <w:rsid w:val="2382EA34"/>
    <w:rsid w:val="238C55D7"/>
    <w:rsid w:val="23911B39"/>
    <w:rsid w:val="239AB66F"/>
    <w:rsid w:val="23A103B3"/>
    <w:rsid w:val="23A17CD1"/>
    <w:rsid w:val="23A3649B"/>
    <w:rsid w:val="23A8D8C8"/>
    <w:rsid w:val="23A977B4"/>
    <w:rsid w:val="23AC290F"/>
    <w:rsid w:val="23B02D1C"/>
    <w:rsid w:val="23B2F834"/>
    <w:rsid w:val="23B3470D"/>
    <w:rsid w:val="23B48E09"/>
    <w:rsid w:val="23B62E72"/>
    <w:rsid w:val="23B80B91"/>
    <w:rsid w:val="23B8626E"/>
    <w:rsid w:val="23BA0D50"/>
    <w:rsid w:val="23BED54B"/>
    <w:rsid w:val="23C3F2B8"/>
    <w:rsid w:val="23C88DF5"/>
    <w:rsid w:val="23C9FC5F"/>
    <w:rsid w:val="23CDCE4F"/>
    <w:rsid w:val="23D36283"/>
    <w:rsid w:val="23D6FC79"/>
    <w:rsid w:val="23D7BDBF"/>
    <w:rsid w:val="23D878C3"/>
    <w:rsid w:val="23D892C9"/>
    <w:rsid w:val="23DDEF31"/>
    <w:rsid w:val="23E9DB6B"/>
    <w:rsid w:val="23EB4304"/>
    <w:rsid w:val="23EBDE30"/>
    <w:rsid w:val="23EC3925"/>
    <w:rsid w:val="23F29F59"/>
    <w:rsid w:val="23F3347F"/>
    <w:rsid w:val="23F3B018"/>
    <w:rsid w:val="23F444B2"/>
    <w:rsid w:val="23F6FE9E"/>
    <w:rsid w:val="23F7350A"/>
    <w:rsid w:val="23F77D1E"/>
    <w:rsid w:val="23FAAD00"/>
    <w:rsid w:val="23FBEFBE"/>
    <w:rsid w:val="23FC1D16"/>
    <w:rsid w:val="23FDE59C"/>
    <w:rsid w:val="23FE07AA"/>
    <w:rsid w:val="23FF2830"/>
    <w:rsid w:val="2403FFFD"/>
    <w:rsid w:val="2405F99D"/>
    <w:rsid w:val="24085F3C"/>
    <w:rsid w:val="24095BE3"/>
    <w:rsid w:val="240F84A5"/>
    <w:rsid w:val="24139906"/>
    <w:rsid w:val="2415B0F4"/>
    <w:rsid w:val="2417F82E"/>
    <w:rsid w:val="241C25E4"/>
    <w:rsid w:val="2422324F"/>
    <w:rsid w:val="2423BC83"/>
    <w:rsid w:val="2424A4DF"/>
    <w:rsid w:val="242716F7"/>
    <w:rsid w:val="2427C953"/>
    <w:rsid w:val="242A1264"/>
    <w:rsid w:val="2431A1F3"/>
    <w:rsid w:val="2434904C"/>
    <w:rsid w:val="243908D0"/>
    <w:rsid w:val="243D84E2"/>
    <w:rsid w:val="2440D4CC"/>
    <w:rsid w:val="244BD3CF"/>
    <w:rsid w:val="244DEC62"/>
    <w:rsid w:val="244E109D"/>
    <w:rsid w:val="24529D81"/>
    <w:rsid w:val="2455827C"/>
    <w:rsid w:val="2455A1D8"/>
    <w:rsid w:val="2455F041"/>
    <w:rsid w:val="2456D09F"/>
    <w:rsid w:val="245A75DB"/>
    <w:rsid w:val="245C320B"/>
    <w:rsid w:val="2462E0CE"/>
    <w:rsid w:val="246609EA"/>
    <w:rsid w:val="2470546F"/>
    <w:rsid w:val="24716683"/>
    <w:rsid w:val="247179FA"/>
    <w:rsid w:val="2471C97B"/>
    <w:rsid w:val="2471DC8F"/>
    <w:rsid w:val="24731445"/>
    <w:rsid w:val="2473FA31"/>
    <w:rsid w:val="247824EB"/>
    <w:rsid w:val="247DFFBF"/>
    <w:rsid w:val="247F7015"/>
    <w:rsid w:val="24810293"/>
    <w:rsid w:val="248125BC"/>
    <w:rsid w:val="2482489A"/>
    <w:rsid w:val="248AE1C4"/>
    <w:rsid w:val="248BB4C8"/>
    <w:rsid w:val="248BF652"/>
    <w:rsid w:val="248DD731"/>
    <w:rsid w:val="24918A15"/>
    <w:rsid w:val="2494D89B"/>
    <w:rsid w:val="2496E6AA"/>
    <w:rsid w:val="24A6B05B"/>
    <w:rsid w:val="24A80B23"/>
    <w:rsid w:val="24AE4E3B"/>
    <w:rsid w:val="24B20636"/>
    <w:rsid w:val="24B70F7B"/>
    <w:rsid w:val="24B9A0C9"/>
    <w:rsid w:val="24BB6137"/>
    <w:rsid w:val="24BC7346"/>
    <w:rsid w:val="24BDBB3B"/>
    <w:rsid w:val="24BE921E"/>
    <w:rsid w:val="24BF1298"/>
    <w:rsid w:val="24C13E44"/>
    <w:rsid w:val="24C1FCDD"/>
    <w:rsid w:val="24C26017"/>
    <w:rsid w:val="24C54AC3"/>
    <w:rsid w:val="24C54F50"/>
    <w:rsid w:val="24C59121"/>
    <w:rsid w:val="24C5F210"/>
    <w:rsid w:val="24C6D6E5"/>
    <w:rsid w:val="24CD2177"/>
    <w:rsid w:val="24D4C318"/>
    <w:rsid w:val="24D5B9FE"/>
    <w:rsid w:val="24DC98AF"/>
    <w:rsid w:val="24DE3B5C"/>
    <w:rsid w:val="24E006F1"/>
    <w:rsid w:val="24E496EE"/>
    <w:rsid w:val="24E6DD97"/>
    <w:rsid w:val="24EC65E9"/>
    <w:rsid w:val="24ECF28F"/>
    <w:rsid w:val="24F0FBE2"/>
    <w:rsid w:val="24F4DD4B"/>
    <w:rsid w:val="24FBEACE"/>
    <w:rsid w:val="24FBF8E5"/>
    <w:rsid w:val="24FE2A9E"/>
    <w:rsid w:val="2500AC85"/>
    <w:rsid w:val="2502DB04"/>
    <w:rsid w:val="2502DD0B"/>
    <w:rsid w:val="25065E80"/>
    <w:rsid w:val="25066571"/>
    <w:rsid w:val="25080153"/>
    <w:rsid w:val="250B0B57"/>
    <w:rsid w:val="250F4330"/>
    <w:rsid w:val="2513BD3C"/>
    <w:rsid w:val="25170C28"/>
    <w:rsid w:val="251FB07D"/>
    <w:rsid w:val="25222EE6"/>
    <w:rsid w:val="25247992"/>
    <w:rsid w:val="25249169"/>
    <w:rsid w:val="25250596"/>
    <w:rsid w:val="2525B721"/>
    <w:rsid w:val="252AC721"/>
    <w:rsid w:val="252C91B5"/>
    <w:rsid w:val="2533BAE9"/>
    <w:rsid w:val="253AD14C"/>
    <w:rsid w:val="2546A6D2"/>
    <w:rsid w:val="254B0D5E"/>
    <w:rsid w:val="254E336E"/>
    <w:rsid w:val="254E6955"/>
    <w:rsid w:val="25543FB8"/>
    <w:rsid w:val="2556321D"/>
    <w:rsid w:val="25564C9B"/>
    <w:rsid w:val="255A2E13"/>
    <w:rsid w:val="255CAFB7"/>
    <w:rsid w:val="255D9772"/>
    <w:rsid w:val="25648392"/>
    <w:rsid w:val="256AF382"/>
    <w:rsid w:val="256B9F78"/>
    <w:rsid w:val="256C673F"/>
    <w:rsid w:val="256CDF97"/>
    <w:rsid w:val="256E1A16"/>
    <w:rsid w:val="2574F657"/>
    <w:rsid w:val="2575E074"/>
    <w:rsid w:val="2576C12B"/>
    <w:rsid w:val="25778CC0"/>
    <w:rsid w:val="2577A46B"/>
    <w:rsid w:val="2582DA45"/>
    <w:rsid w:val="2585B973"/>
    <w:rsid w:val="25867EA3"/>
    <w:rsid w:val="2588E784"/>
    <w:rsid w:val="258E7488"/>
    <w:rsid w:val="258E97BB"/>
    <w:rsid w:val="259190B6"/>
    <w:rsid w:val="2591E439"/>
    <w:rsid w:val="2591FB9C"/>
    <w:rsid w:val="2592BD11"/>
    <w:rsid w:val="25940DA4"/>
    <w:rsid w:val="2596DA36"/>
    <w:rsid w:val="25975CF2"/>
    <w:rsid w:val="25990FB9"/>
    <w:rsid w:val="259966C2"/>
    <w:rsid w:val="259FE53C"/>
    <w:rsid w:val="25A00BEC"/>
    <w:rsid w:val="25A2F4CE"/>
    <w:rsid w:val="25A3778A"/>
    <w:rsid w:val="25A38AF7"/>
    <w:rsid w:val="25A8B0B8"/>
    <w:rsid w:val="25A98CAF"/>
    <w:rsid w:val="25A9A7C2"/>
    <w:rsid w:val="25AA95E6"/>
    <w:rsid w:val="25ACAA26"/>
    <w:rsid w:val="25ACCEE0"/>
    <w:rsid w:val="25AD6880"/>
    <w:rsid w:val="25AF3BBD"/>
    <w:rsid w:val="25B05F57"/>
    <w:rsid w:val="25B09BB3"/>
    <w:rsid w:val="25B58AB1"/>
    <w:rsid w:val="25B5DCB4"/>
    <w:rsid w:val="25B81A67"/>
    <w:rsid w:val="25B993C3"/>
    <w:rsid w:val="25BAEA6E"/>
    <w:rsid w:val="25C3C3FA"/>
    <w:rsid w:val="25C91240"/>
    <w:rsid w:val="25CA85A7"/>
    <w:rsid w:val="25CF2B8C"/>
    <w:rsid w:val="25D3A78C"/>
    <w:rsid w:val="25D41750"/>
    <w:rsid w:val="25D4F882"/>
    <w:rsid w:val="25DA370D"/>
    <w:rsid w:val="25DF5DCC"/>
    <w:rsid w:val="25DF8261"/>
    <w:rsid w:val="25E002FF"/>
    <w:rsid w:val="25E6D760"/>
    <w:rsid w:val="25E8E027"/>
    <w:rsid w:val="25E8FF4A"/>
    <w:rsid w:val="25EC0432"/>
    <w:rsid w:val="25EC1D5A"/>
    <w:rsid w:val="25EC788F"/>
    <w:rsid w:val="25EF455D"/>
    <w:rsid w:val="25F37037"/>
    <w:rsid w:val="25F3C344"/>
    <w:rsid w:val="25F3FB52"/>
    <w:rsid w:val="25F5EC5E"/>
    <w:rsid w:val="25F7DF41"/>
    <w:rsid w:val="25F80D89"/>
    <w:rsid w:val="25FAB376"/>
    <w:rsid w:val="25FABC64"/>
    <w:rsid w:val="25FB86FE"/>
    <w:rsid w:val="25FBC6DC"/>
    <w:rsid w:val="25FC7326"/>
    <w:rsid w:val="25FF7524"/>
    <w:rsid w:val="2601338C"/>
    <w:rsid w:val="260AF03F"/>
    <w:rsid w:val="260D22A6"/>
    <w:rsid w:val="260DED74"/>
    <w:rsid w:val="2612C37D"/>
    <w:rsid w:val="26148527"/>
    <w:rsid w:val="261585CB"/>
    <w:rsid w:val="261718C0"/>
    <w:rsid w:val="26192EBB"/>
    <w:rsid w:val="261FCC25"/>
    <w:rsid w:val="261FF9AE"/>
    <w:rsid w:val="262207E4"/>
    <w:rsid w:val="26223961"/>
    <w:rsid w:val="26232904"/>
    <w:rsid w:val="262BDC83"/>
    <w:rsid w:val="2630E2F1"/>
    <w:rsid w:val="263424C0"/>
    <w:rsid w:val="263730E2"/>
    <w:rsid w:val="263A54CF"/>
    <w:rsid w:val="263D6889"/>
    <w:rsid w:val="263FAA65"/>
    <w:rsid w:val="26410815"/>
    <w:rsid w:val="26415FC8"/>
    <w:rsid w:val="2642261A"/>
    <w:rsid w:val="26460D27"/>
    <w:rsid w:val="2649BB66"/>
    <w:rsid w:val="264A891F"/>
    <w:rsid w:val="264DF24E"/>
    <w:rsid w:val="264F2072"/>
    <w:rsid w:val="26598289"/>
    <w:rsid w:val="265D5C91"/>
    <w:rsid w:val="2660C3CA"/>
    <w:rsid w:val="2661B3FA"/>
    <w:rsid w:val="26655D6E"/>
    <w:rsid w:val="26658F4F"/>
    <w:rsid w:val="26667ED4"/>
    <w:rsid w:val="266A2CE7"/>
    <w:rsid w:val="267C6AAC"/>
    <w:rsid w:val="2682F73C"/>
    <w:rsid w:val="2683A9AF"/>
    <w:rsid w:val="26858EF1"/>
    <w:rsid w:val="26889326"/>
    <w:rsid w:val="268CE119"/>
    <w:rsid w:val="2692DE26"/>
    <w:rsid w:val="26949843"/>
    <w:rsid w:val="2696243A"/>
    <w:rsid w:val="269758F3"/>
    <w:rsid w:val="269927A8"/>
    <w:rsid w:val="269961AF"/>
    <w:rsid w:val="269DCBE0"/>
    <w:rsid w:val="269FADCE"/>
    <w:rsid w:val="26A033FF"/>
    <w:rsid w:val="26A2F71E"/>
    <w:rsid w:val="26A92230"/>
    <w:rsid w:val="26AAEAB7"/>
    <w:rsid w:val="26AF07C6"/>
    <w:rsid w:val="26B24E06"/>
    <w:rsid w:val="26B49563"/>
    <w:rsid w:val="26B514D7"/>
    <w:rsid w:val="26B88A8A"/>
    <w:rsid w:val="26BC2266"/>
    <w:rsid w:val="26BEB9CC"/>
    <w:rsid w:val="26C11C55"/>
    <w:rsid w:val="26C77EAC"/>
    <w:rsid w:val="26C9E107"/>
    <w:rsid w:val="26CD9D56"/>
    <w:rsid w:val="26CEA8FA"/>
    <w:rsid w:val="26CF9A66"/>
    <w:rsid w:val="26D0AC74"/>
    <w:rsid w:val="26D142F7"/>
    <w:rsid w:val="26D1D4DF"/>
    <w:rsid w:val="26D4A96B"/>
    <w:rsid w:val="26D4CC4F"/>
    <w:rsid w:val="26D60900"/>
    <w:rsid w:val="26D748EC"/>
    <w:rsid w:val="26D85D68"/>
    <w:rsid w:val="26DA40D5"/>
    <w:rsid w:val="26DD24CF"/>
    <w:rsid w:val="26DFC070"/>
    <w:rsid w:val="26E0F69E"/>
    <w:rsid w:val="26E84B4A"/>
    <w:rsid w:val="26E90580"/>
    <w:rsid w:val="26EBFF3C"/>
    <w:rsid w:val="26ECC5BC"/>
    <w:rsid w:val="26ECD842"/>
    <w:rsid w:val="26ED51BF"/>
    <w:rsid w:val="26EF51C5"/>
    <w:rsid w:val="26EFE7B4"/>
    <w:rsid w:val="26F668C3"/>
    <w:rsid w:val="26F67ADA"/>
    <w:rsid w:val="26F9AE13"/>
    <w:rsid w:val="26FB1406"/>
    <w:rsid w:val="26FE0673"/>
    <w:rsid w:val="26FF292F"/>
    <w:rsid w:val="2702228E"/>
    <w:rsid w:val="270316F7"/>
    <w:rsid w:val="2704DD2D"/>
    <w:rsid w:val="2709657F"/>
    <w:rsid w:val="270F97F7"/>
    <w:rsid w:val="2712E476"/>
    <w:rsid w:val="2712EFE8"/>
    <w:rsid w:val="271499E1"/>
    <w:rsid w:val="2716F981"/>
    <w:rsid w:val="271CE044"/>
    <w:rsid w:val="2722018C"/>
    <w:rsid w:val="2723504C"/>
    <w:rsid w:val="27247F4E"/>
    <w:rsid w:val="27288051"/>
    <w:rsid w:val="272ED9F7"/>
    <w:rsid w:val="272EEB26"/>
    <w:rsid w:val="272FB44A"/>
    <w:rsid w:val="2732A702"/>
    <w:rsid w:val="2733A7F7"/>
    <w:rsid w:val="27346249"/>
    <w:rsid w:val="2734A875"/>
    <w:rsid w:val="27369DA1"/>
    <w:rsid w:val="2738B11A"/>
    <w:rsid w:val="27394E87"/>
    <w:rsid w:val="2739A1E4"/>
    <w:rsid w:val="273F1262"/>
    <w:rsid w:val="2742408D"/>
    <w:rsid w:val="274B0632"/>
    <w:rsid w:val="274EB41D"/>
    <w:rsid w:val="27566E0C"/>
    <w:rsid w:val="2756B0AE"/>
    <w:rsid w:val="2757A9DA"/>
    <w:rsid w:val="275E09DA"/>
    <w:rsid w:val="275E70AF"/>
    <w:rsid w:val="276291E2"/>
    <w:rsid w:val="2762BDA1"/>
    <w:rsid w:val="2762FE6C"/>
    <w:rsid w:val="27681311"/>
    <w:rsid w:val="27696290"/>
    <w:rsid w:val="276BAC22"/>
    <w:rsid w:val="277243A4"/>
    <w:rsid w:val="2777A40A"/>
    <w:rsid w:val="2779F0BB"/>
    <w:rsid w:val="277C1C96"/>
    <w:rsid w:val="277F24FF"/>
    <w:rsid w:val="277FCEFF"/>
    <w:rsid w:val="27825CB5"/>
    <w:rsid w:val="2784B488"/>
    <w:rsid w:val="27873A15"/>
    <w:rsid w:val="2787B00C"/>
    <w:rsid w:val="2789AD1E"/>
    <w:rsid w:val="278F0384"/>
    <w:rsid w:val="27916D0F"/>
    <w:rsid w:val="2791E9EA"/>
    <w:rsid w:val="2791F14B"/>
    <w:rsid w:val="27925446"/>
    <w:rsid w:val="2794B82A"/>
    <w:rsid w:val="2794E465"/>
    <w:rsid w:val="2797C741"/>
    <w:rsid w:val="27994422"/>
    <w:rsid w:val="279CA744"/>
    <w:rsid w:val="279CC6FD"/>
    <w:rsid w:val="27A125B5"/>
    <w:rsid w:val="27A2BF82"/>
    <w:rsid w:val="27A2EF94"/>
    <w:rsid w:val="27A4B720"/>
    <w:rsid w:val="27A7A52C"/>
    <w:rsid w:val="27A89DD8"/>
    <w:rsid w:val="27AA0E19"/>
    <w:rsid w:val="27B239A5"/>
    <w:rsid w:val="27B4A5F4"/>
    <w:rsid w:val="27B5449A"/>
    <w:rsid w:val="27B7E644"/>
    <w:rsid w:val="27BA2EFA"/>
    <w:rsid w:val="27BCE6BE"/>
    <w:rsid w:val="27BEB11C"/>
    <w:rsid w:val="27C2D19E"/>
    <w:rsid w:val="27C34ADD"/>
    <w:rsid w:val="27C6E2BF"/>
    <w:rsid w:val="27C75156"/>
    <w:rsid w:val="27C831A2"/>
    <w:rsid w:val="27CC6625"/>
    <w:rsid w:val="27CCB32D"/>
    <w:rsid w:val="27CE1569"/>
    <w:rsid w:val="27CFD698"/>
    <w:rsid w:val="27D38FFA"/>
    <w:rsid w:val="27D97FA2"/>
    <w:rsid w:val="27DAB883"/>
    <w:rsid w:val="27DC3DED"/>
    <w:rsid w:val="27DE3604"/>
    <w:rsid w:val="27DE9DFB"/>
    <w:rsid w:val="27E01CD2"/>
    <w:rsid w:val="27E07A5F"/>
    <w:rsid w:val="27E18A16"/>
    <w:rsid w:val="27E4EAE3"/>
    <w:rsid w:val="27E5FBBC"/>
    <w:rsid w:val="27E715E2"/>
    <w:rsid w:val="27E8F220"/>
    <w:rsid w:val="27EDDC00"/>
    <w:rsid w:val="27F2999E"/>
    <w:rsid w:val="27F6267C"/>
    <w:rsid w:val="27F8EE3D"/>
    <w:rsid w:val="27FA0A90"/>
    <w:rsid w:val="27FCBD7E"/>
    <w:rsid w:val="27FD3EFC"/>
    <w:rsid w:val="2800B25A"/>
    <w:rsid w:val="2803FD06"/>
    <w:rsid w:val="2804DC84"/>
    <w:rsid w:val="28055715"/>
    <w:rsid w:val="280C2470"/>
    <w:rsid w:val="280E1EB5"/>
    <w:rsid w:val="280E6FEA"/>
    <w:rsid w:val="280F7BE5"/>
    <w:rsid w:val="281557D2"/>
    <w:rsid w:val="2818A179"/>
    <w:rsid w:val="2819B6DE"/>
    <w:rsid w:val="281C225E"/>
    <w:rsid w:val="2829BF55"/>
    <w:rsid w:val="282C779F"/>
    <w:rsid w:val="28331899"/>
    <w:rsid w:val="28334CB1"/>
    <w:rsid w:val="2833AB41"/>
    <w:rsid w:val="28352138"/>
    <w:rsid w:val="283583E7"/>
    <w:rsid w:val="283AAC31"/>
    <w:rsid w:val="283BC996"/>
    <w:rsid w:val="283E9EE7"/>
    <w:rsid w:val="283F6721"/>
    <w:rsid w:val="284605D6"/>
    <w:rsid w:val="28467ECB"/>
    <w:rsid w:val="2848C8CE"/>
    <w:rsid w:val="284C59ED"/>
    <w:rsid w:val="284DD884"/>
    <w:rsid w:val="284EE2ED"/>
    <w:rsid w:val="284F2CD7"/>
    <w:rsid w:val="2854E102"/>
    <w:rsid w:val="2859FA35"/>
    <w:rsid w:val="285BA687"/>
    <w:rsid w:val="2864A8ED"/>
    <w:rsid w:val="28686FFE"/>
    <w:rsid w:val="286ABE5A"/>
    <w:rsid w:val="286D03D4"/>
    <w:rsid w:val="286D9CEB"/>
    <w:rsid w:val="2871C908"/>
    <w:rsid w:val="28781668"/>
    <w:rsid w:val="287B09B6"/>
    <w:rsid w:val="287F032C"/>
    <w:rsid w:val="28821167"/>
    <w:rsid w:val="2884A5F7"/>
    <w:rsid w:val="288B29A2"/>
    <w:rsid w:val="288F1650"/>
    <w:rsid w:val="2890C8F9"/>
    <w:rsid w:val="2893E663"/>
    <w:rsid w:val="28960EE1"/>
    <w:rsid w:val="28AEDE37"/>
    <w:rsid w:val="28B0F779"/>
    <w:rsid w:val="28B2C9E2"/>
    <w:rsid w:val="28B50A6E"/>
    <w:rsid w:val="28B5B7A0"/>
    <w:rsid w:val="28BA7351"/>
    <w:rsid w:val="28BE9605"/>
    <w:rsid w:val="28BF4B36"/>
    <w:rsid w:val="28C2787D"/>
    <w:rsid w:val="28C46957"/>
    <w:rsid w:val="28C4C8BF"/>
    <w:rsid w:val="28C669CF"/>
    <w:rsid w:val="28C692C9"/>
    <w:rsid w:val="28C6B510"/>
    <w:rsid w:val="28CBB572"/>
    <w:rsid w:val="28CE3F0B"/>
    <w:rsid w:val="28CFF2D0"/>
    <w:rsid w:val="28D18566"/>
    <w:rsid w:val="28D6C1E2"/>
    <w:rsid w:val="28DB8654"/>
    <w:rsid w:val="28DBAEFD"/>
    <w:rsid w:val="28DC4682"/>
    <w:rsid w:val="28E165FA"/>
    <w:rsid w:val="28E78AB5"/>
    <w:rsid w:val="28E9BA72"/>
    <w:rsid w:val="28EB7C78"/>
    <w:rsid w:val="28ED3818"/>
    <w:rsid w:val="28EE8385"/>
    <w:rsid w:val="28F14842"/>
    <w:rsid w:val="28F14DA6"/>
    <w:rsid w:val="28F26AE9"/>
    <w:rsid w:val="28F438BF"/>
    <w:rsid w:val="28F696AC"/>
    <w:rsid w:val="28F82CCB"/>
    <w:rsid w:val="28F9E7A2"/>
    <w:rsid w:val="28FB4592"/>
    <w:rsid w:val="28FB65AE"/>
    <w:rsid w:val="28FCCE10"/>
    <w:rsid w:val="28FD22E2"/>
    <w:rsid w:val="28FD6969"/>
    <w:rsid w:val="29010490"/>
    <w:rsid w:val="2901357F"/>
    <w:rsid w:val="2901FA63"/>
    <w:rsid w:val="2903331A"/>
    <w:rsid w:val="2904516B"/>
    <w:rsid w:val="290531E2"/>
    <w:rsid w:val="2905FAB3"/>
    <w:rsid w:val="2905FDF1"/>
    <w:rsid w:val="2907FE89"/>
    <w:rsid w:val="290A6254"/>
    <w:rsid w:val="290B60BE"/>
    <w:rsid w:val="290CB352"/>
    <w:rsid w:val="290CEE9E"/>
    <w:rsid w:val="291384B2"/>
    <w:rsid w:val="29156E30"/>
    <w:rsid w:val="291D9F49"/>
    <w:rsid w:val="2921ABB9"/>
    <w:rsid w:val="29276D50"/>
    <w:rsid w:val="2929719D"/>
    <w:rsid w:val="292A8BC4"/>
    <w:rsid w:val="292CD35C"/>
    <w:rsid w:val="29366C47"/>
    <w:rsid w:val="29372574"/>
    <w:rsid w:val="293988B9"/>
    <w:rsid w:val="293E7501"/>
    <w:rsid w:val="29405B46"/>
    <w:rsid w:val="2942E724"/>
    <w:rsid w:val="2947D137"/>
    <w:rsid w:val="2949B463"/>
    <w:rsid w:val="294A187E"/>
    <w:rsid w:val="294ACE99"/>
    <w:rsid w:val="294B704E"/>
    <w:rsid w:val="294B8412"/>
    <w:rsid w:val="294BE8F5"/>
    <w:rsid w:val="294EC386"/>
    <w:rsid w:val="295017CB"/>
    <w:rsid w:val="295CCC68"/>
    <w:rsid w:val="2961082D"/>
    <w:rsid w:val="296159AD"/>
    <w:rsid w:val="2964DE4A"/>
    <w:rsid w:val="2968241C"/>
    <w:rsid w:val="296A46A0"/>
    <w:rsid w:val="296A610E"/>
    <w:rsid w:val="296F1BB8"/>
    <w:rsid w:val="2972A5B0"/>
    <w:rsid w:val="29793495"/>
    <w:rsid w:val="297BED33"/>
    <w:rsid w:val="297E47F2"/>
    <w:rsid w:val="2980F6D5"/>
    <w:rsid w:val="2983C28B"/>
    <w:rsid w:val="298598D5"/>
    <w:rsid w:val="2985F39B"/>
    <w:rsid w:val="2987BA19"/>
    <w:rsid w:val="298A47CA"/>
    <w:rsid w:val="298B60AA"/>
    <w:rsid w:val="298BCCE4"/>
    <w:rsid w:val="29986A30"/>
    <w:rsid w:val="2999E128"/>
    <w:rsid w:val="299DF418"/>
    <w:rsid w:val="299F9C71"/>
    <w:rsid w:val="29A128F1"/>
    <w:rsid w:val="29A5FF61"/>
    <w:rsid w:val="29A62D6F"/>
    <w:rsid w:val="29A7B7D6"/>
    <w:rsid w:val="29A96CB9"/>
    <w:rsid w:val="29AA4762"/>
    <w:rsid w:val="29AA7A58"/>
    <w:rsid w:val="29ACB454"/>
    <w:rsid w:val="29B04B87"/>
    <w:rsid w:val="29B1E0DB"/>
    <w:rsid w:val="29BCFE9E"/>
    <w:rsid w:val="29C02A92"/>
    <w:rsid w:val="29C68DFE"/>
    <w:rsid w:val="29C6B2D1"/>
    <w:rsid w:val="29C89226"/>
    <w:rsid w:val="29CD1AE2"/>
    <w:rsid w:val="29CDEF9D"/>
    <w:rsid w:val="29D1B665"/>
    <w:rsid w:val="29D2592D"/>
    <w:rsid w:val="29D3B277"/>
    <w:rsid w:val="29D3E174"/>
    <w:rsid w:val="29D4F259"/>
    <w:rsid w:val="29D54388"/>
    <w:rsid w:val="29D951A1"/>
    <w:rsid w:val="29E1E831"/>
    <w:rsid w:val="29EDB80A"/>
    <w:rsid w:val="29EEAE58"/>
    <w:rsid w:val="29F1DCE9"/>
    <w:rsid w:val="29F23FB7"/>
    <w:rsid w:val="29F3EADE"/>
    <w:rsid w:val="29F46F73"/>
    <w:rsid w:val="29F6D184"/>
    <w:rsid w:val="29F9A35C"/>
    <w:rsid w:val="29FC661F"/>
    <w:rsid w:val="29FE7F0A"/>
    <w:rsid w:val="2A00EBE5"/>
    <w:rsid w:val="2A016C86"/>
    <w:rsid w:val="2A022419"/>
    <w:rsid w:val="2A02346A"/>
    <w:rsid w:val="2A027AEF"/>
    <w:rsid w:val="2A02887F"/>
    <w:rsid w:val="2A033C8D"/>
    <w:rsid w:val="2A041FFB"/>
    <w:rsid w:val="2A060601"/>
    <w:rsid w:val="2A1C6B5C"/>
    <w:rsid w:val="2A1CD1FE"/>
    <w:rsid w:val="2A1E0C46"/>
    <w:rsid w:val="2A1E52C2"/>
    <w:rsid w:val="2A1ED893"/>
    <w:rsid w:val="2A210B1D"/>
    <w:rsid w:val="2A21C91A"/>
    <w:rsid w:val="2A22AA18"/>
    <w:rsid w:val="2A245D69"/>
    <w:rsid w:val="2A267039"/>
    <w:rsid w:val="2A26D27A"/>
    <w:rsid w:val="2A2B74CC"/>
    <w:rsid w:val="2A2EB135"/>
    <w:rsid w:val="2A30AFE3"/>
    <w:rsid w:val="2A312957"/>
    <w:rsid w:val="2A3140CC"/>
    <w:rsid w:val="2A334567"/>
    <w:rsid w:val="2A34130D"/>
    <w:rsid w:val="2A37DF66"/>
    <w:rsid w:val="2A3A38F4"/>
    <w:rsid w:val="2A3ADE1D"/>
    <w:rsid w:val="2A3B708E"/>
    <w:rsid w:val="2A3B9B82"/>
    <w:rsid w:val="2A3E0227"/>
    <w:rsid w:val="2A3F4ECD"/>
    <w:rsid w:val="2A4269BE"/>
    <w:rsid w:val="2A4368C7"/>
    <w:rsid w:val="2A4A67CC"/>
    <w:rsid w:val="2A4F6522"/>
    <w:rsid w:val="2A5075ED"/>
    <w:rsid w:val="2A5196D4"/>
    <w:rsid w:val="2A55083D"/>
    <w:rsid w:val="2A594C7A"/>
    <w:rsid w:val="2A5C3B85"/>
    <w:rsid w:val="2A61ACAF"/>
    <w:rsid w:val="2A665913"/>
    <w:rsid w:val="2A667179"/>
    <w:rsid w:val="2A6D1015"/>
    <w:rsid w:val="2A70DEF4"/>
    <w:rsid w:val="2A7193AA"/>
    <w:rsid w:val="2A74CBA5"/>
    <w:rsid w:val="2A787433"/>
    <w:rsid w:val="2A790A03"/>
    <w:rsid w:val="2A794622"/>
    <w:rsid w:val="2A796D9D"/>
    <w:rsid w:val="2A7D3DCF"/>
    <w:rsid w:val="2A835B05"/>
    <w:rsid w:val="2A8767A0"/>
    <w:rsid w:val="2A8BF748"/>
    <w:rsid w:val="2A8CBEB4"/>
    <w:rsid w:val="2A8D31F5"/>
    <w:rsid w:val="2A932367"/>
    <w:rsid w:val="2A9A6AFC"/>
    <w:rsid w:val="2A9BCB06"/>
    <w:rsid w:val="2A9C9C9F"/>
    <w:rsid w:val="2AA38FE1"/>
    <w:rsid w:val="2AA6AFFA"/>
    <w:rsid w:val="2AAA3311"/>
    <w:rsid w:val="2AAACF4B"/>
    <w:rsid w:val="2AAB4655"/>
    <w:rsid w:val="2AB1413E"/>
    <w:rsid w:val="2AB1F1AD"/>
    <w:rsid w:val="2AB5D412"/>
    <w:rsid w:val="2AB621F6"/>
    <w:rsid w:val="2AB9E15C"/>
    <w:rsid w:val="2ABC067A"/>
    <w:rsid w:val="2ABCEA72"/>
    <w:rsid w:val="2AC813E9"/>
    <w:rsid w:val="2AC887A7"/>
    <w:rsid w:val="2ACA6F04"/>
    <w:rsid w:val="2ACF9EB0"/>
    <w:rsid w:val="2AD055E6"/>
    <w:rsid w:val="2AD48E40"/>
    <w:rsid w:val="2AD4B623"/>
    <w:rsid w:val="2AD4DE89"/>
    <w:rsid w:val="2AD50D19"/>
    <w:rsid w:val="2AD521E4"/>
    <w:rsid w:val="2AD718D6"/>
    <w:rsid w:val="2AD74C99"/>
    <w:rsid w:val="2ADD050A"/>
    <w:rsid w:val="2ADD33FF"/>
    <w:rsid w:val="2AE72326"/>
    <w:rsid w:val="2AE83F7B"/>
    <w:rsid w:val="2AE9DA67"/>
    <w:rsid w:val="2AF512AD"/>
    <w:rsid w:val="2AF92EBC"/>
    <w:rsid w:val="2AFA6D9D"/>
    <w:rsid w:val="2AFC8DC0"/>
    <w:rsid w:val="2B00EF2A"/>
    <w:rsid w:val="2B011E4C"/>
    <w:rsid w:val="2B024D6C"/>
    <w:rsid w:val="2B02AAFA"/>
    <w:rsid w:val="2B02FEF3"/>
    <w:rsid w:val="2B09C8BB"/>
    <w:rsid w:val="2B0AF34F"/>
    <w:rsid w:val="2B0D5F72"/>
    <w:rsid w:val="2B0DE84D"/>
    <w:rsid w:val="2B16A4D3"/>
    <w:rsid w:val="2B209C9D"/>
    <w:rsid w:val="2B22AAC6"/>
    <w:rsid w:val="2B2454B5"/>
    <w:rsid w:val="2B2A9B26"/>
    <w:rsid w:val="2B339D9D"/>
    <w:rsid w:val="2B344FD4"/>
    <w:rsid w:val="2B3512BF"/>
    <w:rsid w:val="2B355722"/>
    <w:rsid w:val="2B35FB14"/>
    <w:rsid w:val="2B3778E4"/>
    <w:rsid w:val="2B3CD1E5"/>
    <w:rsid w:val="2B3EFF28"/>
    <w:rsid w:val="2B4025DD"/>
    <w:rsid w:val="2B41DEAC"/>
    <w:rsid w:val="2B4546C0"/>
    <w:rsid w:val="2B46634C"/>
    <w:rsid w:val="2B4D5063"/>
    <w:rsid w:val="2B510E44"/>
    <w:rsid w:val="2B5283A8"/>
    <w:rsid w:val="2B55135B"/>
    <w:rsid w:val="2B59D2C7"/>
    <w:rsid w:val="2B59EE2D"/>
    <w:rsid w:val="2B5E413D"/>
    <w:rsid w:val="2B62FEF2"/>
    <w:rsid w:val="2B64C84E"/>
    <w:rsid w:val="2B660947"/>
    <w:rsid w:val="2B686C58"/>
    <w:rsid w:val="2B6A07C2"/>
    <w:rsid w:val="2B6B4006"/>
    <w:rsid w:val="2B6C25A4"/>
    <w:rsid w:val="2B6CDD3D"/>
    <w:rsid w:val="2B6F8BAB"/>
    <w:rsid w:val="2B703357"/>
    <w:rsid w:val="2B7125D5"/>
    <w:rsid w:val="2B712D7E"/>
    <w:rsid w:val="2B81A275"/>
    <w:rsid w:val="2B8CD374"/>
    <w:rsid w:val="2B8F1913"/>
    <w:rsid w:val="2B909237"/>
    <w:rsid w:val="2B921892"/>
    <w:rsid w:val="2B955704"/>
    <w:rsid w:val="2B95E275"/>
    <w:rsid w:val="2B9E0535"/>
    <w:rsid w:val="2B9E76F3"/>
    <w:rsid w:val="2BA036D3"/>
    <w:rsid w:val="2BA0EDA8"/>
    <w:rsid w:val="2BA0FEC2"/>
    <w:rsid w:val="2BA1C138"/>
    <w:rsid w:val="2BA36254"/>
    <w:rsid w:val="2BA7BCB4"/>
    <w:rsid w:val="2BAA50F1"/>
    <w:rsid w:val="2BAC8C73"/>
    <w:rsid w:val="2BAD8312"/>
    <w:rsid w:val="2BB126A7"/>
    <w:rsid w:val="2BB454D6"/>
    <w:rsid w:val="2BB87C2A"/>
    <w:rsid w:val="2BB8E684"/>
    <w:rsid w:val="2BC0034D"/>
    <w:rsid w:val="2BC3A666"/>
    <w:rsid w:val="2BC6246C"/>
    <w:rsid w:val="2BC7E6F1"/>
    <w:rsid w:val="2BC9588F"/>
    <w:rsid w:val="2BCA7A56"/>
    <w:rsid w:val="2BCB48CD"/>
    <w:rsid w:val="2BCC9395"/>
    <w:rsid w:val="2BD43CDE"/>
    <w:rsid w:val="2BD731F7"/>
    <w:rsid w:val="2BD9082D"/>
    <w:rsid w:val="2BDCEBF0"/>
    <w:rsid w:val="2BE07254"/>
    <w:rsid w:val="2BE23326"/>
    <w:rsid w:val="2BE3A1FC"/>
    <w:rsid w:val="2BE3F6F2"/>
    <w:rsid w:val="2BE5CFE3"/>
    <w:rsid w:val="2BE88D77"/>
    <w:rsid w:val="2BE97395"/>
    <w:rsid w:val="2BE9D7DE"/>
    <w:rsid w:val="2BEB0222"/>
    <w:rsid w:val="2BEB31BA"/>
    <w:rsid w:val="2BEF22EF"/>
    <w:rsid w:val="2BF860E7"/>
    <w:rsid w:val="2C064C05"/>
    <w:rsid w:val="2C08B0E0"/>
    <w:rsid w:val="2C0A243F"/>
    <w:rsid w:val="2C0AE694"/>
    <w:rsid w:val="2C0D32C9"/>
    <w:rsid w:val="2C0F0555"/>
    <w:rsid w:val="2C0FDD9D"/>
    <w:rsid w:val="2C12DB65"/>
    <w:rsid w:val="2C131258"/>
    <w:rsid w:val="2C1320B7"/>
    <w:rsid w:val="2C149953"/>
    <w:rsid w:val="2C15DA49"/>
    <w:rsid w:val="2C1654A1"/>
    <w:rsid w:val="2C1A66DF"/>
    <w:rsid w:val="2C1ACC93"/>
    <w:rsid w:val="2C1C5B17"/>
    <w:rsid w:val="2C1E1C46"/>
    <w:rsid w:val="2C1F3221"/>
    <w:rsid w:val="2C240589"/>
    <w:rsid w:val="2C242424"/>
    <w:rsid w:val="2C256801"/>
    <w:rsid w:val="2C294E85"/>
    <w:rsid w:val="2C302B17"/>
    <w:rsid w:val="2C31D010"/>
    <w:rsid w:val="2C3C3388"/>
    <w:rsid w:val="2C452945"/>
    <w:rsid w:val="2C490445"/>
    <w:rsid w:val="2C618CEE"/>
    <w:rsid w:val="2C61CA3F"/>
    <w:rsid w:val="2C679ED7"/>
    <w:rsid w:val="2C6C7B46"/>
    <w:rsid w:val="2C6DD8D2"/>
    <w:rsid w:val="2C70EA15"/>
    <w:rsid w:val="2C74C187"/>
    <w:rsid w:val="2C76C958"/>
    <w:rsid w:val="2C7C382D"/>
    <w:rsid w:val="2C7CBF6F"/>
    <w:rsid w:val="2C7CFBF9"/>
    <w:rsid w:val="2C7D6CC2"/>
    <w:rsid w:val="2C7DD7CA"/>
    <w:rsid w:val="2C81E850"/>
    <w:rsid w:val="2C8442C4"/>
    <w:rsid w:val="2C85BE36"/>
    <w:rsid w:val="2C8A3A8C"/>
    <w:rsid w:val="2C8B14A8"/>
    <w:rsid w:val="2C8C41F5"/>
    <w:rsid w:val="2C8DB7A9"/>
    <w:rsid w:val="2C8F341C"/>
    <w:rsid w:val="2C8F6572"/>
    <w:rsid w:val="2C934E43"/>
    <w:rsid w:val="2C944CDC"/>
    <w:rsid w:val="2C96920A"/>
    <w:rsid w:val="2C974D8C"/>
    <w:rsid w:val="2C9A8F50"/>
    <w:rsid w:val="2C9FC916"/>
    <w:rsid w:val="2CA28F97"/>
    <w:rsid w:val="2CA34A7E"/>
    <w:rsid w:val="2CA40C44"/>
    <w:rsid w:val="2CAFEB20"/>
    <w:rsid w:val="2CAFF08A"/>
    <w:rsid w:val="2CB0C69D"/>
    <w:rsid w:val="2CB36CB0"/>
    <w:rsid w:val="2CB6B8C0"/>
    <w:rsid w:val="2CB7A129"/>
    <w:rsid w:val="2CB9B922"/>
    <w:rsid w:val="2CB9C988"/>
    <w:rsid w:val="2CBCB4BD"/>
    <w:rsid w:val="2CBF9A75"/>
    <w:rsid w:val="2CC1983E"/>
    <w:rsid w:val="2CC8677B"/>
    <w:rsid w:val="2CC8E927"/>
    <w:rsid w:val="2CCA5485"/>
    <w:rsid w:val="2CCA779B"/>
    <w:rsid w:val="2CCAF89C"/>
    <w:rsid w:val="2CCC41E4"/>
    <w:rsid w:val="2CD2499B"/>
    <w:rsid w:val="2CD56EAD"/>
    <w:rsid w:val="2CD64E3A"/>
    <w:rsid w:val="2CD7BB5B"/>
    <w:rsid w:val="2CD86E5E"/>
    <w:rsid w:val="2CD9D836"/>
    <w:rsid w:val="2CDB5012"/>
    <w:rsid w:val="2CDD2FAB"/>
    <w:rsid w:val="2CDFA271"/>
    <w:rsid w:val="2CEA80D6"/>
    <w:rsid w:val="2CEBE916"/>
    <w:rsid w:val="2CEE9365"/>
    <w:rsid w:val="2CF2B198"/>
    <w:rsid w:val="2CF5DE84"/>
    <w:rsid w:val="2D03533B"/>
    <w:rsid w:val="2D05207A"/>
    <w:rsid w:val="2D0536B0"/>
    <w:rsid w:val="2D0DE016"/>
    <w:rsid w:val="2D0FBE9E"/>
    <w:rsid w:val="2D133329"/>
    <w:rsid w:val="2D175030"/>
    <w:rsid w:val="2D1B9B25"/>
    <w:rsid w:val="2D1CBAE4"/>
    <w:rsid w:val="2D2089A0"/>
    <w:rsid w:val="2D20A9DE"/>
    <w:rsid w:val="2D232976"/>
    <w:rsid w:val="2D26CA3F"/>
    <w:rsid w:val="2D2D1B08"/>
    <w:rsid w:val="2D2E7AEE"/>
    <w:rsid w:val="2D312AA5"/>
    <w:rsid w:val="2D39465B"/>
    <w:rsid w:val="2D41A492"/>
    <w:rsid w:val="2D42F30D"/>
    <w:rsid w:val="2D460D3E"/>
    <w:rsid w:val="2D471532"/>
    <w:rsid w:val="2D481D99"/>
    <w:rsid w:val="2D4BF501"/>
    <w:rsid w:val="2D4C5251"/>
    <w:rsid w:val="2D4F4097"/>
    <w:rsid w:val="2D506E62"/>
    <w:rsid w:val="2D50909C"/>
    <w:rsid w:val="2D50CF2E"/>
    <w:rsid w:val="2D53A542"/>
    <w:rsid w:val="2D55F979"/>
    <w:rsid w:val="2D58C6AF"/>
    <w:rsid w:val="2D59498B"/>
    <w:rsid w:val="2D5B4987"/>
    <w:rsid w:val="2D62375C"/>
    <w:rsid w:val="2D631986"/>
    <w:rsid w:val="2D64E8E8"/>
    <w:rsid w:val="2D69D358"/>
    <w:rsid w:val="2D6FE2FD"/>
    <w:rsid w:val="2D704FAF"/>
    <w:rsid w:val="2D706029"/>
    <w:rsid w:val="2D7695C9"/>
    <w:rsid w:val="2D819C79"/>
    <w:rsid w:val="2D825DA8"/>
    <w:rsid w:val="2D8280CD"/>
    <w:rsid w:val="2D838F6F"/>
    <w:rsid w:val="2D899D46"/>
    <w:rsid w:val="2D8B1ABC"/>
    <w:rsid w:val="2D8C9039"/>
    <w:rsid w:val="2D949E43"/>
    <w:rsid w:val="2D96E520"/>
    <w:rsid w:val="2D98C1CE"/>
    <w:rsid w:val="2D98CEAE"/>
    <w:rsid w:val="2D9EBC92"/>
    <w:rsid w:val="2DA43F47"/>
    <w:rsid w:val="2DA7534E"/>
    <w:rsid w:val="2DADF502"/>
    <w:rsid w:val="2DB0442F"/>
    <w:rsid w:val="2DB1EBCF"/>
    <w:rsid w:val="2DB8DA8B"/>
    <w:rsid w:val="2DB90E1C"/>
    <w:rsid w:val="2DBE169F"/>
    <w:rsid w:val="2DC4D0BC"/>
    <w:rsid w:val="2DC56C88"/>
    <w:rsid w:val="2DC63C6C"/>
    <w:rsid w:val="2DC6F0E4"/>
    <w:rsid w:val="2DC8E047"/>
    <w:rsid w:val="2DCB50BD"/>
    <w:rsid w:val="2DCB97CD"/>
    <w:rsid w:val="2DCCE349"/>
    <w:rsid w:val="2DD19FD1"/>
    <w:rsid w:val="2DE052FA"/>
    <w:rsid w:val="2DE448FA"/>
    <w:rsid w:val="2DE920B0"/>
    <w:rsid w:val="2DE9F524"/>
    <w:rsid w:val="2DEF7B41"/>
    <w:rsid w:val="2DEFE124"/>
    <w:rsid w:val="2DF5A999"/>
    <w:rsid w:val="2DF857DD"/>
    <w:rsid w:val="2DF93B66"/>
    <w:rsid w:val="2DFCB506"/>
    <w:rsid w:val="2DFCC3FD"/>
    <w:rsid w:val="2DFDA5FF"/>
    <w:rsid w:val="2DFF1B7B"/>
    <w:rsid w:val="2DFFB562"/>
    <w:rsid w:val="2E00F146"/>
    <w:rsid w:val="2E016589"/>
    <w:rsid w:val="2E02F605"/>
    <w:rsid w:val="2E0370DA"/>
    <w:rsid w:val="2E03FF90"/>
    <w:rsid w:val="2E059473"/>
    <w:rsid w:val="2E06C3D1"/>
    <w:rsid w:val="2E0EFCD6"/>
    <w:rsid w:val="2E104D2F"/>
    <w:rsid w:val="2E127B7A"/>
    <w:rsid w:val="2E14B82A"/>
    <w:rsid w:val="2E16F38C"/>
    <w:rsid w:val="2E170C97"/>
    <w:rsid w:val="2E1FE341"/>
    <w:rsid w:val="2E20EC8F"/>
    <w:rsid w:val="2E2413F2"/>
    <w:rsid w:val="2E2D9C1D"/>
    <w:rsid w:val="2E347D47"/>
    <w:rsid w:val="2E35C6D8"/>
    <w:rsid w:val="2E366004"/>
    <w:rsid w:val="2E390368"/>
    <w:rsid w:val="2E3D41CE"/>
    <w:rsid w:val="2E3DFDD6"/>
    <w:rsid w:val="2E3E239A"/>
    <w:rsid w:val="2E40FD90"/>
    <w:rsid w:val="2E479C02"/>
    <w:rsid w:val="2E4A6564"/>
    <w:rsid w:val="2E53A8B0"/>
    <w:rsid w:val="2E55224C"/>
    <w:rsid w:val="2E55441E"/>
    <w:rsid w:val="2E5ACEDD"/>
    <w:rsid w:val="2E5C7BB1"/>
    <w:rsid w:val="2E62A692"/>
    <w:rsid w:val="2E63FCEC"/>
    <w:rsid w:val="2E6566A8"/>
    <w:rsid w:val="2E6873DD"/>
    <w:rsid w:val="2E691AC2"/>
    <w:rsid w:val="2E6A832E"/>
    <w:rsid w:val="2E6C9B25"/>
    <w:rsid w:val="2E6CAFF9"/>
    <w:rsid w:val="2E6E8B20"/>
    <w:rsid w:val="2E6F5EE9"/>
    <w:rsid w:val="2E6F95C9"/>
    <w:rsid w:val="2E70F0C5"/>
    <w:rsid w:val="2E73812A"/>
    <w:rsid w:val="2E753D29"/>
    <w:rsid w:val="2E754F0F"/>
    <w:rsid w:val="2E77E9FF"/>
    <w:rsid w:val="2E787CFB"/>
    <w:rsid w:val="2E7DB52E"/>
    <w:rsid w:val="2E7FFF92"/>
    <w:rsid w:val="2E83455C"/>
    <w:rsid w:val="2E85EEF3"/>
    <w:rsid w:val="2E8CEC0C"/>
    <w:rsid w:val="2E96010F"/>
    <w:rsid w:val="2E969086"/>
    <w:rsid w:val="2E96E7BB"/>
    <w:rsid w:val="2E996C1D"/>
    <w:rsid w:val="2E9CCA53"/>
    <w:rsid w:val="2EA8DC25"/>
    <w:rsid w:val="2EAB48BC"/>
    <w:rsid w:val="2EADB7EA"/>
    <w:rsid w:val="2EADDE5C"/>
    <w:rsid w:val="2EB541AF"/>
    <w:rsid w:val="2EB77AC0"/>
    <w:rsid w:val="2EB9D00E"/>
    <w:rsid w:val="2EB9D7AA"/>
    <w:rsid w:val="2EC06DB1"/>
    <w:rsid w:val="2EC0778A"/>
    <w:rsid w:val="2EC228CC"/>
    <w:rsid w:val="2ECE6DA0"/>
    <w:rsid w:val="2ED14006"/>
    <w:rsid w:val="2ED2DD1A"/>
    <w:rsid w:val="2EDCF345"/>
    <w:rsid w:val="2EE2AFC6"/>
    <w:rsid w:val="2EE3AC17"/>
    <w:rsid w:val="2EE94807"/>
    <w:rsid w:val="2EEB6145"/>
    <w:rsid w:val="2EEDDC97"/>
    <w:rsid w:val="2EF12E52"/>
    <w:rsid w:val="2EF1B0CF"/>
    <w:rsid w:val="2EF468BB"/>
    <w:rsid w:val="2EF4E7C7"/>
    <w:rsid w:val="2EF65E8D"/>
    <w:rsid w:val="2EF7E62E"/>
    <w:rsid w:val="2EF93748"/>
    <w:rsid w:val="2EFB05DE"/>
    <w:rsid w:val="2EFB06E9"/>
    <w:rsid w:val="2EFE681F"/>
    <w:rsid w:val="2F025647"/>
    <w:rsid w:val="2F04182E"/>
    <w:rsid w:val="2F04192D"/>
    <w:rsid w:val="2F0741D7"/>
    <w:rsid w:val="2F076F1A"/>
    <w:rsid w:val="2F0848BB"/>
    <w:rsid w:val="2F09E716"/>
    <w:rsid w:val="2F0EFF23"/>
    <w:rsid w:val="2F116EF7"/>
    <w:rsid w:val="2F1BDB6E"/>
    <w:rsid w:val="2F1DA975"/>
    <w:rsid w:val="2F1E13C2"/>
    <w:rsid w:val="2F2290B6"/>
    <w:rsid w:val="2F22C012"/>
    <w:rsid w:val="2F22EF63"/>
    <w:rsid w:val="2F23394B"/>
    <w:rsid w:val="2F258F3E"/>
    <w:rsid w:val="2F2B5C52"/>
    <w:rsid w:val="2F2BE3A0"/>
    <w:rsid w:val="2F2F2B03"/>
    <w:rsid w:val="2F311615"/>
    <w:rsid w:val="2F355EC8"/>
    <w:rsid w:val="2F364A4A"/>
    <w:rsid w:val="2F38245C"/>
    <w:rsid w:val="2F398340"/>
    <w:rsid w:val="2F39DE31"/>
    <w:rsid w:val="2F40812F"/>
    <w:rsid w:val="2F40FE12"/>
    <w:rsid w:val="2F4126AB"/>
    <w:rsid w:val="2F43B33B"/>
    <w:rsid w:val="2F43F81E"/>
    <w:rsid w:val="2F467A3B"/>
    <w:rsid w:val="2F478F12"/>
    <w:rsid w:val="2F499605"/>
    <w:rsid w:val="2F4C138C"/>
    <w:rsid w:val="2F4CAB6F"/>
    <w:rsid w:val="2F52770D"/>
    <w:rsid w:val="2F53CE5C"/>
    <w:rsid w:val="2F5B02C4"/>
    <w:rsid w:val="2F5DB1DF"/>
    <w:rsid w:val="2F5E2213"/>
    <w:rsid w:val="2F66446A"/>
    <w:rsid w:val="2F6735E3"/>
    <w:rsid w:val="2F6959DF"/>
    <w:rsid w:val="2F697EDC"/>
    <w:rsid w:val="2F6B753B"/>
    <w:rsid w:val="2F715D3D"/>
    <w:rsid w:val="2F72C53A"/>
    <w:rsid w:val="2F7A6A15"/>
    <w:rsid w:val="2F80EB7D"/>
    <w:rsid w:val="2F85A519"/>
    <w:rsid w:val="2F85EF04"/>
    <w:rsid w:val="2F86BBE0"/>
    <w:rsid w:val="2F89172A"/>
    <w:rsid w:val="2F8B08A8"/>
    <w:rsid w:val="2F8C1C9F"/>
    <w:rsid w:val="2F8CA844"/>
    <w:rsid w:val="2F964A8C"/>
    <w:rsid w:val="2F9B3857"/>
    <w:rsid w:val="2F9ED8F8"/>
    <w:rsid w:val="2FA0EEBA"/>
    <w:rsid w:val="2FA10448"/>
    <w:rsid w:val="2FA47011"/>
    <w:rsid w:val="2FA6AB22"/>
    <w:rsid w:val="2FA83F4C"/>
    <w:rsid w:val="2FAC9B70"/>
    <w:rsid w:val="2FAFF538"/>
    <w:rsid w:val="2FB35E7C"/>
    <w:rsid w:val="2FB85F18"/>
    <w:rsid w:val="2FBB0C62"/>
    <w:rsid w:val="2FBE0411"/>
    <w:rsid w:val="2FC45983"/>
    <w:rsid w:val="2FC4ED5A"/>
    <w:rsid w:val="2FCD52CF"/>
    <w:rsid w:val="2FCD9BAF"/>
    <w:rsid w:val="2FD0D492"/>
    <w:rsid w:val="2FD28617"/>
    <w:rsid w:val="2FD3BA39"/>
    <w:rsid w:val="2FD3EC82"/>
    <w:rsid w:val="2FD61770"/>
    <w:rsid w:val="2FD7C67F"/>
    <w:rsid w:val="2FE16B0F"/>
    <w:rsid w:val="2FEA14B7"/>
    <w:rsid w:val="2FEEB5E3"/>
    <w:rsid w:val="2FEF8A25"/>
    <w:rsid w:val="2FF34E8D"/>
    <w:rsid w:val="2FF45CCD"/>
    <w:rsid w:val="2FF6F94E"/>
    <w:rsid w:val="2FF7F607"/>
    <w:rsid w:val="2FF7FF5E"/>
    <w:rsid w:val="2FFA15B2"/>
    <w:rsid w:val="2FFAA73A"/>
    <w:rsid w:val="2FFAB698"/>
    <w:rsid w:val="2FFAC553"/>
    <w:rsid w:val="2FFB56DD"/>
    <w:rsid w:val="2FFD1F3E"/>
    <w:rsid w:val="2FFE7463"/>
    <w:rsid w:val="30018E63"/>
    <w:rsid w:val="30036C0E"/>
    <w:rsid w:val="30069B6D"/>
    <w:rsid w:val="3009BDA3"/>
    <w:rsid w:val="300F0295"/>
    <w:rsid w:val="30109362"/>
    <w:rsid w:val="30121710"/>
    <w:rsid w:val="3014B277"/>
    <w:rsid w:val="3016EEC4"/>
    <w:rsid w:val="301D1495"/>
    <w:rsid w:val="30221188"/>
    <w:rsid w:val="30246B51"/>
    <w:rsid w:val="3025217D"/>
    <w:rsid w:val="302A8CFB"/>
    <w:rsid w:val="302E3C34"/>
    <w:rsid w:val="30312BD3"/>
    <w:rsid w:val="3031EEF7"/>
    <w:rsid w:val="30329727"/>
    <w:rsid w:val="30330E14"/>
    <w:rsid w:val="30344F36"/>
    <w:rsid w:val="3036C2D6"/>
    <w:rsid w:val="30391312"/>
    <w:rsid w:val="3039C139"/>
    <w:rsid w:val="303A4294"/>
    <w:rsid w:val="303A9D65"/>
    <w:rsid w:val="303ADBB3"/>
    <w:rsid w:val="303F110D"/>
    <w:rsid w:val="303F5604"/>
    <w:rsid w:val="30478943"/>
    <w:rsid w:val="30488AD7"/>
    <w:rsid w:val="304C1BB9"/>
    <w:rsid w:val="304CF28B"/>
    <w:rsid w:val="3050C762"/>
    <w:rsid w:val="30535718"/>
    <w:rsid w:val="30547017"/>
    <w:rsid w:val="30580548"/>
    <w:rsid w:val="3059A0CC"/>
    <w:rsid w:val="30692FBF"/>
    <w:rsid w:val="306BE6D4"/>
    <w:rsid w:val="307373DB"/>
    <w:rsid w:val="3075C260"/>
    <w:rsid w:val="307E3B93"/>
    <w:rsid w:val="307E4C93"/>
    <w:rsid w:val="3083CC0F"/>
    <w:rsid w:val="3083D1A1"/>
    <w:rsid w:val="3088E095"/>
    <w:rsid w:val="308F9101"/>
    <w:rsid w:val="309109A7"/>
    <w:rsid w:val="309337C5"/>
    <w:rsid w:val="3097926C"/>
    <w:rsid w:val="309CA9EB"/>
    <w:rsid w:val="309D283D"/>
    <w:rsid w:val="30A44C4D"/>
    <w:rsid w:val="30A4740A"/>
    <w:rsid w:val="30A646AA"/>
    <w:rsid w:val="30AB1118"/>
    <w:rsid w:val="30AF5752"/>
    <w:rsid w:val="30B2D79E"/>
    <w:rsid w:val="30B6B023"/>
    <w:rsid w:val="30B8C729"/>
    <w:rsid w:val="30B9931D"/>
    <w:rsid w:val="30BB7F76"/>
    <w:rsid w:val="30C026D7"/>
    <w:rsid w:val="30C1257E"/>
    <w:rsid w:val="30C28902"/>
    <w:rsid w:val="30C33A98"/>
    <w:rsid w:val="30C6895D"/>
    <w:rsid w:val="30C76FAC"/>
    <w:rsid w:val="30C8F40F"/>
    <w:rsid w:val="30C9A66F"/>
    <w:rsid w:val="30C9ECFB"/>
    <w:rsid w:val="30CA4C06"/>
    <w:rsid w:val="30CC45DB"/>
    <w:rsid w:val="30D156DC"/>
    <w:rsid w:val="30D50736"/>
    <w:rsid w:val="30D7F591"/>
    <w:rsid w:val="30DA4476"/>
    <w:rsid w:val="30DAB770"/>
    <w:rsid w:val="30DCAA9F"/>
    <w:rsid w:val="30E7BE9D"/>
    <w:rsid w:val="30EB1D0F"/>
    <w:rsid w:val="30EC4103"/>
    <w:rsid w:val="30EFAD28"/>
    <w:rsid w:val="30F56D41"/>
    <w:rsid w:val="30F9969A"/>
    <w:rsid w:val="30F99F30"/>
    <w:rsid w:val="30F9E999"/>
    <w:rsid w:val="30FD5EFA"/>
    <w:rsid w:val="31004B0E"/>
    <w:rsid w:val="3102A3B0"/>
    <w:rsid w:val="31059EFA"/>
    <w:rsid w:val="31068C94"/>
    <w:rsid w:val="310DFA5F"/>
    <w:rsid w:val="310F188F"/>
    <w:rsid w:val="310FA2C3"/>
    <w:rsid w:val="31158DE6"/>
    <w:rsid w:val="3115B082"/>
    <w:rsid w:val="31161D3A"/>
    <w:rsid w:val="31167C17"/>
    <w:rsid w:val="3116C1F7"/>
    <w:rsid w:val="3117420F"/>
    <w:rsid w:val="31179398"/>
    <w:rsid w:val="3118A909"/>
    <w:rsid w:val="311A21FB"/>
    <w:rsid w:val="311E2612"/>
    <w:rsid w:val="311E71E2"/>
    <w:rsid w:val="31244051"/>
    <w:rsid w:val="31269BA0"/>
    <w:rsid w:val="3128E84C"/>
    <w:rsid w:val="312BB3C4"/>
    <w:rsid w:val="312D8BBD"/>
    <w:rsid w:val="312E0FE8"/>
    <w:rsid w:val="31310B63"/>
    <w:rsid w:val="3133EA59"/>
    <w:rsid w:val="313A9CFC"/>
    <w:rsid w:val="313DA88A"/>
    <w:rsid w:val="31403F13"/>
    <w:rsid w:val="3141FEE0"/>
    <w:rsid w:val="314B4540"/>
    <w:rsid w:val="314CB62D"/>
    <w:rsid w:val="3152547C"/>
    <w:rsid w:val="3153F808"/>
    <w:rsid w:val="31547C52"/>
    <w:rsid w:val="3157DCC2"/>
    <w:rsid w:val="31642CAD"/>
    <w:rsid w:val="3164B5D5"/>
    <w:rsid w:val="3165CEE9"/>
    <w:rsid w:val="316662E1"/>
    <w:rsid w:val="3170F2DE"/>
    <w:rsid w:val="317A944F"/>
    <w:rsid w:val="31803CDE"/>
    <w:rsid w:val="318D951F"/>
    <w:rsid w:val="318FBCF0"/>
    <w:rsid w:val="31906C5F"/>
    <w:rsid w:val="319AA2E2"/>
    <w:rsid w:val="31A0B2EF"/>
    <w:rsid w:val="31A0F05C"/>
    <w:rsid w:val="31A5D499"/>
    <w:rsid w:val="31AC97F8"/>
    <w:rsid w:val="31ACFD51"/>
    <w:rsid w:val="31B27714"/>
    <w:rsid w:val="31B3778D"/>
    <w:rsid w:val="31B48B59"/>
    <w:rsid w:val="31B5F50E"/>
    <w:rsid w:val="31B9DA7D"/>
    <w:rsid w:val="31BC7806"/>
    <w:rsid w:val="31BEE49D"/>
    <w:rsid w:val="31D268AC"/>
    <w:rsid w:val="31D45703"/>
    <w:rsid w:val="31D4AAD5"/>
    <w:rsid w:val="31E07B51"/>
    <w:rsid w:val="31E2BC97"/>
    <w:rsid w:val="31E31F21"/>
    <w:rsid w:val="31E497D5"/>
    <w:rsid w:val="31E9008A"/>
    <w:rsid w:val="31E96B1D"/>
    <w:rsid w:val="31EA2DE9"/>
    <w:rsid w:val="31EE8614"/>
    <w:rsid w:val="32028BA3"/>
    <w:rsid w:val="32033528"/>
    <w:rsid w:val="3207FB5D"/>
    <w:rsid w:val="3210B85C"/>
    <w:rsid w:val="32165679"/>
    <w:rsid w:val="3218E2F1"/>
    <w:rsid w:val="321DCE7E"/>
    <w:rsid w:val="321E599E"/>
    <w:rsid w:val="321F2752"/>
    <w:rsid w:val="321F40E4"/>
    <w:rsid w:val="3221A59B"/>
    <w:rsid w:val="322352D0"/>
    <w:rsid w:val="322BF59A"/>
    <w:rsid w:val="32300878"/>
    <w:rsid w:val="32306068"/>
    <w:rsid w:val="32307669"/>
    <w:rsid w:val="32396EF9"/>
    <w:rsid w:val="323B4575"/>
    <w:rsid w:val="323E1B9B"/>
    <w:rsid w:val="3247678D"/>
    <w:rsid w:val="32481D1A"/>
    <w:rsid w:val="324BEBD1"/>
    <w:rsid w:val="324D6C0B"/>
    <w:rsid w:val="325016D8"/>
    <w:rsid w:val="3250363E"/>
    <w:rsid w:val="32568F5A"/>
    <w:rsid w:val="3258EBEA"/>
    <w:rsid w:val="325B0766"/>
    <w:rsid w:val="3263C59C"/>
    <w:rsid w:val="326439B3"/>
    <w:rsid w:val="32649817"/>
    <w:rsid w:val="3266DDE6"/>
    <w:rsid w:val="326A3211"/>
    <w:rsid w:val="32714E42"/>
    <w:rsid w:val="3276B504"/>
    <w:rsid w:val="32779041"/>
    <w:rsid w:val="327931F2"/>
    <w:rsid w:val="327BF9AC"/>
    <w:rsid w:val="328063F1"/>
    <w:rsid w:val="3283CE9A"/>
    <w:rsid w:val="32840260"/>
    <w:rsid w:val="328A4536"/>
    <w:rsid w:val="328C1266"/>
    <w:rsid w:val="328C3DC2"/>
    <w:rsid w:val="328D7AA5"/>
    <w:rsid w:val="328EA13D"/>
    <w:rsid w:val="328F5F66"/>
    <w:rsid w:val="32916CA6"/>
    <w:rsid w:val="32932BE3"/>
    <w:rsid w:val="32972B6B"/>
    <w:rsid w:val="329CD61E"/>
    <w:rsid w:val="329D821D"/>
    <w:rsid w:val="32A7CF59"/>
    <w:rsid w:val="32AB43BE"/>
    <w:rsid w:val="32B3E13C"/>
    <w:rsid w:val="32B84133"/>
    <w:rsid w:val="32BDC371"/>
    <w:rsid w:val="32BF4B83"/>
    <w:rsid w:val="32BFD7A5"/>
    <w:rsid w:val="32C12481"/>
    <w:rsid w:val="32CECD0A"/>
    <w:rsid w:val="32D00A1E"/>
    <w:rsid w:val="32D36C2C"/>
    <w:rsid w:val="32D964AC"/>
    <w:rsid w:val="32DD2FEE"/>
    <w:rsid w:val="32E12DA9"/>
    <w:rsid w:val="32E247EB"/>
    <w:rsid w:val="32E598C7"/>
    <w:rsid w:val="32E6944D"/>
    <w:rsid w:val="32E9D477"/>
    <w:rsid w:val="32EE5E22"/>
    <w:rsid w:val="32F02AA0"/>
    <w:rsid w:val="32F0A6C8"/>
    <w:rsid w:val="32F5866D"/>
    <w:rsid w:val="32F9FFAF"/>
    <w:rsid w:val="32FB5673"/>
    <w:rsid w:val="32FCB0FA"/>
    <w:rsid w:val="32FE9C26"/>
    <w:rsid w:val="33000B22"/>
    <w:rsid w:val="33019B32"/>
    <w:rsid w:val="33029D85"/>
    <w:rsid w:val="33037F29"/>
    <w:rsid w:val="33088049"/>
    <w:rsid w:val="3308F832"/>
    <w:rsid w:val="33093EE1"/>
    <w:rsid w:val="330A6D15"/>
    <w:rsid w:val="330AD6A7"/>
    <w:rsid w:val="330BA4E1"/>
    <w:rsid w:val="330E96CA"/>
    <w:rsid w:val="330F4D36"/>
    <w:rsid w:val="3315CC51"/>
    <w:rsid w:val="331E3EC3"/>
    <w:rsid w:val="331ECE42"/>
    <w:rsid w:val="33235140"/>
    <w:rsid w:val="3324B6E1"/>
    <w:rsid w:val="33274401"/>
    <w:rsid w:val="3329108D"/>
    <w:rsid w:val="3329C9F9"/>
    <w:rsid w:val="332A302E"/>
    <w:rsid w:val="332AE06E"/>
    <w:rsid w:val="3334412C"/>
    <w:rsid w:val="3338B44B"/>
    <w:rsid w:val="33390457"/>
    <w:rsid w:val="3340095E"/>
    <w:rsid w:val="3344043D"/>
    <w:rsid w:val="3344A52D"/>
    <w:rsid w:val="3344C2CA"/>
    <w:rsid w:val="3346969F"/>
    <w:rsid w:val="3349C2A7"/>
    <w:rsid w:val="3349D93C"/>
    <w:rsid w:val="334D3DD9"/>
    <w:rsid w:val="334D6F1B"/>
    <w:rsid w:val="334DD163"/>
    <w:rsid w:val="334EAA2A"/>
    <w:rsid w:val="334EF9CF"/>
    <w:rsid w:val="3358048C"/>
    <w:rsid w:val="3358A81B"/>
    <w:rsid w:val="335D4F9F"/>
    <w:rsid w:val="3361A680"/>
    <w:rsid w:val="3361CAB3"/>
    <w:rsid w:val="3362F42B"/>
    <w:rsid w:val="3365B725"/>
    <w:rsid w:val="33662EF5"/>
    <w:rsid w:val="336757D1"/>
    <w:rsid w:val="336946D4"/>
    <w:rsid w:val="336FCBAC"/>
    <w:rsid w:val="3370F583"/>
    <w:rsid w:val="337201E9"/>
    <w:rsid w:val="33775328"/>
    <w:rsid w:val="33791494"/>
    <w:rsid w:val="337E9B9C"/>
    <w:rsid w:val="337EE29A"/>
    <w:rsid w:val="337F90DB"/>
    <w:rsid w:val="3389150D"/>
    <w:rsid w:val="338B60E2"/>
    <w:rsid w:val="338C0BD3"/>
    <w:rsid w:val="338EA402"/>
    <w:rsid w:val="339542E6"/>
    <w:rsid w:val="339721EB"/>
    <w:rsid w:val="33A073F4"/>
    <w:rsid w:val="33A344B0"/>
    <w:rsid w:val="33A4E516"/>
    <w:rsid w:val="33A50ABC"/>
    <w:rsid w:val="33A760D5"/>
    <w:rsid w:val="33AC6278"/>
    <w:rsid w:val="33AD9901"/>
    <w:rsid w:val="33B1BF1A"/>
    <w:rsid w:val="33B4AC13"/>
    <w:rsid w:val="33B54402"/>
    <w:rsid w:val="33BB722B"/>
    <w:rsid w:val="33BBA701"/>
    <w:rsid w:val="33BC7CCA"/>
    <w:rsid w:val="33BF3956"/>
    <w:rsid w:val="33CB00E2"/>
    <w:rsid w:val="33CC24D3"/>
    <w:rsid w:val="33CC7E4B"/>
    <w:rsid w:val="33D2C18E"/>
    <w:rsid w:val="33D5D974"/>
    <w:rsid w:val="33DA7448"/>
    <w:rsid w:val="33DBB043"/>
    <w:rsid w:val="33DD0222"/>
    <w:rsid w:val="33DD30D1"/>
    <w:rsid w:val="33DE0498"/>
    <w:rsid w:val="33E2407C"/>
    <w:rsid w:val="33E34783"/>
    <w:rsid w:val="33E55C45"/>
    <w:rsid w:val="33E7CFD4"/>
    <w:rsid w:val="33E8FAC6"/>
    <w:rsid w:val="33EC6930"/>
    <w:rsid w:val="33ED09F5"/>
    <w:rsid w:val="33ED8560"/>
    <w:rsid w:val="33EDE71B"/>
    <w:rsid w:val="33F062AC"/>
    <w:rsid w:val="33F297ED"/>
    <w:rsid w:val="33F88318"/>
    <w:rsid w:val="33FD9C1A"/>
    <w:rsid w:val="33FDF693"/>
    <w:rsid w:val="33FF202C"/>
    <w:rsid w:val="3400104B"/>
    <w:rsid w:val="34005C81"/>
    <w:rsid w:val="340101EA"/>
    <w:rsid w:val="3401D9FC"/>
    <w:rsid w:val="3402DE2B"/>
    <w:rsid w:val="34049F2E"/>
    <w:rsid w:val="34081F9F"/>
    <w:rsid w:val="340838C7"/>
    <w:rsid w:val="34088DD4"/>
    <w:rsid w:val="34090A89"/>
    <w:rsid w:val="340DD581"/>
    <w:rsid w:val="340FE477"/>
    <w:rsid w:val="341713FF"/>
    <w:rsid w:val="341A02E4"/>
    <w:rsid w:val="341D24A4"/>
    <w:rsid w:val="341E3D96"/>
    <w:rsid w:val="3424DAF1"/>
    <w:rsid w:val="3427A0A9"/>
    <w:rsid w:val="3428D889"/>
    <w:rsid w:val="342C8525"/>
    <w:rsid w:val="342EF787"/>
    <w:rsid w:val="342FDFD9"/>
    <w:rsid w:val="3431EE2C"/>
    <w:rsid w:val="34342A7B"/>
    <w:rsid w:val="343AB310"/>
    <w:rsid w:val="343CF015"/>
    <w:rsid w:val="343D2CE1"/>
    <w:rsid w:val="343F1CF6"/>
    <w:rsid w:val="3446ECFA"/>
    <w:rsid w:val="344A18FD"/>
    <w:rsid w:val="344A21EE"/>
    <w:rsid w:val="344A4E92"/>
    <w:rsid w:val="344A51F6"/>
    <w:rsid w:val="344A7C42"/>
    <w:rsid w:val="344C9DA3"/>
    <w:rsid w:val="344D6021"/>
    <w:rsid w:val="3453CFF2"/>
    <w:rsid w:val="345A76C3"/>
    <w:rsid w:val="345A866C"/>
    <w:rsid w:val="345B53B2"/>
    <w:rsid w:val="345D990D"/>
    <w:rsid w:val="3460AD02"/>
    <w:rsid w:val="3460D6BA"/>
    <w:rsid w:val="3463148D"/>
    <w:rsid w:val="346880E1"/>
    <w:rsid w:val="3469B5F3"/>
    <w:rsid w:val="3469BB8D"/>
    <w:rsid w:val="346B4C07"/>
    <w:rsid w:val="346C9B65"/>
    <w:rsid w:val="34796527"/>
    <w:rsid w:val="347A8C64"/>
    <w:rsid w:val="347D7C17"/>
    <w:rsid w:val="34835150"/>
    <w:rsid w:val="3483F452"/>
    <w:rsid w:val="3484F8F8"/>
    <w:rsid w:val="34857686"/>
    <w:rsid w:val="34877388"/>
    <w:rsid w:val="348A5EE5"/>
    <w:rsid w:val="348B19ED"/>
    <w:rsid w:val="348B3551"/>
    <w:rsid w:val="348B438A"/>
    <w:rsid w:val="348BEAC8"/>
    <w:rsid w:val="348D78ED"/>
    <w:rsid w:val="34924F98"/>
    <w:rsid w:val="3492F11E"/>
    <w:rsid w:val="3493D8C3"/>
    <w:rsid w:val="34940F34"/>
    <w:rsid w:val="3497895E"/>
    <w:rsid w:val="3497922E"/>
    <w:rsid w:val="34983372"/>
    <w:rsid w:val="3498EAF0"/>
    <w:rsid w:val="34A03EF4"/>
    <w:rsid w:val="34A74FB2"/>
    <w:rsid w:val="34A90799"/>
    <w:rsid w:val="34AB3C25"/>
    <w:rsid w:val="34ACD811"/>
    <w:rsid w:val="34ADAC93"/>
    <w:rsid w:val="34B1A7F6"/>
    <w:rsid w:val="34B326B8"/>
    <w:rsid w:val="34B61A53"/>
    <w:rsid w:val="34B780A5"/>
    <w:rsid w:val="34C2556B"/>
    <w:rsid w:val="34C445F4"/>
    <w:rsid w:val="34C6BB49"/>
    <w:rsid w:val="34C8F66B"/>
    <w:rsid w:val="34CB41D6"/>
    <w:rsid w:val="34CC1EAB"/>
    <w:rsid w:val="34CE225A"/>
    <w:rsid w:val="34CEC89B"/>
    <w:rsid w:val="34D0059A"/>
    <w:rsid w:val="34D2C656"/>
    <w:rsid w:val="34D3BC5C"/>
    <w:rsid w:val="34D6C3EC"/>
    <w:rsid w:val="34DA4FFB"/>
    <w:rsid w:val="34DAEDCD"/>
    <w:rsid w:val="34DC872E"/>
    <w:rsid w:val="34E21DEE"/>
    <w:rsid w:val="34E2D803"/>
    <w:rsid w:val="34E63444"/>
    <w:rsid w:val="34EA2429"/>
    <w:rsid w:val="34EB15DB"/>
    <w:rsid w:val="34ED7980"/>
    <w:rsid w:val="34EF3A6F"/>
    <w:rsid w:val="34F98801"/>
    <w:rsid w:val="34F9B003"/>
    <w:rsid w:val="34FB7E95"/>
    <w:rsid w:val="34FBC9D3"/>
    <w:rsid w:val="34FE9896"/>
    <w:rsid w:val="34FF9167"/>
    <w:rsid w:val="350655BC"/>
    <w:rsid w:val="3508A23E"/>
    <w:rsid w:val="350BA77E"/>
    <w:rsid w:val="350E5934"/>
    <w:rsid w:val="3511ABE3"/>
    <w:rsid w:val="35133667"/>
    <w:rsid w:val="3515104A"/>
    <w:rsid w:val="35196C84"/>
    <w:rsid w:val="35196D1F"/>
    <w:rsid w:val="351D5E07"/>
    <w:rsid w:val="351E5751"/>
    <w:rsid w:val="351EAAD6"/>
    <w:rsid w:val="35254995"/>
    <w:rsid w:val="352AA46D"/>
    <w:rsid w:val="352ADB1B"/>
    <w:rsid w:val="352EA3A2"/>
    <w:rsid w:val="352FF4A0"/>
    <w:rsid w:val="35317B90"/>
    <w:rsid w:val="3533C68D"/>
    <w:rsid w:val="353548E8"/>
    <w:rsid w:val="35394525"/>
    <w:rsid w:val="3539A18E"/>
    <w:rsid w:val="353F8B27"/>
    <w:rsid w:val="3541B262"/>
    <w:rsid w:val="3542EDA9"/>
    <w:rsid w:val="3547A0E6"/>
    <w:rsid w:val="354E1955"/>
    <w:rsid w:val="354E69F4"/>
    <w:rsid w:val="354FC5E3"/>
    <w:rsid w:val="3552E2CE"/>
    <w:rsid w:val="35533CC9"/>
    <w:rsid w:val="35585747"/>
    <w:rsid w:val="355903C6"/>
    <w:rsid w:val="355A0DF8"/>
    <w:rsid w:val="355B22A9"/>
    <w:rsid w:val="355C350B"/>
    <w:rsid w:val="355DF07B"/>
    <w:rsid w:val="355E1AA5"/>
    <w:rsid w:val="356552BD"/>
    <w:rsid w:val="3569DCB5"/>
    <w:rsid w:val="356A6916"/>
    <w:rsid w:val="356DBAC7"/>
    <w:rsid w:val="356DF143"/>
    <w:rsid w:val="35701B3A"/>
    <w:rsid w:val="3573B449"/>
    <w:rsid w:val="35753F9C"/>
    <w:rsid w:val="3578449A"/>
    <w:rsid w:val="35794AEF"/>
    <w:rsid w:val="357A530A"/>
    <w:rsid w:val="357A8D3B"/>
    <w:rsid w:val="357A90EE"/>
    <w:rsid w:val="35809051"/>
    <w:rsid w:val="35855479"/>
    <w:rsid w:val="35855F09"/>
    <w:rsid w:val="3586E09D"/>
    <w:rsid w:val="35885EA7"/>
    <w:rsid w:val="3589E289"/>
    <w:rsid w:val="3590BD5A"/>
    <w:rsid w:val="35911A92"/>
    <w:rsid w:val="3591A227"/>
    <w:rsid w:val="3592475F"/>
    <w:rsid w:val="3593AFE7"/>
    <w:rsid w:val="359B3988"/>
    <w:rsid w:val="359D37D1"/>
    <w:rsid w:val="359E9491"/>
    <w:rsid w:val="359EAE46"/>
    <w:rsid w:val="35A162EE"/>
    <w:rsid w:val="35A1F5CE"/>
    <w:rsid w:val="35A776BD"/>
    <w:rsid w:val="35A9C881"/>
    <w:rsid w:val="35AA7C7D"/>
    <w:rsid w:val="35AAF703"/>
    <w:rsid w:val="35AECEA9"/>
    <w:rsid w:val="35B087B9"/>
    <w:rsid w:val="35B52C3F"/>
    <w:rsid w:val="35B566F3"/>
    <w:rsid w:val="35BE3395"/>
    <w:rsid w:val="35C19B9C"/>
    <w:rsid w:val="35C45BA8"/>
    <w:rsid w:val="35C811D9"/>
    <w:rsid w:val="35C82B78"/>
    <w:rsid w:val="35CA3408"/>
    <w:rsid w:val="35CC3CE8"/>
    <w:rsid w:val="35CE3838"/>
    <w:rsid w:val="35CF7EF3"/>
    <w:rsid w:val="35D3893E"/>
    <w:rsid w:val="35D80E4D"/>
    <w:rsid w:val="35DCFB60"/>
    <w:rsid w:val="35E6D406"/>
    <w:rsid w:val="35E6F6EB"/>
    <w:rsid w:val="35EF0660"/>
    <w:rsid w:val="35F314DF"/>
    <w:rsid w:val="35F6C3D6"/>
    <w:rsid w:val="35F7226C"/>
    <w:rsid w:val="35F9AE97"/>
    <w:rsid w:val="35FB9924"/>
    <w:rsid w:val="35FF63E1"/>
    <w:rsid w:val="360015D7"/>
    <w:rsid w:val="3602B12F"/>
    <w:rsid w:val="3602D2C1"/>
    <w:rsid w:val="36039D62"/>
    <w:rsid w:val="3604716B"/>
    <w:rsid w:val="360649AB"/>
    <w:rsid w:val="36072BA2"/>
    <w:rsid w:val="3608DCD6"/>
    <w:rsid w:val="3609B18C"/>
    <w:rsid w:val="360B478D"/>
    <w:rsid w:val="360C025C"/>
    <w:rsid w:val="360F0D2D"/>
    <w:rsid w:val="360F1348"/>
    <w:rsid w:val="360FCEA5"/>
    <w:rsid w:val="3610D739"/>
    <w:rsid w:val="36125507"/>
    <w:rsid w:val="3613B9E7"/>
    <w:rsid w:val="36150EF3"/>
    <w:rsid w:val="3616281F"/>
    <w:rsid w:val="3616E46C"/>
    <w:rsid w:val="361A98D1"/>
    <w:rsid w:val="361D1F49"/>
    <w:rsid w:val="361D890E"/>
    <w:rsid w:val="361DF699"/>
    <w:rsid w:val="3621322E"/>
    <w:rsid w:val="362259EE"/>
    <w:rsid w:val="3622DB8A"/>
    <w:rsid w:val="3624AAFB"/>
    <w:rsid w:val="3625A574"/>
    <w:rsid w:val="362788B9"/>
    <w:rsid w:val="362AD958"/>
    <w:rsid w:val="362E8CBC"/>
    <w:rsid w:val="3630A6D8"/>
    <w:rsid w:val="3633E472"/>
    <w:rsid w:val="3638ED28"/>
    <w:rsid w:val="363E2DF7"/>
    <w:rsid w:val="363E41F9"/>
    <w:rsid w:val="3640F7E4"/>
    <w:rsid w:val="3643AE43"/>
    <w:rsid w:val="3643F8F9"/>
    <w:rsid w:val="364A62E3"/>
    <w:rsid w:val="364BC82B"/>
    <w:rsid w:val="364D941A"/>
    <w:rsid w:val="364E730D"/>
    <w:rsid w:val="36568707"/>
    <w:rsid w:val="3663BD09"/>
    <w:rsid w:val="3665A369"/>
    <w:rsid w:val="3667EE95"/>
    <w:rsid w:val="3669CBC0"/>
    <w:rsid w:val="366B2CFB"/>
    <w:rsid w:val="3676A482"/>
    <w:rsid w:val="3679950D"/>
    <w:rsid w:val="367A15D8"/>
    <w:rsid w:val="367A70C3"/>
    <w:rsid w:val="367C6965"/>
    <w:rsid w:val="367DDFD1"/>
    <w:rsid w:val="36846533"/>
    <w:rsid w:val="3686986B"/>
    <w:rsid w:val="368F1B19"/>
    <w:rsid w:val="3690CAE5"/>
    <w:rsid w:val="3691BF67"/>
    <w:rsid w:val="36971709"/>
    <w:rsid w:val="369916C3"/>
    <w:rsid w:val="36A05869"/>
    <w:rsid w:val="36A1E252"/>
    <w:rsid w:val="36A24518"/>
    <w:rsid w:val="36A26E7C"/>
    <w:rsid w:val="36A3366A"/>
    <w:rsid w:val="36A345C4"/>
    <w:rsid w:val="36A4811B"/>
    <w:rsid w:val="36A7135A"/>
    <w:rsid w:val="36ADAB28"/>
    <w:rsid w:val="36ADF89D"/>
    <w:rsid w:val="36AF9D1D"/>
    <w:rsid w:val="36B16D5A"/>
    <w:rsid w:val="36B41DE9"/>
    <w:rsid w:val="36B55433"/>
    <w:rsid w:val="36B9ABB9"/>
    <w:rsid w:val="36BD48C6"/>
    <w:rsid w:val="36C23F61"/>
    <w:rsid w:val="36C7BFBA"/>
    <w:rsid w:val="36C9C17A"/>
    <w:rsid w:val="36CB80C5"/>
    <w:rsid w:val="36CE54A3"/>
    <w:rsid w:val="36CE9B43"/>
    <w:rsid w:val="36CF8EF9"/>
    <w:rsid w:val="36D1B2FC"/>
    <w:rsid w:val="36D21A6A"/>
    <w:rsid w:val="36D271FA"/>
    <w:rsid w:val="36D3CA77"/>
    <w:rsid w:val="36D3FD77"/>
    <w:rsid w:val="36D9109E"/>
    <w:rsid w:val="36DDBCC9"/>
    <w:rsid w:val="36DDDD2F"/>
    <w:rsid w:val="36DFC901"/>
    <w:rsid w:val="36E1F74A"/>
    <w:rsid w:val="36E49904"/>
    <w:rsid w:val="36E91357"/>
    <w:rsid w:val="36EE3E8A"/>
    <w:rsid w:val="36F51D36"/>
    <w:rsid w:val="36F5A633"/>
    <w:rsid w:val="36FAA520"/>
    <w:rsid w:val="36FEF6B5"/>
    <w:rsid w:val="37029EA6"/>
    <w:rsid w:val="3703C3FB"/>
    <w:rsid w:val="37045B29"/>
    <w:rsid w:val="370698BE"/>
    <w:rsid w:val="370E42EF"/>
    <w:rsid w:val="370F6964"/>
    <w:rsid w:val="37107951"/>
    <w:rsid w:val="371C06C0"/>
    <w:rsid w:val="371FF35B"/>
    <w:rsid w:val="37209A47"/>
    <w:rsid w:val="372329ED"/>
    <w:rsid w:val="3727758D"/>
    <w:rsid w:val="3730F6B2"/>
    <w:rsid w:val="3731D524"/>
    <w:rsid w:val="3735FD41"/>
    <w:rsid w:val="3738950B"/>
    <w:rsid w:val="3738BAF2"/>
    <w:rsid w:val="373BE436"/>
    <w:rsid w:val="373E6D0A"/>
    <w:rsid w:val="373EF69C"/>
    <w:rsid w:val="37405C5F"/>
    <w:rsid w:val="3740DBC6"/>
    <w:rsid w:val="3741313E"/>
    <w:rsid w:val="3744D4A7"/>
    <w:rsid w:val="37486E41"/>
    <w:rsid w:val="3748D71A"/>
    <w:rsid w:val="37492062"/>
    <w:rsid w:val="374A73AC"/>
    <w:rsid w:val="374C59BC"/>
    <w:rsid w:val="374F1857"/>
    <w:rsid w:val="3750F737"/>
    <w:rsid w:val="37518578"/>
    <w:rsid w:val="375637B7"/>
    <w:rsid w:val="3758B58B"/>
    <w:rsid w:val="375A06C7"/>
    <w:rsid w:val="375ABA22"/>
    <w:rsid w:val="375B103B"/>
    <w:rsid w:val="375B5A39"/>
    <w:rsid w:val="375DD015"/>
    <w:rsid w:val="3761B178"/>
    <w:rsid w:val="37649B9B"/>
    <w:rsid w:val="3766190C"/>
    <w:rsid w:val="37691FFC"/>
    <w:rsid w:val="376B5618"/>
    <w:rsid w:val="376F9451"/>
    <w:rsid w:val="37725836"/>
    <w:rsid w:val="3772A377"/>
    <w:rsid w:val="3775B668"/>
    <w:rsid w:val="377867C1"/>
    <w:rsid w:val="37790FC2"/>
    <w:rsid w:val="377B2AB4"/>
    <w:rsid w:val="377D43B3"/>
    <w:rsid w:val="377FCDF9"/>
    <w:rsid w:val="37807CC8"/>
    <w:rsid w:val="3781C4B9"/>
    <w:rsid w:val="3782A01C"/>
    <w:rsid w:val="378409C7"/>
    <w:rsid w:val="37854B88"/>
    <w:rsid w:val="3786D4F9"/>
    <w:rsid w:val="3788ECC1"/>
    <w:rsid w:val="378DDE0E"/>
    <w:rsid w:val="378F9DCA"/>
    <w:rsid w:val="379008D2"/>
    <w:rsid w:val="37931B98"/>
    <w:rsid w:val="3795B194"/>
    <w:rsid w:val="3799D56B"/>
    <w:rsid w:val="379B65D6"/>
    <w:rsid w:val="379C2412"/>
    <w:rsid w:val="379C6BF3"/>
    <w:rsid w:val="379CF50C"/>
    <w:rsid w:val="37A5B5E4"/>
    <w:rsid w:val="37A7CB4E"/>
    <w:rsid w:val="37AD1E27"/>
    <w:rsid w:val="37B43632"/>
    <w:rsid w:val="37B7FD11"/>
    <w:rsid w:val="37BCC5F4"/>
    <w:rsid w:val="37BD9A43"/>
    <w:rsid w:val="37C0191A"/>
    <w:rsid w:val="37C0896C"/>
    <w:rsid w:val="37C7F3BE"/>
    <w:rsid w:val="37CBA86D"/>
    <w:rsid w:val="37D29537"/>
    <w:rsid w:val="37D518F4"/>
    <w:rsid w:val="37D59503"/>
    <w:rsid w:val="37D59D0E"/>
    <w:rsid w:val="37D701D2"/>
    <w:rsid w:val="37D9209B"/>
    <w:rsid w:val="37DA7487"/>
    <w:rsid w:val="37DC1511"/>
    <w:rsid w:val="37DC8896"/>
    <w:rsid w:val="37DD183F"/>
    <w:rsid w:val="37E1F750"/>
    <w:rsid w:val="37E764C3"/>
    <w:rsid w:val="37EF220C"/>
    <w:rsid w:val="37EF37C3"/>
    <w:rsid w:val="37EFEEE9"/>
    <w:rsid w:val="37F1FE5E"/>
    <w:rsid w:val="37F3B0EE"/>
    <w:rsid w:val="37F831B2"/>
    <w:rsid w:val="37F8A19C"/>
    <w:rsid w:val="37F9C680"/>
    <w:rsid w:val="37FC1F4A"/>
    <w:rsid w:val="37FEB0F2"/>
    <w:rsid w:val="3803B035"/>
    <w:rsid w:val="3807F33D"/>
    <w:rsid w:val="380ADF94"/>
    <w:rsid w:val="380E270B"/>
    <w:rsid w:val="38113E3D"/>
    <w:rsid w:val="381391DA"/>
    <w:rsid w:val="3815B70C"/>
    <w:rsid w:val="3818BDA1"/>
    <w:rsid w:val="3818E92E"/>
    <w:rsid w:val="381E03D1"/>
    <w:rsid w:val="382156AA"/>
    <w:rsid w:val="3821C4EB"/>
    <w:rsid w:val="3823A15A"/>
    <w:rsid w:val="3828729C"/>
    <w:rsid w:val="382C28CE"/>
    <w:rsid w:val="382FD8C3"/>
    <w:rsid w:val="38320681"/>
    <w:rsid w:val="3832EC96"/>
    <w:rsid w:val="3833DA70"/>
    <w:rsid w:val="38352FF3"/>
    <w:rsid w:val="383824E0"/>
    <w:rsid w:val="383E905E"/>
    <w:rsid w:val="383FB86C"/>
    <w:rsid w:val="384009AF"/>
    <w:rsid w:val="3840CF4D"/>
    <w:rsid w:val="3843A366"/>
    <w:rsid w:val="3845B0DA"/>
    <w:rsid w:val="38497DBE"/>
    <w:rsid w:val="384A2C7F"/>
    <w:rsid w:val="384AC375"/>
    <w:rsid w:val="384CE727"/>
    <w:rsid w:val="384D7E42"/>
    <w:rsid w:val="384DEC45"/>
    <w:rsid w:val="384E846D"/>
    <w:rsid w:val="38500280"/>
    <w:rsid w:val="3854FB1B"/>
    <w:rsid w:val="385B8CAB"/>
    <w:rsid w:val="385D224E"/>
    <w:rsid w:val="3860D829"/>
    <w:rsid w:val="386376E0"/>
    <w:rsid w:val="3863D9A3"/>
    <w:rsid w:val="3865090C"/>
    <w:rsid w:val="386A2FF4"/>
    <w:rsid w:val="386F5E85"/>
    <w:rsid w:val="386F67A0"/>
    <w:rsid w:val="3874A6DA"/>
    <w:rsid w:val="387A5105"/>
    <w:rsid w:val="387B42D3"/>
    <w:rsid w:val="387E1CA0"/>
    <w:rsid w:val="387E937E"/>
    <w:rsid w:val="38842491"/>
    <w:rsid w:val="38868E09"/>
    <w:rsid w:val="38893BD2"/>
    <w:rsid w:val="388D4319"/>
    <w:rsid w:val="388EF61D"/>
    <w:rsid w:val="3890EFF9"/>
    <w:rsid w:val="3894A3FB"/>
    <w:rsid w:val="389705C1"/>
    <w:rsid w:val="389E9C7F"/>
    <w:rsid w:val="38A0DEF8"/>
    <w:rsid w:val="38A2E5FE"/>
    <w:rsid w:val="38A309E6"/>
    <w:rsid w:val="38A32B11"/>
    <w:rsid w:val="38A83F67"/>
    <w:rsid w:val="38AC9236"/>
    <w:rsid w:val="38AE8453"/>
    <w:rsid w:val="38B345D4"/>
    <w:rsid w:val="38B78F4C"/>
    <w:rsid w:val="38BD4D7E"/>
    <w:rsid w:val="38BEA96F"/>
    <w:rsid w:val="38C1D766"/>
    <w:rsid w:val="38C67E57"/>
    <w:rsid w:val="38C8BCD7"/>
    <w:rsid w:val="38C9AE59"/>
    <w:rsid w:val="38CC785A"/>
    <w:rsid w:val="38CDCBC3"/>
    <w:rsid w:val="38D32BAE"/>
    <w:rsid w:val="38D3E26E"/>
    <w:rsid w:val="38D59561"/>
    <w:rsid w:val="38DACD75"/>
    <w:rsid w:val="38DCAA7F"/>
    <w:rsid w:val="38DCC583"/>
    <w:rsid w:val="38DE9BBF"/>
    <w:rsid w:val="38E02A0C"/>
    <w:rsid w:val="38E21F4C"/>
    <w:rsid w:val="38E23F66"/>
    <w:rsid w:val="38E34399"/>
    <w:rsid w:val="38E5153B"/>
    <w:rsid w:val="38E6459A"/>
    <w:rsid w:val="38ECDC30"/>
    <w:rsid w:val="38ED8324"/>
    <w:rsid w:val="38F11745"/>
    <w:rsid w:val="38F15D8F"/>
    <w:rsid w:val="38F4E4ED"/>
    <w:rsid w:val="38FBC717"/>
    <w:rsid w:val="38FC15BC"/>
    <w:rsid w:val="38FC611E"/>
    <w:rsid w:val="38FFCE8A"/>
    <w:rsid w:val="38FFDC0F"/>
    <w:rsid w:val="39003D0C"/>
    <w:rsid w:val="3908622B"/>
    <w:rsid w:val="390A512C"/>
    <w:rsid w:val="390DE0F3"/>
    <w:rsid w:val="390EF73C"/>
    <w:rsid w:val="3910E778"/>
    <w:rsid w:val="39115597"/>
    <w:rsid w:val="39118A0C"/>
    <w:rsid w:val="39160B2D"/>
    <w:rsid w:val="39161FD7"/>
    <w:rsid w:val="391AF10A"/>
    <w:rsid w:val="391C8CC6"/>
    <w:rsid w:val="391F65ED"/>
    <w:rsid w:val="3928645B"/>
    <w:rsid w:val="3928B291"/>
    <w:rsid w:val="39295B7A"/>
    <w:rsid w:val="392979E6"/>
    <w:rsid w:val="392A45D5"/>
    <w:rsid w:val="392D2A0D"/>
    <w:rsid w:val="392DEC32"/>
    <w:rsid w:val="39317843"/>
    <w:rsid w:val="393970DC"/>
    <w:rsid w:val="393E1C33"/>
    <w:rsid w:val="393F8535"/>
    <w:rsid w:val="3943C1F8"/>
    <w:rsid w:val="39448445"/>
    <w:rsid w:val="394634F6"/>
    <w:rsid w:val="39468956"/>
    <w:rsid w:val="3946F9B3"/>
    <w:rsid w:val="39493E4B"/>
    <w:rsid w:val="394BB865"/>
    <w:rsid w:val="394D7E4B"/>
    <w:rsid w:val="394F243A"/>
    <w:rsid w:val="39503F27"/>
    <w:rsid w:val="3951B78F"/>
    <w:rsid w:val="3951D56E"/>
    <w:rsid w:val="39526E82"/>
    <w:rsid w:val="39555770"/>
    <w:rsid w:val="39556069"/>
    <w:rsid w:val="395D27F8"/>
    <w:rsid w:val="395EBF3E"/>
    <w:rsid w:val="395FA90B"/>
    <w:rsid w:val="3963B837"/>
    <w:rsid w:val="3966ED21"/>
    <w:rsid w:val="3968F9DA"/>
    <w:rsid w:val="396D1EE2"/>
    <w:rsid w:val="396D2A7A"/>
    <w:rsid w:val="396E1367"/>
    <w:rsid w:val="396FF9C1"/>
    <w:rsid w:val="39702B41"/>
    <w:rsid w:val="39706A6E"/>
    <w:rsid w:val="3970D2F0"/>
    <w:rsid w:val="39745E33"/>
    <w:rsid w:val="39762E53"/>
    <w:rsid w:val="397880C9"/>
    <w:rsid w:val="397E74D8"/>
    <w:rsid w:val="397EA29C"/>
    <w:rsid w:val="3980F29C"/>
    <w:rsid w:val="398D1B27"/>
    <w:rsid w:val="3990A50C"/>
    <w:rsid w:val="3992215B"/>
    <w:rsid w:val="39963782"/>
    <w:rsid w:val="39975D3A"/>
    <w:rsid w:val="39976A54"/>
    <w:rsid w:val="399BECA1"/>
    <w:rsid w:val="399BF7D5"/>
    <w:rsid w:val="399FF64A"/>
    <w:rsid w:val="39A31E82"/>
    <w:rsid w:val="39A326FE"/>
    <w:rsid w:val="39AABBEE"/>
    <w:rsid w:val="39AB27AB"/>
    <w:rsid w:val="39B5008A"/>
    <w:rsid w:val="39B64920"/>
    <w:rsid w:val="39B83049"/>
    <w:rsid w:val="39BA197B"/>
    <w:rsid w:val="39BB56D4"/>
    <w:rsid w:val="39BBE993"/>
    <w:rsid w:val="39C0187E"/>
    <w:rsid w:val="39C24397"/>
    <w:rsid w:val="39C4B049"/>
    <w:rsid w:val="39CA431D"/>
    <w:rsid w:val="39CE2B80"/>
    <w:rsid w:val="39CE33A1"/>
    <w:rsid w:val="39D3FB1C"/>
    <w:rsid w:val="39D4384A"/>
    <w:rsid w:val="39D6B7E2"/>
    <w:rsid w:val="39D831E0"/>
    <w:rsid w:val="39D83B5C"/>
    <w:rsid w:val="39D95011"/>
    <w:rsid w:val="39DC4E78"/>
    <w:rsid w:val="39DFE820"/>
    <w:rsid w:val="39E0D6B1"/>
    <w:rsid w:val="39E14E6A"/>
    <w:rsid w:val="39E191C7"/>
    <w:rsid w:val="39E5CFF0"/>
    <w:rsid w:val="39EC20D9"/>
    <w:rsid w:val="39EE1481"/>
    <w:rsid w:val="39EEF004"/>
    <w:rsid w:val="39EF1B0D"/>
    <w:rsid w:val="39EFCE27"/>
    <w:rsid w:val="39F3EB02"/>
    <w:rsid w:val="39FAF95D"/>
    <w:rsid w:val="39FBC30F"/>
    <w:rsid w:val="3A002DB7"/>
    <w:rsid w:val="3A0250E8"/>
    <w:rsid w:val="3A049961"/>
    <w:rsid w:val="3A05B734"/>
    <w:rsid w:val="3A07E3F9"/>
    <w:rsid w:val="3A09AEC8"/>
    <w:rsid w:val="3A0A453E"/>
    <w:rsid w:val="3A0BF437"/>
    <w:rsid w:val="3A0EE912"/>
    <w:rsid w:val="3A175307"/>
    <w:rsid w:val="3A183269"/>
    <w:rsid w:val="3A1B6906"/>
    <w:rsid w:val="3A1C5F95"/>
    <w:rsid w:val="3A1FA789"/>
    <w:rsid w:val="3A2008EC"/>
    <w:rsid w:val="3A22E5F9"/>
    <w:rsid w:val="3A2378D5"/>
    <w:rsid w:val="3A2A68A6"/>
    <w:rsid w:val="3A2BB95E"/>
    <w:rsid w:val="3A31B8E0"/>
    <w:rsid w:val="3A331443"/>
    <w:rsid w:val="3A34C9AC"/>
    <w:rsid w:val="3A3627CA"/>
    <w:rsid w:val="3A3BB2B1"/>
    <w:rsid w:val="3A3CCD54"/>
    <w:rsid w:val="3A3D27C0"/>
    <w:rsid w:val="3A497D48"/>
    <w:rsid w:val="3A4C9A50"/>
    <w:rsid w:val="3A4EF7F1"/>
    <w:rsid w:val="3A50D5BD"/>
    <w:rsid w:val="3A57E1DD"/>
    <w:rsid w:val="3A596586"/>
    <w:rsid w:val="3A5B25AE"/>
    <w:rsid w:val="3A5B4A87"/>
    <w:rsid w:val="3A5CCD2C"/>
    <w:rsid w:val="3A5DF6C6"/>
    <w:rsid w:val="3A5FD386"/>
    <w:rsid w:val="3A607347"/>
    <w:rsid w:val="3A60F218"/>
    <w:rsid w:val="3A60F66A"/>
    <w:rsid w:val="3A64209B"/>
    <w:rsid w:val="3A64BAEA"/>
    <w:rsid w:val="3A6CC8DF"/>
    <w:rsid w:val="3A729261"/>
    <w:rsid w:val="3A72DB30"/>
    <w:rsid w:val="3A77508D"/>
    <w:rsid w:val="3A7CE7B0"/>
    <w:rsid w:val="3A7FAA1A"/>
    <w:rsid w:val="3A803D22"/>
    <w:rsid w:val="3A815958"/>
    <w:rsid w:val="3A81DA3C"/>
    <w:rsid w:val="3A86B6EE"/>
    <w:rsid w:val="3A8A4C10"/>
    <w:rsid w:val="3A8FEF77"/>
    <w:rsid w:val="3A966078"/>
    <w:rsid w:val="3A996BBE"/>
    <w:rsid w:val="3A9A06E6"/>
    <w:rsid w:val="3A9FC55D"/>
    <w:rsid w:val="3AA0ED92"/>
    <w:rsid w:val="3AAA69CC"/>
    <w:rsid w:val="3AAD5C4E"/>
    <w:rsid w:val="3AAE7069"/>
    <w:rsid w:val="3AAEEECC"/>
    <w:rsid w:val="3AB26778"/>
    <w:rsid w:val="3AB5D665"/>
    <w:rsid w:val="3AB73658"/>
    <w:rsid w:val="3AB81367"/>
    <w:rsid w:val="3AB9DECB"/>
    <w:rsid w:val="3ABBED9B"/>
    <w:rsid w:val="3ABCFBBB"/>
    <w:rsid w:val="3ABF7B7F"/>
    <w:rsid w:val="3AC04A45"/>
    <w:rsid w:val="3AC7BD69"/>
    <w:rsid w:val="3AC7F5B6"/>
    <w:rsid w:val="3AC83FBE"/>
    <w:rsid w:val="3AC8E1E7"/>
    <w:rsid w:val="3AC93266"/>
    <w:rsid w:val="3ACA17C0"/>
    <w:rsid w:val="3ACB5A0A"/>
    <w:rsid w:val="3ACCBB77"/>
    <w:rsid w:val="3ACF7D0F"/>
    <w:rsid w:val="3AD1B345"/>
    <w:rsid w:val="3AD32ED8"/>
    <w:rsid w:val="3AD6579E"/>
    <w:rsid w:val="3ADAAB2B"/>
    <w:rsid w:val="3ADAF66C"/>
    <w:rsid w:val="3ADBFF13"/>
    <w:rsid w:val="3ADCC80F"/>
    <w:rsid w:val="3ADD0463"/>
    <w:rsid w:val="3AE29B55"/>
    <w:rsid w:val="3AE329D0"/>
    <w:rsid w:val="3AEC9BAB"/>
    <w:rsid w:val="3AF2CDA3"/>
    <w:rsid w:val="3AF72D02"/>
    <w:rsid w:val="3AFA5D2B"/>
    <w:rsid w:val="3B000603"/>
    <w:rsid w:val="3B013E59"/>
    <w:rsid w:val="3B022DDA"/>
    <w:rsid w:val="3B02D0E3"/>
    <w:rsid w:val="3B03984B"/>
    <w:rsid w:val="3B0865C1"/>
    <w:rsid w:val="3B08E479"/>
    <w:rsid w:val="3B092AE8"/>
    <w:rsid w:val="3B09DFBE"/>
    <w:rsid w:val="3B0A7C87"/>
    <w:rsid w:val="3B142DC4"/>
    <w:rsid w:val="3B17853B"/>
    <w:rsid w:val="3B198AB1"/>
    <w:rsid w:val="3B1B6616"/>
    <w:rsid w:val="3B1BAA5D"/>
    <w:rsid w:val="3B1CC532"/>
    <w:rsid w:val="3B1D9514"/>
    <w:rsid w:val="3B220F28"/>
    <w:rsid w:val="3B29CC8A"/>
    <w:rsid w:val="3B2F33CD"/>
    <w:rsid w:val="3B34F170"/>
    <w:rsid w:val="3B3539FA"/>
    <w:rsid w:val="3B3587B9"/>
    <w:rsid w:val="3B3619F1"/>
    <w:rsid w:val="3B390EC7"/>
    <w:rsid w:val="3B392578"/>
    <w:rsid w:val="3B3A6E2D"/>
    <w:rsid w:val="3B3B3EE8"/>
    <w:rsid w:val="3B3FC650"/>
    <w:rsid w:val="3B42BB03"/>
    <w:rsid w:val="3B4335E4"/>
    <w:rsid w:val="3B433AE5"/>
    <w:rsid w:val="3B480C2C"/>
    <w:rsid w:val="3B4BD139"/>
    <w:rsid w:val="3B4BF02C"/>
    <w:rsid w:val="3B4C6C7D"/>
    <w:rsid w:val="3B4C9F9C"/>
    <w:rsid w:val="3B4E3927"/>
    <w:rsid w:val="3B4EB53D"/>
    <w:rsid w:val="3B4FFED0"/>
    <w:rsid w:val="3B504A8E"/>
    <w:rsid w:val="3B52B99D"/>
    <w:rsid w:val="3B537550"/>
    <w:rsid w:val="3B5761F7"/>
    <w:rsid w:val="3B59C631"/>
    <w:rsid w:val="3B5B31FE"/>
    <w:rsid w:val="3B5E45CF"/>
    <w:rsid w:val="3B5FC560"/>
    <w:rsid w:val="3B64DF7C"/>
    <w:rsid w:val="3B694344"/>
    <w:rsid w:val="3B6E2850"/>
    <w:rsid w:val="3B6FF085"/>
    <w:rsid w:val="3B72DF31"/>
    <w:rsid w:val="3B760084"/>
    <w:rsid w:val="3B7C7C8E"/>
    <w:rsid w:val="3B7DC161"/>
    <w:rsid w:val="3B8443E4"/>
    <w:rsid w:val="3B84E6A7"/>
    <w:rsid w:val="3B87BC85"/>
    <w:rsid w:val="3B88F9E2"/>
    <w:rsid w:val="3B8997D8"/>
    <w:rsid w:val="3B911191"/>
    <w:rsid w:val="3B926C44"/>
    <w:rsid w:val="3B9273C7"/>
    <w:rsid w:val="3B98CF7C"/>
    <w:rsid w:val="3B9AA51F"/>
    <w:rsid w:val="3B9C35EF"/>
    <w:rsid w:val="3B9F9422"/>
    <w:rsid w:val="3BA174CF"/>
    <w:rsid w:val="3BA24DD1"/>
    <w:rsid w:val="3BA3A3B6"/>
    <w:rsid w:val="3BA6A563"/>
    <w:rsid w:val="3BAB6ED1"/>
    <w:rsid w:val="3BABC9B2"/>
    <w:rsid w:val="3BB72009"/>
    <w:rsid w:val="3BBA12FF"/>
    <w:rsid w:val="3BBAD0D1"/>
    <w:rsid w:val="3BBC3E5A"/>
    <w:rsid w:val="3BBD8E4C"/>
    <w:rsid w:val="3BBE5758"/>
    <w:rsid w:val="3BC8077B"/>
    <w:rsid w:val="3BCA062D"/>
    <w:rsid w:val="3BCB267A"/>
    <w:rsid w:val="3BD1312D"/>
    <w:rsid w:val="3BD1C2AF"/>
    <w:rsid w:val="3BD4B2B4"/>
    <w:rsid w:val="3BD5B00D"/>
    <w:rsid w:val="3BDC023A"/>
    <w:rsid w:val="3BDD1CA0"/>
    <w:rsid w:val="3BE1BDF1"/>
    <w:rsid w:val="3BE5B379"/>
    <w:rsid w:val="3BE5FD65"/>
    <w:rsid w:val="3BE8FB14"/>
    <w:rsid w:val="3BEB4254"/>
    <w:rsid w:val="3BEC89BC"/>
    <w:rsid w:val="3BF07D9A"/>
    <w:rsid w:val="3BF86404"/>
    <w:rsid w:val="3C017FB0"/>
    <w:rsid w:val="3C0254FD"/>
    <w:rsid w:val="3C025EBE"/>
    <w:rsid w:val="3C02E34D"/>
    <w:rsid w:val="3C06CF40"/>
    <w:rsid w:val="3C0D658D"/>
    <w:rsid w:val="3C0E220E"/>
    <w:rsid w:val="3C12061A"/>
    <w:rsid w:val="3C129AB5"/>
    <w:rsid w:val="3C12DBFA"/>
    <w:rsid w:val="3C12F449"/>
    <w:rsid w:val="3C178967"/>
    <w:rsid w:val="3C179A92"/>
    <w:rsid w:val="3C1BB634"/>
    <w:rsid w:val="3C225BD6"/>
    <w:rsid w:val="3C2420DA"/>
    <w:rsid w:val="3C2E8A64"/>
    <w:rsid w:val="3C2FA4C2"/>
    <w:rsid w:val="3C2FB383"/>
    <w:rsid w:val="3C394FEC"/>
    <w:rsid w:val="3C3993E2"/>
    <w:rsid w:val="3C3B0D10"/>
    <w:rsid w:val="3C3BFA33"/>
    <w:rsid w:val="3C3D9BF2"/>
    <w:rsid w:val="3C3EBC04"/>
    <w:rsid w:val="3C437EF6"/>
    <w:rsid w:val="3C441843"/>
    <w:rsid w:val="3C45CCE0"/>
    <w:rsid w:val="3C4D3077"/>
    <w:rsid w:val="3C4E06B1"/>
    <w:rsid w:val="3C4F6188"/>
    <w:rsid w:val="3C5BB573"/>
    <w:rsid w:val="3C5D72A6"/>
    <w:rsid w:val="3C5ECD5A"/>
    <w:rsid w:val="3C65626A"/>
    <w:rsid w:val="3C69BEDD"/>
    <w:rsid w:val="3C701DBA"/>
    <w:rsid w:val="3C70534F"/>
    <w:rsid w:val="3C7CF9A3"/>
    <w:rsid w:val="3C877721"/>
    <w:rsid w:val="3C885D0C"/>
    <w:rsid w:val="3C8B8091"/>
    <w:rsid w:val="3C8D5416"/>
    <w:rsid w:val="3C8E06F3"/>
    <w:rsid w:val="3C8E0714"/>
    <w:rsid w:val="3C8E173B"/>
    <w:rsid w:val="3C915DF1"/>
    <w:rsid w:val="3C92CC23"/>
    <w:rsid w:val="3C94A925"/>
    <w:rsid w:val="3C94F887"/>
    <w:rsid w:val="3C97171B"/>
    <w:rsid w:val="3C97FBBF"/>
    <w:rsid w:val="3C9ACF9F"/>
    <w:rsid w:val="3C9BA275"/>
    <w:rsid w:val="3CA37841"/>
    <w:rsid w:val="3CA5CEEC"/>
    <w:rsid w:val="3CA6C9FA"/>
    <w:rsid w:val="3CA7CF1C"/>
    <w:rsid w:val="3CACA463"/>
    <w:rsid w:val="3CACC873"/>
    <w:rsid w:val="3CACDF5A"/>
    <w:rsid w:val="3CAD050E"/>
    <w:rsid w:val="3CAE9380"/>
    <w:rsid w:val="3CB34EFF"/>
    <w:rsid w:val="3CB632C4"/>
    <w:rsid w:val="3CB6C61E"/>
    <w:rsid w:val="3CBA925B"/>
    <w:rsid w:val="3CBB5651"/>
    <w:rsid w:val="3CBD6ED4"/>
    <w:rsid w:val="3CBDD193"/>
    <w:rsid w:val="3CBE5CB0"/>
    <w:rsid w:val="3CBE9D09"/>
    <w:rsid w:val="3CC641EB"/>
    <w:rsid w:val="3CC71803"/>
    <w:rsid w:val="3CC9B548"/>
    <w:rsid w:val="3CCE262E"/>
    <w:rsid w:val="3CCFF8BB"/>
    <w:rsid w:val="3CD2611E"/>
    <w:rsid w:val="3CD31A9E"/>
    <w:rsid w:val="3CDD572A"/>
    <w:rsid w:val="3CDEA2A9"/>
    <w:rsid w:val="3CDF6326"/>
    <w:rsid w:val="3CE139D9"/>
    <w:rsid w:val="3CE2C78B"/>
    <w:rsid w:val="3CE6A543"/>
    <w:rsid w:val="3CEB327E"/>
    <w:rsid w:val="3CEB9DB2"/>
    <w:rsid w:val="3CF04325"/>
    <w:rsid w:val="3CF0873E"/>
    <w:rsid w:val="3CF1531B"/>
    <w:rsid w:val="3CFDEB89"/>
    <w:rsid w:val="3D011952"/>
    <w:rsid w:val="3D03F5BE"/>
    <w:rsid w:val="3D03F9F7"/>
    <w:rsid w:val="3D08ABAE"/>
    <w:rsid w:val="3D09FF88"/>
    <w:rsid w:val="3D0CF1B7"/>
    <w:rsid w:val="3D18A929"/>
    <w:rsid w:val="3D1B45BA"/>
    <w:rsid w:val="3D1CADD2"/>
    <w:rsid w:val="3D1D53B5"/>
    <w:rsid w:val="3D1F6CF1"/>
    <w:rsid w:val="3D2E16D4"/>
    <w:rsid w:val="3D2E4EFB"/>
    <w:rsid w:val="3D31DB21"/>
    <w:rsid w:val="3D3306A9"/>
    <w:rsid w:val="3D36255D"/>
    <w:rsid w:val="3D380388"/>
    <w:rsid w:val="3D3C05C2"/>
    <w:rsid w:val="3D3E4BC5"/>
    <w:rsid w:val="3D3ECE69"/>
    <w:rsid w:val="3D400CD1"/>
    <w:rsid w:val="3D412F86"/>
    <w:rsid w:val="3D41F09F"/>
    <w:rsid w:val="3D491BFA"/>
    <w:rsid w:val="3D4AE6A4"/>
    <w:rsid w:val="3D4E1823"/>
    <w:rsid w:val="3D4F1F8C"/>
    <w:rsid w:val="3D506B28"/>
    <w:rsid w:val="3D52B72E"/>
    <w:rsid w:val="3D54BC9A"/>
    <w:rsid w:val="3D56FC49"/>
    <w:rsid w:val="3D5704F6"/>
    <w:rsid w:val="3D59D418"/>
    <w:rsid w:val="3D5CD57C"/>
    <w:rsid w:val="3D5DA08C"/>
    <w:rsid w:val="3D5F46E1"/>
    <w:rsid w:val="3D6016E3"/>
    <w:rsid w:val="3D637D8C"/>
    <w:rsid w:val="3D640E5C"/>
    <w:rsid w:val="3D6749D0"/>
    <w:rsid w:val="3D68457F"/>
    <w:rsid w:val="3D68FBAD"/>
    <w:rsid w:val="3D6C37EC"/>
    <w:rsid w:val="3D6C52FE"/>
    <w:rsid w:val="3D6FE01F"/>
    <w:rsid w:val="3D705E60"/>
    <w:rsid w:val="3D72DA14"/>
    <w:rsid w:val="3D7D156D"/>
    <w:rsid w:val="3D7F4EDE"/>
    <w:rsid w:val="3D801404"/>
    <w:rsid w:val="3D8079A9"/>
    <w:rsid w:val="3D80CB00"/>
    <w:rsid w:val="3D81EC1A"/>
    <w:rsid w:val="3D82E2EF"/>
    <w:rsid w:val="3D846D24"/>
    <w:rsid w:val="3D846FB3"/>
    <w:rsid w:val="3D89B3CE"/>
    <w:rsid w:val="3D8C0D03"/>
    <w:rsid w:val="3D9259FD"/>
    <w:rsid w:val="3D92B97A"/>
    <w:rsid w:val="3D965CC2"/>
    <w:rsid w:val="3D9AA219"/>
    <w:rsid w:val="3DA229D1"/>
    <w:rsid w:val="3DA99D46"/>
    <w:rsid w:val="3DAB37C8"/>
    <w:rsid w:val="3DAB41AD"/>
    <w:rsid w:val="3DB242EC"/>
    <w:rsid w:val="3DB6B79D"/>
    <w:rsid w:val="3DBE98A5"/>
    <w:rsid w:val="3DC7FC8B"/>
    <w:rsid w:val="3DD00D5D"/>
    <w:rsid w:val="3DDB2116"/>
    <w:rsid w:val="3DDE8FB9"/>
    <w:rsid w:val="3DE2ECD5"/>
    <w:rsid w:val="3DE8E18F"/>
    <w:rsid w:val="3DF07044"/>
    <w:rsid w:val="3DF4F70A"/>
    <w:rsid w:val="3DFBEB16"/>
    <w:rsid w:val="3DFD43A8"/>
    <w:rsid w:val="3DFF3597"/>
    <w:rsid w:val="3DFF35EE"/>
    <w:rsid w:val="3E08A14C"/>
    <w:rsid w:val="3E0B2C7B"/>
    <w:rsid w:val="3E0BB450"/>
    <w:rsid w:val="3E0FD56A"/>
    <w:rsid w:val="3E110E2C"/>
    <w:rsid w:val="3E115FC6"/>
    <w:rsid w:val="3E151EEF"/>
    <w:rsid w:val="3E19879A"/>
    <w:rsid w:val="3E1CCA41"/>
    <w:rsid w:val="3E1E230F"/>
    <w:rsid w:val="3E1EF1DC"/>
    <w:rsid w:val="3E2509C0"/>
    <w:rsid w:val="3E2679AB"/>
    <w:rsid w:val="3E284A1D"/>
    <w:rsid w:val="3E28CADF"/>
    <w:rsid w:val="3E2AAADE"/>
    <w:rsid w:val="3E2B3B27"/>
    <w:rsid w:val="3E3080CF"/>
    <w:rsid w:val="3E312529"/>
    <w:rsid w:val="3E35F77E"/>
    <w:rsid w:val="3E385191"/>
    <w:rsid w:val="3E394E5F"/>
    <w:rsid w:val="3E3A8CC7"/>
    <w:rsid w:val="3E3F8C8D"/>
    <w:rsid w:val="3E408AE1"/>
    <w:rsid w:val="3E42C847"/>
    <w:rsid w:val="3E44E9EE"/>
    <w:rsid w:val="3E48432B"/>
    <w:rsid w:val="3E4BA382"/>
    <w:rsid w:val="3E4C2E24"/>
    <w:rsid w:val="3E51FB69"/>
    <w:rsid w:val="3E5E3D36"/>
    <w:rsid w:val="3E5EBC7B"/>
    <w:rsid w:val="3E6137E3"/>
    <w:rsid w:val="3E63A279"/>
    <w:rsid w:val="3E63E1BB"/>
    <w:rsid w:val="3E64B422"/>
    <w:rsid w:val="3E670FB0"/>
    <w:rsid w:val="3E676838"/>
    <w:rsid w:val="3E6875C3"/>
    <w:rsid w:val="3E690E35"/>
    <w:rsid w:val="3E693FC9"/>
    <w:rsid w:val="3E6AD381"/>
    <w:rsid w:val="3E6B0B5D"/>
    <w:rsid w:val="3E6B7762"/>
    <w:rsid w:val="3E6E5385"/>
    <w:rsid w:val="3E6F55F7"/>
    <w:rsid w:val="3E6FBE06"/>
    <w:rsid w:val="3E7849BF"/>
    <w:rsid w:val="3E78C596"/>
    <w:rsid w:val="3E81291A"/>
    <w:rsid w:val="3E82492C"/>
    <w:rsid w:val="3E82F00E"/>
    <w:rsid w:val="3E85D0D6"/>
    <w:rsid w:val="3E866918"/>
    <w:rsid w:val="3E8751D9"/>
    <w:rsid w:val="3E90BA9D"/>
    <w:rsid w:val="3E9167A7"/>
    <w:rsid w:val="3E938403"/>
    <w:rsid w:val="3E9489BD"/>
    <w:rsid w:val="3E977A5A"/>
    <w:rsid w:val="3E9795D1"/>
    <w:rsid w:val="3E98B5DC"/>
    <w:rsid w:val="3EA20F29"/>
    <w:rsid w:val="3EA4C560"/>
    <w:rsid w:val="3EA590D4"/>
    <w:rsid w:val="3EA6493F"/>
    <w:rsid w:val="3EA79592"/>
    <w:rsid w:val="3EA8CD86"/>
    <w:rsid w:val="3EAB2F5F"/>
    <w:rsid w:val="3EACBD1F"/>
    <w:rsid w:val="3EAECA94"/>
    <w:rsid w:val="3EB3174C"/>
    <w:rsid w:val="3EB359FE"/>
    <w:rsid w:val="3EB5011F"/>
    <w:rsid w:val="3EB56AEC"/>
    <w:rsid w:val="3EBCD3E7"/>
    <w:rsid w:val="3EBE3B17"/>
    <w:rsid w:val="3EC1377E"/>
    <w:rsid w:val="3EC1685A"/>
    <w:rsid w:val="3ECB3444"/>
    <w:rsid w:val="3ECEB101"/>
    <w:rsid w:val="3ED018DD"/>
    <w:rsid w:val="3ED775AE"/>
    <w:rsid w:val="3ED990A6"/>
    <w:rsid w:val="3EDA7546"/>
    <w:rsid w:val="3EE0FFAE"/>
    <w:rsid w:val="3EE3C205"/>
    <w:rsid w:val="3EE80AA6"/>
    <w:rsid w:val="3EEA0787"/>
    <w:rsid w:val="3EF15B28"/>
    <w:rsid w:val="3EF186E3"/>
    <w:rsid w:val="3EF204C5"/>
    <w:rsid w:val="3EF233AF"/>
    <w:rsid w:val="3EF3211D"/>
    <w:rsid w:val="3EFB8657"/>
    <w:rsid w:val="3F022CCB"/>
    <w:rsid w:val="3F02765C"/>
    <w:rsid w:val="3F028B85"/>
    <w:rsid w:val="3F054D9F"/>
    <w:rsid w:val="3F068DAE"/>
    <w:rsid w:val="3F06FFC5"/>
    <w:rsid w:val="3F071014"/>
    <w:rsid w:val="3F080F56"/>
    <w:rsid w:val="3F08BE38"/>
    <w:rsid w:val="3F096969"/>
    <w:rsid w:val="3F0BBF03"/>
    <w:rsid w:val="3F0D5AC7"/>
    <w:rsid w:val="3F188EF2"/>
    <w:rsid w:val="3F1CEB04"/>
    <w:rsid w:val="3F1D6D43"/>
    <w:rsid w:val="3F227562"/>
    <w:rsid w:val="3F238238"/>
    <w:rsid w:val="3F23B4DF"/>
    <w:rsid w:val="3F25FE11"/>
    <w:rsid w:val="3F27F18F"/>
    <w:rsid w:val="3F2C2F4B"/>
    <w:rsid w:val="3F2D9530"/>
    <w:rsid w:val="3F2FDA5A"/>
    <w:rsid w:val="3F33E2CE"/>
    <w:rsid w:val="3F349357"/>
    <w:rsid w:val="3F34A492"/>
    <w:rsid w:val="3F34B22D"/>
    <w:rsid w:val="3F3BC7A2"/>
    <w:rsid w:val="3F57F88F"/>
    <w:rsid w:val="3F59B587"/>
    <w:rsid w:val="3F5B1CC4"/>
    <w:rsid w:val="3F5DE98F"/>
    <w:rsid w:val="3F5EEB2D"/>
    <w:rsid w:val="3F637209"/>
    <w:rsid w:val="3F656E6D"/>
    <w:rsid w:val="3F65B44C"/>
    <w:rsid w:val="3F695564"/>
    <w:rsid w:val="3F6A68A8"/>
    <w:rsid w:val="3F712103"/>
    <w:rsid w:val="3F75A7A9"/>
    <w:rsid w:val="3F75F6C7"/>
    <w:rsid w:val="3F7CFCE8"/>
    <w:rsid w:val="3F7F196F"/>
    <w:rsid w:val="3F885D91"/>
    <w:rsid w:val="3F8A586E"/>
    <w:rsid w:val="3F8BF4E7"/>
    <w:rsid w:val="3F8E5615"/>
    <w:rsid w:val="3F909E48"/>
    <w:rsid w:val="3F925BD5"/>
    <w:rsid w:val="3F9440A3"/>
    <w:rsid w:val="3F94B4BF"/>
    <w:rsid w:val="3F977162"/>
    <w:rsid w:val="3F983667"/>
    <w:rsid w:val="3F9964D3"/>
    <w:rsid w:val="3F9AC8E6"/>
    <w:rsid w:val="3F9B3EB8"/>
    <w:rsid w:val="3F9C4369"/>
    <w:rsid w:val="3F9E8100"/>
    <w:rsid w:val="3F9EFE87"/>
    <w:rsid w:val="3FA0441E"/>
    <w:rsid w:val="3FA2B32C"/>
    <w:rsid w:val="3FA9FBDB"/>
    <w:rsid w:val="3FAF714A"/>
    <w:rsid w:val="3FB2CAE8"/>
    <w:rsid w:val="3FB2FAD7"/>
    <w:rsid w:val="3FB73F0F"/>
    <w:rsid w:val="3FC167DC"/>
    <w:rsid w:val="3FC1C8B8"/>
    <w:rsid w:val="3FC897F1"/>
    <w:rsid w:val="3FCC92DA"/>
    <w:rsid w:val="3FCCEF4D"/>
    <w:rsid w:val="3FD37BD8"/>
    <w:rsid w:val="3FD4C52F"/>
    <w:rsid w:val="3FD503BE"/>
    <w:rsid w:val="3FD7782A"/>
    <w:rsid w:val="3FDAFCC1"/>
    <w:rsid w:val="3FDB1CFC"/>
    <w:rsid w:val="3FDBE414"/>
    <w:rsid w:val="3FDFEECF"/>
    <w:rsid w:val="3FE01CE1"/>
    <w:rsid w:val="3FE41C34"/>
    <w:rsid w:val="3FE83496"/>
    <w:rsid w:val="3FEC065F"/>
    <w:rsid w:val="3FEC20C2"/>
    <w:rsid w:val="3FF32BAD"/>
    <w:rsid w:val="3FFA9350"/>
    <w:rsid w:val="3FFED907"/>
    <w:rsid w:val="400009B0"/>
    <w:rsid w:val="40004437"/>
    <w:rsid w:val="4003F6E1"/>
    <w:rsid w:val="40077C77"/>
    <w:rsid w:val="4009CDE2"/>
    <w:rsid w:val="400F8A76"/>
    <w:rsid w:val="40136980"/>
    <w:rsid w:val="4019927B"/>
    <w:rsid w:val="401EC171"/>
    <w:rsid w:val="401F1F80"/>
    <w:rsid w:val="402287B6"/>
    <w:rsid w:val="40248E8B"/>
    <w:rsid w:val="40252645"/>
    <w:rsid w:val="4029AFD5"/>
    <w:rsid w:val="402DFBCC"/>
    <w:rsid w:val="402F274A"/>
    <w:rsid w:val="402FE912"/>
    <w:rsid w:val="403F15D2"/>
    <w:rsid w:val="404168A7"/>
    <w:rsid w:val="404618EE"/>
    <w:rsid w:val="404986A3"/>
    <w:rsid w:val="404B6BC9"/>
    <w:rsid w:val="404FFA63"/>
    <w:rsid w:val="4056F872"/>
    <w:rsid w:val="40571796"/>
    <w:rsid w:val="40584322"/>
    <w:rsid w:val="40584A4A"/>
    <w:rsid w:val="4059CEF3"/>
    <w:rsid w:val="405D9F12"/>
    <w:rsid w:val="405DA778"/>
    <w:rsid w:val="40670C76"/>
    <w:rsid w:val="4067DC87"/>
    <w:rsid w:val="406A0DFB"/>
    <w:rsid w:val="406F23EE"/>
    <w:rsid w:val="4070DACA"/>
    <w:rsid w:val="40747A2A"/>
    <w:rsid w:val="4076C8E7"/>
    <w:rsid w:val="4079A224"/>
    <w:rsid w:val="4079CF7F"/>
    <w:rsid w:val="40829198"/>
    <w:rsid w:val="4082FFEB"/>
    <w:rsid w:val="4083A9DE"/>
    <w:rsid w:val="408639B8"/>
    <w:rsid w:val="4088B091"/>
    <w:rsid w:val="408B17A7"/>
    <w:rsid w:val="408C488E"/>
    <w:rsid w:val="408CF183"/>
    <w:rsid w:val="408FCEF1"/>
    <w:rsid w:val="40916486"/>
    <w:rsid w:val="4093A23D"/>
    <w:rsid w:val="40992DC0"/>
    <w:rsid w:val="409DE73A"/>
    <w:rsid w:val="40A3E78B"/>
    <w:rsid w:val="40A70B31"/>
    <w:rsid w:val="40A73473"/>
    <w:rsid w:val="40B040FC"/>
    <w:rsid w:val="40B13426"/>
    <w:rsid w:val="40B6414C"/>
    <w:rsid w:val="40BD55A4"/>
    <w:rsid w:val="40BE840B"/>
    <w:rsid w:val="40C163CC"/>
    <w:rsid w:val="40C1CAF1"/>
    <w:rsid w:val="40C73B31"/>
    <w:rsid w:val="40C9A6B3"/>
    <w:rsid w:val="40CB4D93"/>
    <w:rsid w:val="40CBB0C5"/>
    <w:rsid w:val="40CF6BAD"/>
    <w:rsid w:val="40D00F81"/>
    <w:rsid w:val="40D4879C"/>
    <w:rsid w:val="40D5ADD2"/>
    <w:rsid w:val="40D8712D"/>
    <w:rsid w:val="40D990A0"/>
    <w:rsid w:val="40DBD507"/>
    <w:rsid w:val="40DE4686"/>
    <w:rsid w:val="40DED3EA"/>
    <w:rsid w:val="40E124ED"/>
    <w:rsid w:val="40EBC46F"/>
    <w:rsid w:val="40EE08E5"/>
    <w:rsid w:val="40EEC4E1"/>
    <w:rsid w:val="40EF4669"/>
    <w:rsid w:val="40F2582C"/>
    <w:rsid w:val="40F421FF"/>
    <w:rsid w:val="40F53341"/>
    <w:rsid w:val="40F59607"/>
    <w:rsid w:val="40F66B96"/>
    <w:rsid w:val="40F9496A"/>
    <w:rsid w:val="40F97DBF"/>
    <w:rsid w:val="40F9E21F"/>
    <w:rsid w:val="40FF51B5"/>
    <w:rsid w:val="4100CF9A"/>
    <w:rsid w:val="4101F058"/>
    <w:rsid w:val="4102940E"/>
    <w:rsid w:val="410C0E0C"/>
    <w:rsid w:val="410D1508"/>
    <w:rsid w:val="410DFEEC"/>
    <w:rsid w:val="410F97CD"/>
    <w:rsid w:val="411BAA5B"/>
    <w:rsid w:val="411BF30D"/>
    <w:rsid w:val="411D86C7"/>
    <w:rsid w:val="411E8E08"/>
    <w:rsid w:val="4120EADF"/>
    <w:rsid w:val="41213388"/>
    <w:rsid w:val="4123503E"/>
    <w:rsid w:val="4126BEAA"/>
    <w:rsid w:val="412956EF"/>
    <w:rsid w:val="412F408A"/>
    <w:rsid w:val="412FD9F2"/>
    <w:rsid w:val="4135F4D5"/>
    <w:rsid w:val="41385DD5"/>
    <w:rsid w:val="4139601B"/>
    <w:rsid w:val="413C8DC2"/>
    <w:rsid w:val="413EAA46"/>
    <w:rsid w:val="41432865"/>
    <w:rsid w:val="4145FB4B"/>
    <w:rsid w:val="4147C8C6"/>
    <w:rsid w:val="415090E4"/>
    <w:rsid w:val="415216B8"/>
    <w:rsid w:val="41536BFE"/>
    <w:rsid w:val="4154B04B"/>
    <w:rsid w:val="41562414"/>
    <w:rsid w:val="415E7B41"/>
    <w:rsid w:val="41661DE3"/>
    <w:rsid w:val="4169A857"/>
    <w:rsid w:val="416BE5DE"/>
    <w:rsid w:val="416CEFAD"/>
    <w:rsid w:val="4171FB7A"/>
    <w:rsid w:val="4172D404"/>
    <w:rsid w:val="41797D23"/>
    <w:rsid w:val="417B14DC"/>
    <w:rsid w:val="417D8E66"/>
    <w:rsid w:val="41816A8C"/>
    <w:rsid w:val="418A78C0"/>
    <w:rsid w:val="418AD98E"/>
    <w:rsid w:val="4192C1E6"/>
    <w:rsid w:val="41941C37"/>
    <w:rsid w:val="4195589A"/>
    <w:rsid w:val="419A6DE5"/>
    <w:rsid w:val="419CDCE6"/>
    <w:rsid w:val="419E31E7"/>
    <w:rsid w:val="419EB69D"/>
    <w:rsid w:val="419F7790"/>
    <w:rsid w:val="41A074F3"/>
    <w:rsid w:val="41A509C2"/>
    <w:rsid w:val="41A97D27"/>
    <w:rsid w:val="41AF049F"/>
    <w:rsid w:val="41B356AA"/>
    <w:rsid w:val="41B5471F"/>
    <w:rsid w:val="41B54E89"/>
    <w:rsid w:val="41BA1116"/>
    <w:rsid w:val="41BA7580"/>
    <w:rsid w:val="41BAEA33"/>
    <w:rsid w:val="41BC87AD"/>
    <w:rsid w:val="41BD19B6"/>
    <w:rsid w:val="41C15A39"/>
    <w:rsid w:val="41C750B3"/>
    <w:rsid w:val="41CA7277"/>
    <w:rsid w:val="41CB2520"/>
    <w:rsid w:val="41D3708A"/>
    <w:rsid w:val="41D3C4D2"/>
    <w:rsid w:val="41D428E4"/>
    <w:rsid w:val="41D47C22"/>
    <w:rsid w:val="41DCA993"/>
    <w:rsid w:val="41DCED73"/>
    <w:rsid w:val="41E39CEF"/>
    <w:rsid w:val="41E577DD"/>
    <w:rsid w:val="41E60F09"/>
    <w:rsid w:val="41E6B1E0"/>
    <w:rsid w:val="41E8E309"/>
    <w:rsid w:val="41E905FF"/>
    <w:rsid w:val="41EACE0D"/>
    <w:rsid w:val="41EDEA8A"/>
    <w:rsid w:val="41EF3796"/>
    <w:rsid w:val="41EFA57B"/>
    <w:rsid w:val="41F5CB2A"/>
    <w:rsid w:val="41F80F79"/>
    <w:rsid w:val="41FB2578"/>
    <w:rsid w:val="41FB2DC2"/>
    <w:rsid w:val="41FEE34C"/>
    <w:rsid w:val="42027A9A"/>
    <w:rsid w:val="4204829B"/>
    <w:rsid w:val="4207E981"/>
    <w:rsid w:val="420AC154"/>
    <w:rsid w:val="420C84A9"/>
    <w:rsid w:val="420EB8E7"/>
    <w:rsid w:val="42114E97"/>
    <w:rsid w:val="4213B330"/>
    <w:rsid w:val="42141564"/>
    <w:rsid w:val="421B4639"/>
    <w:rsid w:val="421F853A"/>
    <w:rsid w:val="4220A9C0"/>
    <w:rsid w:val="4220AAC5"/>
    <w:rsid w:val="4227154F"/>
    <w:rsid w:val="4228C45D"/>
    <w:rsid w:val="4229C0C8"/>
    <w:rsid w:val="422CF772"/>
    <w:rsid w:val="422D2082"/>
    <w:rsid w:val="422DD27E"/>
    <w:rsid w:val="422E79FB"/>
    <w:rsid w:val="423051E1"/>
    <w:rsid w:val="4232680E"/>
    <w:rsid w:val="4232EA54"/>
    <w:rsid w:val="4233DB3E"/>
    <w:rsid w:val="4233DF3F"/>
    <w:rsid w:val="42367F3F"/>
    <w:rsid w:val="423CA17F"/>
    <w:rsid w:val="423E18B2"/>
    <w:rsid w:val="423E7DB4"/>
    <w:rsid w:val="4246C626"/>
    <w:rsid w:val="424916A3"/>
    <w:rsid w:val="424964BD"/>
    <w:rsid w:val="424A7745"/>
    <w:rsid w:val="424E6F76"/>
    <w:rsid w:val="4250311A"/>
    <w:rsid w:val="425481EC"/>
    <w:rsid w:val="4254EAC9"/>
    <w:rsid w:val="425A875E"/>
    <w:rsid w:val="425CFD5A"/>
    <w:rsid w:val="425DA089"/>
    <w:rsid w:val="4269BC63"/>
    <w:rsid w:val="426FD98C"/>
    <w:rsid w:val="42724966"/>
    <w:rsid w:val="42737C68"/>
    <w:rsid w:val="42745A6C"/>
    <w:rsid w:val="427D5A66"/>
    <w:rsid w:val="427D8633"/>
    <w:rsid w:val="427D8B6E"/>
    <w:rsid w:val="42805217"/>
    <w:rsid w:val="4286ABD9"/>
    <w:rsid w:val="4288443D"/>
    <w:rsid w:val="428AA084"/>
    <w:rsid w:val="428B99D5"/>
    <w:rsid w:val="428BDFDC"/>
    <w:rsid w:val="4294ACC1"/>
    <w:rsid w:val="429DB8B8"/>
    <w:rsid w:val="429E9E1D"/>
    <w:rsid w:val="42A3AC6A"/>
    <w:rsid w:val="42A5C64C"/>
    <w:rsid w:val="42A6F17B"/>
    <w:rsid w:val="42A9DF59"/>
    <w:rsid w:val="42AAC4CA"/>
    <w:rsid w:val="42ABB78A"/>
    <w:rsid w:val="42AC49BD"/>
    <w:rsid w:val="42AC4D81"/>
    <w:rsid w:val="42ADF61B"/>
    <w:rsid w:val="42AEB393"/>
    <w:rsid w:val="42AF32E7"/>
    <w:rsid w:val="42AF7BA4"/>
    <w:rsid w:val="42B06D4B"/>
    <w:rsid w:val="42B0C846"/>
    <w:rsid w:val="42B1C9E7"/>
    <w:rsid w:val="42B32899"/>
    <w:rsid w:val="42B45622"/>
    <w:rsid w:val="42B8A07B"/>
    <w:rsid w:val="42B96596"/>
    <w:rsid w:val="42BA973D"/>
    <w:rsid w:val="42BBFEF9"/>
    <w:rsid w:val="42C0A9C1"/>
    <w:rsid w:val="42C173D8"/>
    <w:rsid w:val="42C41E2A"/>
    <w:rsid w:val="42C86A29"/>
    <w:rsid w:val="42C911D3"/>
    <w:rsid w:val="42CB7D32"/>
    <w:rsid w:val="42CDF2A9"/>
    <w:rsid w:val="42D0D4F0"/>
    <w:rsid w:val="42D16C9B"/>
    <w:rsid w:val="42D604DB"/>
    <w:rsid w:val="42D6A657"/>
    <w:rsid w:val="42D761D6"/>
    <w:rsid w:val="42D870C3"/>
    <w:rsid w:val="42DA28B8"/>
    <w:rsid w:val="42DF10E6"/>
    <w:rsid w:val="42E29B7F"/>
    <w:rsid w:val="42E4E049"/>
    <w:rsid w:val="42E570D9"/>
    <w:rsid w:val="42E6F724"/>
    <w:rsid w:val="42E7AB26"/>
    <w:rsid w:val="42E7B7B9"/>
    <w:rsid w:val="42EA7841"/>
    <w:rsid w:val="42ED6754"/>
    <w:rsid w:val="42EFB900"/>
    <w:rsid w:val="42F16D59"/>
    <w:rsid w:val="42F4A68B"/>
    <w:rsid w:val="42F54BC5"/>
    <w:rsid w:val="42F65A00"/>
    <w:rsid w:val="42F75255"/>
    <w:rsid w:val="42F8B3B3"/>
    <w:rsid w:val="42FB0DF9"/>
    <w:rsid w:val="42FE8FEE"/>
    <w:rsid w:val="42FE9ABD"/>
    <w:rsid w:val="42FEDA4A"/>
    <w:rsid w:val="43000E5D"/>
    <w:rsid w:val="43021501"/>
    <w:rsid w:val="4305C664"/>
    <w:rsid w:val="4305F470"/>
    <w:rsid w:val="43061584"/>
    <w:rsid w:val="430BD0D2"/>
    <w:rsid w:val="430C531E"/>
    <w:rsid w:val="430CD3AB"/>
    <w:rsid w:val="43113666"/>
    <w:rsid w:val="43119360"/>
    <w:rsid w:val="43145D65"/>
    <w:rsid w:val="43155C6C"/>
    <w:rsid w:val="4315C764"/>
    <w:rsid w:val="4316E835"/>
    <w:rsid w:val="43190D0B"/>
    <w:rsid w:val="431A6CA2"/>
    <w:rsid w:val="431A9DEE"/>
    <w:rsid w:val="431F334D"/>
    <w:rsid w:val="43218956"/>
    <w:rsid w:val="4322C2CC"/>
    <w:rsid w:val="43268E64"/>
    <w:rsid w:val="43284FA9"/>
    <w:rsid w:val="4328E567"/>
    <w:rsid w:val="43292413"/>
    <w:rsid w:val="432B46A8"/>
    <w:rsid w:val="432C5129"/>
    <w:rsid w:val="432E1B64"/>
    <w:rsid w:val="432E9062"/>
    <w:rsid w:val="43320E88"/>
    <w:rsid w:val="4334D764"/>
    <w:rsid w:val="43391053"/>
    <w:rsid w:val="433A20DD"/>
    <w:rsid w:val="433A2DCD"/>
    <w:rsid w:val="433A2DF6"/>
    <w:rsid w:val="433BCDFD"/>
    <w:rsid w:val="433EE48D"/>
    <w:rsid w:val="43441082"/>
    <w:rsid w:val="43477047"/>
    <w:rsid w:val="4347E08E"/>
    <w:rsid w:val="434883DF"/>
    <w:rsid w:val="4349D2C5"/>
    <w:rsid w:val="434A15BA"/>
    <w:rsid w:val="434BCEDE"/>
    <w:rsid w:val="434EB6EC"/>
    <w:rsid w:val="435145A9"/>
    <w:rsid w:val="4352D0C6"/>
    <w:rsid w:val="43546E52"/>
    <w:rsid w:val="4357E267"/>
    <w:rsid w:val="435FE4CA"/>
    <w:rsid w:val="43612962"/>
    <w:rsid w:val="4368A745"/>
    <w:rsid w:val="436BCCD3"/>
    <w:rsid w:val="436C368E"/>
    <w:rsid w:val="436D538C"/>
    <w:rsid w:val="43725B25"/>
    <w:rsid w:val="43738678"/>
    <w:rsid w:val="4374A7D1"/>
    <w:rsid w:val="43787815"/>
    <w:rsid w:val="43792E2D"/>
    <w:rsid w:val="437A340A"/>
    <w:rsid w:val="437B878A"/>
    <w:rsid w:val="437F530B"/>
    <w:rsid w:val="43800367"/>
    <w:rsid w:val="4383E6EA"/>
    <w:rsid w:val="438531F9"/>
    <w:rsid w:val="43873123"/>
    <w:rsid w:val="438AC2AB"/>
    <w:rsid w:val="438AFBB3"/>
    <w:rsid w:val="438D9790"/>
    <w:rsid w:val="43984C2B"/>
    <w:rsid w:val="4398777D"/>
    <w:rsid w:val="439F8238"/>
    <w:rsid w:val="43A3549E"/>
    <w:rsid w:val="43A640B1"/>
    <w:rsid w:val="43A6D7EB"/>
    <w:rsid w:val="43A7B8C1"/>
    <w:rsid w:val="43A9AAD4"/>
    <w:rsid w:val="43AC6C6A"/>
    <w:rsid w:val="43B309FF"/>
    <w:rsid w:val="43BB52CF"/>
    <w:rsid w:val="43BCB69B"/>
    <w:rsid w:val="43C02DCF"/>
    <w:rsid w:val="43C34B48"/>
    <w:rsid w:val="43C4CB59"/>
    <w:rsid w:val="43CA15E6"/>
    <w:rsid w:val="43CF9974"/>
    <w:rsid w:val="43D3CF2C"/>
    <w:rsid w:val="43D53D64"/>
    <w:rsid w:val="43DB446C"/>
    <w:rsid w:val="43DC35DA"/>
    <w:rsid w:val="43E11F12"/>
    <w:rsid w:val="43E38D75"/>
    <w:rsid w:val="43E53717"/>
    <w:rsid w:val="43ED2202"/>
    <w:rsid w:val="43EE96C4"/>
    <w:rsid w:val="43F06D08"/>
    <w:rsid w:val="43F4CAF2"/>
    <w:rsid w:val="43F7E213"/>
    <w:rsid w:val="43F88479"/>
    <w:rsid w:val="43F93065"/>
    <w:rsid w:val="43FBF805"/>
    <w:rsid w:val="43FC1D76"/>
    <w:rsid w:val="4403F4C1"/>
    <w:rsid w:val="44061E62"/>
    <w:rsid w:val="440A24F3"/>
    <w:rsid w:val="440AFCA9"/>
    <w:rsid w:val="440E2D17"/>
    <w:rsid w:val="440E9882"/>
    <w:rsid w:val="44120631"/>
    <w:rsid w:val="44145CD7"/>
    <w:rsid w:val="4415A1EF"/>
    <w:rsid w:val="441AE296"/>
    <w:rsid w:val="4425822F"/>
    <w:rsid w:val="4425A057"/>
    <w:rsid w:val="442802EE"/>
    <w:rsid w:val="442CF275"/>
    <w:rsid w:val="442FAE1C"/>
    <w:rsid w:val="44312D38"/>
    <w:rsid w:val="443283D7"/>
    <w:rsid w:val="4432E603"/>
    <w:rsid w:val="443312D1"/>
    <w:rsid w:val="44361F7B"/>
    <w:rsid w:val="443802FE"/>
    <w:rsid w:val="44385FE5"/>
    <w:rsid w:val="44397764"/>
    <w:rsid w:val="4440CC97"/>
    <w:rsid w:val="4443B839"/>
    <w:rsid w:val="4444280B"/>
    <w:rsid w:val="444C76D2"/>
    <w:rsid w:val="444F1777"/>
    <w:rsid w:val="444FCF14"/>
    <w:rsid w:val="44549C08"/>
    <w:rsid w:val="4456409C"/>
    <w:rsid w:val="4456D88D"/>
    <w:rsid w:val="445FD128"/>
    <w:rsid w:val="4461299B"/>
    <w:rsid w:val="4461FD3E"/>
    <w:rsid w:val="44638205"/>
    <w:rsid w:val="446B94DA"/>
    <w:rsid w:val="446FC915"/>
    <w:rsid w:val="447D6EFE"/>
    <w:rsid w:val="447E6663"/>
    <w:rsid w:val="4480FF4A"/>
    <w:rsid w:val="448157DF"/>
    <w:rsid w:val="4483014D"/>
    <w:rsid w:val="4484450C"/>
    <w:rsid w:val="4485273E"/>
    <w:rsid w:val="4486759D"/>
    <w:rsid w:val="4490086F"/>
    <w:rsid w:val="449834E5"/>
    <w:rsid w:val="449CD4EA"/>
    <w:rsid w:val="449CDE14"/>
    <w:rsid w:val="449D5089"/>
    <w:rsid w:val="44A37A55"/>
    <w:rsid w:val="44A41CDD"/>
    <w:rsid w:val="44A6157B"/>
    <w:rsid w:val="44A83C9C"/>
    <w:rsid w:val="44A94C9A"/>
    <w:rsid w:val="44A955CC"/>
    <w:rsid w:val="44ADDF6E"/>
    <w:rsid w:val="44B142BC"/>
    <w:rsid w:val="44B1D391"/>
    <w:rsid w:val="44B64FDB"/>
    <w:rsid w:val="44B793F0"/>
    <w:rsid w:val="44C27B3F"/>
    <w:rsid w:val="44C3683A"/>
    <w:rsid w:val="44C6C5E4"/>
    <w:rsid w:val="44CADDE6"/>
    <w:rsid w:val="44CC8360"/>
    <w:rsid w:val="44CCA2DD"/>
    <w:rsid w:val="44CD07D9"/>
    <w:rsid w:val="44D0B6E9"/>
    <w:rsid w:val="44D33051"/>
    <w:rsid w:val="44D332B7"/>
    <w:rsid w:val="44D4EBB0"/>
    <w:rsid w:val="44D7A3E7"/>
    <w:rsid w:val="44E100C0"/>
    <w:rsid w:val="44E56626"/>
    <w:rsid w:val="44E675C7"/>
    <w:rsid w:val="44EEEDF6"/>
    <w:rsid w:val="44F0D7F6"/>
    <w:rsid w:val="44F41452"/>
    <w:rsid w:val="44FE925E"/>
    <w:rsid w:val="4502EA47"/>
    <w:rsid w:val="45042185"/>
    <w:rsid w:val="4506C927"/>
    <w:rsid w:val="450700A7"/>
    <w:rsid w:val="45071680"/>
    <w:rsid w:val="450786F7"/>
    <w:rsid w:val="450A34B5"/>
    <w:rsid w:val="450DE7DE"/>
    <w:rsid w:val="45110E35"/>
    <w:rsid w:val="451656E4"/>
    <w:rsid w:val="451788CE"/>
    <w:rsid w:val="451A85F0"/>
    <w:rsid w:val="451B35E5"/>
    <w:rsid w:val="451C213B"/>
    <w:rsid w:val="45215B1C"/>
    <w:rsid w:val="4522C8CE"/>
    <w:rsid w:val="4525BF23"/>
    <w:rsid w:val="452973E5"/>
    <w:rsid w:val="452AC920"/>
    <w:rsid w:val="452C7371"/>
    <w:rsid w:val="452E0D05"/>
    <w:rsid w:val="45341098"/>
    <w:rsid w:val="45341AF2"/>
    <w:rsid w:val="45355B4D"/>
    <w:rsid w:val="45368C45"/>
    <w:rsid w:val="45377AD8"/>
    <w:rsid w:val="453B5ECB"/>
    <w:rsid w:val="453ED16B"/>
    <w:rsid w:val="4544A236"/>
    <w:rsid w:val="45452663"/>
    <w:rsid w:val="454B22EA"/>
    <w:rsid w:val="454B7991"/>
    <w:rsid w:val="454BCAD1"/>
    <w:rsid w:val="454D6826"/>
    <w:rsid w:val="454ED0B7"/>
    <w:rsid w:val="454F8B4C"/>
    <w:rsid w:val="45578566"/>
    <w:rsid w:val="45592CC3"/>
    <w:rsid w:val="455E9B02"/>
    <w:rsid w:val="4560E90E"/>
    <w:rsid w:val="4567C5B4"/>
    <w:rsid w:val="456B46E2"/>
    <w:rsid w:val="45730751"/>
    <w:rsid w:val="4574FFC3"/>
    <w:rsid w:val="4578AD47"/>
    <w:rsid w:val="457B8919"/>
    <w:rsid w:val="457CBFDC"/>
    <w:rsid w:val="45835124"/>
    <w:rsid w:val="4586ACC8"/>
    <w:rsid w:val="458AEBF1"/>
    <w:rsid w:val="45912756"/>
    <w:rsid w:val="459246FE"/>
    <w:rsid w:val="459C95B2"/>
    <w:rsid w:val="45A208FD"/>
    <w:rsid w:val="45A4210B"/>
    <w:rsid w:val="45AA85B2"/>
    <w:rsid w:val="45AF0865"/>
    <w:rsid w:val="45B3DD1B"/>
    <w:rsid w:val="45BBE082"/>
    <w:rsid w:val="45BC870E"/>
    <w:rsid w:val="45C04C22"/>
    <w:rsid w:val="45C0A236"/>
    <w:rsid w:val="45C3D44E"/>
    <w:rsid w:val="45C744C9"/>
    <w:rsid w:val="45C804E2"/>
    <w:rsid w:val="45CFB06C"/>
    <w:rsid w:val="45D2571A"/>
    <w:rsid w:val="45D4CF36"/>
    <w:rsid w:val="45D6676F"/>
    <w:rsid w:val="45DE66EF"/>
    <w:rsid w:val="45DF2C26"/>
    <w:rsid w:val="45E76937"/>
    <w:rsid w:val="45E7CB1F"/>
    <w:rsid w:val="45E92E10"/>
    <w:rsid w:val="45EB4B68"/>
    <w:rsid w:val="45ECD50F"/>
    <w:rsid w:val="45EE22FF"/>
    <w:rsid w:val="45F49109"/>
    <w:rsid w:val="45F66D44"/>
    <w:rsid w:val="45F905EC"/>
    <w:rsid w:val="45FD621F"/>
    <w:rsid w:val="45FE5319"/>
    <w:rsid w:val="4604CDF1"/>
    <w:rsid w:val="4609D83B"/>
    <w:rsid w:val="460E73A2"/>
    <w:rsid w:val="460F4721"/>
    <w:rsid w:val="460FF48B"/>
    <w:rsid w:val="46106434"/>
    <w:rsid w:val="46115828"/>
    <w:rsid w:val="461262D0"/>
    <w:rsid w:val="46190004"/>
    <w:rsid w:val="461F5B66"/>
    <w:rsid w:val="4620ACAE"/>
    <w:rsid w:val="46238A05"/>
    <w:rsid w:val="46270D3E"/>
    <w:rsid w:val="46291B9D"/>
    <w:rsid w:val="462DD13E"/>
    <w:rsid w:val="462E2B2B"/>
    <w:rsid w:val="4631CCE2"/>
    <w:rsid w:val="46328E06"/>
    <w:rsid w:val="4639E6DD"/>
    <w:rsid w:val="4639EFEF"/>
    <w:rsid w:val="463ECF20"/>
    <w:rsid w:val="463FEB1B"/>
    <w:rsid w:val="46494BBC"/>
    <w:rsid w:val="464977A5"/>
    <w:rsid w:val="464C1F8F"/>
    <w:rsid w:val="464D7B1D"/>
    <w:rsid w:val="4651C8DA"/>
    <w:rsid w:val="46528B8E"/>
    <w:rsid w:val="46544C9E"/>
    <w:rsid w:val="4659A2CC"/>
    <w:rsid w:val="465A2DBE"/>
    <w:rsid w:val="465D1502"/>
    <w:rsid w:val="465EDD29"/>
    <w:rsid w:val="4663EFE3"/>
    <w:rsid w:val="4666EBB2"/>
    <w:rsid w:val="466A3634"/>
    <w:rsid w:val="466E316E"/>
    <w:rsid w:val="466E7509"/>
    <w:rsid w:val="466F4225"/>
    <w:rsid w:val="467065B8"/>
    <w:rsid w:val="46755710"/>
    <w:rsid w:val="4678D5D3"/>
    <w:rsid w:val="467F1B6A"/>
    <w:rsid w:val="4680050E"/>
    <w:rsid w:val="46805888"/>
    <w:rsid w:val="4681C718"/>
    <w:rsid w:val="4685B8BE"/>
    <w:rsid w:val="4687C037"/>
    <w:rsid w:val="4688AC57"/>
    <w:rsid w:val="4689892A"/>
    <w:rsid w:val="468A9C7D"/>
    <w:rsid w:val="46909912"/>
    <w:rsid w:val="4691E0DA"/>
    <w:rsid w:val="4693C60D"/>
    <w:rsid w:val="46963F52"/>
    <w:rsid w:val="469BA82F"/>
    <w:rsid w:val="469C86E3"/>
    <w:rsid w:val="469CEAF2"/>
    <w:rsid w:val="46A2CB1A"/>
    <w:rsid w:val="46A32025"/>
    <w:rsid w:val="46A64361"/>
    <w:rsid w:val="46AE375D"/>
    <w:rsid w:val="46B2A3E5"/>
    <w:rsid w:val="46B2DF84"/>
    <w:rsid w:val="46BB6C16"/>
    <w:rsid w:val="46BBD563"/>
    <w:rsid w:val="46C0F70A"/>
    <w:rsid w:val="46C21DC1"/>
    <w:rsid w:val="46C4D1AB"/>
    <w:rsid w:val="46C52A21"/>
    <w:rsid w:val="46C67260"/>
    <w:rsid w:val="46C75FEA"/>
    <w:rsid w:val="46C7CC8D"/>
    <w:rsid w:val="46CA43AA"/>
    <w:rsid w:val="46CB44AC"/>
    <w:rsid w:val="46CD2C12"/>
    <w:rsid w:val="46D0144E"/>
    <w:rsid w:val="46D4D18A"/>
    <w:rsid w:val="46D57D05"/>
    <w:rsid w:val="46D5CA00"/>
    <w:rsid w:val="46DA218C"/>
    <w:rsid w:val="46DFF749"/>
    <w:rsid w:val="46E0357B"/>
    <w:rsid w:val="46E2DB88"/>
    <w:rsid w:val="46EBB09A"/>
    <w:rsid w:val="46EC538C"/>
    <w:rsid w:val="46ED078E"/>
    <w:rsid w:val="46F11D9C"/>
    <w:rsid w:val="46F4536A"/>
    <w:rsid w:val="46F4BDA2"/>
    <w:rsid w:val="46F9BCD3"/>
    <w:rsid w:val="46FC1626"/>
    <w:rsid w:val="4700D194"/>
    <w:rsid w:val="4701BB1C"/>
    <w:rsid w:val="4702049B"/>
    <w:rsid w:val="4704E3A8"/>
    <w:rsid w:val="470938C5"/>
    <w:rsid w:val="4709AF75"/>
    <w:rsid w:val="4713471C"/>
    <w:rsid w:val="4716A90E"/>
    <w:rsid w:val="472032D3"/>
    <w:rsid w:val="472A3BFC"/>
    <w:rsid w:val="4734334E"/>
    <w:rsid w:val="47349DA8"/>
    <w:rsid w:val="4736A1C2"/>
    <w:rsid w:val="4736A46E"/>
    <w:rsid w:val="47385A69"/>
    <w:rsid w:val="473A78F8"/>
    <w:rsid w:val="4744C3D3"/>
    <w:rsid w:val="4745D031"/>
    <w:rsid w:val="4749EAFA"/>
    <w:rsid w:val="474ADE78"/>
    <w:rsid w:val="474ADE86"/>
    <w:rsid w:val="474C5D96"/>
    <w:rsid w:val="474C5E10"/>
    <w:rsid w:val="474FC8BB"/>
    <w:rsid w:val="4750EA37"/>
    <w:rsid w:val="47520674"/>
    <w:rsid w:val="47567C61"/>
    <w:rsid w:val="4758F040"/>
    <w:rsid w:val="47596559"/>
    <w:rsid w:val="47598483"/>
    <w:rsid w:val="4759E597"/>
    <w:rsid w:val="475C94AF"/>
    <w:rsid w:val="475D0F05"/>
    <w:rsid w:val="47604DB3"/>
    <w:rsid w:val="4763E0EC"/>
    <w:rsid w:val="47654F2A"/>
    <w:rsid w:val="4766F62C"/>
    <w:rsid w:val="4767EC78"/>
    <w:rsid w:val="476A7E76"/>
    <w:rsid w:val="476AE492"/>
    <w:rsid w:val="47730506"/>
    <w:rsid w:val="47758F01"/>
    <w:rsid w:val="47763C41"/>
    <w:rsid w:val="4779DF5A"/>
    <w:rsid w:val="477B3FEF"/>
    <w:rsid w:val="477BD2EC"/>
    <w:rsid w:val="477DC051"/>
    <w:rsid w:val="47833A24"/>
    <w:rsid w:val="47841429"/>
    <w:rsid w:val="478462AE"/>
    <w:rsid w:val="47869F66"/>
    <w:rsid w:val="47875700"/>
    <w:rsid w:val="478A6874"/>
    <w:rsid w:val="478AE7DE"/>
    <w:rsid w:val="478B1ED7"/>
    <w:rsid w:val="47947A2C"/>
    <w:rsid w:val="479CA61F"/>
    <w:rsid w:val="479FC9A1"/>
    <w:rsid w:val="479FFBAE"/>
    <w:rsid w:val="47A0A507"/>
    <w:rsid w:val="47A54010"/>
    <w:rsid w:val="47A62946"/>
    <w:rsid w:val="47A6FF8D"/>
    <w:rsid w:val="47A73AA6"/>
    <w:rsid w:val="47A7E56D"/>
    <w:rsid w:val="47AA125E"/>
    <w:rsid w:val="47B0F530"/>
    <w:rsid w:val="47B2E4F5"/>
    <w:rsid w:val="47B98B52"/>
    <w:rsid w:val="47C09095"/>
    <w:rsid w:val="47C6DD2E"/>
    <w:rsid w:val="47C6F9CD"/>
    <w:rsid w:val="47C8046C"/>
    <w:rsid w:val="47C886F0"/>
    <w:rsid w:val="47CB16DF"/>
    <w:rsid w:val="47D1D823"/>
    <w:rsid w:val="47D57B28"/>
    <w:rsid w:val="47D88B6E"/>
    <w:rsid w:val="47D9C8B9"/>
    <w:rsid w:val="47DCECA3"/>
    <w:rsid w:val="47E128F5"/>
    <w:rsid w:val="47E625B8"/>
    <w:rsid w:val="47E8325D"/>
    <w:rsid w:val="47E8910E"/>
    <w:rsid w:val="47F1E7B6"/>
    <w:rsid w:val="47F709A2"/>
    <w:rsid w:val="47F8E2C3"/>
    <w:rsid w:val="47FAA01F"/>
    <w:rsid w:val="47FE7C13"/>
    <w:rsid w:val="47FFB89F"/>
    <w:rsid w:val="480118C7"/>
    <w:rsid w:val="4804B397"/>
    <w:rsid w:val="480931C9"/>
    <w:rsid w:val="480D07BD"/>
    <w:rsid w:val="481575A8"/>
    <w:rsid w:val="4816B88B"/>
    <w:rsid w:val="481B6E2E"/>
    <w:rsid w:val="481CF093"/>
    <w:rsid w:val="481D3B83"/>
    <w:rsid w:val="481FD1DB"/>
    <w:rsid w:val="482255E4"/>
    <w:rsid w:val="48230348"/>
    <w:rsid w:val="4825E624"/>
    <w:rsid w:val="4827C359"/>
    <w:rsid w:val="48293E5E"/>
    <w:rsid w:val="4829FC54"/>
    <w:rsid w:val="482A87DA"/>
    <w:rsid w:val="482B7AE5"/>
    <w:rsid w:val="482CD504"/>
    <w:rsid w:val="4831EFA8"/>
    <w:rsid w:val="4831F2F6"/>
    <w:rsid w:val="48336203"/>
    <w:rsid w:val="483AEE4C"/>
    <w:rsid w:val="483B34BF"/>
    <w:rsid w:val="483EAFAA"/>
    <w:rsid w:val="483F92F6"/>
    <w:rsid w:val="484551FF"/>
    <w:rsid w:val="4845AB16"/>
    <w:rsid w:val="48496045"/>
    <w:rsid w:val="484A0772"/>
    <w:rsid w:val="484FA7A6"/>
    <w:rsid w:val="48506D6B"/>
    <w:rsid w:val="4855C717"/>
    <w:rsid w:val="48565F40"/>
    <w:rsid w:val="48573356"/>
    <w:rsid w:val="485A8CD4"/>
    <w:rsid w:val="485FC571"/>
    <w:rsid w:val="48637F0A"/>
    <w:rsid w:val="486396AB"/>
    <w:rsid w:val="48639711"/>
    <w:rsid w:val="486DD9A5"/>
    <w:rsid w:val="486DF83D"/>
    <w:rsid w:val="48747683"/>
    <w:rsid w:val="4877A7B9"/>
    <w:rsid w:val="4878BCEE"/>
    <w:rsid w:val="487B19BC"/>
    <w:rsid w:val="4880F898"/>
    <w:rsid w:val="4883B1B1"/>
    <w:rsid w:val="488837F4"/>
    <w:rsid w:val="4888B5E7"/>
    <w:rsid w:val="48894282"/>
    <w:rsid w:val="48894B8D"/>
    <w:rsid w:val="488A859F"/>
    <w:rsid w:val="488F5134"/>
    <w:rsid w:val="48942A6C"/>
    <w:rsid w:val="4896895F"/>
    <w:rsid w:val="48993975"/>
    <w:rsid w:val="489F0B89"/>
    <w:rsid w:val="48A03EB6"/>
    <w:rsid w:val="48A3B01B"/>
    <w:rsid w:val="48A5A1B9"/>
    <w:rsid w:val="48A6CE51"/>
    <w:rsid w:val="48A7CE38"/>
    <w:rsid w:val="48A7D468"/>
    <w:rsid w:val="48AE3FBF"/>
    <w:rsid w:val="48B03FDE"/>
    <w:rsid w:val="48B2A22A"/>
    <w:rsid w:val="48B77579"/>
    <w:rsid w:val="48B7C5A0"/>
    <w:rsid w:val="48BA64A7"/>
    <w:rsid w:val="48BAEA07"/>
    <w:rsid w:val="48BE1063"/>
    <w:rsid w:val="48C064C4"/>
    <w:rsid w:val="48C3DFF2"/>
    <w:rsid w:val="48C44F6A"/>
    <w:rsid w:val="48C7F0D4"/>
    <w:rsid w:val="48C9958F"/>
    <w:rsid w:val="48CC672D"/>
    <w:rsid w:val="48CDCC5A"/>
    <w:rsid w:val="48CE4042"/>
    <w:rsid w:val="48CF2715"/>
    <w:rsid w:val="48D65411"/>
    <w:rsid w:val="48D93F8F"/>
    <w:rsid w:val="48E11011"/>
    <w:rsid w:val="48E8406A"/>
    <w:rsid w:val="48EE1471"/>
    <w:rsid w:val="48F30DFB"/>
    <w:rsid w:val="48F7ADC9"/>
    <w:rsid w:val="48F9A4C8"/>
    <w:rsid w:val="48FBD882"/>
    <w:rsid w:val="48FEE138"/>
    <w:rsid w:val="48FEFF16"/>
    <w:rsid w:val="48FF0B07"/>
    <w:rsid w:val="490764D4"/>
    <w:rsid w:val="4908B66F"/>
    <w:rsid w:val="490A306E"/>
    <w:rsid w:val="4910EE62"/>
    <w:rsid w:val="4912E231"/>
    <w:rsid w:val="49159904"/>
    <w:rsid w:val="491680AD"/>
    <w:rsid w:val="4922D165"/>
    <w:rsid w:val="49352F11"/>
    <w:rsid w:val="493C39FE"/>
    <w:rsid w:val="493F14F3"/>
    <w:rsid w:val="49448EC7"/>
    <w:rsid w:val="494A61A5"/>
    <w:rsid w:val="494AFA5E"/>
    <w:rsid w:val="494D83F3"/>
    <w:rsid w:val="494EF766"/>
    <w:rsid w:val="494FD4D3"/>
    <w:rsid w:val="4950073B"/>
    <w:rsid w:val="4954EFBA"/>
    <w:rsid w:val="49563B7C"/>
    <w:rsid w:val="49573D0B"/>
    <w:rsid w:val="4959ADA7"/>
    <w:rsid w:val="495D964C"/>
    <w:rsid w:val="495FECE2"/>
    <w:rsid w:val="4961295D"/>
    <w:rsid w:val="49658FBC"/>
    <w:rsid w:val="4969216D"/>
    <w:rsid w:val="49693125"/>
    <w:rsid w:val="496C061E"/>
    <w:rsid w:val="496CA48E"/>
    <w:rsid w:val="4974D184"/>
    <w:rsid w:val="4976CBB1"/>
    <w:rsid w:val="4977C75A"/>
    <w:rsid w:val="497A75EB"/>
    <w:rsid w:val="497AB8A7"/>
    <w:rsid w:val="497E2E98"/>
    <w:rsid w:val="497EBEC3"/>
    <w:rsid w:val="4989494B"/>
    <w:rsid w:val="498A22F3"/>
    <w:rsid w:val="498D7A8E"/>
    <w:rsid w:val="498F6387"/>
    <w:rsid w:val="49958504"/>
    <w:rsid w:val="499AB7EF"/>
    <w:rsid w:val="49A12A31"/>
    <w:rsid w:val="49A40EA8"/>
    <w:rsid w:val="49A4A995"/>
    <w:rsid w:val="49A6CD95"/>
    <w:rsid w:val="49A9E4DE"/>
    <w:rsid w:val="49ABDFA4"/>
    <w:rsid w:val="49AEE200"/>
    <w:rsid w:val="49AFA261"/>
    <w:rsid w:val="49B1F098"/>
    <w:rsid w:val="49B29466"/>
    <w:rsid w:val="49B30CBF"/>
    <w:rsid w:val="49B4D6B5"/>
    <w:rsid w:val="49B7E33D"/>
    <w:rsid w:val="49B82DA5"/>
    <w:rsid w:val="49C27CE2"/>
    <w:rsid w:val="49C2E897"/>
    <w:rsid w:val="49C417FA"/>
    <w:rsid w:val="49C81F81"/>
    <w:rsid w:val="49C928D9"/>
    <w:rsid w:val="49CC194D"/>
    <w:rsid w:val="49CD3840"/>
    <w:rsid w:val="49D1DF2F"/>
    <w:rsid w:val="49D27CEF"/>
    <w:rsid w:val="49D46396"/>
    <w:rsid w:val="49D684DC"/>
    <w:rsid w:val="49D760C8"/>
    <w:rsid w:val="49DA8250"/>
    <w:rsid w:val="49DC106C"/>
    <w:rsid w:val="49DCDDDB"/>
    <w:rsid w:val="49DEC538"/>
    <w:rsid w:val="49DF245F"/>
    <w:rsid w:val="49DFE51B"/>
    <w:rsid w:val="49E27F61"/>
    <w:rsid w:val="49E4355D"/>
    <w:rsid w:val="49E43B35"/>
    <w:rsid w:val="49E48679"/>
    <w:rsid w:val="49E5154F"/>
    <w:rsid w:val="49EE2052"/>
    <w:rsid w:val="49EEB440"/>
    <w:rsid w:val="49F1502B"/>
    <w:rsid w:val="49F3F8FB"/>
    <w:rsid w:val="49F59555"/>
    <w:rsid w:val="49F67FD6"/>
    <w:rsid w:val="49F8BB8F"/>
    <w:rsid w:val="4A04238F"/>
    <w:rsid w:val="4A04484A"/>
    <w:rsid w:val="4A05AB90"/>
    <w:rsid w:val="4A067BBC"/>
    <w:rsid w:val="4A06DEBF"/>
    <w:rsid w:val="4A102B13"/>
    <w:rsid w:val="4A1503A3"/>
    <w:rsid w:val="4A157AB0"/>
    <w:rsid w:val="4A169323"/>
    <w:rsid w:val="4A1736A0"/>
    <w:rsid w:val="4A196AAE"/>
    <w:rsid w:val="4A1ABEE5"/>
    <w:rsid w:val="4A1AFFF3"/>
    <w:rsid w:val="4A25215A"/>
    <w:rsid w:val="4A2690F2"/>
    <w:rsid w:val="4A26E256"/>
    <w:rsid w:val="4A290E0E"/>
    <w:rsid w:val="4A2C36D4"/>
    <w:rsid w:val="4A34A9AA"/>
    <w:rsid w:val="4A367D8A"/>
    <w:rsid w:val="4A3A236C"/>
    <w:rsid w:val="4A3BDD7E"/>
    <w:rsid w:val="4A3CA45C"/>
    <w:rsid w:val="4A3CFC19"/>
    <w:rsid w:val="4A44AD78"/>
    <w:rsid w:val="4A4649C8"/>
    <w:rsid w:val="4A4771C4"/>
    <w:rsid w:val="4A47C8B5"/>
    <w:rsid w:val="4A493433"/>
    <w:rsid w:val="4A4A9982"/>
    <w:rsid w:val="4A4C0C46"/>
    <w:rsid w:val="4A4CB4CE"/>
    <w:rsid w:val="4A529190"/>
    <w:rsid w:val="4A5A54D9"/>
    <w:rsid w:val="4A5D35BD"/>
    <w:rsid w:val="4A5E3D50"/>
    <w:rsid w:val="4A5EBA90"/>
    <w:rsid w:val="4A68FDD1"/>
    <w:rsid w:val="4A6D0941"/>
    <w:rsid w:val="4A6E1820"/>
    <w:rsid w:val="4A709702"/>
    <w:rsid w:val="4A719539"/>
    <w:rsid w:val="4A73EB80"/>
    <w:rsid w:val="4A74FE1C"/>
    <w:rsid w:val="4A76EC5B"/>
    <w:rsid w:val="4A78A0B6"/>
    <w:rsid w:val="4A7C5FD4"/>
    <w:rsid w:val="4A7CD813"/>
    <w:rsid w:val="4A83E4BE"/>
    <w:rsid w:val="4A8716DE"/>
    <w:rsid w:val="4A8864F5"/>
    <w:rsid w:val="4A8897A1"/>
    <w:rsid w:val="4A8AF65C"/>
    <w:rsid w:val="4A8B4035"/>
    <w:rsid w:val="4A9C4646"/>
    <w:rsid w:val="4A9C5999"/>
    <w:rsid w:val="4A9FB300"/>
    <w:rsid w:val="4AA0E66F"/>
    <w:rsid w:val="4AA3A3DE"/>
    <w:rsid w:val="4AA3C3C6"/>
    <w:rsid w:val="4AA55227"/>
    <w:rsid w:val="4AA58C31"/>
    <w:rsid w:val="4AA8C016"/>
    <w:rsid w:val="4AAD3583"/>
    <w:rsid w:val="4AAD51B3"/>
    <w:rsid w:val="4AB0B0C7"/>
    <w:rsid w:val="4AB91D16"/>
    <w:rsid w:val="4AB95343"/>
    <w:rsid w:val="4AB9F30F"/>
    <w:rsid w:val="4AC2CE28"/>
    <w:rsid w:val="4AC4BD67"/>
    <w:rsid w:val="4AC55DA6"/>
    <w:rsid w:val="4AC9FC6C"/>
    <w:rsid w:val="4ACA94C8"/>
    <w:rsid w:val="4ACBDC6B"/>
    <w:rsid w:val="4ACD626A"/>
    <w:rsid w:val="4AD146B1"/>
    <w:rsid w:val="4AD188FF"/>
    <w:rsid w:val="4AD1DC51"/>
    <w:rsid w:val="4AD21426"/>
    <w:rsid w:val="4ADC3A72"/>
    <w:rsid w:val="4ADC7FEE"/>
    <w:rsid w:val="4AE0E622"/>
    <w:rsid w:val="4AE1A25E"/>
    <w:rsid w:val="4AE71855"/>
    <w:rsid w:val="4AEA3D91"/>
    <w:rsid w:val="4AED5941"/>
    <w:rsid w:val="4AEE1C4E"/>
    <w:rsid w:val="4AF3EBFC"/>
    <w:rsid w:val="4AF537DB"/>
    <w:rsid w:val="4AF8FFF9"/>
    <w:rsid w:val="4B019BF0"/>
    <w:rsid w:val="4B07753D"/>
    <w:rsid w:val="4B0E7BE9"/>
    <w:rsid w:val="4B14A3C9"/>
    <w:rsid w:val="4B15E58F"/>
    <w:rsid w:val="4B16D72E"/>
    <w:rsid w:val="4B182A8B"/>
    <w:rsid w:val="4B1BD00E"/>
    <w:rsid w:val="4B2721CE"/>
    <w:rsid w:val="4B2A12EF"/>
    <w:rsid w:val="4B2B5603"/>
    <w:rsid w:val="4B2CC085"/>
    <w:rsid w:val="4B2EE7EF"/>
    <w:rsid w:val="4B2F8322"/>
    <w:rsid w:val="4B33222B"/>
    <w:rsid w:val="4B33481D"/>
    <w:rsid w:val="4B337FD9"/>
    <w:rsid w:val="4B361360"/>
    <w:rsid w:val="4B361FFB"/>
    <w:rsid w:val="4B371C82"/>
    <w:rsid w:val="4B3A5BE6"/>
    <w:rsid w:val="4B43BC55"/>
    <w:rsid w:val="4B47A3D7"/>
    <w:rsid w:val="4B49E4E8"/>
    <w:rsid w:val="4B4C0A69"/>
    <w:rsid w:val="4B4F0758"/>
    <w:rsid w:val="4B4FA067"/>
    <w:rsid w:val="4B509AE5"/>
    <w:rsid w:val="4B585220"/>
    <w:rsid w:val="4B5BA92C"/>
    <w:rsid w:val="4B5BC4C3"/>
    <w:rsid w:val="4B60CC34"/>
    <w:rsid w:val="4B63C241"/>
    <w:rsid w:val="4B656E7A"/>
    <w:rsid w:val="4B679A1B"/>
    <w:rsid w:val="4B684BC2"/>
    <w:rsid w:val="4B6A7BB2"/>
    <w:rsid w:val="4B6AEFBB"/>
    <w:rsid w:val="4B6DC3A9"/>
    <w:rsid w:val="4B713CD8"/>
    <w:rsid w:val="4B71DE2D"/>
    <w:rsid w:val="4B74D2E3"/>
    <w:rsid w:val="4B7C70B7"/>
    <w:rsid w:val="4B7D2D95"/>
    <w:rsid w:val="4B87079B"/>
    <w:rsid w:val="4B8977A1"/>
    <w:rsid w:val="4B903A77"/>
    <w:rsid w:val="4B95305F"/>
    <w:rsid w:val="4B979170"/>
    <w:rsid w:val="4B981233"/>
    <w:rsid w:val="4B99290E"/>
    <w:rsid w:val="4B9B5F50"/>
    <w:rsid w:val="4B9CF715"/>
    <w:rsid w:val="4B9D5F35"/>
    <w:rsid w:val="4BA042CE"/>
    <w:rsid w:val="4BA13347"/>
    <w:rsid w:val="4BA47A3D"/>
    <w:rsid w:val="4BA78698"/>
    <w:rsid w:val="4BA7A3E0"/>
    <w:rsid w:val="4BACEEE6"/>
    <w:rsid w:val="4BAEE08B"/>
    <w:rsid w:val="4BB34CD8"/>
    <w:rsid w:val="4BB40796"/>
    <w:rsid w:val="4BB4896E"/>
    <w:rsid w:val="4BB5B84F"/>
    <w:rsid w:val="4BC12335"/>
    <w:rsid w:val="4BC134A0"/>
    <w:rsid w:val="4BC865F4"/>
    <w:rsid w:val="4BC9CF45"/>
    <w:rsid w:val="4BD21674"/>
    <w:rsid w:val="4BD4EB8C"/>
    <w:rsid w:val="4BD51B8C"/>
    <w:rsid w:val="4BD81233"/>
    <w:rsid w:val="4BD97459"/>
    <w:rsid w:val="4BDA3AE3"/>
    <w:rsid w:val="4BE544A0"/>
    <w:rsid w:val="4BE7307B"/>
    <w:rsid w:val="4BE7C7F5"/>
    <w:rsid w:val="4BEFB275"/>
    <w:rsid w:val="4BF2B42D"/>
    <w:rsid w:val="4BF45528"/>
    <w:rsid w:val="4BFA3BDF"/>
    <w:rsid w:val="4BFBCC15"/>
    <w:rsid w:val="4BFC6363"/>
    <w:rsid w:val="4C00B93A"/>
    <w:rsid w:val="4C03FCCA"/>
    <w:rsid w:val="4C045578"/>
    <w:rsid w:val="4C0921F4"/>
    <w:rsid w:val="4C0C2964"/>
    <w:rsid w:val="4C0D5A05"/>
    <w:rsid w:val="4C12E32D"/>
    <w:rsid w:val="4C16797D"/>
    <w:rsid w:val="4C17973D"/>
    <w:rsid w:val="4C18B2A7"/>
    <w:rsid w:val="4C18CB17"/>
    <w:rsid w:val="4C24533E"/>
    <w:rsid w:val="4C271C86"/>
    <w:rsid w:val="4C29EAF2"/>
    <w:rsid w:val="4C2A8E74"/>
    <w:rsid w:val="4C2B2241"/>
    <w:rsid w:val="4C2FE5F1"/>
    <w:rsid w:val="4C327344"/>
    <w:rsid w:val="4C32E544"/>
    <w:rsid w:val="4C355B73"/>
    <w:rsid w:val="4C366CED"/>
    <w:rsid w:val="4C38C7E8"/>
    <w:rsid w:val="4C3A86B5"/>
    <w:rsid w:val="4C408D0D"/>
    <w:rsid w:val="4C45004B"/>
    <w:rsid w:val="4C460D7F"/>
    <w:rsid w:val="4C47A93D"/>
    <w:rsid w:val="4C487514"/>
    <w:rsid w:val="4C4C0DD0"/>
    <w:rsid w:val="4C504277"/>
    <w:rsid w:val="4C504751"/>
    <w:rsid w:val="4C50C253"/>
    <w:rsid w:val="4C54C5AC"/>
    <w:rsid w:val="4C55E1AC"/>
    <w:rsid w:val="4C57E86D"/>
    <w:rsid w:val="4C594CE8"/>
    <w:rsid w:val="4C5C0C3F"/>
    <w:rsid w:val="4C5CB356"/>
    <w:rsid w:val="4C5CDEB4"/>
    <w:rsid w:val="4C64C58D"/>
    <w:rsid w:val="4C6A3C67"/>
    <w:rsid w:val="4C6BC40C"/>
    <w:rsid w:val="4C6C98BC"/>
    <w:rsid w:val="4C6FEC04"/>
    <w:rsid w:val="4C72BDA3"/>
    <w:rsid w:val="4C739AFE"/>
    <w:rsid w:val="4C74943F"/>
    <w:rsid w:val="4C751C8C"/>
    <w:rsid w:val="4C7702D5"/>
    <w:rsid w:val="4C77E53C"/>
    <w:rsid w:val="4C8175E2"/>
    <w:rsid w:val="4C8506C3"/>
    <w:rsid w:val="4C898F02"/>
    <w:rsid w:val="4C90E92E"/>
    <w:rsid w:val="4C92E5A4"/>
    <w:rsid w:val="4C96D5E9"/>
    <w:rsid w:val="4C9A0A88"/>
    <w:rsid w:val="4C9B67DD"/>
    <w:rsid w:val="4C9BFF05"/>
    <w:rsid w:val="4C9CB0CC"/>
    <w:rsid w:val="4CA6FBD1"/>
    <w:rsid w:val="4CA71B78"/>
    <w:rsid w:val="4CAB4334"/>
    <w:rsid w:val="4CAE6741"/>
    <w:rsid w:val="4CAE90F3"/>
    <w:rsid w:val="4CB40A95"/>
    <w:rsid w:val="4CB439D9"/>
    <w:rsid w:val="4CB4EACE"/>
    <w:rsid w:val="4CBA0A12"/>
    <w:rsid w:val="4CBB550A"/>
    <w:rsid w:val="4CBC80D3"/>
    <w:rsid w:val="4CBD5E93"/>
    <w:rsid w:val="4CC3DF45"/>
    <w:rsid w:val="4CCBBCD3"/>
    <w:rsid w:val="4CCF037E"/>
    <w:rsid w:val="4CCFFB8E"/>
    <w:rsid w:val="4CD4B1BA"/>
    <w:rsid w:val="4CD4C412"/>
    <w:rsid w:val="4CD6459C"/>
    <w:rsid w:val="4CD725EB"/>
    <w:rsid w:val="4CDB70E6"/>
    <w:rsid w:val="4CE195D2"/>
    <w:rsid w:val="4CE79C7F"/>
    <w:rsid w:val="4CEBD340"/>
    <w:rsid w:val="4CF1ED44"/>
    <w:rsid w:val="4CFB3051"/>
    <w:rsid w:val="4CFB6D57"/>
    <w:rsid w:val="4CFCFF25"/>
    <w:rsid w:val="4CFDE775"/>
    <w:rsid w:val="4CFFCFA0"/>
    <w:rsid w:val="4D01ABD7"/>
    <w:rsid w:val="4D06F24D"/>
    <w:rsid w:val="4D0C2437"/>
    <w:rsid w:val="4D0D5666"/>
    <w:rsid w:val="4D0DE248"/>
    <w:rsid w:val="4D1161F8"/>
    <w:rsid w:val="4D160D5F"/>
    <w:rsid w:val="4D1ABA65"/>
    <w:rsid w:val="4D1B3820"/>
    <w:rsid w:val="4D23077A"/>
    <w:rsid w:val="4D2414DC"/>
    <w:rsid w:val="4D2EF922"/>
    <w:rsid w:val="4D3381B9"/>
    <w:rsid w:val="4D340503"/>
    <w:rsid w:val="4D35DCE1"/>
    <w:rsid w:val="4D3DC27E"/>
    <w:rsid w:val="4D40679C"/>
    <w:rsid w:val="4D407F0F"/>
    <w:rsid w:val="4D4094EB"/>
    <w:rsid w:val="4D40DD84"/>
    <w:rsid w:val="4D40DFB5"/>
    <w:rsid w:val="4D456D3C"/>
    <w:rsid w:val="4D469B2D"/>
    <w:rsid w:val="4D48C4F3"/>
    <w:rsid w:val="4D48E78B"/>
    <w:rsid w:val="4D4BF7D3"/>
    <w:rsid w:val="4D527926"/>
    <w:rsid w:val="4D538813"/>
    <w:rsid w:val="4D53A818"/>
    <w:rsid w:val="4D547381"/>
    <w:rsid w:val="4D57E293"/>
    <w:rsid w:val="4D5840F2"/>
    <w:rsid w:val="4D59CF4C"/>
    <w:rsid w:val="4D5A503E"/>
    <w:rsid w:val="4D5C3AC2"/>
    <w:rsid w:val="4D5D410B"/>
    <w:rsid w:val="4D5F1821"/>
    <w:rsid w:val="4D62974C"/>
    <w:rsid w:val="4D68814C"/>
    <w:rsid w:val="4D69A219"/>
    <w:rsid w:val="4D6A9363"/>
    <w:rsid w:val="4D6B1B8C"/>
    <w:rsid w:val="4D6CBC56"/>
    <w:rsid w:val="4D6D681E"/>
    <w:rsid w:val="4D6EF55D"/>
    <w:rsid w:val="4D7012AD"/>
    <w:rsid w:val="4D704771"/>
    <w:rsid w:val="4D74D781"/>
    <w:rsid w:val="4D767005"/>
    <w:rsid w:val="4D7B3C39"/>
    <w:rsid w:val="4D833864"/>
    <w:rsid w:val="4D884E13"/>
    <w:rsid w:val="4D8A4D59"/>
    <w:rsid w:val="4D90C4FC"/>
    <w:rsid w:val="4D90CF78"/>
    <w:rsid w:val="4D914431"/>
    <w:rsid w:val="4D932278"/>
    <w:rsid w:val="4D957ECE"/>
    <w:rsid w:val="4D966911"/>
    <w:rsid w:val="4D9A99C3"/>
    <w:rsid w:val="4D9C085A"/>
    <w:rsid w:val="4D9E9836"/>
    <w:rsid w:val="4DA0A7FA"/>
    <w:rsid w:val="4DA1A4B8"/>
    <w:rsid w:val="4DA4C179"/>
    <w:rsid w:val="4DA54DF7"/>
    <w:rsid w:val="4DA5EB10"/>
    <w:rsid w:val="4DA69F26"/>
    <w:rsid w:val="4DA7A3AC"/>
    <w:rsid w:val="4DAC82A1"/>
    <w:rsid w:val="4DAE2B37"/>
    <w:rsid w:val="4DB17D03"/>
    <w:rsid w:val="4DB1DD97"/>
    <w:rsid w:val="4DB2A7BE"/>
    <w:rsid w:val="4DB7F131"/>
    <w:rsid w:val="4DB89EE1"/>
    <w:rsid w:val="4DB8C06F"/>
    <w:rsid w:val="4DB9F62A"/>
    <w:rsid w:val="4DBAE8A5"/>
    <w:rsid w:val="4DBDCA1F"/>
    <w:rsid w:val="4DBEFB08"/>
    <w:rsid w:val="4DC07AC7"/>
    <w:rsid w:val="4DD21EAC"/>
    <w:rsid w:val="4DD2A3D0"/>
    <w:rsid w:val="4DD72282"/>
    <w:rsid w:val="4DD7E949"/>
    <w:rsid w:val="4DD7FB81"/>
    <w:rsid w:val="4DD8A07B"/>
    <w:rsid w:val="4DDB5580"/>
    <w:rsid w:val="4DDC048A"/>
    <w:rsid w:val="4DDD9137"/>
    <w:rsid w:val="4DDD9A47"/>
    <w:rsid w:val="4DDE7C2D"/>
    <w:rsid w:val="4DDF0A92"/>
    <w:rsid w:val="4DE0C4DB"/>
    <w:rsid w:val="4DE35827"/>
    <w:rsid w:val="4DE40A54"/>
    <w:rsid w:val="4DE85501"/>
    <w:rsid w:val="4DEE8743"/>
    <w:rsid w:val="4DF0A4D0"/>
    <w:rsid w:val="4DF445C6"/>
    <w:rsid w:val="4DFDC863"/>
    <w:rsid w:val="4E00FD6E"/>
    <w:rsid w:val="4E03E819"/>
    <w:rsid w:val="4E042164"/>
    <w:rsid w:val="4E049ADD"/>
    <w:rsid w:val="4E0793A2"/>
    <w:rsid w:val="4E083BBA"/>
    <w:rsid w:val="4E0A874D"/>
    <w:rsid w:val="4E0BD89B"/>
    <w:rsid w:val="4E0F4E89"/>
    <w:rsid w:val="4E119482"/>
    <w:rsid w:val="4E1C7754"/>
    <w:rsid w:val="4E20F822"/>
    <w:rsid w:val="4E223620"/>
    <w:rsid w:val="4E23B14C"/>
    <w:rsid w:val="4E246EC2"/>
    <w:rsid w:val="4E249F85"/>
    <w:rsid w:val="4E26F92F"/>
    <w:rsid w:val="4E2961AE"/>
    <w:rsid w:val="4E2B234E"/>
    <w:rsid w:val="4E2EBEAB"/>
    <w:rsid w:val="4E31993F"/>
    <w:rsid w:val="4E32EDA6"/>
    <w:rsid w:val="4E34DFF7"/>
    <w:rsid w:val="4E3509BA"/>
    <w:rsid w:val="4E36D61A"/>
    <w:rsid w:val="4E37987F"/>
    <w:rsid w:val="4E3825DE"/>
    <w:rsid w:val="4E384574"/>
    <w:rsid w:val="4E404381"/>
    <w:rsid w:val="4E40F44E"/>
    <w:rsid w:val="4E41284A"/>
    <w:rsid w:val="4E424F98"/>
    <w:rsid w:val="4E470776"/>
    <w:rsid w:val="4E59B397"/>
    <w:rsid w:val="4E5A1733"/>
    <w:rsid w:val="4E635B27"/>
    <w:rsid w:val="4E6A2176"/>
    <w:rsid w:val="4E6DE258"/>
    <w:rsid w:val="4E6EB579"/>
    <w:rsid w:val="4E701037"/>
    <w:rsid w:val="4E701E0A"/>
    <w:rsid w:val="4E76CCB3"/>
    <w:rsid w:val="4E806C99"/>
    <w:rsid w:val="4E80EF94"/>
    <w:rsid w:val="4E86AB37"/>
    <w:rsid w:val="4E86C9AF"/>
    <w:rsid w:val="4E881AB3"/>
    <w:rsid w:val="4E8ACD74"/>
    <w:rsid w:val="4E8E0003"/>
    <w:rsid w:val="4E8EA59D"/>
    <w:rsid w:val="4E8F7FAC"/>
    <w:rsid w:val="4E95F05F"/>
    <w:rsid w:val="4E962001"/>
    <w:rsid w:val="4E9884FE"/>
    <w:rsid w:val="4E9AB6C5"/>
    <w:rsid w:val="4E9B4974"/>
    <w:rsid w:val="4E9F16A3"/>
    <w:rsid w:val="4E9F4344"/>
    <w:rsid w:val="4EA0E18F"/>
    <w:rsid w:val="4EA22529"/>
    <w:rsid w:val="4EA969C8"/>
    <w:rsid w:val="4EAC97AD"/>
    <w:rsid w:val="4EAE2A1D"/>
    <w:rsid w:val="4EAF7AFF"/>
    <w:rsid w:val="4EB79C29"/>
    <w:rsid w:val="4EBCFB71"/>
    <w:rsid w:val="4EBDD954"/>
    <w:rsid w:val="4EBE9D13"/>
    <w:rsid w:val="4EBF88D5"/>
    <w:rsid w:val="4EC04596"/>
    <w:rsid w:val="4EC0C685"/>
    <w:rsid w:val="4EC27B22"/>
    <w:rsid w:val="4EC4BA3F"/>
    <w:rsid w:val="4EC56F3C"/>
    <w:rsid w:val="4EC5CEA7"/>
    <w:rsid w:val="4ECFE355"/>
    <w:rsid w:val="4ED1E68E"/>
    <w:rsid w:val="4ED6D81E"/>
    <w:rsid w:val="4EDC6D94"/>
    <w:rsid w:val="4EE66102"/>
    <w:rsid w:val="4EEAF45C"/>
    <w:rsid w:val="4EF735B2"/>
    <w:rsid w:val="4EFCAD8E"/>
    <w:rsid w:val="4F012F87"/>
    <w:rsid w:val="4F0419E4"/>
    <w:rsid w:val="4F060F5B"/>
    <w:rsid w:val="4F082175"/>
    <w:rsid w:val="4F0A8E30"/>
    <w:rsid w:val="4F0BB2DC"/>
    <w:rsid w:val="4F0F1B42"/>
    <w:rsid w:val="4F104C5F"/>
    <w:rsid w:val="4F127F1E"/>
    <w:rsid w:val="4F175DCE"/>
    <w:rsid w:val="4F17EC00"/>
    <w:rsid w:val="4F1A63DB"/>
    <w:rsid w:val="4F1B098D"/>
    <w:rsid w:val="4F1EADD9"/>
    <w:rsid w:val="4F1EE7A0"/>
    <w:rsid w:val="4F22BE6F"/>
    <w:rsid w:val="4F26A07F"/>
    <w:rsid w:val="4F26B516"/>
    <w:rsid w:val="4F2BB03A"/>
    <w:rsid w:val="4F2DA799"/>
    <w:rsid w:val="4F2F79B2"/>
    <w:rsid w:val="4F323808"/>
    <w:rsid w:val="4F33B254"/>
    <w:rsid w:val="4F39F099"/>
    <w:rsid w:val="4F3ADAFC"/>
    <w:rsid w:val="4F3D1823"/>
    <w:rsid w:val="4F3D75D8"/>
    <w:rsid w:val="4F40B554"/>
    <w:rsid w:val="4F41F771"/>
    <w:rsid w:val="4F4409E3"/>
    <w:rsid w:val="4F465B89"/>
    <w:rsid w:val="4F4C56EA"/>
    <w:rsid w:val="4F4E2288"/>
    <w:rsid w:val="4F4F9CDA"/>
    <w:rsid w:val="4F4FE9F6"/>
    <w:rsid w:val="4F50E5E5"/>
    <w:rsid w:val="4F543EB1"/>
    <w:rsid w:val="4F549577"/>
    <w:rsid w:val="4F54C16E"/>
    <w:rsid w:val="4F55AE09"/>
    <w:rsid w:val="4F583196"/>
    <w:rsid w:val="4F58931C"/>
    <w:rsid w:val="4F58A146"/>
    <w:rsid w:val="4F5E56C3"/>
    <w:rsid w:val="4F5E97E5"/>
    <w:rsid w:val="4F60B122"/>
    <w:rsid w:val="4F656FAA"/>
    <w:rsid w:val="4F684D05"/>
    <w:rsid w:val="4F6B73E1"/>
    <w:rsid w:val="4F6C6876"/>
    <w:rsid w:val="4F6DBF9E"/>
    <w:rsid w:val="4F6FE38A"/>
    <w:rsid w:val="4F766B39"/>
    <w:rsid w:val="4F76D08E"/>
    <w:rsid w:val="4F7CD8E4"/>
    <w:rsid w:val="4F81CF4A"/>
    <w:rsid w:val="4F84A432"/>
    <w:rsid w:val="4F8B5361"/>
    <w:rsid w:val="4F8BD72E"/>
    <w:rsid w:val="4F8FBB89"/>
    <w:rsid w:val="4F92D319"/>
    <w:rsid w:val="4F93194A"/>
    <w:rsid w:val="4F940DBB"/>
    <w:rsid w:val="4F988542"/>
    <w:rsid w:val="4F9E0FC8"/>
    <w:rsid w:val="4FA07B85"/>
    <w:rsid w:val="4FA0FD1C"/>
    <w:rsid w:val="4FA1038C"/>
    <w:rsid w:val="4FA61FAE"/>
    <w:rsid w:val="4FA82E34"/>
    <w:rsid w:val="4FABDE3E"/>
    <w:rsid w:val="4FB69AEE"/>
    <w:rsid w:val="4FBC9105"/>
    <w:rsid w:val="4FBCC8C4"/>
    <w:rsid w:val="4FC27AAE"/>
    <w:rsid w:val="4FCF4BF3"/>
    <w:rsid w:val="4FD79C9B"/>
    <w:rsid w:val="4FD9563C"/>
    <w:rsid w:val="4FD992FA"/>
    <w:rsid w:val="4FDC12E4"/>
    <w:rsid w:val="4FE23AEF"/>
    <w:rsid w:val="4FEDBBC2"/>
    <w:rsid w:val="4FF16A44"/>
    <w:rsid w:val="4FF4A59E"/>
    <w:rsid w:val="4FF525F3"/>
    <w:rsid w:val="4FF5C083"/>
    <w:rsid w:val="4FF602F7"/>
    <w:rsid w:val="4FF78849"/>
    <w:rsid w:val="4FFAA520"/>
    <w:rsid w:val="5000D01A"/>
    <w:rsid w:val="500487DC"/>
    <w:rsid w:val="5007D4FF"/>
    <w:rsid w:val="50097E1D"/>
    <w:rsid w:val="500AF662"/>
    <w:rsid w:val="500DE3F8"/>
    <w:rsid w:val="500E9742"/>
    <w:rsid w:val="50105C9C"/>
    <w:rsid w:val="5010959C"/>
    <w:rsid w:val="501194AD"/>
    <w:rsid w:val="5012F9D4"/>
    <w:rsid w:val="501404C0"/>
    <w:rsid w:val="501A46E0"/>
    <w:rsid w:val="501F8722"/>
    <w:rsid w:val="5020D11B"/>
    <w:rsid w:val="5023518C"/>
    <w:rsid w:val="502F48BE"/>
    <w:rsid w:val="5032D8CC"/>
    <w:rsid w:val="5035D163"/>
    <w:rsid w:val="503E4F9C"/>
    <w:rsid w:val="50415FCC"/>
    <w:rsid w:val="50419AE8"/>
    <w:rsid w:val="5044A35C"/>
    <w:rsid w:val="5045548A"/>
    <w:rsid w:val="50469050"/>
    <w:rsid w:val="504919DD"/>
    <w:rsid w:val="50530D39"/>
    <w:rsid w:val="50559414"/>
    <w:rsid w:val="5057D887"/>
    <w:rsid w:val="5059310F"/>
    <w:rsid w:val="505E777A"/>
    <w:rsid w:val="50645035"/>
    <w:rsid w:val="506545B3"/>
    <w:rsid w:val="5068A635"/>
    <w:rsid w:val="506ED667"/>
    <w:rsid w:val="5075FF29"/>
    <w:rsid w:val="507C777E"/>
    <w:rsid w:val="507F18E2"/>
    <w:rsid w:val="507F4CA8"/>
    <w:rsid w:val="5080577C"/>
    <w:rsid w:val="5085291A"/>
    <w:rsid w:val="50872900"/>
    <w:rsid w:val="50950C80"/>
    <w:rsid w:val="50956037"/>
    <w:rsid w:val="5098812E"/>
    <w:rsid w:val="50989ED0"/>
    <w:rsid w:val="509AF5BA"/>
    <w:rsid w:val="50A05E4A"/>
    <w:rsid w:val="50A15669"/>
    <w:rsid w:val="50A23A87"/>
    <w:rsid w:val="50A2602A"/>
    <w:rsid w:val="50A8063C"/>
    <w:rsid w:val="50ACDE05"/>
    <w:rsid w:val="50AD6709"/>
    <w:rsid w:val="50AE1443"/>
    <w:rsid w:val="50B44147"/>
    <w:rsid w:val="50B6E5FA"/>
    <w:rsid w:val="50C0B04E"/>
    <w:rsid w:val="50C11FE0"/>
    <w:rsid w:val="50C17ADA"/>
    <w:rsid w:val="50C48105"/>
    <w:rsid w:val="50C560D4"/>
    <w:rsid w:val="50C8B9E1"/>
    <w:rsid w:val="50CCA279"/>
    <w:rsid w:val="50D3283C"/>
    <w:rsid w:val="50D6D921"/>
    <w:rsid w:val="50DA8429"/>
    <w:rsid w:val="50DAC7D8"/>
    <w:rsid w:val="50DB5FB7"/>
    <w:rsid w:val="50DD8A8D"/>
    <w:rsid w:val="50E92725"/>
    <w:rsid w:val="50EA2BF1"/>
    <w:rsid w:val="50EB9B48"/>
    <w:rsid w:val="50EE066C"/>
    <w:rsid w:val="50EF44D5"/>
    <w:rsid w:val="50F48D6A"/>
    <w:rsid w:val="50F78A2C"/>
    <w:rsid w:val="50F90E0F"/>
    <w:rsid w:val="50F96D2A"/>
    <w:rsid w:val="50FC9E70"/>
    <w:rsid w:val="50FE803C"/>
    <w:rsid w:val="5102BB01"/>
    <w:rsid w:val="5103587C"/>
    <w:rsid w:val="51037458"/>
    <w:rsid w:val="5104F9B4"/>
    <w:rsid w:val="510B0F3A"/>
    <w:rsid w:val="510BDC66"/>
    <w:rsid w:val="510C6058"/>
    <w:rsid w:val="51131ECB"/>
    <w:rsid w:val="5113F49A"/>
    <w:rsid w:val="511992E7"/>
    <w:rsid w:val="511C4B1E"/>
    <w:rsid w:val="5122A46B"/>
    <w:rsid w:val="51249DD8"/>
    <w:rsid w:val="5126831C"/>
    <w:rsid w:val="512DA0CA"/>
    <w:rsid w:val="5133616F"/>
    <w:rsid w:val="5139EC35"/>
    <w:rsid w:val="513DCB40"/>
    <w:rsid w:val="513F97C7"/>
    <w:rsid w:val="51407D19"/>
    <w:rsid w:val="51448087"/>
    <w:rsid w:val="51469462"/>
    <w:rsid w:val="514A2A2D"/>
    <w:rsid w:val="5153C3EB"/>
    <w:rsid w:val="5156A8C7"/>
    <w:rsid w:val="515905DE"/>
    <w:rsid w:val="515BED83"/>
    <w:rsid w:val="515C31E6"/>
    <w:rsid w:val="515D98EC"/>
    <w:rsid w:val="515ED240"/>
    <w:rsid w:val="51654947"/>
    <w:rsid w:val="51663E3A"/>
    <w:rsid w:val="516BEE59"/>
    <w:rsid w:val="516CE01D"/>
    <w:rsid w:val="516DA980"/>
    <w:rsid w:val="5170CD55"/>
    <w:rsid w:val="51745E83"/>
    <w:rsid w:val="5174A919"/>
    <w:rsid w:val="5174E067"/>
    <w:rsid w:val="5174FD13"/>
    <w:rsid w:val="517A4F7C"/>
    <w:rsid w:val="51854F97"/>
    <w:rsid w:val="5189D772"/>
    <w:rsid w:val="518AFB5C"/>
    <w:rsid w:val="518CB7DC"/>
    <w:rsid w:val="518E97ED"/>
    <w:rsid w:val="519420C6"/>
    <w:rsid w:val="519BFBE2"/>
    <w:rsid w:val="519DD3BC"/>
    <w:rsid w:val="51A46F0D"/>
    <w:rsid w:val="51A70B02"/>
    <w:rsid w:val="51A8AEC8"/>
    <w:rsid w:val="51A96705"/>
    <w:rsid w:val="51AF84F7"/>
    <w:rsid w:val="51B4E245"/>
    <w:rsid w:val="51B5E3DE"/>
    <w:rsid w:val="51B62166"/>
    <w:rsid w:val="51B69BF7"/>
    <w:rsid w:val="51B799A3"/>
    <w:rsid w:val="51B7F8DE"/>
    <w:rsid w:val="51BC1907"/>
    <w:rsid w:val="51BC3B6B"/>
    <w:rsid w:val="51C0796A"/>
    <w:rsid w:val="51CB52A3"/>
    <w:rsid w:val="51CD2616"/>
    <w:rsid w:val="51CD863B"/>
    <w:rsid w:val="51D0AFF8"/>
    <w:rsid w:val="51D2AC3D"/>
    <w:rsid w:val="51DA2E91"/>
    <w:rsid w:val="51DC6FE1"/>
    <w:rsid w:val="51DCFE46"/>
    <w:rsid w:val="51DDE96C"/>
    <w:rsid w:val="51E09EFC"/>
    <w:rsid w:val="51E124EB"/>
    <w:rsid w:val="51E1D13F"/>
    <w:rsid w:val="51E54D82"/>
    <w:rsid w:val="51E65A68"/>
    <w:rsid w:val="51E7DE9F"/>
    <w:rsid w:val="51EB9D5E"/>
    <w:rsid w:val="51ED6F35"/>
    <w:rsid w:val="51F48DD6"/>
    <w:rsid w:val="51F9B4EF"/>
    <w:rsid w:val="51F9F3EC"/>
    <w:rsid w:val="51FC2630"/>
    <w:rsid w:val="51FC4B8E"/>
    <w:rsid w:val="51FE4241"/>
    <w:rsid w:val="52011426"/>
    <w:rsid w:val="52050EF0"/>
    <w:rsid w:val="5206C765"/>
    <w:rsid w:val="52085B1B"/>
    <w:rsid w:val="5209E05B"/>
    <w:rsid w:val="520D8194"/>
    <w:rsid w:val="52109028"/>
    <w:rsid w:val="52126C7A"/>
    <w:rsid w:val="52149995"/>
    <w:rsid w:val="522171F9"/>
    <w:rsid w:val="5229ED4F"/>
    <w:rsid w:val="522B4034"/>
    <w:rsid w:val="522B7A14"/>
    <w:rsid w:val="522E58AA"/>
    <w:rsid w:val="5233ED00"/>
    <w:rsid w:val="52346A8B"/>
    <w:rsid w:val="523B489C"/>
    <w:rsid w:val="5242C043"/>
    <w:rsid w:val="52431A05"/>
    <w:rsid w:val="524497F0"/>
    <w:rsid w:val="524515CD"/>
    <w:rsid w:val="52463285"/>
    <w:rsid w:val="5246FBE0"/>
    <w:rsid w:val="5249B007"/>
    <w:rsid w:val="524BBEFD"/>
    <w:rsid w:val="524E90A2"/>
    <w:rsid w:val="524F2A15"/>
    <w:rsid w:val="524F8DA4"/>
    <w:rsid w:val="52509B55"/>
    <w:rsid w:val="525362E8"/>
    <w:rsid w:val="525B6B2C"/>
    <w:rsid w:val="525D07A7"/>
    <w:rsid w:val="525E6288"/>
    <w:rsid w:val="525F1ADB"/>
    <w:rsid w:val="52637392"/>
    <w:rsid w:val="5265D6D3"/>
    <w:rsid w:val="5267CB37"/>
    <w:rsid w:val="526AD4B0"/>
    <w:rsid w:val="526B6CF9"/>
    <w:rsid w:val="527E718B"/>
    <w:rsid w:val="527ECDA2"/>
    <w:rsid w:val="52808381"/>
    <w:rsid w:val="5280C789"/>
    <w:rsid w:val="5284618B"/>
    <w:rsid w:val="52854AA6"/>
    <w:rsid w:val="52884DF3"/>
    <w:rsid w:val="5288CF73"/>
    <w:rsid w:val="528A66B9"/>
    <w:rsid w:val="528B4713"/>
    <w:rsid w:val="528D7CD7"/>
    <w:rsid w:val="528DAD87"/>
    <w:rsid w:val="5291C306"/>
    <w:rsid w:val="52930C5F"/>
    <w:rsid w:val="529E8625"/>
    <w:rsid w:val="529F23CB"/>
    <w:rsid w:val="52A298CB"/>
    <w:rsid w:val="52A2EC8B"/>
    <w:rsid w:val="52A3AE73"/>
    <w:rsid w:val="52A3FFAF"/>
    <w:rsid w:val="52A52F89"/>
    <w:rsid w:val="52A54398"/>
    <w:rsid w:val="52A75524"/>
    <w:rsid w:val="52A9C250"/>
    <w:rsid w:val="52AB9ED4"/>
    <w:rsid w:val="52B01DEA"/>
    <w:rsid w:val="52B0BE68"/>
    <w:rsid w:val="52B12F8D"/>
    <w:rsid w:val="52B365FF"/>
    <w:rsid w:val="52B3EA2E"/>
    <w:rsid w:val="52B4774B"/>
    <w:rsid w:val="52B5EFD0"/>
    <w:rsid w:val="52B6CC97"/>
    <w:rsid w:val="52B73637"/>
    <w:rsid w:val="52B7A19B"/>
    <w:rsid w:val="52BA0D84"/>
    <w:rsid w:val="52BC37FE"/>
    <w:rsid w:val="52BE430E"/>
    <w:rsid w:val="52BFBEB4"/>
    <w:rsid w:val="52C0FF05"/>
    <w:rsid w:val="52C45764"/>
    <w:rsid w:val="52C6CE16"/>
    <w:rsid w:val="52C740A5"/>
    <w:rsid w:val="52C873AA"/>
    <w:rsid w:val="52CA8F11"/>
    <w:rsid w:val="52CAE3E4"/>
    <w:rsid w:val="52CCA28E"/>
    <w:rsid w:val="52D30524"/>
    <w:rsid w:val="52D3ED9A"/>
    <w:rsid w:val="52D4DE5C"/>
    <w:rsid w:val="52DA5163"/>
    <w:rsid w:val="52DA59CF"/>
    <w:rsid w:val="52DD1417"/>
    <w:rsid w:val="52E65923"/>
    <w:rsid w:val="52E86093"/>
    <w:rsid w:val="52EA01E7"/>
    <w:rsid w:val="52EA8BFB"/>
    <w:rsid w:val="52EBC7B3"/>
    <w:rsid w:val="52EDB7F9"/>
    <w:rsid w:val="5304411D"/>
    <w:rsid w:val="53059D88"/>
    <w:rsid w:val="5305F69C"/>
    <w:rsid w:val="5308333C"/>
    <w:rsid w:val="5308A91D"/>
    <w:rsid w:val="5308E86C"/>
    <w:rsid w:val="530CB5B7"/>
    <w:rsid w:val="530CE1B8"/>
    <w:rsid w:val="530FDE45"/>
    <w:rsid w:val="5310135F"/>
    <w:rsid w:val="53107FB9"/>
    <w:rsid w:val="53140114"/>
    <w:rsid w:val="53141CB8"/>
    <w:rsid w:val="53164064"/>
    <w:rsid w:val="531C6746"/>
    <w:rsid w:val="531DF4DE"/>
    <w:rsid w:val="53202303"/>
    <w:rsid w:val="5320E1BF"/>
    <w:rsid w:val="532B1FF7"/>
    <w:rsid w:val="532C2FF4"/>
    <w:rsid w:val="532C6E5D"/>
    <w:rsid w:val="532D570F"/>
    <w:rsid w:val="5339967E"/>
    <w:rsid w:val="533B3A4B"/>
    <w:rsid w:val="533BD793"/>
    <w:rsid w:val="5342B790"/>
    <w:rsid w:val="53486F60"/>
    <w:rsid w:val="534D671D"/>
    <w:rsid w:val="535BDE5E"/>
    <w:rsid w:val="535FE8A0"/>
    <w:rsid w:val="53602EE5"/>
    <w:rsid w:val="53643606"/>
    <w:rsid w:val="5364E87C"/>
    <w:rsid w:val="5365B435"/>
    <w:rsid w:val="536F4C51"/>
    <w:rsid w:val="537105EB"/>
    <w:rsid w:val="53766066"/>
    <w:rsid w:val="5377F76D"/>
    <w:rsid w:val="537CF54C"/>
    <w:rsid w:val="538126C4"/>
    <w:rsid w:val="5383AA8F"/>
    <w:rsid w:val="53848103"/>
    <w:rsid w:val="5384EAFA"/>
    <w:rsid w:val="5386F776"/>
    <w:rsid w:val="5389C009"/>
    <w:rsid w:val="538C0CC6"/>
    <w:rsid w:val="538D4C74"/>
    <w:rsid w:val="538EEDBA"/>
    <w:rsid w:val="538F4E13"/>
    <w:rsid w:val="5392162D"/>
    <w:rsid w:val="5394CDE2"/>
    <w:rsid w:val="53954EC6"/>
    <w:rsid w:val="539B181C"/>
    <w:rsid w:val="539BDED4"/>
    <w:rsid w:val="539C9D6A"/>
    <w:rsid w:val="539D1E07"/>
    <w:rsid w:val="539F448D"/>
    <w:rsid w:val="53A8DB60"/>
    <w:rsid w:val="53ADB806"/>
    <w:rsid w:val="53AE7A40"/>
    <w:rsid w:val="53AE8D6F"/>
    <w:rsid w:val="53B81157"/>
    <w:rsid w:val="53BAD599"/>
    <w:rsid w:val="53BB390F"/>
    <w:rsid w:val="53BB6DE4"/>
    <w:rsid w:val="53C6497C"/>
    <w:rsid w:val="53CBDF4E"/>
    <w:rsid w:val="53CD9E54"/>
    <w:rsid w:val="53D6AE41"/>
    <w:rsid w:val="53D6DD38"/>
    <w:rsid w:val="53D7554A"/>
    <w:rsid w:val="53E1F22C"/>
    <w:rsid w:val="53E57CD1"/>
    <w:rsid w:val="53E6ACAD"/>
    <w:rsid w:val="53F4434A"/>
    <w:rsid w:val="53FD85DE"/>
    <w:rsid w:val="53FE934F"/>
    <w:rsid w:val="5401C6D4"/>
    <w:rsid w:val="5402913C"/>
    <w:rsid w:val="5403DA22"/>
    <w:rsid w:val="54052714"/>
    <w:rsid w:val="540B1946"/>
    <w:rsid w:val="540E9151"/>
    <w:rsid w:val="54104BE3"/>
    <w:rsid w:val="5411A7A2"/>
    <w:rsid w:val="54161CF3"/>
    <w:rsid w:val="541EB4BA"/>
    <w:rsid w:val="54200809"/>
    <w:rsid w:val="54223DE5"/>
    <w:rsid w:val="54236A0B"/>
    <w:rsid w:val="5425797C"/>
    <w:rsid w:val="542A9225"/>
    <w:rsid w:val="542CC098"/>
    <w:rsid w:val="542DEDD0"/>
    <w:rsid w:val="542F2F1F"/>
    <w:rsid w:val="542F539E"/>
    <w:rsid w:val="5432B60B"/>
    <w:rsid w:val="5432DDEB"/>
    <w:rsid w:val="5433F6FF"/>
    <w:rsid w:val="543B76DE"/>
    <w:rsid w:val="543FC11A"/>
    <w:rsid w:val="544255D4"/>
    <w:rsid w:val="54466106"/>
    <w:rsid w:val="5449948E"/>
    <w:rsid w:val="544AE421"/>
    <w:rsid w:val="544C4BA5"/>
    <w:rsid w:val="544DBF2F"/>
    <w:rsid w:val="545317CD"/>
    <w:rsid w:val="545366DB"/>
    <w:rsid w:val="5454D1B4"/>
    <w:rsid w:val="5459A481"/>
    <w:rsid w:val="5459DE31"/>
    <w:rsid w:val="545ECD37"/>
    <w:rsid w:val="54628083"/>
    <w:rsid w:val="5463535D"/>
    <w:rsid w:val="546475D2"/>
    <w:rsid w:val="5465D556"/>
    <w:rsid w:val="546797E5"/>
    <w:rsid w:val="5467E29F"/>
    <w:rsid w:val="546F93F8"/>
    <w:rsid w:val="5470320B"/>
    <w:rsid w:val="54730E7D"/>
    <w:rsid w:val="5479208D"/>
    <w:rsid w:val="54799F41"/>
    <w:rsid w:val="5480D5E3"/>
    <w:rsid w:val="548E2083"/>
    <w:rsid w:val="549232ED"/>
    <w:rsid w:val="549484E1"/>
    <w:rsid w:val="549500F8"/>
    <w:rsid w:val="5497E3D5"/>
    <w:rsid w:val="5498A02F"/>
    <w:rsid w:val="54999CFD"/>
    <w:rsid w:val="549A52F5"/>
    <w:rsid w:val="549DD3E8"/>
    <w:rsid w:val="54A113D3"/>
    <w:rsid w:val="54A2F531"/>
    <w:rsid w:val="54A6A455"/>
    <w:rsid w:val="54A7E117"/>
    <w:rsid w:val="54AD4B93"/>
    <w:rsid w:val="54B121C6"/>
    <w:rsid w:val="54C36F95"/>
    <w:rsid w:val="54C5100A"/>
    <w:rsid w:val="54CCD9BD"/>
    <w:rsid w:val="54D78067"/>
    <w:rsid w:val="54D9892A"/>
    <w:rsid w:val="54DD65D1"/>
    <w:rsid w:val="54E4D0F8"/>
    <w:rsid w:val="54E52DE1"/>
    <w:rsid w:val="54E73A52"/>
    <w:rsid w:val="54E896F8"/>
    <w:rsid w:val="54EE785E"/>
    <w:rsid w:val="54F0B0B4"/>
    <w:rsid w:val="54F0DC8A"/>
    <w:rsid w:val="54F1E460"/>
    <w:rsid w:val="54F206BE"/>
    <w:rsid w:val="54F8A7AD"/>
    <w:rsid w:val="54FC967A"/>
    <w:rsid w:val="550257F1"/>
    <w:rsid w:val="550468FC"/>
    <w:rsid w:val="5505DC7C"/>
    <w:rsid w:val="5506E062"/>
    <w:rsid w:val="5507D1C4"/>
    <w:rsid w:val="550A50A6"/>
    <w:rsid w:val="550A5ADD"/>
    <w:rsid w:val="550BE162"/>
    <w:rsid w:val="550CBCE6"/>
    <w:rsid w:val="550F8E19"/>
    <w:rsid w:val="55117E17"/>
    <w:rsid w:val="5512A399"/>
    <w:rsid w:val="55154C78"/>
    <w:rsid w:val="5518A0B4"/>
    <w:rsid w:val="55196C33"/>
    <w:rsid w:val="551BAB59"/>
    <w:rsid w:val="5520CDFF"/>
    <w:rsid w:val="5524CD32"/>
    <w:rsid w:val="55275B03"/>
    <w:rsid w:val="5528B618"/>
    <w:rsid w:val="5529D1FF"/>
    <w:rsid w:val="552CF3F1"/>
    <w:rsid w:val="552D57A7"/>
    <w:rsid w:val="553AC7C8"/>
    <w:rsid w:val="5541025B"/>
    <w:rsid w:val="554C24EA"/>
    <w:rsid w:val="55517F13"/>
    <w:rsid w:val="55520767"/>
    <w:rsid w:val="555602FC"/>
    <w:rsid w:val="5557A10F"/>
    <w:rsid w:val="555847EE"/>
    <w:rsid w:val="555A0AD3"/>
    <w:rsid w:val="555AF14C"/>
    <w:rsid w:val="555D97A3"/>
    <w:rsid w:val="555E7103"/>
    <w:rsid w:val="5562D7B8"/>
    <w:rsid w:val="5564390B"/>
    <w:rsid w:val="5565E4CE"/>
    <w:rsid w:val="55683184"/>
    <w:rsid w:val="556843B5"/>
    <w:rsid w:val="556CED2C"/>
    <w:rsid w:val="556D1BC7"/>
    <w:rsid w:val="556EC0A5"/>
    <w:rsid w:val="55738E24"/>
    <w:rsid w:val="55750312"/>
    <w:rsid w:val="55750906"/>
    <w:rsid w:val="5577A299"/>
    <w:rsid w:val="557B49CD"/>
    <w:rsid w:val="55843DD4"/>
    <w:rsid w:val="558BEACD"/>
    <w:rsid w:val="55901931"/>
    <w:rsid w:val="55916E36"/>
    <w:rsid w:val="5595D084"/>
    <w:rsid w:val="55961806"/>
    <w:rsid w:val="55976B6C"/>
    <w:rsid w:val="559A1E6A"/>
    <w:rsid w:val="559A6516"/>
    <w:rsid w:val="559CC2B9"/>
    <w:rsid w:val="559E199D"/>
    <w:rsid w:val="55A256A3"/>
    <w:rsid w:val="55A8D327"/>
    <w:rsid w:val="55AB2F75"/>
    <w:rsid w:val="55ABF935"/>
    <w:rsid w:val="55AC308F"/>
    <w:rsid w:val="55AD5CFC"/>
    <w:rsid w:val="55AE2CDB"/>
    <w:rsid w:val="55B30B28"/>
    <w:rsid w:val="55B40BE5"/>
    <w:rsid w:val="55B9EFF7"/>
    <w:rsid w:val="55BDF935"/>
    <w:rsid w:val="55C4768D"/>
    <w:rsid w:val="55C6450F"/>
    <w:rsid w:val="55C64E91"/>
    <w:rsid w:val="55C8A3E5"/>
    <w:rsid w:val="55C93A4C"/>
    <w:rsid w:val="55CBA118"/>
    <w:rsid w:val="55D3354D"/>
    <w:rsid w:val="55D9B12C"/>
    <w:rsid w:val="55DAC7DF"/>
    <w:rsid w:val="55DAD39B"/>
    <w:rsid w:val="55E0A95A"/>
    <w:rsid w:val="55E25AF2"/>
    <w:rsid w:val="55E31F01"/>
    <w:rsid w:val="55E753E9"/>
    <w:rsid w:val="55E80769"/>
    <w:rsid w:val="55ED3026"/>
    <w:rsid w:val="55F27174"/>
    <w:rsid w:val="55F44EE5"/>
    <w:rsid w:val="55F7F3E3"/>
    <w:rsid w:val="55FE1E8E"/>
    <w:rsid w:val="56016D61"/>
    <w:rsid w:val="5607EA4A"/>
    <w:rsid w:val="560AD7C8"/>
    <w:rsid w:val="560C4807"/>
    <w:rsid w:val="5610C1C7"/>
    <w:rsid w:val="5611EDAC"/>
    <w:rsid w:val="5615EDCE"/>
    <w:rsid w:val="56182A99"/>
    <w:rsid w:val="561858AF"/>
    <w:rsid w:val="561B96C4"/>
    <w:rsid w:val="562F9025"/>
    <w:rsid w:val="5631D033"/>
    <w:rsid w:val="563667E0"/>
    <w:rsid w:val="56391DD2"/>
    <w:rsid w:val="563A9CD6"/>
    <w:rsid w:val="563E87F5"/>
    <w:rsid w:val="5642BC9D"/>
    <w:rsid w:val="5642D46A"/>
    <w:rsid w:val="56437882"/>
    <w:rsid w:val="564A3AE7"/>
    <w:rsid w:val="564A80CA"/>
    <w:rsid w:val="564B2474"/>
    <w:rsid w:val="564DB615"/>
    <w:rsid w:val="564DFD94"/>
    <w:rsid w:val="564F6FE2"/>
    <w:rsid w:val="5659E931"/>
    <w:rsid w:val="5660FBDB"/>
    <w:rsid w:val="566325EB"/>
    <w:rsid w:val="56647004"/>
    <w:rsid w:val="56660735"/>
    <w:rsid w:val="5666BD95"/>
    <w:rsid w:val="566DFCA2"/>
    <w:rsid w:val="5670D989"/>
    <w:rsid w:val="567191BF"/>
    <w:rsid w:val="56787311"/>
    <w:rsid w:val="56799FC8"/>
    <w:rsid w:val="567C8A35"/>
    <w:rsid w:val="567FF38A"/>
    <w:rsid w:val="5681470B"/>
    <w:rsid w:val="568207A2"/>
    <w:rsid w:val="56852D9E"/>
    <w:rsid w:val="5687107C"/>
    <w:rsid w:val="5687A9D9"/>
    <w:rsid w:val="5689779E"/>
    <w:rsid w:val="569242DA"/>
    <w:rsid w:val="569706AF"/>
    <w:rsid w:val="569E0353"/>
    <w:rsid w:val="56A6150F"/>
    <w:rsid w:val="56A842AF"/>
    <w:rsid w:val="56A9D5F3"/>
    <w:rsid w:val="56AABE22"/>
    <w:rsid w:val="56ACD1EA"/>
    <w:rsid w:val="56AF9A3E"/>
    <w:rsid w:val="56B1FED2"/>
    <w:rsid w:val="56B38572"/>
    <w:rsid w:val="56B6CB40"/>
    <w:rsid w:val="56BCDEE5"/>
    <w:rsid w:val="56BD045A"/>
    <w:rsid w:val="56BDE41B"/>
    <w:rsid w:val="56BFA5B1"/>
    <w:rsid w:val="56C0594A"/>
    <w:rsid w:val="56C2A42E"/>
    <w:rsid w:val="56C85A86"/>
    <w:rsid w:val="56CB6BF3"/>
    <w:rsid w:val="56CBE7CC"/>
    <w:rsid w:val="56D444C0"/>
    <w:rsid w:val="56D5A5FA"/>
    <w:rsid w:val="56D7BBA4"/>
    <w:rsid w:val="56D8F34D"/>
    <w:rsid w:val="56DA4B5A"/>
    <w:rsid w:val="56DDD111"/>
    <w:rsid w:val="56E0D5C0"/>
    <w:rsid w:val="56E23286"/>
    <w:rsid w:val="56E4236D"/>
    <w:rsid w:val="56E42FB1"/>
    <w:rsid w:val="56E94314"/>
    <w:rsid w:val="56E97A19"/>
    <w:rsid w:val="56ECA16C"/>
    <w:rsid w:val="56EFC4DD"/>
    <w:rsid w:val="56F0311A"/>
    <w:rsid w:val="56F244C7"/>
    <w:rsid w:val="56F8CD42"/>
    <w:rsid w:val="56FB49AC"/>
    <w:rsid w:val="56FB69F6"/>
    <w:rsid w:val="5701D8FB"/>
    <w:rsid w:val="570236E0"/>
    <w:rsid w:val="57060A76"/>
    <w:rsid w:val="570762CC"/>
    <w:rsid w:val="570B6B14"/>
    <w:rsid w:val="570C74DF"/>
    <w:rsid w:val="570DA900"/>
    <w:rsid w:val="571898BE"/>
    <w:rsid w:val="571BABAB"/>
    <w:rsid w:val="571DC478"/>
    <w:rsid w:val="572F4741"/>
    <w:rsid w:val="5731B6A8"/>
    <w:rsid w:val="573676AE"/>
    <w:rsid w:val="5737B775"/>
    <w:rsid w:val="573CE715"/>
    <w:rsid w:val="573E313D"/>
    <w:rsid w:val="574143EE"/>
    <w:rsid w:val="5742D41D"/>
    <w:rsid w:val="5748C3D1"/>
    <w:rsid w:val="574B0BBF"/>
    <w:rsid w:val="574E0596"/>
    <w:rsid w:val="57518260"/>
    <w:rsid w:val="575A1C75"/>
    <w:rsid w:val="575A4ECE"/>
    <w:rsid w:val="575A9786"/>
    <w:rsid w:val="575CB313"/>
    <w:rsid w:val="57629059"/>
    <w:rsid w:val="5764433F"/>
    <w:rsid w:val="5766C74F"/>
    <w:rsid w:val="576B4DD5"/>
    <w:rsid w:val="576B9035"/>
    <w:rsid w:val="576C28BD"/>
    <w:rsid w:val="576D1878"/>
    <w:rsid w:val="576D41A6"/>
    <w:rsid w:val="5775E974"/>
    <w:rsid w:val="5776AD97"/>
    <w:rsid w:val="57795342"/>
    <w:rsid w:val="577A122E"/>
    <w:rsid w:val="577BF992"/>
    <w:rsid w:val="577D76F3"/>
    <w:rsid w:val="57848E44"/>
    <w:rsid w:val="578712F6"/>
    <w:rsid w:val="57887D7E"/>
    <w:rsid w:val="578CA3B7"/>
    <w:rsid w:val="578CADEC"/>
    <w:rsid w:val="578F9549"/>
    <w:rsid w:val="5793046A"/>
    <w:rsid w:val="5799893F"/>
    <w:rsid w:val="579DC952"/>
    <w:rsid w:val="579F50DE"/>
    <w:rsid w:val="57A513FD"/>
    <w:rsid w:val="57B73307"/>
    <w:rsid w:val="57B91360"/>
    <w:rsid w:val="57BE1C2E"/>
    <w:rsid w:val="57C43556"/>
    <w:rsid w:val="57C5653C"/>
    <w:rsid w:val="57C88153"/>
    <w:rsid w:val="57CBDB14"/>
    <w:rsid w:val="57CC7775"/>
    <w:rsid w:val="57CDDA84"/>
    <w:rsid w:val="57CE4F5A"/>
    <w:rsid w:val="57CF4017"/>
    <w:rsid w:val="57D7326A"/>
    <w:rsid w:val="57DA0C3A"/>
    <w:rsid w:val="57DCE7E6"/>
    <w:rsid w:val="57DF4425"/>
    <w:rsid w:val="57DFDAE0"/>
    <w:rsid w:val="57E13BC9"/>
    <w:rsid w:val="57E348FF"/>
    <w:rsid w:val="57E389AE"/>
    <w:rsid w:val="57E43D6F"/>
    <w:rsid w:val="57EC069F"/>
    <w:rsid w:val="57EDDBAD"/>
    <w:rsid w:val="57EFF71B"/>
    <w:rsid w:val="57F1FB99"/>
    <w:rsid w:val="57F62D31"/>
    <w:rsid w:val="57FF421D"/>
    <w:rsid w:val="5806AEB6"/>
    <w:rsid w:val="5808387B"/>
    <w:rsid w:val="580CCDAF"/>
    <w:rsid w:val="581175A3"/>
    <w:rsid w:val="58117796"/>
    <w:rsid w:val="5818CEF9"/>
    <w:rsid w:val="58243BA7"/>
    <w:rsid w:val="5828963A"/>
    <w:rsid w:val="582AFA49"/>
    <w:rsid w:val="582FC276"/>
    <w:rsid w:val="5834C9EE"/>
    <w:rsid w:val="5834EE0A"/>
    <w:rsid w:val="583CC112"/>
    <w:rsid w:val="583D3164"/>
    <w:rsid w:val="583FA869"/>
    <w:rsid w:val="58410629"/>
    <w:rsid w:val="5843A7CD"/>
    <w:rsid w:val="5843F860"/>
    <w:rsid w:val="5844AF86"/>
    <w:rsid w:val="58475957"/>
    <w:rsid w:val="584ACE28"/>
    <w:rsid w:val="58526654"/>
    <w:rsid w:val="5853C88C"/>
    <w:rsid w:val="5855BE4E"/>
    <w:rsid w:val="585985E2"/>
    <w:rsid w:val="5859AC63"/>
    <w:rsid w:val="585AE85A"/>
    <w:rsid w:val="585C88A7"/>
    <w:rsid w:val="585D0631"/>
    <w:rsid w:val="58604FD7"/>
    <w:rsid w:val="5863301E"/>
    <w:rsid w:val="5869832B"/>
    <w:rsid w:val="586ACD37"/>
    <w:rsid w:val="586B45FA"/>
    <w:rsid w:val="586C13D4"/>
    <w:rsid w:val="586EAE83"/>
    <w:rsid w:val="587147E6"/>
    <w:rsid w:val="58743B4C"/>
    <w:rsid w:val="5874D9CE"/>
    <w:rsid w:val="58774C51"/>
    <w:rsid w:val="587AC452"/>
    <w:rsid w:val="587B04B9"/>
    <w:rsid w:val="587BD3F8"/>
    <w:rsid w:val="587D3E52"/>
    <w:rsid w:val="587D97D6"/>
    <w:rsid w:val="58807AD1"/>
    <w:rsid w:val="588691AA"/>
    <w:rsid w:val="588B88AB"/>
    <w:rsid w:val="588CFF71"/>
    <w:rsid w:val="588ED3AB"/>
    <w:rsid w:val="588FE3A9"/>
    <w:rsid w:val="5893842A"/>
    <w:rsid w:val="58947A71"/>
    <w:rsid w:val="58953F6C"/>
    <w:rsid w:val="5899D1B6"/>
    <w:rsid w:val="589C2D9B"/>
    <w:rsid w:val="589C311E"/>
    <w:rsid w:val="589D69DE"/>
    <w:rsid w:val="589DDF67"/>
    <w:rsid w:val="58A145A1"/>
    <w:rsid w:val="58A29780"/>
    <w:rsid w:val="58A5B486"/>
    <w:rsid w:val="58AA28A4"/>
    <w:rsid w:val="58AAC7D6"/>
    <w:rsid w:val="58ABDC24"/>
    <w:rsid w:val="58B009CD"/>
    <w:rsid w:val="58B045DD"/>
    <w:rsid w:val="58B0DF92"/>
    <w:rsid w:val="58B3836C"/>
    <w:rsid w:val="58B4AD67"/>
    <w:rsid w:val="58B5303E"/>
    <w:rsid w:val="58B7B405"/>
    <w:rsid w:val="58B80055"/>
    <w:rsid w:val="58BD029C"/>
    <w:rsid w:val="58C56EB6"/>
    <w:rsid w:val="58C5AFEC"/>
    <w:rsid w:val="58C663CC"/>
    <w:rsid w:val="58C6745B"/>
    <w:rsid w:val="58C7C277"/>
    <w:rsid w:val="58CBB0E0"/>
    <w:rsid w:val="58D1A5C9"/>
    <w:rsid w:val="58D27FE1"/>
    <w:rsid w:val="58D36C9E"/>
    <w:rsid w:val="58D547B7"/>
    <w:rsid w:val="58D603A0"/>
    <w:rsid w:val="58D673E6"/>
    <w:rsid w:val="58D70DC0"/>
    <w:rsid w:val="58D7C928"/>
    <w:rsid w:val="58D88F1B"/>
    <w:rsid w:val="58DC64FB"/>
    <w:rsid w:val="58DD4F57"/>
    <w:rsid w:val="58DE021E"/>
    <w:rsid w:val="58E260C3"/>
    <w:rsid w:val="58E5B608"/>
    <w:rsid w:val="58E64525"/>
    <w:rsid w:val="58E6C162"/>
    <w:rsid w:val="58E6FA08"/>
    <w:rsid w:val="58E7D425"/>
    <w:rsid w:val="58EC5A16"/>
    <w:rsid w:val="58EC773F"/>
    <w:rsid w:val="58F04AD7"/>
    <w:rsid w:val="58F0656E"/>
    <w:rsid w:val="58F4C814"/>
    <w:rsid w:val="58F5E364"/>
    <w:rsid w:val="58F69AC2"/>
    <w:rsid w:val="58F93D0A"/>
    <w:rsid w:val="58FC7D15"/>
    <w:rsid w:val="58FE82BA"/>
    <w:rsid w:val="58FF5B6D"/>
    <w:rsid w:val="590B8D8C"/>
    <w:rsid w:val="590B9C78"/>
    <w:rsid w:val="590C8F13"/>
    <w:rsid w:val="590CD108"/>
    <w:rsid w:val="590D2F0D"/>
    <w:rsid w:val="591738CB"/>
    <w:rsid w:val="591AD71B"/>
    <w:rsid w:val="591BD03D"/>
    <w:rsid w:val="592272BA"/>
    <w:rsid w:val="5926BF3A"/>
    <w:rsid w:val="59274FFC"/>
    <w:rsid w:val="592CCF5B"/>
    <w:rsid w:val="592F376D"/>
    <w:rsid w:val="59301F00"/>
    <w:rsid w:val="59303BDC"/>
    <w:rsid w:val="5931A224"/>
    <w:rsid w:val="5932D937"/>
    <w:rsid w:val="5933CF25"/>
    <w:rsid w:val="593510F5"/>
    <w:rsid w:val="5935D665"/>
    <w:rsid w:val="593814C2"/>
    <w:rsid w:val="59399835"/>
    <w:rsid w:val="5939AEA0"/>
    <w:rsid w:val="593E2A0A"/>
    <w:rsid w:val="594323F5"/>
    <w:rsid w:val="59451A24"/>
    <w:rsid w:val="594D9B83"/>
    <w:rsid w:val="595253CC"/>
    <w:rsid w:val="59538997"/>
    <w:rsid w:val="595864FF"/>
    <w:rsid w:val="595B55CD"/>
    <w:rsid w:val="59612334"/>
    <w:rsid w:val="59626A45"/>
    <w:rsid w:val="59650FA7"/>
    <w:rsid w:val="596CDDAB"/>
    <w:rsid w:val="59700CB4"/>
    <w:rsid w:val="597262B1"/>
    <w:rsid w:val="59738018"/>
    <w:rsid w:val="5973FDB9"/>
    <w:rsid w:val="59783B60"/>
    <w:rsid w:val="59797D82"/>
    <w:rsid w:val="597B80DB"/>
    <w:rsid w:val="597F0BC7"/>
    <w:rsid w:val="59825027"/>
    <w:rsid w:val="59834584"/>
    <w:rsid w:val="5987947C"/>
    <w:rsid w:val="59879DDD"/>
    <w:rsid w:val="5988A687"/>
    <w:rsid w:val="5989D793"/>
    <w:rsid w:val="598B451C"/>
    <w:rsid w:val="598EFAA1"/>
    <w:rsid w:val="5990AE53"/>
    <w:rsid w:val="5995E666"/>
    <w:rsid w:val="59985EC5"/>
    <w:rsid w:val="59998D93"/>
    <w:rsid w:val="5999E00D"/>
    <w:rsid w:val="599AE474"/>
    <w:rsid w:val="599F52E2"/>
    <w:rsid w:val="59A3034D"/>
    <w:rsid w:val="59A331AD"/>
    <w:rsid w:val="59A53814"/>
    <w:rsid w:val="59A7873E"/>
    <w:rsid w:val="59AE6458"/>
    <w:rsid w:val="59AFA983"/>
    <w:rsid w:val="59B28493"/>
    <w:rsid w:val="59B74457"/>
    <w:rsid w:val="59BB6292"/>
    <w:rsid w:val="59BF4F5D"/>
    <w:rsid w:val="59CB92ED"/>
    <w:rsid w:val="59CC2BDF"/>
    <w:rsid w:val="59CE46E2"/>
    <w:rsid w:val="59CE88E8"/>
    <w:rsid w:val="59CF9384"/>
    <w:rsid w:val="59D7838D"/>
    <w:rsid w:val="59D7A1FC"/>
    <w:rsid w:val="59DCCA6C"/>
    <w:rsid w:val="59E324AA"/>
    <w:rsid w:val="59E3CB82"/>
    <w:rsid w:val="59E489F3"/>
    <w:rsid w:val="59E4D0B5"/>
    <w:rsid w:val="59E52A2C"/>
    <w:rsid w:val="59EA87AA"/>
    <w:rsid w:val="59ECDBB3"/>
    <w:rsid w:val="59F0B5EB"/>
    <w:rsid w:val="59F399E7"/>
    <w:rsid w:val="59F3D18F"/>
    <w:rsid w:val="59F5F514"/>
    <w:rsid w:val="59F703E1"/>
    <w:rsid w:val="59F78B16"/>
    <w:rsid w:val="59FAF6A2"/>
    <w:rsid w:val="59FC94C1"/>
    <w:rsid w:val="59FE2791"/>
    <w:rsid w:val="59FF5B17"/>
    <w:rsid w:val="5A00BF27"/>
    <w:rsid w:val="5A068EA5"/>
    <w:rsid w:val="5A09D411"/>
    <w:rsid w:val="5A0A36BE"/>
    <w:rsid w:val="5A0DB9CE"/>
    <w:rsid w:val="5A0E4AE0"/>
    <w:rsid w:val="5A122937"/>
    <w:rsid w:val="5A148C8C"/>
    <w:rsid w:val="5A1557EE"/>
    <w:rsid w:val="5A165F6D"/>
    <w:rsid w:val="5A16D672"/>
    <w:rsid w:val="5A178270"/>
    <w:rsid w:val="5A1C60CF"/>
    <w:rsid w:val="5A1E4B24"/>
    <w:rsid w:val="5A1F2E22"/>
    <w:rsid w:val="5A21583E"/>
    <w:rsid w:val="5A21D0C5"/>
    <w:rsid w:val="5A259D91"/>
    <w:rsid w:val="5A294FF5"/>
    <w:rsid w:val="5A2BD42B"/>
    <w:rsid w:val="5A347D77"/>
    <w:rsid w:val="5A356327"/>
    <w:rsid w:val="5A3B44C8"/>
    <w:rsid w:val="5A42CC92"/>
    <w:rsid w:val="5A434F87"/>
    <w:rsid w:val="5A443298"/>
    <w:rsid w:val="5A4C26B4"/>
    <w:rsid w:val="5A4C65E5"/>
    <w:rsid w:val="5A52AA99"/>
    <w:rsid w:val="5A5CBD43"/>
    <w:rsid w:val="5A5DC1B4"/>
    <w:rsid w:val="5A5F1112"/>
    <w:rsid w:val="5A6148EA"/>
    <w:rsid w:val="5A61D643"/>
    <w:rsid w:val="5A65F8BE"/>
    <w:rsid w:val="5A686148"/>
    <w:rsid w:val="5A6C1959"/>
    <w:rsid w:val="5A6C2489"/>
    <w:rsid w:val="5A74D02B"/>
    <w:rsid w:val="5A7563A6"/>
    <w:rsid w:val="5A767482"/>
    <w:rsid w:val="5A7AAF60"/>
    <w:rsid w:val="5A7D07CC"/>
    <w:rsid w:val="5A806DEE"/>
    <w:rsid w:val="5A827E60"/>
    <w:rsid w:val="5A87511F"/>
    <w:rsid w:val="5A8F065B"/>
    <w:rsid w:val="5A917279"/>
    <w:rsid w:val="5A91BD95"/>
    <w:rsid w:val="5A924C39"/>
    <w:rsid w:val="5A9301B8"/>
    <w:rsid w:val="5A959023"/>
    <w:rsid w:val="5A9B3D74"/>
    <w:rsid w:val="5A9F1BD9"/>
    <w:rsid w:val="5AA7823C"/>
    <w:rsid w:val="5AA8066D"/>
    <w:rsid w:val="5AA83525"/>
    <w:rsid w:val="5AAE46C3"/>
    <w:rsid w:val="5AB11B78"/>
    <w:rsid w:val="5AB28E79"/>
    <w:rsid w:val="5AB29848"/>
    <w:rsid w:val="5AB35B03"/>
    <w:rsid w:val="5AB4166B"/>
    <w:rsid w:val="5AB4246E"/>
    <w:rsid w:val="5AB42B92"/>
    <w:rsid w:val="5ABAC3D3"/>
    <w:rsid w:val="5AC62ECA"/>
    <w:rsid w:val="5AC6B1BD"/>
    <w:rsid w:val="5AC75B28"/>
    <w:rsid w:val="5AD07944"/>
    <w:rsid w:val="5AD7252B"/>
    <w:rsid w:val="5AE2C1A6"/>
    <w:rsid w:val="5AE5B45C"/>
    <w:rsid w:val="5AE8B599"/>
    <w:rsid w:val="5AEEB0A8"/>
    <w:rsid w:val="5AEF8D67"/>
    <w:rsid w:val="5AF42338"/>
    <w:rsid w:val="5AF61A8A"/>
    <w:rsid w:val="5AF628F9"/>
    <w:rsid w:val="5AF7F87A"/>
    <w:rsid w:val="5AF87E06"/>
    <w:rsid w:val="5AFDD121"/>
    <w:rsid w:val="5AFF7931"/>
    <w:rsid w:val="5B032480"/>
    <w:rsid w:val="5B05931A"/>
    <w:rsid w:val="5B060F13"/>
    <w:rsid w:val="5B06AAA7"/>
    <w:rsid w:val="5B0A4F1C"/>
    <w:rsid w:val="5B0B58FB"/>
    <w:rsid w:val="5B0BC543"/>
    <w:rsid w:val="5B113F02"/>
    <w:rsid w:val="5B159243"/>
    <w:rsid w:val="5B1DAC4A"/>
    <w:rsid w:val="5B2234C4"/>
    <w:rsid w:val="5B258EE4"/>
    <w:rsid w:val="5B30FDDB"/>
    <w:rsid w:val="5B32E8FD"/>
    <w:rsid w:val="5B33DB81"/>
    <w:rsid w:val="5B35FFE4"/>
    <w:rsid w:val="5B3B5461"/>
    <w:rsid w:val="5B3D7449"/>
    <w:rsid w:val="5B3EA3D4"/>
    <w:rsid w:val="5B44BC49"/>
    <w:rsid w:val="5B45EDAC"/>
    <w:rsid w:val="5B486F60"/>
    <w:rsid w:val="5B49E191"/>
    <w:rsid w:val="5B4D18C4"/>
    <w:rsid w:val="5B4FCB5C"/>
    <w:rsid w:val="5B502AA0"/>
    <w:rsid w:val="5B533D21"/>
    <w:rsid w:val="5B5CAF37"/>
    <w:rsid w:val="5B61819E"/>
    <w:rsid w:val="5B64B701"/>
    <w:rsid w:val="5B65C19E"/>
    <w:rsid w:val="5B6D5B78"/>
    <w:rsid w:val="5B6EC7E6"/>
    <w:rsid w:val="5B6EFBF9"/>
    <w:rsid w:val="5B70EAA2"/>
    <w:rsid w:val="5B72963D"/>
    <w:rsid w:val="5B75B711"/>
    <w:rsid w:val="5B7999F5"/>
    <w:rsid w:val="5B7D6F3A"/>
    <w:rsid w:val="5B7F2844"/>
    <w:rsid w:val="5B83BA68"/>
    <w:rsid w:val="5B86EBA0"/>
    <w:rsid w:val="5B898067"/>
    <w:rsid w:val="5B89A21D"/>
    <w:rsid w:val="5B89AFFC"/>
    <w:rsid w:val="5B8E30F8"/>
    <w:rsid w:val="5B90BD54"/>
    <w:rsid w:val="5B92EE8F"/>
    <w:rsid w:val="5B93669C"/>
    <w:rsid w:val="5B94A9DB"/>
    <w:rsid w:val="5B96C56B"/>
    <w:rsid w:val="5B96CC07"/>
    <w:rsid w:val="5B9EEC20"/>
    <w:rsid w:val="5BAC0E48"/>
    <w:rsid w:val="5BACA348"/>
    <w:rsid w:val="5BAEC8F2"/>
    <w:rsid w:val="5BB02B5A"/>
    <w:rsid w:val="5BB24853"/>
    <w:rsid w:val="5BB265F3"/>
    <w:rsid w:val="5BB2A6D3"/>
    <w:rsid w:val="5BBA2085"/>
    <w:rsid w:val="5BBBD078"/>
    <w:rsid w:val="5BBDBD35"/>
    <w:rsid w:val="5BBF75D9"/>
    <w:rsid w:val="5BC1748C"/>
    <w:rsid w:val="5BCB6EE5"/>
    <w:rsid w:val="5BCBCB5E"/>
    <w:rsid w:val="5BD3054C"/>
    <w:rsid w:val="5BD5F028"/>
    <w:rsid w:val="5BDB4C58"/>
    <w:rsid w:val="5BDD2274"/>
    <w:rsid w:val="5BE0DB6A"/>
    <w:rsid w:val="5BE0EB54"/>
    <w:rsid w:val="5BE616CF"/>
    <w:rsid w:val="5BF0B4C0"/>
    <w:rsid w:val="5BF14E48"/>
    <w:rsid w:val="5BF1C1E5"/>
    <w:rsid w:val="5BF383E7"/>
    <w:rsid w:val="5BF475E2"/>
    <w:rsid w:val="5BF7EB17"/>
    <w:rsid w:val="5BF87D5A"/>
    <w:rsid w:val="5BFC8D11"/>
    <w:rsid w:val="5BFCB89C"/>
    <w:rsid w:val="5C080823"/>
    <w:rsid w:val="5C095260"/>
    <w:rsid w:val="5C09CE96"/>
    <w:rsid w:val="5C0C961D"/>
    <w:rsid w:val="5C0DF819"/>
    <w:rsid w:val="5C13CBD7"/>
    <w:rsid w:val="5C187C39"/>
    <w:rsid w:val="5C1AD382"/>
    <w:rsid w:val="5C1BFD66"/>
    <w:rsid w:val="5C230AF5"/>
    <w:rsid w:val="5C27A427"/>
    <w:rsid w:val="5C2A6A98"/>
    <w:rsid w:val="5C2A7ADA"/>
    <w:rsid w:val="5C3F41FD"/>
    <w:rsid w:val="5C3FCDCB"/>
    <w:rsid w:val="5C4076A2"/>
    <w:rsid w:val="5C42F909"/>
    <w:rsid w:val="5C44EECC"/>
    <w:rsid w:val="5C468E55"/>
    <w:rsid w:val="5C470676"/>
    <w:rsid w:val="5C52515E"/>
    <w:rsid w:val="5C5591B5"/>
    <w:rsid w:val="5C5957EF"/>
    <w:rsid w:val="5C59EAF3"/>
    <w:rsid w:val="5C5A9F58"/>
    <w:rsid w:val="5C5B58A8"/>
    <w:rsid w:val="5C5BC93E"/>
    <w:rsid w:val="5C5F90AA"/>
    <w:rsid w:val="5C6008DF"/>
    <w:rsid w:val="5C612615"/>
    <w:rsid w:val="5C61A8A1"/>
    <w:rsid w:val="5C640148"/>
    <w:rsid w:val="5C6426CD"/>
    <w:rsid w:val="5C6433CE"/>
    <w:rsid w:val="5C666A80"/>
    <w:rsid w:val="5C667176"/>
    <w:rsid w:val="5C6796C1"/>
    <w:rsid w:val="5C6A286E"/>
    <w:rsid w:val="5C71BCC5"/>
    <w:rsid w:val="5C72EB97"/>
    <w:rsid w:val="5C7351B0"/>
    <w:rsid w:val="5C73F814"/>
    <w:rsid w:val="5C7C772A"/>
    <w:rsid w:val="5C7FA54F"/>
    <w:rsid w:val="5C8128C6"/>
    <w:rsid w:val="5C81310C"/>
    <w:rsid w:val="5C880E19"/>
    <w:rsid w:val="5C8A8A2C"/>
    <w:rsid w:val="5C8BB342"/>
    <w:rsid w:val="5C93F639"/>
    <w:rsid w:val="5C95ADA2"/>
    <w:rsid w:val="5C95FF61"/>
    <w:rsid w:val="5C9984C8"/>
    <w:rsid w:val="5C9B08F4"/>
    <w:rsid w:val="5C9B588E"/>
    <w:rsid w:val="5C9DA2C8"/>
    <w:rsid w:val="5C9EB37E"/>
    <w:rsid w:val="5CA0536E"/>
    <w:rsid w:val="5CA96BFB"/>
    <w:rsid w:val="5CA9F82D"/>
    <w:rsid w:val="5CAA146A"/>
    <w:rsid w:val="5CAB9860"/>
    <w:rsid w:val="5CACADC3"/>
    <w:rsid w:val="5CAD162F"/>
    <w:rsid w:val="5CAD1823"/>
    <w:rsid w:val="5CAE2F63"/>
    <w:rsid w:val="5CAEE725"/>
    <w:rsid w:val="5CB4516F"/>
    <w:rsid w:val="5CB50C07"/>
    <w:rsid w:val="5CB9EEE6"/>
    <w:rsid w:val="5CBBB9A4"/>
    <w:rsid w:val="5CBCA560"/>
    <w:rsid w:val="5CBD2FA6"/>
    <w:rsid w:val="5CBDA935"/>
    <w:rsid w:val="5CC0F95D"/>
    <w:rsid w:val="5CC24951"/>
    <w:rsid w:val="5CC3ADBD"/>
    <w:rsid w:val="5CC67901"/>
    <w:rsid w:val="5CCA252B"/>
    <w:rsid w:val="5CCA35E9"/>
    <w:rsid w:val="5CCD38B6"/>
    <w:rsid w:val="5CCD92C8"/>
    <w:rsid w:val="5CDD1720"/>
    <w:rsid w:val="5CE1F5F8"/>
    <w:rsid w:val="5CE557C4"/>
    <w:rsid w:val="5CFF54F3"/>
    <w:rsid w:val="5D024FEA"/>
    <w:rsid w:val="5D071ABE"/>
    <w:rsid w:val="5D0D5003"/>
    <w:rsid w:val="5D0D5B51"/>
    <w:rsid w:val="5D10DA45"/>
    <w:rsid w:val="5D186530"/>
    <w:rsid w:val="5D1988D9"/>
    <w:rsid w:val="5D19ED45"/>
    <w:rsid w:val="5D1ECFAE"/>
    <w:rsid w:val="5D24CF5E"/>
    <w:rsid w:val="5D275C5F"/>
    <w:rsid w:val="5D29660B"/>
    <w:rsid w:val="5D29A240"/>
    <w:rsid w:val="5D29B919"/>
    <w:rsid w:val="5D2A4EAD"/>
    <w:rsid w:val="5D2C1184"/>
    <w:rsid w:val="5D2D019C"/>
    <w:rsid w:val="5D2FACB8"/>
    <w:rsid w:val="5D3165FE"/>
    <w:rsid w:val="5D33776F"/>
    <w:rsid w:val="5D37BEE5"/>
    <w:rsid w:val="5D391058"/>
    <w:rsid w:val="5D3A2307"/>
    <w:rsid w:val="5D3DF358"/>
    <w:rsid w:val="5D4314B4"/>
    <w:rsid w:val="5D43A153"/>
    <w:rsid w:val="5D43C025"/>
    <w:rsid w:val="5D511814"/>
    <w:rsid w:val="5D56A08D"/>
    <w:rsid w:val="5D56F41B"/>
    <w:rsid w:val="5D5755D4"/>
    <w:rsid w:val="5D5FF490"/>
    <w:rsid w:val="5D631696"/>
    <w:rsid w:val="5D6B36CD"/>
    <w:rsid w:val="5D6B5896"/>
    <w:rsid w:val="5D6B9C4F"/>
    <w:rsid w:val="5D6CDD7C"/>
    <w:rsid w:val="5D6DB9BC"/>
    <w:rsid w:val="5D6E759C"/>
    <w:rsid w:val="5D72958A"/>
    <w:rsid w:val="5D77D8C9"/>
    <w:rsid w:val="5D7D545B"/>
    <w:rsid w:val="5D7F78BC"/>
    <w:rsid w:val="5D87346D"/>
    <w:rsid w:val="5D898396"/>
    <w:rsid w:val="5D8C6BC0"/>
    <w:rsid w:val="5D8E301C"/>
    <w:rsid w:val="5D923F33"/>
    <w:rsid w:val="5D9346CB"/>
    <w:rsid w:val="5D93911F"/>
    <w:rsid w:val="5D9C5755"/>
    <w:rsid w:val="5D9CF54E"/>
    <w:rsid w:val="5DA35476"/>
    <w:rsid w:val="5DA40282"/>
    <w:rsid w:val="5DA604E5"/>
    <w:rsid w:val="5DAFFCBE"/>
    <w:rsid w:val="5DB04B6E"/>
    <w:rsid w:val="5DB0A5E7"/>
    <w:rsid w:val="5DB4F3E2"/>
    <w:rsid w:val="5DB7F21B"/>
    <w:rsid w:val="5DB8F28C"/>
    <w:rsid w:val="5DBA1188"/>
    <w:rsid w:val="5DBDA7FB"/>
    <w:rsid w:val="5DBE6A03"/>
    <w:rsid w:val="5DC0B897"/>
    <w:rsid w:val="5DC3DA65"/>
    <w:rsid w:val="5DC4F74C"/>
    <w:rsid w:val="5DC55FE4"/>
    <w:rsid w:val="5DC59AF2"/>
    <w:rsid w:val="5DC69562"/>
    <w:rsid w:val="5DC9B707"/>
    <w:rsid w:val="5DCCEA3E"/>
    <w:rsid w:val="5DD242D1"/>
    <w:rsid w:val="5DD5D7B5"/>
    <w:rsid w:val="5DDCFFB2"/>
    <w:rsid w:val="5DEC7AE0"/>
    <w:rsid w:val="5DECD6C5"/>
    <w:rsid w:val="5DED5A43"/>
    <w:rsid w:val="5DEED2F9"/>
    <w:rsid w:val="5DEFB822"/>
    <w:rsid w:val="5DF14CA3"/>
    <w:rsid w:val="5DF466E2"/>
    <w:rsid w:val="5DF7AF0E"/>
    <w:rsid w:val="5DFC3E0D"/>
    <w:rsid w:val="5DFC9B0E"/>
    <w:rsid w:val="5DFD8117"/>
    <w:rsid w:val="5E0491D2"/>
    <w:rsid w:val="5E0A4366"/>
    <w:rsid w:val="5E0AF858"/>
    <w:rsid w:val="5E0D0BD2"/>
    <w:rsid w:val="5E1049AA"/>
    <w:rsid w:val="5E14A808"/>
    <w:rsid w:val="5E16B206"/>
    <w:rsid w:val="5E175CE4"/>
    <w:rsid w:val="5E19B788"/>
    <w:rsid w:val="5E1AA335"/>
    <w:rsid w:val="5E1B361B"/>
    <w:rsid w:val="5E1CB647"/>
    <w:rsid w:val="5E1CF424"/>
    <w:rsid w:val="5E1D2725"/>
    <w:rsid w:val="5E1F529D"/>
    <w:rsid w:val="5E2726C5"/>
    <w:rsid w:val="5E28C48A"/>
    <w:rsid w:val="5E2CC132"/>
    <w:rsid w:val="5E2D0C73"/>
    <w:rsid w:val="5E2E8BDF"/>
    <w:rsid w:val="5E2E9097"/>
    <w:rsid w:val="5E30A05A"/>
    <w:rsid w:val="5E36CEA4"/>
    <w:rsid w:val="5E373D21"/>
    <w:rsid w:val="5E398A6E"/>
    <w:rsid w:val="5E3B79CE"/>
    <w:rsid w:val="5E3E4BF0"/>
    <w:rsid w:val="5E4C64D4"/>
    <w:rsid w:val="5E4DFD5E"/>
    <w:rsid w:val="5E506190"/>
    <w:rsid w:val="5E553EEE"/>
    <w:rsid w:val="5E569C3F"/>
    <w:rsid w:val="5E59ABCC"/>
    <w:rsid w:val="5E5AC2EA"/>
    <w:rsid w:val="5E61A1B8"/>
    <w:rsid w:val="5E62B84F"/>
    <w:rsid w:val="5E644C95"/>
    <w:rsid w:val="5E646605"/>
    <w:rsid w:val="5E65A8B1"/>
    <w:rsid w:val="5E65AFAA"/>
    <w:rsid w:val="5E6A5E66"/>
    <w:rsid w:val="5E6B87C2"/>
    <w:rsid w:val="5E6D243E"/>
    <w:rsid w:val="5E6EDB39"/>
    <w:rsid w:val="5E7221F6"/>
    <w:rsid w:val="5E744FBC"/>
    <w:rsid w:val="5E74AF83"/>
    <w:rsid w:val="5E77B44C"/>
    <w:rsid w:val="5E7D0491"/>
    <w:rsid w:val="5E804123"/>
    <w:rsid w:val="5E88F176"/>
    <w:rsid w:val="5E8A8A7D"/>
    <w:rsid w:val="5E8C408F"/>
    <w:rsid w:val="5E8E5375"/>
    <w:rsid w:val="5E8E777C"/>
    <w:rsid w:val="5E8FC353"/>
    <w:rsid w:val="5E91EE00"/>
    <w:rsid w:val="5E9617EA"/>
    <w:rsid w:val="5E9A0272"/>
    <w:rsid w:val="5E9C0725"/>
    <w:rsid w:val="5E9E8BD4"/>
    <w:rsid w:val="5EA07C03"/>
    <w:rsid w:val="5EA166E6"/>
    <w:rsid w:val="5EA167FD"/>
    <w:rsid w:val="5EA1FACE"/>
    <w:rsid w:val="5EA27B3C"/>
    <w:rsid w:val="5EA76E7E"/>
    <w:rsid w:val="5EA83C77"/>
    <w:rsid w:val="5EAA5B5E"/>
    <w:rsid w:val="5EAC116D"/>
    <w:rsid w:val="5EACF472"/>
    <w:rsid w:val="5EAF6440"/>
    <w:rsid w:val="5EB06E5F"/>
    <w:rsid w:val="5EB881BD"/>
    <w:rsid w:val="5EBB5ACB"/>
    <w:rsid w:val="5EBE54FA"/>
    <w:rsid w:val="5EC01854"/>
    <w:rsid w:val="5EC11180"/>
    <w:rsid w:val="5EC28266"/>
    <w:rsid w:val="5EC6E390"/>
    <w:rsid w:val="5ECE9F60"/>
    <w:rsid w:val="5ED0DEF5"/>
    <w:rsid w:val="5EDA7867"/>
    <w:rsid w:val="5EDC0F54"/>
    <w:rsid w:val="5EE038ED"/>
    <w:rsid w:val="5EE60E43"/>
    <w:rsid w:val="5EE69E7F"/>
    <w:rsid w:val="5EE70150"/>
    <w:rsid w:val="5EE9CB8E"/>
    <w:rsid w:val="5EEAC70F"/>
    <w:rsid w:val="5EEC5ACC"/>
    <w:rsid w:val="5EED42E6"/>
    <w:rsid w:val="5EF06229"/>
    <w:rsid w:val="5EF2784E"/>
    <w:rsid w:val="5EF413B9"/>
    <w:rsid w:val="5EFF7509"/>
    <w:rsid w:val="5F00D897"/>
    <w:rsid w:val="5F0235E2"/>
    <w:rsid w:val="5F02EA4B"/>
    <w:rsid w:val="5F073BA2"/>
    <w:rsid w:val="5F084340"/>
    <w:rsid w:val="5F0BC48E"/>
    <w:rsid w:val="5F0DD7CB"/>
    <w:rsid w:val="5F0E0493"/>
    <w:rsid w:val="5F12771B"/>
    <w:rsid w:val="5F13B29A"/>
    <w:rsid w:val="5F1CFC68"/>
    <w:rsid w:val="5F1D5F41"/>
    <w:rsid w:val="5F1E8F62"/>
    <w:rsid w:val="5F1ECA32"/>
    <w:rsid w:val="5F1F23E0"/>
    <w:rsid w:val="5F205C32"/>
    <w:rsid w:val="5F209733"/>
    <w:rsid w:val="5F23451A"/>
    <w:rsid w:val="5F27C6D3"/>
    <w:rsid w:val="5F29012F"/>
    <w:rsid w:val="5F292741"/>
    <w:rsid w:val="5F29CB98"/>
    <w:rsid w:val="5F2A8AA2"/>
    <w:rsid w:val="5F2BDC55"/>
    <w:rsid w:val="5F2C5BD1"/>
    <w:rsid w:val="5F2F14AC"/>
    <w:rsid w:val="5F37A1A4"/>
    <w:rsid w:val="5F3913C1"/>
    <w:rsid w:val="5F3C0910"/>
    <w:rsid w:val="5F3CF0C4"/>
    <w:rsid w:val="5F4103C1"/>
    <w:rsid w:val="5F41EC10"/>
    <w:rsid w:val="5F43598F"/>
    <w:rsid w:val="5F443447"/>
    <w:rsid w:val="5F44AEF0"/>
    <w:rsid w:val="5F45D10C"/>
    <w:rsid w:val="5F4C8854"/>
    <w:rsid w:val="5F4D1473"/>
    <w:rsid w:val="5F4E319A"/>
    <w:rsid w:val="5F506200"/>
    <w:rsid w:val="5F50BB0D"/>
    <w:rsid w:val="5F51FEB5"/>
    <w:rsid w:val="5F5627D0"/>
    <w:rsid w:val="5F562C70"/>
    <w:rsid w:val="5F5E25B7"/>
    <w:rsid w:val="5F61C622"/>
    <w:rsid w:val="5F622FA5"/>
    <w:rsid w:val="5F650B4A"/>
    <w:rsid w:val="5F674E6B"/>
    <w:rsid w:val="5F677FB6"/>
    <w:rsid w:val="5F68C1E3"/>
    <w:rsid w:val="5F6D0846"/>
    <w:rsid w:val="5F6FA944"/>
    <w:rsid w:val="5F73ADB6"/>
    <w:rsid w:val="5F78A79E"/>
    <w:rsid w:val="5F7BE896"/>
    <w:rsid w:val="5F7DCCEB"/>
    <w:rsid w:val="5F7E4A9B"/>
    <w:rsid w:val="5F83B443"/>
    <w:rsid w:val="5F873000"/>
    <w:rsid w:val="5F87FF97"/>
    <w:rsid w:val="5F88489C"/>
    <w:rsid w:val="5F89B798"/>
    <w:rsid w:val="5F89F7B3"/>
    <w:rsid w:val="5F8F0027"/>
    <w:rsid w:val="5F8F0AEE"/>
    <w:rsid w:val="5F8F1010"/>
    <w:rsid w:val="5F90C55C"/>
    <w:rsid w:val="5F96683A"/>
    <w:rsid w:val="5F97D839"/>
    <w:rsid w:val="5FA0F270"/>
    <w:rsid w:val="5FA65F0C"/>
    <w:rsid w:val="5FA858D9"/>
    <w:rsid w:val="5FA9BAD2"/>
    <w:rsid w:val="5FAA14EE"/>
    <w:rsid w:val="5FAC3A0B"/>
    <w:rsid w:val="5FAD94EA"/>
    <w:rsid w:val="5FB36584"/>
    <w:rsid w:val="5FBB58CA"/>
    <w:rsid w:val="5FBC38ED"/>
    <w:rsid w:val="5FBD5D87"/>
    <w:rsid w:val="5FBF96AA"/>
    <w:rsid w:val="5FC163F0"/>
    <w:rsid w:val="5FC89151"/>
    <w:rsid w:val="5FCC327F"/>
    <w:rsid w:val="5FCCA30A"/>
    <w:rsid w:val="5FD43D77"/>
    <w:rsid w:val="5FD62C2B"/>
    <w:rsid w:val="5FD6FABE"/>
    <w:rsid w:val="5FDB10F4"/>
    <w:rsid w:val="5FDB500D"/>
    <w:rsid w:val="5FDDE97D"/>
    <w:rsid w:val="5FE00B54"/>
    <w:rsid w:val="5FE2924A"/>
    <w:rsid w:val="5FE70C00"/>
    <w:rsid w:val="5FE84DD5"/>
    <w:rsid w:val="5FEA1152"/>
    <w:rsid w:val="5FEC9F42"/>
    <w:rsid w:val="5FECDF6B"/>
    <w:rsid w:val="5FF1CCCE"/>
    <w:rsid w:val="5FF3D1D6"/>
    <w:rsid w:val="5FF40C2F"/>
    <w:rsid w:val="5FF843A6"/>
    <w:rsid w:val="5FF9BF91"/>
    <w:rsid w:val="5FFE3F55"/>
    <w:rsid w:val="5FFF8F5F"/>
    <w:rsid w:val="5FFFA7D3"/>
    <w:rsid w:val="6001D77A"/>
    <w:rsid w:val="6003AADF"/>
    <w:rsid w:val="6005369D"/>
    <w:rsid w:val="600606D9"/>
    <w:rsid w:val="600D913F"/>
    <w:rsid w:val="600E55EE"/>
    <w:rsid w:val="600FBB7B"/>
    <w:rsid w:val="60140BCD"/>
    <w:rsid w:val="6016437A"/>
    <w:rsid w:val="60166704"/>
    <w:rsid w:val="60195BAF"/>
    <w:rsid w:val="601AF0EC"/>
    <w:rsid w:val="602008BE"/>
    <w:rsid w:val="602316C6"/>
    <w:rsid w:val="6025A2A2"/>
    <w:rsid w:val="60279C87"/>
    <w:rsid w:val="6028982F"/>
    <w:rsid w:val="602E774A"/>
    <w:rsid w:val="602F67C6"/>
    <w:rsid w:val="60333FDD"/>
    <w:rsid w:val="6038AE4B"/>
    <w:rsid w:val="60394F78"/>
    <w:rsid w:val="603D937D"/>
    <w:rsid w:val="60420492"/>
    <w:rsid w:val="6046D99D"/>
    <w:rsid w:val="6046F854"/>
    <w:rsid w:val="604C3CEF"/>
    <w:rsid w:val="6053937C"/>
    <w:rsid w:val="6056B29B"/>
    <w:rsid w:val="605A5DB7"/>
    <w:rsid w:val="605CEF63"/>
    <w:rsid w:val="606457B9"/>
    <w:rsid w:val="6064AA17"/>
    <w:rsid w:val="6069C667"/>
    <w:rsid w:val="606E0815"/>
    <w:rsid w:val="606E8795"/>
    <w:rsid w:val="606EC3D9"/>
    <w:rsid w:val="6071E838"/>
    <w:rsid w:val="60729B0F"/>
    <w:rsid w:val="6075645E"/>
    <w:rsid w:val="6078EE0B"/>
    <w:rsid w:val="607944A6"/>
    <w:rsid w:val="607E82EF"/>
    <w:rsid w:val="607EF322"/>
    <w:rsid w:val="607F1A05"/>
    <w:rsid w:val="607F69E4"/>
    <w:rsid w:val="60802CDB"/>
    <w:rsid w:val="60805C96"/>
    <w:rsid w:val="60839BFF"/>
    <w:rsid w:val="60853ABE"/>
    <w:rsid w:val="608A3193"/>
    <w:rsid w:val="608A7F84"/>
    <w:rsid w:val="608D5DCB"/>
    <w:rsid w:val="6090FDDA"/>
    <w:rsid w:val="6094FE1F"/>
    <w:rsid w:val="6095996C"/>
    <w:rsid w:val="609A7ABD"/>
    <w:rsid w:val="609D21B5"/>
    <w:rsid w:val="609FC8C6"/>
    <w:rsid w:val="60A5E913"/>
    <w:rsid w:val="60AD12B3"/>
    <w:rsid w:val="60AD9158"/>
    <w:rsid w:val="60B2516F"/>
    <w:rsid w:val="60B3A14D"/>
    <w:rsid w:val="60BBE68D"/>
    <w:rsid w:val="60BCD342"/>
    <w:rsid w:val="60BD4A64"/>
    <w:rsid w:val="60BF9D79"/>
    <w:rsid w:val="60C0C7BA"/>
    <w:rsid w:val="60C697B1"/>
    <w:rsid w:val="60C790E8"/>
    <w:rsid w:val="60C7CA33"/>
    <w:rsid w:val="60C90FAF"/>
    <w:rsid w:val="60CAEF7D"/>
    <w:rsid w:val="60CB28D1"/>
    <w:rsid w:val="60CE0CEC"/>
    <w:rsid w:val="60CEE287"/>
    <w:rsid w:val="60D19D69"/>
    <w:rsid w:val="60D1AD27"/>
    <w:rsid w:val="60DAE3EF"/>
    <w:rsid w:val="60DD470B"/>
    <w:rsid w:val="60DE8D3B"/>
    <w:rsid w:val="60DFF73C"/>
    <w:rsid w:val="60E1D216"/>
    <w:rsid w:val="60E24147"/>
    <w:rsid w:val="60E31E39"/>
    <w:rsid w:val="60EB3586"/>
    <w:rsid w:val="60EE6933"/>
    <w:rsid w:val="60F22F8E"/>
    <w:rsid w:val="60F4A743"/>
    <w:rsid w:val="60F4A7AF"/>
    <w:rsid w:val="60FCA841"/>
    <w:rsid w:val="61000E17"/>
    <w:rsid w:val="6101F493"/>
    <w:rsid w:val="6103A2AE"/>
    <w:rsid w:val="610532F3"/>
    <w:rsid w:val="6108565A"/>
    <w:rsid w:val="610B3724"/>
    <w:rsid w:val="610B85E0"/>
    <w:rsid w:val="610CFE12"/>
    <w:rsid w:val="610F16A7"/>
    <w:rsid w:val="61105232"/>
    <w:rsid w:val="611074D8"/>
    <w:rsid w:val="6110F146"/>
    <w:rsid w:val="6110FA82"/>
    <w:rsid w:val="611AACEA"/>
    <w:rsid w:val="611BB4F7"/>
    <w:rsid w:val="611F4175"/>
    <w:rsid w:val="612099C8"/>
    <w:rsid w:val="6120D4BC"/>
    <w:rsid w:val="6120DD7F"/>
    <w:rsid w:val="61235543"/>
    <w:rsid w:val="6124895B"/>
    <w:rsid w:val="6126636E"/>
    <w:rsid w:val="61285BE4"/>
    <w:rsid w:val="612984C7"/>
    <w:rsid w:val="612BBF89"/>
    <w:rsid w:val="612C62AD"/>
    <w:rsid w:val="612D0AE9"/>
    <w:rsid w:val="612D371D"/>
    <w:rsid w:val="612D6443"/>
    <w:rsid w:val="612FA9FA"/>
    <w:rsid w:val="61340A73"/>
    <w:rsid w:val="61351050"/>
    <w:rsid w:val="61375002"/>
    <w:rsid w:val="613A8DBD"/>
    <w:rsid w:val="6141E09F"/>
    <w:rsid w:val="6142206C"/>
    <w:rsid w:val="61425D31"/>
    <w:rsid w:val="61498F32"/>
    <w:rsid w:val="614AC230"/>
    <w:rsid w:val="61534348"/>
    <w:rsid w:val="6155A908"/>
    <w:rsid w:val="6163FD4D"/>
    <w:rsid w:val="616426B0"/>
    <w:rsid w:val="6166B060"/>
    <w:rsid w:val="616D6834"/>
    <w:rsid w:val="61703307"/>
    <w:rsid w:val="6172A891"/>
    <w:rsid w:val="6172BAAA"/>
    <w:rsid w:val="61740E94"/>
    <w:rsid w:val="6175880B"/>
    <w:rsid w:val="6175A7C5"/>
    <w:rsid w:val="6180417D"/>
    <w:rsid w:val="61817757"/>
    <w:rsid w:val="6181D7E5"/>
    <w:rsid w:val="6183BF36"/>
    <w:rsid w:val="61863829"/>
    <w:rsid w:val="618AB31E"/>
    <w:rsid w:val="618C9342"/>
    <w:rsid w:val="618D0532"/>
    <w:rsid w:val="6190975B"/>
    <w:rsid w:val="6191A867"/>
    <w:rsid w:val="6194FC41"/>
    <w:rsid w:val="61966F10"/>
    <w:rsid w:val="6198760C"/>
    <w:rsid w:val="6198B15B"/>
    <w:rsid w:val="619AF195"/>
    <w:rsid w:val="619F1A0E"/>
    <w:rsid w:val="619F663E"/>
    <w:rsid w:val="61A4AD5C"/>
    <w:rsid w:val="61A4B232"/>
    <w:rsid w:val="61A8E919"/>
    <w:rsid w:val="61B50DE5"/>
    <w:rsid w:val="61B68C12"/>
    <w:rsid w:val="61BAE4D8"/>
    <w:rsid w:val="61BBFC87"/>
    <w:rsid w:val="61BC84A4"/>
    <w:rsid w:val="61C19E8C"/>
    <w:rsid w:val="61C401EF"/>
    <w:rsid w:val="61C4AD6F"/>
    <w:rsid w:val="61CB3A6A"/>
    <w:rsid w:val="61D6714C"/>
    <w:rsid w:val="61D9407C"/>
    <w:rsid w:val="61DAA03B"/>
    <w:rsid w:val="61DBA0D8"/>
    <w:rsid w:val="61DC26B9"/>
    <w:rsid w:val="61DC9185"/>
    <w:rsid w:val="61E1A803"/>
    <w:rsid w:val="61E21BC2"/>
    <w:rsid w:val="61E360BB"/>
    <w:rsid w:val="61E389D6"/>
    <w:rsid w:val="61E40F4E"/>
    <w:rsid w:val="61E93298"/>
    <w:rsid w:val="61EA557B"/>
    <w:rsid w:val="61EBF510"/>
    <w:rsid w:val="61ED0475"/>
    <w:rsid w:val="61EDF7F5"/>
    <w:rsid w:val="61F0334D"/>
    <w:rsid w:val="61F2BD8F"/>
    <w:rsid w:val="61F68486"/>
    <w:rsid w:val="61FDB17B"/>
    <w:rsid w:val="62037136"/>
    <w:rsid w:val="6204E0AA"/>
    <w:rsid w:val="62056867"/>
    <w:rsid w:val="6206CAFC"/>
    <w:rsid w:val="620797F3"/>
    <w:rsid w:val="6207FEAC"/>
    <w:rsid w:val="6208E784"/>
    <w:rsid w:val="620C6CE0"/>
    <w:rsid w:val="62145155"/>
    <w:rsid w:val="6214EE6E"/>
    <w:rsid w:val="62154EDF"/>
    <w:rsid w:val="621565A6"/>
    <w:rsid w:val="6215E116"/>
    <w:rsid w:val="62193F5B"/>
    <w:rsid w:val="621BDD19"/>
    <w:rsid w:val="621C46C2"/>
    <w:rsid w:val="62208BC1"/>
    <w:rsid w:val="622459EC"/>
    <w:rsid w:val="622880F0"/>
    <w:rsid w:val="6228C394"/>
    <w:rsid w:val="6229971C"/>
    <w:rsid w:val="623351EC"/>
    <w:rsid w:val="6233C87E"/>
    <w:rsid w:val="623617E1"/>
    <w:rsid w:val="623741D5"/>
    <w:rsid w:val="623A5EDB"/>
    <w:rsid w:val="623B1FDD"/>
    <w:rsid w:val="62422388"/>
    <w:rsid w:val="62427446"/>
    <w:rsid w:val="62441F50"/>
    <w:rsid w:val="624481F7"/>
    <w:rsid w:val="6244F0C3"/>
    <w:rsid w:val="62463CDD"/>
    <w:rsid w:val="624B4AD8"/>
    <w:rsid w:val="624C012B"/>
    <w:rsid w:val="624F3AC1"/>
    <w:rsid w:val="624FBA98"/>
    <w:rsid w:val="6250381B"/>
    <w:rsid w:val="62510046"/>
    <w:rsid w:val="62525F90"/>
    <w:rsid w:val="6253C24A"/>
    <w:rsid w:val="6254C89B"/>
    <w:rsid w:val="6256B469"/>
    <w:rsid w:val="62597E09"/>
    <w:rsid w:val="625D63F1"/>
    <w:rsid w:val="62616ACF"/>
    <w:rsid w:val="62667FCB"/>
    <w:rsid w:val="626734AF"/>
    <w:rsid w:val="62701226"/>
    <w:rsid w:val="62704483"/>
    <w:rsid w:val="62767E4C"/>
    <w:rsid w:val="627A5D3B"/>
    <w:rsid w:val="627AB61A"/>
    <w:rsid w:val="627B8FAC"/>
    <w:rsid w:val="627E239D"/>
    <w:rsid w:val="627FC4CF"/>
    <w:rsid w:val="6285EF5B"/>
    <w:rsid w:val="62893359"/>
    <w:rsid w:val="6289F4FB"/>
    <w:rsid w:val="628C1A05"/>
    <w:rsid w:val="628C26DF"/>
    <w:rsid w:val="628CC056"/>
    <w:rsid w:val="6298704F"/>
    <w:rsid w:val="629C8219"/>
    <w:rsid w:val="629FC0EA"/>
    <w:rsid w:val="62A6DFC6"/>
    <w:rsid w:val="62A83FCC"/>
    <w:rsid w:val="62A8D5BC"/>
    <w:rsid w:val="62AB7BBA"/>
    <w:rsid w:val="62AD853F"/>
    <w:rsid w:val="62AE1C19"/>
    <w:rsid w:val="62B608DA"/>
    <w:rsid w:val="62B672A1"/>
    <w:rsid w:val="62BD273C"/>
    <w:rsid w:val="62BF565E"/>
    <w:rsid w:val="62C1A126"/>
    <w:rsid w:val="62C24ABC"/>
    <w:rsid w:val="62C74B16"/>
    <w:rsid w:val="62CB58EE"/>
    <w:rsid w:val="62CC6AB6"/>
    <w:rsid w:val="62CDD677"/>
    <w:rsid w:val="62D0B6CE"/>
    <w:rsid w:val="62D111CF"/>
    <w:rsid w:val="62D77642"/>
    <w:rsid w:val="62DABD6E"/>
    <w:rsid w:val="62DB0925"/>
    <w:rsid w:val="62DB927F"/>
    <w:rsid w:val="62DC22E0"/>
    <w:rsid w:val="62DCF051"/>
    <w:rsid w:val="62DCF499"/>
    <w:rsid w:val="62DE7A52"/>
    <w:rsid w:val="62DEE3B1"/>
    <w:rsid w:val="62DF2C2D"/>
    <w:rsid w:val="62DF3AB1"/>
    <w:rsid w:val="62E80A1E"/>
    <w:rsid w:val="62F93875"/>
    <w:rsid w:val="62FA42AA"/>
    <w:rsid w:val="62FE1548"/>
    <w:rsid w:val="63019050"/>
    <w:rsid w:val="6308EFCD"/>
    <w:rsid w:val="63095B4D"/>
    <w:rsid w:val="63098CED"/>
    <w:rsid w:val="630BAF15"/>
    <w:rsid w:val="630CA891"/>
    <w:rsid w:val="630D10D5"/>
    <w:rsid w:val="630D331A"/>
    <w:rsid w:val="6314AE5A"/>
    <w:rsid w:val="63161E63"/>
    <w:rsid w:val="6318A13C"/>
    <w:rsid w:val="631B05B2"/>
    <w:rsid w:val="631EE4F9"/>
    <w:rsid w:val="632451F9"/>
    <w:rsid w:val="63255707"/>
    <w:rsid w:val="632ADEA9"/>
    <w:rsid w:val="632CAB60"/>
    <w:rsid w:val="6330614B"/>
    <w:rsid w:val="6330B9D9"/>
    <w:rsid w:val="6334E85B"/>
    <w:rsid w:val="63351FEA"/>
    <w:rsid w:val="63377AED"/>
    <w:rsid w:val="633D8C10"/>
    <w:rsid w:val="634158CC"/>
    <w:rsid w:val="6341F831"/>
    <w:rsid w:val="63459276"/>
    <w:rsid w:val="634976C5"/>
    <w:rsid w:val="634A8642"/>
    <w:rsid w:val="634EE011"/>
    <w:rsid w:val="6352BCEF"/>
    <w:rsid w:val="63546373"/>
    <w:rsid w:val="6357A125"/>
    <w:rsid w:val="6359D11A"/>
    <w:rsid w:val="635C6435"/>
    <w:rsid w:val="635E542F"/>
    <w:rsid w:val="63686A25"/>
    <w:rsid w:val="636B5019"/>
    <w:rsid w:val="636DF517"/>
    <w:rsid w:val="636ECD7B"/>
    <w:rsid w:val="636F69F2"/>
    <w:rsid w:val="637152EF"/>
    <w:rsid w:val="6372F23A"/>
    <w:rsid w:val="6377A928"/>
    <w:rsid w:val="6379D64B"/>
    <w:rsid w:val="637F9AA4"/>
    <w:rsid w:val="637FFE32"/>
    <w:rsid w:val="6382B25F"/>
    <w:rsid w:val="63867A67"/>
    <w:rsid w:val="63886079"/>
    <w:rsid w:val="638CB8BC"/>
    <w:rsid w:val="638F2657"/>
    <w:rsid w:val="63936C73"/>
    <w:rsid w:val="63970133"/>
    <w:rsid w:val="639930C3"/>
    <w:rsid w:val="639A707C"/>
    <w:rsid w:val="63A239D0"/>
    <w:rsid w:val="63A75F78"/>
    <w:rsid w:val="63AF88F4"/>
    <w:rsid w:val="63B04A5F"/>
    <w:rsid w:val="63B26380"/>
    <w:rsid w:val="63B8D6A7"/>
    <w:rsid w:val="63BB3A07"/>
    <w:rsid w:val="63BCB4E9"/>
    <w:rsid w:val="63C0E6B9"/>
    <w:rsid w:val="63C55F1B"/>
    <w:rsid w:val="63C9AC4F"/>
    <w:rsid w:val="63D1739F"/>
    <w:rsid w:val="63D22470"/>
    <w:rsid w:val="63D2712B"/>
    <w:rsid w:val="63D38B5D"/>
    <w:rsid w:val="63D8B27B"/>
    <w:rsid w:val="63D98D53"/>
    <w:rsid w:val="63DC48FB"/>
    <w:rsid w:val="63DECF5E"/>
    <w:rsid w:val="63DF16F1"/>
    <w:rsid w:val="63E38005"/>
    <w:rsid w:val="63E8607D"/>
    <w:rsid w:val="63EE7C80"/>
    <w:rsid w:val="63F37EF3"/>
    <w:rsid w:val="63F79B24"/>
    <w:rsid w:val="63F95B6C"/>
    <w:rsid w:val="6400FCD7"/>
    <w:rsid w:val="640129E9"/>
    <w:rsid w:val="6401B90D"/>
    <w:rsid w:val="6403A6AC"/>
    <w:rsid w:val="640657CF"/>
    <w:rsid w:val="64077BA1"/>
    <w:rsid w:val="6407B7D1"/>
    <w:rsid w:val="64092E7D"/>
    <w:rsid w:val="640B0EAE"/>
    <w:rsid w:val="640BCDB6"/>
    <w:rsid w:val="640D9D95"/>
    <w:rsid w:val="640E0686"/>
    <w:rsid w:val="640EEA23"/>
    <w:rsid w:val="641445A6"/>
    <w:rsid w:val="641AE89E"/>
    <w:rsid w:val="641C3225"/>
    <w:rsid w:val="641DE476"/>
    <w:rsid w:val="641F1100"/>
    <w:rsid w:val="642330E2"/>
    <w:rsid w:val="642FD82F"/>
    <w:rsid w:val="6433D9AB"/>
    <w:rsid w:val="64340467"/>
    <w:rsid w:val="64361826"/>
    <w:rsid w:val="64362E2B"/>
    <w:rsid w:val="6437C17E"/>
    <w:rsid w:val="6440CEBA"/>
    <w:rsid w:val="644191A2"/>
    <w:rsid w:val="6443594A"/>
    <w:rsid w:val="6446E16E"/>
    <w:rsid w:val="644B5FC3"/>
    <w:rsid w:val="644C603F"/>
    <w:rsid w:val="644F8FAB"/>
    <w:rsid w:val="64524B62"/>
    <w:rsid w:val="64528CCC"/>
    <w:rsid w:val="6454251C"/>
    <w:rsid w:val="6457BC97"/>
    <w:rsid w:val="645AA80D"/>
    <w:rsid w:val="645CC2F1"/>
    <w:rsid w:val="64607F4F"/>
    <w:rsid w:val="64614D52"/>
    <w:rsid w:val="646299D3"/>
    <w:rsid w:val="6465F339"/>
    <w:rsid w:val="6466312F"/>
    <w:rsid w:val="64667C37"/>
    <w:rsid w:val="6469C2E1"/>
    <w:rsid w:val="646DB3AC"/>
    <w:rsid w:val="6471DB5B"/>
    <w:rsid w:val="64767F76"/>
    <w:rsid w:val="647A0EC5"/>
    <w:rsid w:val="647EA318"/>
    <w:rsid w:val="6481433B"/>
    <w:rsid w:val="64832543"/>
    <w:rsid w:val="6487E1DE"/>
    <w:rsid w:val="6488E525"/>
    <w:rsid w:val="6489A565"/>
    <w:rsid w:val="648BD74C"/>
    <w:rsid w:val="648E2694"/>
    <w:rsid w:val="648F3051"/>
    <w:rsid w:val="648F9F67"/>
    <w:rsid w:val="648FDD30"/>
    <w:rsid w:val="64909E2D"/>
    <w:rsid w:val="64915B6A"/>
    <w:rsid w:val="64926C56"/>
    <w:rsid w:val="649497E8"/>
    <w:rsid w:val="6499C7C0"/>
    <w:rsid w:val="64A0D444"/>
    <w:rsid w:val="64A26CFF"/>
    <w:rsid w:val="64A54119"/>
    <w:rsid w:val="64A88833"/>
    <w:rsid w:val="64AD8B21"/>
    <w:rsid w:val="64ADFB2B"/>
    <w:rsid w:val="64AE5B30"/>
    <w:rsid w:val="64B34FCD"/>
    <w:rsid w:val="64C0E674"/>
    <w:rsid w:val="64C1DC2C"/>
    <w:rsid w:val="64C55035"/>
    <w:rsid w:val="64C6E99E"/>
    <w:rsid w:val="64C7AA42"/>
    <w:rsid w:val="64C9033E"/>
    <w:rsid w:val="64CBD709"/>
    <w:rsid w:val="64CEF5D3"/>
    <w:rsid w:val="64CF0FEA"/>
    <w:rsid w:val="64D143AD"/>
    <w:rsid w:val="64DD77C0"/>
    <w:rsid w:val="64E016C3"/>
    <w:rsid w:val="64E0B214"/>
    <w:rsid w:val="64E54BAA"/>
    <w:rsid w:val="64E5CD4A"/>
    <w:rsid w:val="64EB9C43"/>
    <w:rsid w:val="64EF8E0B"/>
    <w:rsid w:val="64FBE614"/>
    <w:rsid w:val="64FDDAC7"/>
    <w:rsid w:val="64FE99C7"/>
    <w:rsid w:val="64FFB030"/>
    <w:rsid w:val="6501E598"/>
    <w:rsid w:val="650598EC"/>
    <w:rsid w:val="6505FA96"/>
    <w:rsid w:val="6508830F"/>
    <w:rsid w:val="650B7392"/>
    <w:rsid w:val="650D0A27"/>
    <w:rsid w:val="650FF8F3"/>
    <w:rsid w:val="651E0A1B"/>
    <w:rsid w:val="65218572"/>
    <w:rsid w:val="65227114"/>
    <w:rsid w:val="6527781E"/>
    <w:rsid w:val="65299549"/>
    <w:rsid w:val="652B4A97"/>
    <w:rsid w:val="652EAAB2"/>
    <w:rsid w:val="65313F06"/>
    <w:rsid w:val="65359AAE"/>
    <w:rsid w:val="6539F107"/>
    <w:rsid w:val="653C70FE"/>
    <w:rsid w:val="653D24EC"/>
    <w:rsid w:val="6540E582"/>
    <w:rsid w:val="65419CF0"/>
    <w:rsid w:val="65450EF6"/>
    <w:rsid w:val="65479A29"/>
    <w:rsid w:val="654BC40D"/>
    <w:rsid w:val="654DB98B"/>
    <w:rsid w:val="65512C4D"/>
    <w:rsid w:val="6551FC3C"/>
    <w:rsid w:val="655A7799"/>
    <w:rsid w:val="655BF547"/>
    <w:rsid w:val="6565B0CE"/>
    <w:rsid w:val="6568A6C9"/>
    <w:rsid w:val="656A97CA"/>
    <w:rsid w:val="656A983E"/>
    <w:rsid w:val="656AFD27"/>
    <w:rsid w:val="656B638A"/>
    <w:rsid w:val="656CB54F"/>
    <w:rsid w:val="657588AA"/>
    <w:rsid w:val="6576DD17"/>
    <w:rsid w:val="6579139C"/>
    <w:rsid w:val="657988F3"/>
    <w:rsid w:val="657AC681"/>
    <w:rsid w:val="657D0EF4"/>
    <w:rsid w:val="657DA855"/>
    <w:rsid w:val="6583C111"/>
    <w:rsid w:val="6583DA50"/>
    <w:rsid w:val="65842420"/>
    <w:rsid w:val="65850BFA"/>
    <w:rsid w:val="65942028"/>
    <w:rsid w:val="6595FCEB"/>
    <w:rsid w:val="6596D925"/>
    <w:rsid w:val="659933D8"/>
    <w:rsid w:val="659AC4A2"/>
    <w:rsid w:val="659C5749"/>
    <w:rsid w:val="659F971B"/>
    <w:rsid w:val="65A32F3F"/>
    <w:rsid w:val="65A42861"/>
    <w:rsid w:val="65AAE8CA"/>
    <w:rsid w:val="65B819CF"/>
    <w:rsid w:val="65B98675"/>
    <w:rsid w:val="65B9CF19"/>
    <w:rsid w:val="65BC2748"/>
    <w:rsid w:val="65BC9AD1"/>
    <w:rsid w:val="65C092C9"/>
    <w:rsid w:val="65C0C203"/>
    <w:rsid w:val="65C14EC8"/>
    <w:rsid w:val="65C30981"/>
    <w:rsid w:val="65C34778"/>
    <w:rsid w:val="65C93459"/>
    <w:rsid w:val="65CB6850"/>
    <w:rsid w:val="65CB80D9"/>
    <w:rsid w:val="65CBE5AD"/>
    <w:rsid w:val="65CEEDE8"/>
    <w:rsid w:val="65D0CAED"/>
    <w:rsid w:val="65D158AD"/>
    <w:rsid w:val="65D2270A"/>
    <w:rsid w:val="65D4ED6C"/>
    <w:rsid w:val="65D7DCBA"/>
    <w:rsid w:val="65D988D8"/>
    <w:rsid w:val="65DB759E"/>
    <w:rsid w:val="65DD49D9"/>
    <w:rsid w:val="65E32694"/>
    <w:rsid w:val="65E6C477"/>
    <w:rsid w:val="65EB080D"/>
    <w:rsid w:val="65EE2D74"/>
    <w:rsid w:val="65F87B9C"/>
    <w:rsid w:val="65F9C427"/>
    <w:rsid w:val="65FC90CA"/>
    <w:rsid w:val="65FE62DC"/>
    <w:rsid w:val="65FE6388"/>
    <w:rsid w:val="65FF7B54"/>
    <w:rsid w:val="660077D4"/>
    <w:rsid w:val="6602352B"/>
    <w:rsid w:val="660A895E"/>
    <w:rsid w:val="660ACD35"/>
    <w:rsid w:val="660B0C15"/>
    <w:rsid w:val="660FBB67"/>
    <w:rsid w:val="6611442B"/>
    <w:rsid w:val="6616095A"/>
    <w:rsid w:val="661711D7"/>
    <w:rsid w:val="6617F0EC"/>
    <w:rsid w:val="661A65FB"/>
    <w:rsid w:val="661B29B2"/>
    <w:rsid w:val="66253DB3"/>
    <w:rsid w:val="662BDA79"/>
    <w:rsid w:val="662C3A64"/>
    <w:rsid w:val="662D732E"/>
    <w:rsid w:val="662E3DDD"/>
    <w:rsid w:val="662FACC6"/>
    <w:rsid w:val="66319489"/>
    <w:rsid w:val="663A7139"/>
    <w:rsid w:val="663AB8F8"/>
    <w:rsid w:val="663B96B6"/>
    <w:rsid w:val="663C474F"/>
    <w:rsid w:val="663CABED"/>
    <w:rsid w:val="663DF967"/>
    <w:rsid w:val="6643EE1A"/>
    <w:rsid w:val="6645243B"/>
    <w:rsid w:val="66463CD9"/>
    <w:rsid w:val="6648944E"/>
    <w:rsid w:val="66493BB8"/>
    <w:rsid w:val="664AB37D"/>
    <w:rsid w:val="664B6BC6"/>
    <w:rsid w:val="6650D89C"/>
    <w:rsid w:val="66519327"/>
    <w:rsid w:val="665269E1"/>
    <w:rsid w:val="6653E5A9"/>
    <w:rsid w:val="6654B998"/>
    <w:rsid w:val="665583EA"/>
    <w:rsid w:val="665DF8D3"/>
    <w:rsid w:val="6666F5D8"/>
    <w:rsid w:val="666826C6"/>
    <w:rsid w:val="66694A90"/>
    <w:rsid w:val="667043B1"/>
    <w:rsid w:val="66719E5D"/>
    <w:rsid w:val="6672E832"/>
    <w:rsid w:val="6679802B"/>
    <w:rsid w:val="6679CA10"/>
    <w:rsid w:val="6684194B"/>
    <w:rsid w:val="668499E4"/>
    <w:rsid w:val="66887B30"/>
    <w:rsid w:val="668DF03F"/>
    <w:rsid w:val="66945756"/>
    <w:rsid w:val="6694C241"/>
    <w:rsid w:val="669545B2"/>
    <w:rsid w:val="669DD655"/>
    <w:rsid w:val="66AE4E5D"/>
    <w:rsid w:val="66B2A72E"/>
    <w:rsid w:val="66B65215"/>
    <w:rsid w:val="66B95FF6"/>
    <w:rsid w:val="66BA45DE"/>
    <w:rsid w:val="66BCD097"/>
    <w:rsid w:val="66BDD864"/>
    <w:rsid w:val="66BFF07A"/>
    <w:rsid w:val="66C0D0FC"/>
    <w:rsid w:val="66C87904"/>
    <w:rsid w:val="66C9D86E"/>
    <w:rsid w:val="66CA1059"/>
    <w:rsid w:val="66CC931B"/>
    <w:rsid w:val="66D34FE5"/>
    <w:rsid w:val="66D38F11"/>
    <w:rsid w:val="66D62DF6"/>
    <w:rsid w:val="66D70D70"/>
    <w:rsid w:val="66D715A1"/>
    <w:rsid w:val="66D88300"/>
    <w:rsid w:val="66D8BFBC"/>
    <w:rsid w:val="66DC1598"/>
    <w:rsid w:val="66DCA480"/>
    <w:rsid w:val="66E2C479"/>
    <w:rsid w:val="66E3F07C"/>
    <w:rsid w:val="66E5D3AE"/>
    <w:rsid w:val="66E8F748"/>
    <w:rsid w:val="66E8F828"/>
    <w:rsid w:val="66EB34F4"/>
    <w:rsid w:val="66EB675A"/>
    <w:rsid w:val="66EC3D75"/>
    <w:rsid w:val="66EE1105"/>
    <w:rsid w:val="66F2136C"/>
    <w:rsid w:val="66F2D6AE"/>
    <w:rsid w:val="66F53574"/>
    <w:rsid w:val="66F97609"/>
    <w:rsid w:val="66FA70A1"/>
    <w:rsid w:val="6703D0FC"/>
    <w:rsid w:val="67071944"/>
    <w:rsid w:val="6708A8AC"/>
    <w:rsid w:val="67092F90"/>
    <w:rsid w:val="670AD1CB"/>
    <w:rsid w:val="670D1293"/>
    <w:rsid w:val="670D579B"/>
    <w:rsid w:val="670EE921"/>
    <w:rsid w:val="67194CE1"/>
    <w:rsid w:val="671B948E"/>
    <w:rsid w:val="6727D1F5"/>
    <w:rsid w:val="672A87B9"/>
    <w:rsid w:val="672ADA05"/>
    <w:rsid w:val="672B16BF"/>
    <w:rsid w:val="6730A750"/>
    <w:rsid w:val="6738582B"/>
    <w:rsid w:val="673A8D87"/>
    <w:rsid w:val="673AF5A7"/>
    <w:rsid w:val="673DFD04"/>
    <w:rsid w:val="673F0CF7"/>
    <w:rsid w:val="6744870B"/>
    <w:rsid w:val="6744E53A"/>
    <w:rsid w:val="6754D68B"/>
    <w:rsid w:val="675979F0"/>
    <w:rsid w:val="675A76F9"/>
    <w:rsid w:val="675D9AF8"/>
    <w:rsid w:val="675E1D35"/>
    <w:rsid w:val="675EE8B5"/>
    <w:rsid w:val="6760431E"/>
    <w:rsid w:val="676228C4"/>
    <w:rsid w:val="6770F6F7"/>
    <w:rsid w:val="6772507B"/>
    <w:rsid w:val="67793289"/>
    <w:rsid w:val="6779CBE0"/>
    <w:rsid w:val="677A50E9"/>
    <w:rsid w:val="6781378D"/>
    <w:rsid w:val="6782FCA6"/>
    <w:rsid w:val="6784CEC1"/>
    <w:rsid w:val="67875110"/>
    <w:rsid w:val="67931869"/>
    <w:rsid w:val="6793D171"/>
    <w:rsid w:val="6797E7E4"/>
    <w:rsid w:val="679A6FA6"/>
    <w:rsid w:val="679F903C"/>
    <w:rsid w:val="67A010D3"/>
    <w:rsid w:val="67A50BC9"/>
    <w:rsid w:val="67A7A49B"/>
    <w:rsid w:val="67ADE0D4"/>
    <w:rsid w:val="67B0ECB4"/>
    <w:rsid w:val="67B2F868"/>
    <w:rsid w:val="67B4EF61"/>
    <w:rsid w:val="67B9AA90"/>
    <w:rsid w:val="67BA463B"/>
    <w:rsid w:val="67BB94A8"/>
    <w:rsid w:val="67BC2D4B"/>
    <w:rsid w:val="67C198D9"/>
    <w:rsid w:val="67C26FEA"/>
    <w:rsid w:val="67C659C9"/>
    <w:rsid w:val="67C8F760"/>
    <w:rsid w:val="67CA00B0"/>
    <w:rsid w:val="67CA20FE"/>
    <w:rsid w:val="67CAA755"/>
    <w:rsid w:val="67CC867B"/>
    <w:rsid w:val="67D00DBE"/>
    <w:rsid w:val="67D05DBF"/>
    <w:rsid w:val="67D24485"/>
    <w:rsid w:val="67D4BAE9"/>
    <w:rsid w:val="67D75A72"/>
    <w:rsid w:val="67D77AAB"/>
    <w:rsid w:val="67D85082"/>
    <w:rsid w:val="67D8CA48"/>
    <w:rsid w:val="67D8CBA5"/>
    <w:rsid w:val="67DB8515"/>
    <w:rsid w:val="67DBB70F"/>
    <w:rsid w:val="67DBC095"/>
    <w:rsid w:val="67DCB4CB"/>
    <w:rsid w:val="67DDE0AD"/>
    <w:rsid w:val="67E1CF5C"/>
    <w:rsid w:val="67E255CB"/>
    <w:rsid w:val="67E35A32"/>
    <w:rsid w:val="67E4B00C"/>
    <w:rsid w:val="67E507A8"/>
    <w:rsid w:val="67E9563F"/>
    <w:rsid w:val="67E95750"/>
    <w:rsid w:val="67F054BF"/>
    <w:rsid w:val="67F18CD0"/>
    <w:rsid w:val="67F9C05A"/>
    <w:rsid w:val="680058D3"/>
    <w:rsid w:val="6806F4DF"/>
    <w:rsid w:val="680C76D0"/>
    <w:rsid w:val="68103A73"/>
    <w:rsid w:val="6811A32B"/>
    <w:rsid w:val="6817ED34"/>
    <w:rsid w:val="681B68A5"/>
    <w:rsid w:val="681C2CC0"/>
    <w:rsid w:val="681D8B47"/>
    <w:rsid w:val="6820C102"/>
    <w:rsid w:val="6827BA37"/>
    <w:rsid w:val="682998AA"/>
    <w:rsid w:val="68345AC5"/>
    <w:rsid w:val="68345C74"/>
    <w:rsid w:val="6838170E"/>
    <w:rsid w:val="683A4BA9"/>
    <w:rsid w:val="683CEC60"/>
    <w:rsid w:val="6840487A"/>
    <w:rsid w:val="68475000"/>
    <w:rsid w:val="6847E7CA"/>
    <w:rsid w:val="68492AFE"/>
    <w:rsid w:val="684A7848"/>
    <w:rsid w:val="684C473F"/>
    <w:rsid w:val="68533F1F"/>
    <w:rsid w:val="6853F1D4"/>
    <w:rsid w:val="6858B278"/>
    <w:rsid w:val="685A873E"/>
    <w:rsid w:val="685B3EBA"/>
    <w:rsid w:val="685BB316"/>
    <w:rsid w:val="685E0E7E"/>
    <w:rsid w:val="685F7ED8"/>
    <w:rsid w:val="68629BAB"/>
    <w:rsid w:val="68643A31"/>
    <w:rsid w:val="686DEB6D"/>
    <w:rsid w:val="687291BE"/>
    <w:rsid w:val="687F59FA"/>
    <w:rsid w:val="688306F4"/>
    <w:rsid w:val="68839BF8"/>
    <w:rsid w:val="6884E911"/>
    <w:rsid w:val="68867EE1"/>
    <w:rsid w:val="6889F426"/>
    <w:rsid w:val="688A8AEB"/>
    <w:rsid w:val="688ADF6F"/>
    <w:rsid w:val="68901513"/>
    <w:rsid w:val="6890AC31"/>
    <w:rsid w:val="6890F114"/>
    <w:rsid w:val="6891212B"/>
    <w:rsid w:val="68933A2C"/>
    <w:rsid w:val="6895C5D8"/>
    <w:rsid w:val="68977CA0"/>
    <w:rsid w:val="6899DBF8"/>
    <w:rsid w:val="689B9191"/>
    <w:rsid w:val="68A4DE00"/>
    <w:rsid w:val="68A86098"/>
    <w:rsid w:val="68AB2564"/>
    <w:rsid w:val="68B6272D"/>
    <w:rsid w:val="68B829FD"/>
    <w:rsid w:val="68BA2A10"/>
    <w:rsid w:val="68BE9B79"/>
    <w:rsid w:val="68C1F1F1"/>
    <w:rsid w:val="68C2391D"/>
    <w:rsid w:val="68C4C453"/>
    <w:rsid w:val="68CB9594"/>
    <w:rsid w:val="68CF9E37"/>
    <w:rsid w:val="68D1D340"/>
    <w:rsid w:val="68D4D25D"/>
    <w:rsid w:val="68D7D076"/>
    <w:rsid w:val="68D94CDF"/>
    <w:rsid w:val="68DCF09E"/>
    <w:rsid w:val="68DD01F8"/>
    <w:rsid w:val="68DFC847"/>
    <w:rsid w:val="68E0DDC1"/>
    <w:rsid w:val="68E1AAE2"/>
    <w:rsid w:val="68E435D7"/>
    <w:rsid w:val="68E46FEA"/>
    <w:rsid w:val="68E55581"/>
    <w:rsid w:val="68E6C69A"/>
    <w:rsid w:val="68E6DC99"/>
    <w:rsid w:val="68E8468D"/>
    <w:rsid w:val="68EA29C0"/>
    <w:rsid w:val="68EA4B66"/>
    <w:rsid w:val="68EF17F8"/>
    <w:rsid w:val="68F126F3"/>
    <w:rsid w:val="68F21E7D"/>
    <w:rsid w:val="68F314E2"/>
    <w:rsid w:val="68F4148E"/>
    <w:rsid w:val="68F7B651"/>
    <w:rsid w:val="68F9426B"/>
    <w:rsid w:val="68FBF5F0"/>
    <w:rsid w:val="68FE7DC5"/>
    <w:rsid w:val="6907B1D3"/>
    <w:rsid w:val="6909CCA9"/>
    <w:rsid w:val="690DA98D"/>
    <w:rsid w:val="690E722F"/>
    <w:rsid w:val="691098E4"/>
    <w:rsid w:val="69140FD2"/>
    <w:rsid w:val="6914FE6E"/>
    <w:rsid w:val="6916DEB4"/>
    <w:rsid w:val="691A47A5"/>
    <w:rsid w:val="691CF309"/>
    <w:rsid w:val="6920AFF4"/>
    <w:rsid w:val="692955B3"/>
    <w:rsid w:val="692B1D12"/>
    <w:rsid w:val="692BD388"/>
    <w:rsid w:val="692C0B5C"/>
    <w:rsid w:val="693566A1"/>
    <w:rsid w:val="69379552"/>
    <w:rsid w:val="693E4C0B"/>
    <w:rsid w:val="694292D4"/>
    <w:rsid w:val="6944041B"/>
    <w:rsid w:val="6945284F"/>
    <w:rsid w:val="694AE264"/>
    <w:rsid w:val="694F2593"/>
    <w:rsid w:val="694FE6AA"/>
    <w:rsid w:val="69519BE0"/>
    <w:rsid w:val="6955FBFC"/>
    <w:rsid w:val="6956ACD4"/>
    <w:rsid w:val="695A1E47"/>
    <w:rsid w:val="695BE279"/>
    <w:rsid w:val="6960DFBD"/>
    <w:rsid w:val="696380BD"/>
    <w:rsid w:val="69647969"/>
    <w:rsid w:val="69685F1D"/>
    <w:rsid w:val="69691378"/>
    <w:rsid w:val="696B01B0"/>
    <w:rsid w:val="696DCC57"/>
    <w:rsid w:val="696EFE21"/>
    <w:rsid w:val="697589E2"/>
    <w:rsid w:val="697641F7"/>
    <w:rsid w:val="697B9080"/>
    <w:rsid w:val="6980A679"/>
    <w:rsid w:val="69811D1E"/>
    <w:rsid w:val="69824201"/>
    <w:rsid w:val="698271C1"/>
    <w:rsid w:val="69858421"/>
    <w:rsid w:val="698587FF"/>
    <w:rsid w:val="69865836"/>
    <w:rsid w:val="698ADADA"/>
    <w:rsid w:val="698F7402"/>
    <w:rsid w:val="6992DB26"/>
    <w:rsid w:val="69939F04"/>
    <w:rsid w:val="699CE233"/>
    <w:rsid w:val="699E6397"/>
    <w:rsid w:val="69A05E65"/>
    <w:rsid w:val="69A07C99"/>
    <w:rsid w:val="69A12F7F"/>
    <w:rsid w:val="69A18EF1"/>
    <w:rsid w:val="69A2BD5E"/>
    <w:rsid w:val="69A45482"/>
    <w:rsid w:val="69A87B48"/>
    <w:rsid w:val="69ABD9FD"/>
    <w:rsid w:val="69AC78C4"/>
    <w:rsid w:val="69AD88BB"/>
    <w:rsid w:val="69AE71F4"/>
    <w:rsid w:val="69B72FF3"/>
    <w:rsid w:val="69C59DCC"/>
    <w:rsid w:val="69CA364B"/>
    <w:rsid w:val="69CAB10E"/>
    <w:rsid w:val="69CBCC6F"/>
    <w:rsid w:val="69CF178C"/>
    <w:rsid w:val="69D01D06"/>
    <w:rsid w:val="69D08CAC"/>
    <w:rsid w:val="69D3BCD3"/>
    <w:rsid w:val="69DB6CC0"/>
    <w:rsid w:val="69DB8CA9"/>
    <w:rsid w:val="69DED0F1"/>
    <w:rsid w:val="69E50672"/>
    <w:rsid w:val="69E980FD"/>
    <w:rsid w:val="69EBBFFD"/>
    <w:rsid w:val="69EDF329"/>
    <w:rsid w:val="69F09586"/>
    <w:rsid w:val="69F1044B"/>
    <w:rsid w:val="69F1F6E9"/>
    <w:rsid w:val="69FCA4AE"/>
    <w:rsid w:val="69FE3778"/>
    <w:rsid w:val="69FF6343"/>
    <w:rsid w:val="69FFB996"/>
    <w:rsid w:val="6A01C5D4"/>
    <w:rsid w:val="6A05A0E3"/>
    <w:rsid w:val="6A06F330"/>
    <w:rsid w:val="6A08B8F0"/>
    <w:rsid w:val="6A09882D"/>
    <w:rsid w:val="6A0B45D9"/>
    <w:rsid w:val="6A11E6F3"/>
    <w:rsid w:val="6A1B8679"/>
    <w:rsid w:val="6A1C78AD"/>
    <w:rsid w:val="6A1D4151"/>
    <w:rsid w:val="6A24B144"/>
    <w:rsid w:val="6A2CFACB"/>
    <w:rsid w:val="6A3290AE"/>
    <w:rsid w:val="6A344EA9"/>
    <w:rsid w:val="6A347D98"/>
    <w:rsid w:val="6A38E948"/>
    <w:rsid w:val="6A3F2465"/>
    <w:rsid w:val="6A3FD85E"/>
    <w:rsid w:val="6A451A2D"/>
    <w:rsid w:val="6A46EF33"/>
    <w:rsid w:val="6A4FD800"/>
    <w:rsid w:val="6A54714D"/>
    <w:rsid w:val="6A55427B"/>
    <w:rsid w:val="6A56EDEC"/>
    <w:rsid w:val="6A591BE1"/>
    <w:rsid w:val="6A5EC05E"/>
    <w:rsid w:val="6A5F7190"/>
    <w:rsid w:val="6A6BE028"/>
    <w:rsid w:val="6A6EE6E1"/>
    <w:rsid w:val="6A715D3D"/>
    <w:rsid w:val="6A71FA5D"/>
    <w:rsid w:val="6A73BDDB"/>
    <w:rsid w:val="6A766981"/>
    <w:rsid w:val="6A7A877D"/>
    <w:rsid w:val="6A7A9514"/>
    <w:rsid w:val="6A7D19B5"/>
    <w:rsid w:val="6A7DD1B5"/>
    <w:rsid w:val="6A828022"/>
    <w:rsid w:val="6A82A4F0"/>
    <w:rsid w:val="6A89048B"/>
    <w:rsid w:val="6A8C4C01"/>
    <w:rsid w:val="6A8D7F69"/>
    <w:rsid w:val="6A8E3215"/>
    <w:rsid w:val="6A908B82"/>
    <w:rsid w:val="6A915554"/>
    <w:rsid w:val="6A92E08D"/>
    <w:rsid w:val="6A9465A2"/>
    <w:rsid w:val="6A9490CD"/>
    <w:rsid w:val="6A959FD4"/>
    <w:rsid w:val="6A98C14C"/>
    <w:rsid w:val="6A9A2981"/>
    <w:rsid w:val="6A9C0DD3"/>
    <w:rsid w:val="6A9D252E"/>
    <w:rsid w:val="6AA877CD"/>
    <w:rsid w:val="6AA9494B"/>
    <w:rsid w:val="6AA982E8"/>
    <w:rsid w:val="6AAA1A02"/>
    <w:rsid w:val="6AADD9C9"/>
    <w:rsid w:val="6AB01B1B"/>
    <w:rsid w:val="6AB0C4EC"/>
    <w:rsid w:val="6AB346CB"/>
    <w:rsid w:val="6AB7EAB1"/>
    <w:rsid w:val="6ABDCD0C"/>
    <w:rsid w:val="6AC44C27"/>
    <w:rsid w:val="6AC81463"/>
    <w:rsid w:val="6AC83C3F"/>
    <w:rsid w:val="6ACDC4FF"/>
    <w:rsid w:val="6AD0C848"/>
    <w:rsid w:val="6AD50434"/>
    <w:rsid w:val="6AD648DC"/>
    <w:rsid w:val="6AD75E0A"/>
    <w:rsid w:val="6ADA2230"/>
    <w:rsid w:val="6ADC92A4"/>
    <w:rsid w:val="6ADD34DE"/>
    <w:rsid w:val="6ADE43D1"/>
    <w:rsid w:val="6AE18A0E"/>
    <w:rsid w:val="6AE325DA"/>
    <w:rsid w:val="6AE48297"/>
    <w:rsid w:val="6AE4C32B"/>
    <w:rsid w:val="6AE8FCB5"/>
    <w:rsid w:val="6AEE46E5"/>
    <w:rsid w:val="6AEEC61F"/>
    <w:rsid w:val="6AEEDC04"/>
    <w:rsid w:val="6AF3FA5C"/>
    <w:rsid w:val="6AF5636D"/>
    <w:rsid w:val="6AF5EA78"/>
    <w:rsid w:val="6AF9B767"/>
    <w:rsid w:val="6AFBEE17"/>
    <w:rsid w:val="6AFC4ECB"/>
    <w:rsid w:val="6AFC6D22"/>
    <w:rsid w:val="6AFDE889"/>
    <w:rsid w:val="6B143B79"/>
    <w:rsid w:val="6B166371"/>
    <w:rsid w:val="6B1717F7"/>
    <w:rsid w:val="6B194900"/>
    <w:rsid w:val="6B1A7794"/>
    <w:rsid w:val="6B1D1291"/>
    <w:rsid w:val="6B1F557A"/>
    <w:rsid w:val="6B20DB30"/>
    <w:rsid w:val="6B23883E"/>
    <w:rsid w:val="6B256F60"/>
    <w:rsid w:val="6B2D92AE"/>
    <w:rsid w:val="6B2FC474"/>
    <w:rsid w:val="6B302DDF"/>
    <w:rsid w:val="6B3066D0"/>
    <w:rsid w:val="6B3335FC"/>
    <w:rsid w:val="6B33ABC5"/>
    <w:rsid w:val="6B347590"/>
    <w:rsid w:val="6B348BB1"/>
    <w:rsid w:val="6B38123B"/>
    <w:rsid w:val="6B3AA6DC"/>
    <w:rsid w:val="6B3C7DD0"/>
    <w:rsid w:val="6B404431"/>
    <w:rsid w:val="6B414A36"/>
    <w:rsid w:val="6B417803"/>
    <w:rsid w:val="6B42E296"/>
    <w:rsid w:val="6B45F71A"/>
    <w:rsid w:val="6B472D0F"/>
    <w:rsid w:val="6B4D0E7A"/>
    <w:rsid w:val="6B5C577F"/>
    <w:rsid w:val="6B5F3FFD"/>
    <w:rsid w:val="6B6784CC"/>
    <w:rsid w:val="6B6EB322"/>
    <w:rsid w:val="6B70B5EA"/>
    <w:rsid w:val="6B71E416"/>
    <w:rsid w:val="6B751780"/>
    <w:rsid w:val="6B7695C5"/>
    <w:rsid w:val="6B7B2984"/>
    <w:rsid w:val="6B7D283F"/>
    <w:rsid w:val="6B7F3C6B"/>
    <w:rsid w:val="6B87EF31"/>
    <w:rsid w:val="6B8BA29D"/>
    <w:rsid w:val="6B8CCB5B"/>
    <w:rsid w:val="6B8D1052"/>
    <w:rsid w:val="6B8F55B1"/>
    <w:rsid w:val="6B910BA3"/>
    <w:rsid w:val="6B914861"/>
    <w:rsid w:val="6B92F1D3"/>
    <w:rsid w:val="6B9479C7"/>
    <w:rsid w:val="6B95902F"/>
    <w:rsid w:val="6B9A1241"/>
    <w:rsid w:val="6B9A9FD0"/>
    <w:rsid w:val="6BA1255C"/>
    <w:rsid w:val="6BA4F728"/>
    <w:rsid w:val="6BA5AE23"/>
    <w:rsid w:val="6BA5C9F5"/>
    <w:rsid w:val="6BA6949D"/>
    <w:rsid w:val="6BAA52D2"/>
    <w:rsid w:val="6BAA70E2"/>
    <w:rsid w:val="6BAD6A3B"/>
    <w:rsid w:val="6BAED312"/>
    <w:rsid w:val="6BB07C4E"/>
    <w:rsid w:val="6BB5B0F3"/>
    <w:rsid w:val="6BB6A944"/>
    <w:rsid w:val="6BB7C803"/>
    <w:rsid w:val="6BBB26D0"/>
    <w:rsid w:val="6BBC42AE"/>
    <w:rsid w:val="6BBC832A"/>
    <w:rsid w:val="6BBD27B8"/>
    <w:rsid w:val="6BBEC820"/>
    <w:rsid w:val="6BC02D71"/>
    <w:rsid w:val="6BC09DC9"/>
    <w:rsid w:val="6BC0B623"/>
    <w:rsid w:val="6BC6288B"/>
    <w:rsid w:val="6BC7E415"/>
    <w:rsid w:val="6BCAD95E"/>
    <w:rsid w:val="6BCD79ED"/>
    <w:rsid w:val="6BCE4DD3"/>
    <w:rsid w:val="6BCECCF2"/>
    <w:rsid w:val="6BCF4724"/>
    <w:rsid w:val="6BD29338"/>
    <w:rsid w:val="6BD2BA5F"/>
    <w:rsid w:val="6BD3D120"/>
    <w:rsid w:val="6BD455C8"/>
    <w:rsid w:val="6BD5D253"/>
    <w:rsid w:val="6BD63626"/>
    <w:rsid w:val="6BD9C1BF"/>
    <w:rsid w:val="6BDA6E97"/>
    <w:rsid w:val="6BDD7A8F"/>
    <w:rsid w:val="6BE4D30A"/>
    <w:rsid w:val="6BE7A744"/>
    <w:rsid w:val="6BE7DC05"/>
    <w:rsid w:val="6BE7F5CB"/>
    <w:rsid w:val="6BE98E28"/>
    <w:rsid w:val="6BEFAC6A"/>
    <w:rsid w:val="6BF3768A"/>
    <w:rsid w:val="6BF5405C"/>
    <w:rsid w:val="6BFBAFB9"/>
    <w:rsid w:val="6BFCB23F"/>
    <w:rsid w:val="6C021BB8"/>
    <w:rsid w:val="6C09B1F6"/>
    <w:rsid w:val="6C1030C4"/>
    <w:rsid w:val="6C1056DB"/>
    <w:rsid w:val="6C16CCC5"/>
    <w:rsid w:val="6C1B35D5"/>
    <w:rsid w:val="6C1E191C"/>
    <w:rsid w:val="6C20A9CD"/>
    <w:rsid w:val="6C21EA66"/>
    <w:rsid w:val="6C248DEC"/>
    <w:rsid w:val="6C25F3EC"/>
    <w:rsid w:val="6C26D972"/>
    <w:rsid w:val="6C28B1D1"/>
    <w:rsid w:val="6C342E10"/>
    <w:rsid w:val="6C3A0BA9"/>
    <w:rsid w:val="6C3B0AB6"/>
    <w:rsid w:val="6C3F85E3"/>
    <w:rsid w:val="6C3FEB74"/>
    <w:rsid w:val="6C445045"/>
    <w:rsid w:val="6C46B163"/>
    <w:rsid w:val="6C4BEBE5"/>
    <w:rsid w:val="6C4C408A"/>
    <w:rsid w:val="6C4E7CB2"/>
    <w:rsid w:val="6C562315"/>
    <w:rsid w:val="6C5CF3D0"/>
    <w:rsid w:val="6C622664"/>
    <w:rsid w:val="6C63E65B"/>
    <w:rsid w:val="6C67AE5E"/>
    <w:rsid w:val="6C69864D"/>
    <w:rsid w:val="6C6BF8B0"/>
    <w:rsid w:val="6C712243"/>
    <w:rsid w:val="6C77DFB9"/>
    <w:rsid w:val="6C7AF13D"/>
    <w:rsid w:val="6C7DA471"/>
    <w:rsid w:val="6C80255F"/>
    <w:rsid w:val="6C804120"/>
    <w:rsid w:val="6C81A825"/>
    <w:rsid w:val="6C81D084"/>
    <w:rsid w:val="6C830FC8"/>
    <w:rsid w:val="6C8AD93B"/>
    <w:rsid w:val="6C968DC1"/>
    <w:rsid w:val="6C990667"/>
    <w:rsid w:val="6C9919A8"/>
    <w:rsid w:val="6C9E860E"/>
    <w:rsid w:val="6CA01CF6"/>
    <w:rsid w:val="6CA02FD5"/>
    <w:rsid w:val="6CA3F6A5"/>
    <w:rsid w:val="6CA47AC2"/>
    <w:rsid w:val="6CA5974C"/>
    <w:rsid w:val="6CA7B771"/>
    <w:rsid w:val="6CAA79FF"/>
    <w:rsid w:val="6CACC981"/>
    <w:rsid w:val="6CAD6367"/>
    <w:rsid w:val="6CB32F04"/>
    <w:rsid w:val="6CB3482B"/>
    <w:rsid w:val="6CB35D1F"/>
    <w:rsid w:val="6CB94EB9"/>
    <w:rsid w:val="6CBBC04A"/>
    <w:rsid w:val="6CBD7A71"/>
    <w:rsid w:val="6CC0DE04"/>
    <w:rsid w:val="6CC2AC17"/>
    <w:rsid w:val="6CC4D63F"/>
    <w:rsid w:val="6CC70216"/>
    <w:rsid w:val="6CCA3995"/>
    <w:rsid w:val="6CCDDE9F"/>
    <w:rsid w:val="6CCED3AB"/>
    <w:rsid w:val="6CD1EC8E"/>
    <w:rsid w:val="6CD33FFF"/>
    <w:rsid w:val="6CD3B936"/>
    <w:rsid w:val="6CD94751"/>
    <w:rsid w:val="6CDC6295"/>
    <w:rsid w:val="6CDD1BD9"/>
    <w:rsid w:val="6CDF33CD"/>
    <w:rsid w:val="6CDF605F"/>
    <w:rsid w:val="6CE23E16"/>
    <w:rsid w:val="6CE303F8"/>
    <w:rsid w:val="6CE45805"/>
    <w:rsid w:val="6CE8A289"/>
    <w:rsid w:val="6CEAD6FF"/>
    <w:rsid w:val="6CF430C2"/>
    <w:rsid w:val="6CF6F68A"/>
    <w:rsid w:val="6CFFDD71"/>
    <w:rsid w:val="6D01728E"/>
    <w:rsid w:val="6D05BFAB"/>
    <w:rsid w:val="6D081A92"/>
    <w:rsid w:val="6D09F944"/>
    <w:rsid w:val="6D0A00EA"/>
    <w:rsid w:val="6D0B1930"/>
    <w:rsid w:val="6D0B5D83"/>
    <w:rsid w:val="6D0C1CE7"/>
    <w:rsid w:val="6D0FD95B"/>
    <w:rsid w:val="6D11989B"/>
    <w:rsid w:val="6D1762EC"/>
    <w:rsid w:val="6D19F595"/>
    <w:rsid w:val="6D1B8722"/>
    <w:rsid w:val="6D1E380B"/>
    <w:rsid w:val="6D1ED56E"/>
    <w:rsid w:val="6D22D51D"/>
    <w:rsid w:val="6D244051"/>
    <w:rsid w:val="6D247C36"/>
    <w:rsid w:val="6D2ABCFF"/>
    <w:rsid w:val="6D2DDED9"/>
    <w:rsid w:val="6D31E4DB"/>
    <w:rsid w:val="6D3284AE"/>
    <w:rsid w:val="6D370052"/>
    <w:rsid w:val="6D398935"/>
    <w:rsid w:val="6D3C5DEE"/>
    <w:rsid w:val="6D3C8399"/>
    <w:rsid w:val="6D3F4644"/>
    <w:rsid w:val="6D496FAD"/>
    <w:rsid w:val="6D4E5EC6"/>
    <w:rsid w:val="6D507042"/>
    <w:rsid w:val="6D509A33"/>
    <w:rsid w:val="6D5538E9"/>
    <w:rsid w:val="6D570D7B"/>
    <w:rsid w:val="6D645726"/>
    <w:rsid w:val="6D657010"/>
    <w:rsid w:val="6D673497"/>
    <w:rsid w:val="6D67BFC0"/>
    <w:rsid w:val="6D6ABFFF"/>
    <w:rsid w:val="6D6B676C"/>
    <w:rsid w:val="6D7026DF"/>
    <w:rsid w:val="6D75DDC7"/>
    <w:rsid w:val="6D762141"/>
    <w:rsid w:val="6D79C7F4"/>
    <w:rsid w:val="6D7CD584"/>
    <w:rsid w:val="6D7F8535"/>
    <w:rsid w:val="6D81DA7C"/>
    <w:rsid w:val="6D8350A4"/>
    <w:rsid w:val="6D8DF232"/>
    <w:rsid w:val="6D8EDCEF"/>
    <w:rsid w:val="6D8F64F1"/>
    <w:rsid w:val="6D8FA5AD"/>
    <w:rsid w:val="6D90D0D0"/>
    <w:rsid w:val="6D915365"/>
    <w:rsid w:val="6D962BF6"/>
    <w:rsid w:val="6D97241E"/>
    <w:rsid w:val="6D9793E3"/>
    <w:rsid w:val="6D98CDB5"/>
    <w:rsid w:val="6D9A2D8E"/>
    <w:rsid w:val="6D9EB9C5"/>
    <w:rsid w:val="6D9F28CC"/>
    <w:rsid w:val="6DA0D421"/>
    <w:rsid w:val="6DAF66FE"/>
    <w:rsid w:val="6DB1B17A"/>
    <w:rsid w:val="6DB50690"/>
    <w:rsid w:val="6DB58B3B"/>
    <w:rsid w:val="6DB7B758"/>
    <w:rsid w:val="6DBB7D32"/>
    <w:rsid w:val="6DBD8046"/>
    <w:rsid w:val="6DBD965F"/>
    <w:rsid w:val="6DC130CE"/>
    <w:rsid w:val="6DC4EAD6"/>
    <w:rsid w:val="6DC50F1E"/>
    <w:rsid w:val="6DC9EBD8"/>
    <w:rsid w:val="6DD054FD"/>
    <w:rsid w:val="6DD0E356"/>
    <w:rsid w:val="6DD12509"/>
    <w:rsid w:val="6DDD4824"/>
    <w:rsid w:val="6DDDD959"/>
    <w:rsid w:val="6DE0D7FB"/>
    <w:rsid w:val="6DE76AB0"/>
    <w:rsid w:val="6DE7F3B5"/>
    <w:rsid w:val="6DE95B30"/>
    <w:rsid w:val="6DF025E8"/>
    <w:rsid w:val="6DF1B207"/>
    <w:rsid w:val="6DF2FB63"/>
    <w:rsid w:val="6DF5827A"/>
    <w:rsid w:val="6DF86205"/>
    <w:rsid w:val="6E0620D9"/>
    <w:rsid w:val="6E0979FE"/>
    <w:rsid w:val="6E130A56"/>
    <w:rsid w:val="6E1A4426"/>
    <w:rsid w:val="6E1C9231"/>
    <w:rsid w:val="6E1EA5EC"/>
    <w:rsid w:val="6E25EBEF"/>
    <w:rsid w:val="6E280620"/>
    <w:rsid w:val="6E2B6B8F"/>
    <w:rsid w:val="6E2BBBC2"/>
    <w:rsid w:val="6E2C28E3"/>
    <w:rsid w:val="6E2D0745"/>
    <w:rsid w:val="6E2D2AAB"/>
    <w:rsid w:val="6E30D246"/>
    <w:rsid w:val="6E311607"/>
    <w:rsid w:val="6E3303F3"/>
    <w:rsid w:val="6E34275D"/>
    <w:rsid w:val="6E3A6B26"/>
    <w:rsid w:val="6E3B5232"/>
    <w:rsid w:val="6E3D4117"/>
    <w:rsid w:val="6E44827A"/>
    <w:rsid w:val="6E45B724"/>
    <w:rsid w:val="6E472D61"/>
    <w:rsid w:val="6E49C303"/>
    <w:rsid w:val="6E52B4E5"/>
    <w:rsid w:val="6E575FD9"/>
    <w:rsid w:val="6E5B6479"/>
    <w:rsid w:val="6E5E66F3"/>
    <w:rsid w:val="6E5EBD1F"/>
    <w:rsid w:val="6E62AEAB"/>
    <w:rsid w:val="6E630C0D"/>
    <w:rsid w:val="6E67C4C8"/>
    <w:rsid w:val="6E6909D7"/>
    <w:rsid w:val="6E69BA0B"/>
    <w:rsid w:val="6E6E82B0"/>
    <w:rsid w:val="6E6FDC20"/>
    <w:rsid w:val="6E74E4D3"/>
    <w:rsid w:val="6E75AE97"/>
    <w:rsid w:val="6E76C4A5"/>
    <w:rsid w:val="6E77CE25"/>
    <w:rsid w:val="6E7B1753"/>
    <w:rsid w:val="6E7CA06B"/>
    <w:rsid w:val="6E80A8E6"/>
    <w:rsid w:val="6E82128F"/>
    <w:rsid w:val="6E8464ED"/>
    <w:rsid w:val="6E84AA3B"/>
    <w:rsid w:val="6E84DE6B"/>
    <w:rsid w:val="6E863FEB"/>
    <w:rsid w:val="6E893289"/>
    <w:rsid w:val="6E8A412A"/>
    <w:rsid w:val="6E8D42E2"/>
    <w:rsid w:val="6E8E8017"/>
    <w:rsid w:val="6E8ED930"/>
    <w:rsid w:val="6E8EF1A0"/>
    <w:rsid w:val="6E91FCD3"/>
    <w:rsid w:val="6E92A782"/>
    <w:rsid w:val="6E93EBDB"/>
    <w:rsid w:val="6E961074"/>
    <w:rsid w:val="6E97E678"/>
    <w:rsid w:val="6E9A7405"/>
    <w:rsid w:val="6EA06197"/>
    <w:rsid w:val="6EA82602"/>
    <w:rsid w:val="6EA866C1"/>
    <w:rsid w:val="6EA9BA17"/>
    <w:rsid w:val="6EACC7CC"/>
    <w:rsid w:val="6EAD59CF"/>
    <w:rsid w:val="6EB36D01"/>
    <w:rsid w:val="6EB7A189"/>
    <w:rsid w:val="6EBB038B"/>
    <w:rsid w:val="6EBF7970"/>
    <w:rsid w:val="6EC0B7C3"/>
    <w:rsid w:val="6EC558E8"/>
    <w:rsid w:val="6EC83BE3"/>
    <w:rsid w:val="6ED6D3F2"/>
    <w:rsid w:val="6ED8BFF3"/>
    <w:rsid w:val="6ED915A8"/>
    <w:rsid w:val="6ED993EC"/>
    <w:rsid w:val="6EDC1068"/>
    <w:rsid w:val="6EDC4AA2"/>
    <w:rsid w:val="6EDF9DFE"/>
    <w:rsid w:val="6EE322F5"/>
    <w:rsid w:val="6EE42B9A"/>
    <w:rsid w:val="6EE5334A"/>
    <w:rsid w:val="6EEE314D"/>
    <w:rsid w:val="6EF05720"/>
    <w:rsid w:val="6EF0DF2C"/>
    <w:rsid w:val="6EF85290"/>
    <w:rsid w:val="6EF8ECAD"/>
    <w:rsid w:val="6EFB9AF2"/>
    <w:rsid w:val="6EFC74A8"/>
    <w:rsid w:val="6EFD01EF"/>
    <w:rsid w:val="6F0570EC"/>
    <w:rsid w:val="6F05B34B"/>
    <w:rsid w:val="6F06173E"/>
    <w:rsid w:val="6F061D9D"/>
    <w:rsid w:val="6F064C9A"/>
    <w:rsid w:val="6F0941ED"/>
    <w:rsid w:val="6F0B2B3C"/>
    <w:rsid w:val="6F14155D"/>
    <w:rsid w:val="6F14EB67"/>
    <w:rsid w:val="6F154B76"/>
    <w:rsid w:val="6F19FDF6"/>
    <w:rsid w:val="6F1C1104"/>
    <w:rsid w:val="6F200AB7"/>
    <w:rsid w:val="6F2079C6"/>
    <w:rsid w:val="6F26FCB8"/>
    <w:rsid w:val="6F2715ED"/>
    <w:rsid w:val="6F2738CA"/>
    <w:rsid w:val="6F29DD09"/>
    <w:rsid w:val="6F2B1B4D"/>
    <w:rsid w:val="6F2D0C96"/>
    <w:rsid w:val="6F2D3804"/>
    <w:rsid w:val="6F2FA843"/>
    <w:rsid w:val="6F343CC8"/>
    <w:rsid w:val="6F3D75DC"/>
    <w:rsid w:val="6F3DE3A7"/>
    <w:rsid w:val="6F3E17E7"/>
    <w:rsid w:val="6F3EBA97"/>
    <w:rsid w:val="6F3F7013"/>
    <w:rsid w:val="6F3F8399"/>
    <w:rsid w:val="6F424539"/>
    <w:rsid w:val="6F432BC1"/>
    <w:rsid w:val="6F440488"/>
    <w:rsid w:val="6F447D95"/>
    <w:rsid w:val="6F4A3DB3"/>
    <w:rsid w:val="6F4AF7B8"/>
    <w:rsid w:val="6F4E58D0"/>
    <w:rsid w:val="6F5A33DF"/>
    <w:rsid w:val="6F5B8927"/>
    <w:rsid w:val="6F5C0E58"/>
    <w:rsid w:val="6F64B061"/>
    <w:rsid w:val="6F74C17B"/>
    <w:rsid w:val="6F768684"/>
    <w:rsid w:val="6F7E8A7C"/>
    <w:rsid w:val="6F7FB262"/>
    <w:rsid w:val="6F81AAFF"/>
    <w:rsid w:val="6F8BAD8C"/>
    <w:rsid w:val="6F904AFB"/>
    <w:rsid w:val="6F940D08"/>
    <w:rsid w:val="6F98BFF5"/>
    <w:rsid w:val="6F9A77A8"/>
    <w:rsid w:val="6F9AAE22"/>
    <w:rsid w:val="6F9F4F20"/>
    <w:rsid w:val="6F9F59EF"/>
    <w:rsid w:val="6FA04A92"/>
    <w:rsid w:val="6FA086B7"/>
    <w:rsid w:val="6FA1C6FA"/>
    <w:rsid w:val="6FA77319"/>
    <w:rsid w:val="6FA84151"/>
    <w:rsid w:val="6FB72D20"/>
    <w:rsid w:val="6FB75CAB"/>
    <w:rsid w:val="6FB9C549"/>
    <w:rsid w:val="6FBE338C"/>
    <w:rsid w:val="6FC461CE"/>
    <w:rsid w:val="6FC496EA"/>
    <w:rsid w:val="6FCB8A09"/>
    <w:rsid w:val="6FCEF6A4"/>
    <w:rsid w:val="6FD003E0"/>
    <w:rsid w:val="6FD59CB2"/>
    <w:rsid w:val="6FD5E5A9"/>
    <w:rsid w:val="6FE3171F"/>
    <w:rsid w:val="6FE44637"/>
    <w:rsid w:val="6FE56C53"/>
    <w:rsid w:val="6FE7DF4C"/>
    <w:rsid w:val="6FE8D438"/>
    <w:rsid w:val="6FECD377"/>
    <w:rsid w:val="6FF5B05E"/>
    <w:rsid w:val="6FF7A943"/>
    <w:rsid w:val="6FF80B84"/>
    <w:rsid w:val="6FF87833"/>
    <w:rsid w:val="6FF9691B"/>
    <w:rsid w:val="6FFA862E"/>
    <w:rsid w:val="6FFB159A"/>
    <w:rsid w:val="6FFD92C4"/>
    <w:rsid w:val="6FFDEEE8"/>
    <w:rsid w:val="70023B4C"/>
    <w:rsid w:val="7006D4AA"/>
    <w:rsid w:val="7007E074"/>
    <w:rsid w:val="700D4309"/>
    <w:rsid w:val="700F11AC"/>
    <w:rsid w:val="701070F2"/>
    <w:rsid w:val="701077FB"/>
    <w:rsid w:val="7010B51E"/>
    <w:rsid w:val="7019EB2D"/>
    <w:rsid w:val="701AD99C"/>
    <w:rsid w:val="701D6F12"/>
    <w:rsid w:val="701F4F04"/>
    <w:rsid w:val="7021A8D0"/>
    <w:rsid w:val="70223AB0"/>
    <w:rsid w:val="70288B53"/>
    <w:rsid w:val="702B4C72"/>
    <w:rsid w:val="702C1643"/>
    <w:rsid w:val="7030EB84"/>
    <w:rsid w:val="7031B556"/>
    <w:rsid w:val="70362A6C"/>
    <w:rsid w:val="7036A20F"/>
    <w:rsid w:val="70375716"/>
    <w:rsid w:val="7038B52C"/>
    <w:rsid w:val="703E00CF"/>
    <w:rsid w:val="7041BA13"/>
    <w:rsid w:val="70458CFE"/>
    <w:rsid w:val="704E530E"/>
    <w:rsid w:val="704FDC2A"/>
    <w:rsid w:val="70523438"/>
    <w:rsid w:val="7053B0E3"/>
    <w:rsid w:val="70574DFF"/>
    <w:rsid w:val="705839F9"/>
    <w:rsid w:val="705C332B"/>
    <w:rsid w:val="705D22D2"/>
    <w:rsid w:val="706144FC"/>
    <w:rsid w:val="7063DDFE"/>
    <w:rsid w:val="7072AD3C"/>
    <w:rsid w:val="7072D9EC"/>
    <w:rsid w:val="7072DE78"/>
    <w:rsid w:val="7073634B"/>
    <w:rsid w:val="7077F3DB"/>
    <w:rsid w:val="70780D82"/>
    <w:rsid w:val="707A5B99"/>
    <w:rsid w:val="70807E38"/>
    <w:rsid w:val="7080DD98"/>
    <w:rsid w:val="70841CD0"/>
    <w:rsid w:val="7086B344"/>
    <w:rsid w:val="7086F385"/>
    <w:rsid w:val="708888F6"/>
    <w:rsid w:val="7088C816"/>
    <w:rsid w:val="708BFF81"/>
    <w:rsid w:val="708F3889"/>
    <w:rsid w:val="708F4940"/>
    <w:rsid w:val="7090FBA4"/>
    <w:rsid w:val="7094044D"/>
    <w:rsid w:val="70964402"/>
    <w:rsid w:val="709AF51B"/>
    <w:rsid w:val="70A1E120"/>
    <w:rsid w:val="70A663FA"/>
    <w:rsid w:val="70AD0315"/>
    <w:rsid w:val="70B0F629"/>
    <w:rsid w:val="70BC7FFA"/>
    <w:rsid w:val="70BF6F1C"/>
    <w:rsid w:val="70C38138"/>
    <w:rsid w:val="70C564BF"/>
    <w:rsid w:val="70C5972C"/>
    <w:rsid w:val="70C7C399"/>
    <w:rsid w:val="70C832EC"/>
    <w:rsid w:val="70C963AC"/>
    <w:rsid w:val="70CC7621"/>
    <w:rsid w:val="70CC9034"/>
    <w:rsid w:val="70D50B75"/>
    <w:rsid w:val="70D5BA1B"/>
    <w:rsid w:val="70D9687B"/>
    <w:rsid w:val="70DCEEC0"/>
    <w:rsid w:val="70DD2AF5"/>
    <w:rsid w:val="70E1F273"/>
    <w:rsid w:val="70EBEB7E"/>
    <w:rsid w:val="70EE0937"/>
    <w:rsid w:val="70F1383B"/>
    <w:rsid w:val="70F22872"/>
    <w:rsid w:val="70F77F65"/>
    <w:rsid w:val="70FA6ADC"/>
    <w:rsid w:val="70FB0EBE"/>
    <w:rsid w:val="70FE59C4"/>
    <w:rsid w:val="70FF5371"/>
    <w:rsid w:val="710744C7"/>
    <w:rsid w:val="71089268"/>
    <w:rsid w:val="710954D5"/>
    <w:rsid w:val="710F45A2"/>
    <w:rsid w:val="71104746"/>
    <w:rsid w:val="71148215"/>
    <w:rsid w:val="7116FDD7"/>
    <w:rsid w:val="71170573"/>
    <w:rsid w:val="7119B46B"/>
    <w:rsid w:val="711ADF93"/>
    <w:rsid w:val="711EC140"/>
    <w:rsid w:val="7121A54F"/>
    <w:rsid w:val="71226649"/>
    <w:rsid w:val="71243E13"/>
    <w:rsid w:val="7124F646"/>
    <w:rsid w:val="7128A888"/>
    <w:rsid w:val="7129BCE6"/>
    <w:rsid w:val="712DD001"/>
    <w:rsid w:val="71330E57"/>
    <w:rsid w:val="7135D5BA"/>
    <w:rsid w:val="713625A6"/>
    <w:rsid w:val="71373C59"/>
    <w:rsid w:val="713751A6"/>
    <w:rsid w:val="7141D515"/>
    <w:rsid w:val="71437D7C"/>
    <w:rsid w:val="71446CC1"/>
    <w:rsid w:val="7149668E"/>
    <w:rsid w:val="714B04B0"/>
    <w:rsid w:val="714B5214"/>
    <w:rsid w:val="714D6275"/>
    <w:rsid w:val="714EBE15"/>
    <w:rsid w:val="715155C0"/>
    <w:rsid w:val="7151C9D0"/>
    <w:rsid w:val="71525B9B"/>
    <w:rsid w:val="715726EC"/>
    <w:rsid w:val="715A7C7F"/>
    <w:rsid w:val="715D8AF4"/>
    <w:rsid w:val="7160C1B7"/>
    <w:rsid w:val="716441F2"/>
    <w:rsid w:val="7164C2AE"/>
    <w:rsid w:val="7168B818"/>
    <w:rsid w:val="7168CE51"/>
    <w:rsid w:val="7168F0AA"/>
    <w:rsid w:val="7169161B"/>
    <w:rsid w:val="716AC8C3"/>
    <w:rsid w:val="716C092E"/>
    <w:rsid w:val="716D1A7B"/>
    <w:rsid w:val="716FB9E6"/>
    <w:rsid w:val="716FED50"/>
    <w:rsid w:val="7171F80B"/>
    <w:rsid w:val="717D4781"/>
    <w:rsid w:val="717D9769"/>
    <w:rsid w:val="717EBCAC"/>
    <w:rsid w:val="7184C67D"/>
    <w:rsid w:val="7186366A"/>
    <w:rsid w:val="7188D8BA"/>
    <w:rsid w:val="718D3CC1"/>
    <w:rsid w:val="7192E1EA"/>
    <w:rsid w:val="7199E595"/>
    <w:rsid w:val="719CF67E"/>
    <w:rsid w:val="719D7055"/>
    <w:rsid w:val="719F5119"/>
    <w:rsid w:val="71A1D295"/>
    <w:rsid w:val="71A43437"/>
    <w:rsid w:val="71A52629"/>
    <w:rsid w:val="71A92BE1"/>
    <w:rsid w:val="71A94E6F"/>
    <w:rsid w:val="71AA50DD"/>
    <w:rsid w:val="71AB056D"/>
    <w:rsid w:val="71AD1BB9"/>
    <w:rsid w:val="71B6DF1B"/>
    <w:rsid w:val="71B7E9FB"/>
    <w:rsid w:val="71BC763F"/>
    <w:rsid w:val="71BEC90F"/>
    <w:rsid w:val="71C1E08C"/>
    <w:rsid w:val="71C291F9"/>
    <w:rsid w:val="71C2DFF3"/>
    <w:rsid w:val="71C3B5E7"/>
    <w:rsid w:val="71C8BABE"/>
    <w:rsid w:val="71CC0E62"/>
    <w:rsid w:val="71CCBD9D"/>
    <w:rsid w:val="71D3D997"/>
    <w:rsid w:val="71D448E7"/>
    <w:rsid w:val="71D4EECA"/>
    <w:rsid w:val="71DB34AA"/>
    <w:rsid w:val="71E0A5E7"/>
    <w:rsid w:val="71E3B408"/>
    <w:rsid w:val="71E45D67"/>
    <w:rsid w:val="71E4A178"/>
    <w:rsid w:val="71E7CA24"/>
    <w:rsid w:val="71E8B609"/>
    <w:rsid w:val="71E9322E"/>
    <w:rsid w:val="71E9AD68"/>
    <w:rsid w:val="71ECDC66"/>
    <w:rsid w:val="71F5074F"/>
    <w:rsid w:val="71F9B3C8"/>
    <w:rsid w:val="71FB1E60"/>
    <w:rsid w:val="71FC266A"/>
    <w:rsid w:val="71FCFF25"/>
    <w:rsid w:val="71FFE735"/>
    <w:rsid w:val="72034C13"/>
    <w:rsid w:val="72063D66"/>
    <w:rsid w:val="7208CCC8"/>
    <w:rsid w:val="7212DD1A"/>
    <w:rsid w:val="7214A0F9"/>
    <w:rsid w:val="7214BBB6"/>
    <w:rsid w:val="7216D0F2"/>
    <w:rsid w:val="721A5FB2"/>
    <w:rsid w:val="721AC41A"/>
    <w:rsid w:val="72228A7A"/>
    <w:rsid w:val="722340BB"/>
    <w:rsid w:val="72295EC6"/>
    <w:rsid w:val="72299347"/>
    <w:rsid w:val="722B2369"/>
    <w:rsid w:val="722B252E"/>
    <w:rsid w:val="722F07F1"/>
    <w:rsid w:val="7235B51A"/>
    <w:rsid w:val="72365454"/>
    <w:rsid w:val="724586A9"/>
    <w:rsid w:val="72480F05"/>
    <w:rsid w:val="7249558B"/>
    <w:rsid w:val="7251FABC"/>
    <w:rsid w:val="72532F60"/>
    <w:rsid w:val="72546E56"/>
    <w:rsid w:val="72549DFE"/>
    <w:rsid w:val="725582C9"/>
    <w:rsid w:val="72570DC1"/>
    <w:rsid w:val="725C3258"/>
    <w:rsid w:val="725F00BD"/>
    <w:rsid w:val="725F7856"/>
    <w:rsid w:val="7262FD18"/>
    <w:rsid w:val="72655FC0"/>
    <w:rsid w:val="726A76A1"/>
    <w:rsid w:val="726B08EA"/>
    <w:rsid w:val="726D9925"/>
    <w:rsid w:val="726F5848"/>
    <w:rsid w:val="727454F8"/>
    <w:rsid w:val="7274D3A8"/>
    <w:rsid w:val="7274D476"/>
    <w:rsid w:val="727E394C"/>
    <w:rsid w:val="72842E74"/>
    <w:rsid w:val="7285A8F0"/>
    <w:rsid w:val="7285A957"/>
    <w:rsid w:val="72880B74"/>
    <w:rsid w:val="72885317"/>
    <w:rsid w:val="72894F71"/>
    <w:rsid w:val="728A62C2"/>
    <w:rsid w:val="728CF147"/>
    <w:rsid w:val="728D7E2B"/>
    <w:rsid w:val="728E7B26"/>
    <w:rsid w:val="72909DE7"/>
    <w:rsid w:val="7291FB29"/>
    <w:rsid w:val="72946E37"/>
    <w:rsid w:val="7297D8DE"/>
    <w:rsid w:val="729B3C0B"/>
    <w:rsid w:val="729CF1E1"/>
    <w:rsid w:val="729D78C1"/>
    <w:rsid w:val="72A3DFA4"/>
    <w:rsid w:val="72ABF3A4"/>
    <w:rsid w:val="72AEE11B"/>
    <w:rsid w:val="72B3D0F3"/>
    <w:rsid w:val="72B449CA"/>
    <w:rsid w:val="72B50AAF"/>
    <w:rsid w:val="72B54F3E"/>
    <w:rsid w:val="72B6EA2A"/>
    <w:rsid w:val="72B8E7D7"/>
    <w:rsid w:val="72C06DE4"/>
    <w:rsid w:val="72C64AC5"/>
    <w:rsid w:val="72C96511"/>
    <w:rsid w:val="72CCA350"/>
    <w:rsid w:val="72CEDEB8"/>
    <w:rsid w:val="72CFE62A"/>
    <w:rsid w:val="72D14F1C"/>
    <w:rsid w:val="72D2C680"/>
    <w:rsid w:val="72D4ED6B"/>
    <w:rsid w:val="72D68DF5"/>
    <w:rsid w:val="72D9AF64"/>
    <w:rsid w:val="72D9B43F"/>
    <w:rsid w:val="72DB3E09"/>
    <w:rsid w:val="72DB7B0D"/>
    <w:rsid w:val="72DD1199"/>
    <w:rsid w:val="72DE6D32"/>
    <w:rsid w:val="72E0E8DE"/>
    <w:rsid w:val="72E1F9D9"/>
    <w:rsid w:val="72E79AA5"/>
    <w:rsid w:val="72E9DF05"/>
    <w:rsid w:val="72F2736A"/>
    <w:rsid w:val="72F479C6"/>
    <w:rsid w:val="72F4EE51"/>
    <w:rsid w:val="72F5705D"/>
    <w:rsid w:val="72F67DC4"/>
    <w:rsid w:val="72FA2F80"/>
    <w:rsid w:val="72FC7AC4"/>
    <w:rsid w:val="72FFCB7E"/>
    <w:rsid w:val="7301E3A1"/>
    <w:rsid w:val="7303E95D"/>
    <w:rsid w:val="730ACBCE"/>
    <w:rsid w:val="730D6899"/>
    <w:rsid w:val="730D8B3B"/>
    <w:rsid w:val="730E2860"/>
    <w:rsid w:val="730EFA4B"/>
    <w:rsid w:val="73104624"/>
    <w:rsid w:val="731114AB"/>
    <w:rsid w:val="7315C577"/>
    <w:rsid w:val="731CA282"/>
    <w:rsid w:val="731F29C5"/>
    <w:rsid w:val="73207DA0"/>
    <w:rsid w:val="7322D6DA"/>
    <w:rsid w:val="73233C4D"/>
    <w:rsid w:val="732DB3A7"/>
    <w:rsid w:val="732E3C9A"/>
    <w:rsid w:val="7332D0DE"/>
    <w:rsid w:val="73377422"/>
    <w:rsid w:val="7339150F"/>
    <w:rsid w:val="733D225B"/>
    <w:rsid w:val="733D3774"/>
    <w:rsid w:val="73433D9B"/>
    <w:rsid w:val="734AC682"/>
    <w:rsid w:val="734B2FD9"/>
    <w:rsid w:val="734CE336"/>
    <w:rsid w:val="734E0801"/>
    <w:rsid w:val="734FBDB5"/>
    <w:rsid w:val="73515E61"/>
    <w:rsid w:val="7351E813"/>
    <w:rsid w:val="73535935"/>
    <w:rsid w:val="7353D31C"/>
    <w:rsid w:val="73585409"/>
    <w:rsid w:val="735983EC"/>
    <w:rsid w:val="73599CB1"/>
    <w:rsid w:val="735A51BA"/>
    <w:rsid w:val="735E53B7"/>
    <w:rsid w:val="7364DE5D"/>
    <w:rsid w:val="73663345"/>
    <w:rsid w:val="73678093"/>
    <w:rsid w:val="7367CAAD"/>
    <w:rsid w:val="73690EBE"/>
    <w:rsid w:val="73699F47"/>
    <w:rsid w:val="736D7202"/>
    <w:rsid w:val="736D9759"/>
    <w:rsid w:val="736EB308"/>
    <w:rsid w:val="7375F4B1"/>
    <w:rsid w:val="737CFEAA"/>
    <w:rsid w:val="7380898E"/>
    <w:rsid w:val="738B9B7E"/>
    <w:rsid w:val="738E43FE"/>
    <w:rsid w:val="739789B8"/>
    <w:rsid w:val="739840B1"/>
    <w:rsid w:val="739C0AF5"/>
    <w:rsid w:val="739C3554"/>
    <w:rsid w:val="739CE995"/>
    <w:rsid w:val="739D686C"/>
    <w:rsid w:val="739F1BCF"/>
    <w:rsid w:val="73A10FD8"/>
    <w:rsid w:val="73A3C18D"/>
    <w:rsid w:val="73A51B71"/>
    <w:rsid w:val="73A97C1A"/>
    <w:rsid w:val="73B13959"/>
    <w:rsid w:val="73B70D6F"/>
    <w:rsid w:val="73B71E90"/>
    <w:rsid w:val="73BC427B"/>
    <w:rsid w:val="73C4A31B"/>
    <w:rsid w:val="73C4D5EC"/>
    <w:rsid w:val="73CEC735"/>
    <w:rsid w:val="73D58D71"/>
    <w:rsid w:val="73D829C7"/>
    <w:rsid w:val="73E120E0"/>
    <w:rsid w:val="73ECFD3B"/>
    <w:rsid w:val="73F12A3D"/>
    <w:rsid w:val="73F466C2"/>
    <w:rsid w:val="73F5AC8A"/>
    <w:rsid w:val="73FA600C"/>
    <w:rsid w:val="73FD6D8A"/>
    <w:rsid w:val="7403A41C"/>
    <w:rsid w:val="7405D322"/>
    <w:rsid w:val="74067647"/>
    <w:rsid w:val="7409B2CE"/>
    <w:rsid w:val="740ACD00"/>
    <w:rsid w:val="740B1C37"/>
    <w:rsid w:val="740FA895"/>
    <w:rsid w:val="74121883"/>
    <w:rsid w:val="74122BC5"/>
    <w:rsid w:val="74159D4C"/>
    <w:rsid w:val="741882B2"/>
    <w:rsid w:val="741C5F58"/>
    <w:rsid w:val="741EB880"/>
    <w:rsid w:val="74209901"/>
    <w:rsid w:val="742653E6"/>
    <w:rsid w:val="74270061"/>
    <w:rsid w:val="7427C1EB"/>
    <w:rsid w:val="742A9D2A"/>
    <w:rsid w:val="742BCF97"/>
    <w:rsid w:val="74365F12"/>
    <w:rsid w:val="743828F6"/>
    <w:rsid w:val="743A490B"/>
    <w:rsid w:val="743C4255"/>
    <w:rsid w:val="743F6941"/>
    <w:rsid w:val="744059BD"/>
    <w:rsid w:val="7443CF79"/>
    <w:rsid w:val="7446225C"/>
    <w:rsid w:val="744639FC"/>
    <w:rsid w:val="74486024"/>
    <w:rsid w:val="74488586"/>
    <w:rsid w:val="7448F854"/>
    <w:rsid w:val="74496BA2"/>
    <w:rsid w:val="744F3C09"/>
    <w:rsid w:val="744FEC66"/>
    <w:rsid w:val="7453ADA0"/>
    <w:rsid w:val="74576A25"/>
    <w:rsid w:val="74594853"/>
    <w:rsid w:val="745CA9D5"/>
    <w:rsid w:val="745D5B3E"/>
    <w:rsid w:val="74681864"/>
    <w:rsid w:val="74759B4F"/>
    <w:rsid w:val="7477523E"/>
    <w:rsid w:val="74797D53"/>
    <w:rsid w:val="747CA5F1"/>
    <w:rsid w:val="747D4741"/>
    <w:rsid w:val="74833AA8"/>
    <w:rsid w:val="7483BF02"/>
    <w:rsid w:val="74842396"/>
    <w:rsid w:val="74844829"/>
    <w:rsid w:val="7489E5B1"/>
    <w:rsid w:val="748C3840"/>
    <w:rsid w:val="7491804A"/>
    <w:rsid w:val="74936536"/>
    <w:rsid w:val="74974B8B"/>
    <w:rsid w:val="749A73A3"/>
    <w:rsid w:val="749AAE2A"/>
    <w:rsid w:val="749E2296"/>
    <w:rsid w:val="74A0F556"/>
    <w:rsid w:val="74A25643"/>
    <w:rsid w:val="74A2BF05"/>
    <w:rsid w:val="74A39600"/>
    <w:rsid w:val="74A748A9"/>
    <w:rsid w:val="74A95BF8"/>
    <w:rsid w:val="74AA2779"/>
    <w:rsid w:val="74AADF54"/>
    <w:rsid w:val="74AB926F"/>
    <w:rsid w:val="74ABBA18"/>
    <w:rsid w:val="74AD8AA2"/>
    <w:rsid w:val="74BF1E09"/>
    <w:rsid w:val="74C019C1"/>
    <w:rsid w:val="74C5E0CB"/>
    <w:rsid w:val="74C82719"/>
    <w:rsid w:val="74CFBF59"/>
    <w:rsid w:val="74D43F6F"/>
    <w:rsid w:val="74D74C14"/>
    <w:rsid w:val="74DBCA8E"/>
    <w:rsid w:val="74DDB34D"/>
    <w:rsid w:val="74DF2737"/>
    <w:rsid w:val="74DF86EE"/>
    <w:rsid w:val="74E7E92E"/>
    <w:rsid w:val="74E918EE"/>
    <w:rsid w:val="74E9736C"/>
    <w:rsid w:val="74E9DCEC"/>
    <w:rsid w:val="74EC7422"/>
    <w:rsid w:val="74ECD229"/>
    <w:rsid w:val="74F030FB"/>
    <w:rsid w:val="74F4F770"/>
    <w:rsid w:val="74F543E6"/>
    <w:rsid w:val="74F6B082"/>
    <w:rsid w:val="74FB303B"/>
    <w:rsid w:val="74FB360F"/>
    <w:rsid w:val="75012B49"/>
    <w:rsid w:val="75039030"/>
    <w:rsid w:val="750492C1"/>
    <w:rsid w:val="750ADD4F"/>
    <w:rsid w:val="750DE681"/>
    <w:rsid w:val="750F233B"/>
    <w:rsid w:val="750F82F3"/>
    <w:rsid w:val="751598E8"/>
    <w:rsid w:val="7515EA5C"/>
    <w:rsid w:val="7515F533"/>
    <w:rsid w:val="751F4FA4"/>
    <w:rsid w:val="7521FA4B"/>
    <w:rsid w:val="7525E26E"/>
    <w:rsid w:val="7526B04D"/>
    <w:rsid w:val="75273965"/>
    <w:rsid w:val="75290B5B"/>
    <w:rsid w:val="752DC170"/>
    <w:rsid w:val="753020E8"/>
    <w:rsid w:val="7532FD14"/>
    <w:rsid w:val="7536BB3C"/>
    <w:rsid w:val="753803B9"/>
    <w:rsid w:val="753AADB7"/>
    <w:rsid w:val="753D7E3B"/>
    <w:rsid w:val="75410C63"/>
    <w:rsid w:val="7542316C"/>
    <w:rsid w:val="75436633"/>
    <w:rsid w:val="7543D9CD"/>
    <w:rsid w:val="754415AE"/>
    <w:rsid w:val="754635D3"/>
    <w:rsid w:val="754D1D17"/>
    <w:rsid w:val="754EED64"/>
    <w:rsid w:val="7550B9A8"/>
    <w:rsid w:val="7556BBC8"/>
    <w:rsid w:val="7559EC5D"/>
    <w:rsid w:val="755A974F"/>
    <w:rsid w:val="75621A8B"/>
    <w:rsid w:val="7565B482"/>
    <w:rsid w:val="75668336"/>
    <w:rsid w:val="75673A56"/>
    <w:rsid w:val="75685680"/>
    <w:rsid w:val="756918D0"/>
    <w:rsid w:val="75755642"/>
    <w:rsid w:val="75758B9C"/>
    <w:rsid w:val="7578AE19"/>
    <w:rsid w:val="757920D3"/>
    <w:rsid w:val="757C9EC0"/>
    <w:rsid w:val="758083CD"/>
    <w:rsid w:val="7580BDB4"/>
    <w:rsid w:val="7582F998"/>
    <w:rsid w:val="7589FCE2"/>
    <w:rsid w:val="758B8916"/>
    <w:rsid w:val="758BDB72"/>
    <w:rsid w:val="758F062A"/>
    <w:rsid w:val="758F6F39"/>
    <w:rsid w:val="75926B61"/>
    <w:rsid w:val="75927E12"/>
    <w:rsid w:val="7597C577"/>
    <w:rsid w:val="759C67B3"/>
    <w:rsid w:val="759CA09B"/>
    <w:rsid w:val="759CAA3F"/>
    <w:rsid w:val="759D4B1C"/>
    <w:rsid w:val="759E281D"/>
    <w:rsid w:val="75A0FB0F"/>
    <w:rsid w:val="75AAD395"/>
    <w:rsid w:val="75AB5A04"/>
    <w:rsid w:val="75AEDD89"/>
    <w:rsid w:val="75AFC8C7"/>
    <w:rsid w:val="75B16DF5"/>
    <w:rsid w:val="75B196C1"/>
    <w:rsid w:val="75B2609A"/>
    <w:rsid w:val="75BA0E7F"/>
    <w:rsid w:val="75BA5908"/>
    <w:rsid w:val="75C2A5E1"/>
    <w:rsid w:val="75C5842F"/>
    <w:rsid w:val="75CECE39"/>
    <w:rsid w:val="75D1438C"/>
    <w:rsid w:val="75D87FFE"/>
    <w:rsid w:val="75D8B182"/>
    <w:rsid w:val="75D961C0"/>
    <w:rsid w:val="75DA6729"/>
    <w:rsid w:val="75DC4764"/>
    <w:rsid w:val="75DE9AA7"/>
    <w:rsid w:val="75E77E6D"/>
    <w:rsid w:val="75EB3C3B"/>
    <w:rsid w:val="75EBD1BA"/>
    <w:rsid w:val="75EEB89F"/>
    <w:rsid w:val="75F70E29"/>
    <w:rsid w:val="75FED1D1"/>
    <w:rsid w:val="76024330"/>
    <w:rsid w:val="76058F14"/>
    <w:rsid w:val="760A9AF6"/>
    <w:rsid w:val="761FC9C6"/>
    <w:rsid w:val="7622F421"/>
    <w:rsid w:val="76278DFE"/>
    <w:rsid w:val="762D9C86"/>
    <w:rsid w:val="76305A0B"/>
    <w:rsid w:val="763256E8"/>
    <w:rsid w:val="76331530"/>
    <w:rsid w:val="763504C9"/>
    <w:rsid w:val="763702FC"/>
    <w:rsid w:val="76377BA9"/>
    <w:rsid w:val="764059D7"/>
    <w:rsid w:val="76417DBB"/>
    <w:rsid w:val="7641D14E"/>
    <w:rsid w:val="7641D9B4"/>
    <w:rsid w:val="764B8441"/>
    <w:rsid w:val="764D6F62"/>
    <w:rsid w:val="764F58DB"/>
    <w:rsid w:val="765224C6"/>
    <w:rsid w:val="765300D7"/>
    <w:rsid w:val="7655B2EA"/>
    <w:rsid w:val="7658CD53"/>
    <w:rsid w:val="765AEF09"/>
    <w:rsid w:val="765DCF61"/>
    <w:rsid w:val="765F54F8"/>
    <w:rsid w:val="7663AF84"/>
    <w:rsid w:val="7667D180"/>
    <w:rsid w:val="766AAD6E"/>
    <w:rsid w:val="766AED00"/>
    <w:rsid w:val="766B47DC"/>
    <w:rsid w:val="766B9A26"/>
    <w:rsid w:val="766EE3DC"/>
    <w:rsid w:val="7672CB47"/>
    <w:rsid w:val="767413E8"/>
    <w:rsid w:val="767510FF"/>
    <w:rsid w:val="767B3930"/>
    <w:rsid w:val="767C4E25"/>
    <w:rsid w:val="7689CC7D"/>
    <w:rsid w:val="768CB1F2"/>
    <w:rsid w:val="76979239"/>
    <w:rsid w:val="7697BFD8"/>
    <w:rsid w:val="769B444C"/>
    <w:rsid w:val="769DECA4"/>
    <w:rsid w:val="76A0BCE7"/>
    <w:rsid w:val="76A43522"/>
    <w:rsid w:val="76A48D92"/>
    <w:rsid w:val="76AA044A"/>
    <w:rsid w:val="76ACC4C7"/>
    <w:rsid w:val="76AF4BFB"/>
    <w:rsid w:val="76B03821"/>
    <w:rsid w:val="76B2C424"/>
    <w:rsid w:val="76B5774C"/>
    <w:rsid w:val="76B6670B"/>
    <w:rsid w:val="76B7AAFF"/>
    <w:rsid w:val="76BA0758"/>
    <w:rsid w:val="76BD77FE"/>
    <w:rsid w:val="76BE46FD"/>
    <w:rsid w:val="76C28C7C"/>
    <w:rsid w:val="76C2E87F"/>
    <w:rsid w:val="76C4CDC5"/>
    <w:rsid w:val="76C8954D"/>
    <w:rsid w:val="76C95D2F"/>
    <w:rsid w:val="76CA36A8"/>
    <w:rsid w:val="76CDD25A"/>
    <w:rsid w:val="76CE2CAA"/>
    <w:rsid w:val="76CFAC91"/>
    <w:rsid w:val="76CFBD03"/>
    <w:rsid w:val="76D6F87C"/>
    <w:rsid w:val="76D7BB33"/>
    <w:rsid w:val="76D923F5"/>
    <w:rsid w:val="76D9EE66"/>
    <w:rsid w:val="76DD3A2D"/>
    <w:rsid w:val="76E02F45"/>
    <w:rsid w:val="76E759C4"/>
    <w:rsid w:val="76EB485F"/>
    <w:rsid w:val="76ED3C51"/>
    <w:rsid w:val="76EE2C62"/>
    <w:rsid w:val="76F0DBA6"/>
    <w:rsid w:val="76F18B99"/>
    <w:rsid w:val="76F44E17"/>
    <w:rsid w:val="76F4F370"/>
    <w:rsid w:val="76F8D53F"/>
    <w:rsid w:val="76F919A7"/>
    <w:rsid w:val="76FB85B9"/>
    <w:rsid w:val="76FDA03D"/>
    <w:rsid w:val="76FE75A2"/>
    <w:rsid w:val="770D4651"/>
    <w:rsid w:val="770F943F"/>
    <w:rsid w:val="7710F355"/>
    <w:rsid w:val="771331BC"/>
    <w:rsid w:val="7715A5F3"/>
    <w:rsid w:val="77166365"/>
    <w:rsid w:val="7716B52A"/>
    <w:rsid w:val="771B32F5"/>
    <w:rsid w:val="771C4151"/>
    <w:rsid w:val="771E5F13"/>
    <w:rsid w:val="77227456"/>
    <w:rsid w:val="77248813"/>
    <w:rsid w:val="77252814"/>
    <w:rsid w:val="7725BB68"/>
    <w:rsid w:val="7726C790"/>
    <w:rsid w:val="7727FFDB"/>
    <w:rsid w:val="77333A00"/>
    <w:rsid w:val="77361205"/>
    <w:rsid w:val="7736F507"/>
    <w:rsid w:val="7737EFA2"/>
    <w:rsid w:val="7738A2A0"/>
    <w:rsid w:val="773AF3C8"/>
    <w:rsid w:val="773C1760"/>
    <w:rsid w:val="773DDC4D"/>
    <w:rsid w:val="77522B89"/>
    <w:rsid w:val="7752BB6F"/>
    <w:rsid w:val="77536D4B"/>
    <w:rsid w:val="7753A3A4"/>
    <w:rsid w:val="77553E3F"/>
    <w:rsid w:val="77571A25"/>
    <w:rsid w:val="7758C43B"/>
    <w:rsid w:val="7759AADF"/>
    <w:rsid w:val="775B2D81"/>
    <w:rsid w:val="775C1C8E"/>
    <w:rsid w:val="775C24F3"/>
    <w:rsid w:val="775D2F4D"/>
    <w:rsid w:val="776689ED"/>
    <w:rsid w:val="776799C2"/>
    <w:rsid w:val="7769426A"/>
    <w:rsid w:val="77702FEC"/>
    <w:rsid w:val="777C1F59"/>
    <w:rsid w:val="778077E8"/>
    <w:rsid w:val="7783A194"/>
    <w:rsid w:val="77862182"/>
    <w:rsid w:val="77869E96"/>
    <w:rsid w:val="778814A9"/>
    <w:rsid w:val="778CB064"/>
    <w:rsid w:val="778D9216"/>
    <w:rsid w:val="778F55CF"/>
    <w:rsid w:val="7796170B"/>
    <w:rsid w:val="77A2F088"/>
    <w:rsid w:val="77A42B0E"/>
    <w:rsid w:val="77A6B09D"/>
    <w:rsid w:val="77A9C464"/>
    <w:rsid w:val="77AC4E4E"/>
    <w:rsid w:val="77B56E07"/>
    <w:rsid w:val="77B5BDB5"/>
    <w:rsid w:val="77B6D391"/>
    <w:rsid w:val="77BB8FA7"/>
    <w:rsid w:val="77BBA000"/>
    <w:rsid w:val="77BEC1D6"/>
    <w:rsid w:val="77C0B482"/>
    <w:rsid w:val="77C9951C"/>
    <w:rsid w:val="77CAEF61"/>
    <w:rsid w:val="77CC726A"/>
    <w:rsid w:val="77CD8787"/>
    <w:rsid w:val="77D59842"/>
    <w:rsid w:val="77D85D45"/>
    <w:rsid w:val="77DCBCD9"/>
    <w:rsid w:val="77DDEC83"/>
    <w:rsid w:val="77E3A9AD"/>
    <w:rsid w:val="77E3E9A2"/>
    <w:rsid w:val="77E4FF8B"/>
    <w:rsid w:val="77E5E689"/>
    <w:rsid w:val="77EA60A6"/>
    <w:rsid w:val="77EF9FEF"/>
    <w:rsid w:val="77F05D70"/>
    <w:rsid w:val="77F49C10"/>
    <w:rsid w:val="77F6F53E"/>
    <w:rsid w:val="77F700C7"/>
    <w:rsid w:val="77FC850C"/>
    <w:rsid w:val="77FF633F"/>
    <w:rsid w:val="7803142C"/>
    <w:rsid w:val="78031F33"/>
    <w:rsid w:val="78070BCA"/>
    <w:rsid w:val="780839F6"/>
    <w:rsid w:val="78095CB5"/>
    <w:rsid w:val="7809B6CA"/>
    <w:rsid w:val="780B7DA1"/>
    <w:rsid w:val="7812B214"/>
    <w:rsid w:val="781E79CD"/>
    <w:rsid w:val="781FFBAC"/>
    <w:rsid w:val="782075CC"/>
    <w:rsid w:val="7822158C"/>
    <w:rsid w:val="78228AA9"/>
    <w:rsid w:val="7824F6FA"/>
    <w:rsid w:val="782C6FEB"/>
    <w:rsid w:val="782E22DA"/>
    <w:rsid w:val="782F4B22"/>
    <w:rsid w:val="783035CA"/>
    <w:rsid w:val="7836F7FB"/>
    <w:rsid w:val="783A6FEA"/>
    <w:rsid w:val="783A7A12"/>
    <w:rsid w:val="78434C7D"/>
    <w:rsid w:val="78441CC5"/>
    <w:rsid w:val="784542A0"/>
    <w:rsid w:val="78490CBD"/>
    <w:rsid w:val="784B88FE"/>
    <w:rsid w:val="784FF3CD"/>
    <w:rsid w:val="7851130B"/>
    <w:rsid w:val="785277A5"/>
    <w:rsid w:val="78528A7D"/>
    <w:rsid w:val="78586356"/>
    <w:rsid w:val="78596A32"/>
    <w:rsid w:val="78598474"/>
    <w:rsid w:val="785C4903"/>
    <w:rsid w:val="785C9FD2"/>
    <w:rsid w:val="785DB6C9"/>
    <w:rsid w:val="785E912B"/>
    <w:rsid w:val="785EC491"/>
    <w:rsid w:val="785F41EE"/>
    <w:rsid w:val="786A4F9B"/>
    <w:rsid w:val="786A83EA"/>
    <w:rsid w:val="786A936A"/>
    <w:rsid w:val="78702359"/>
    <w:rsid w:val="78731456"/>
    <w:rsid w:val="7875D33F"/>
    <w:rsid w:val="7876DDCB"/>
    <w:rsid w:val="78784938"/>
    <w:rsid w:val="787C89D4"/>
    <w:rsid w:val="787E66E7"/>
    <w:rsid w:val="788121AF"/>
    <w:rsid w:val="78843FED"/>
    <w:rsid w:val="788488FE"/>
    <w:rsid w:val="7886C1E0"/>
    <w:rsid w:val="788A24B3"/>
    <w:rsid w:val="788B629A"/>
    <w:rsid w:val="788C8D45"/>
    <w:rsid w:val="7897FB76"/>
    <w:rsid w:val="789C8C60"/>
    <w:rsid w:val="789CD83F"/>
    <w:rsid w:val="78A199FE"/>
    <w:rsid w:val="78A1BB51"/>
    <w:rsid w:val="78A589D0"/>
    <w:rsid w:val="78AF73F1"/>
    <w:rsid w:val="78AF8BD5"/>
    <w:rsid w:val="78B1FEA6"/>
    <w:rsid w:val="78B4CE56"/>
    <w:rsid w:val="78B6C42C"/>
    <w:rsid w:val="78B88975"/>
    <w:rsid w:val="78BABA97"/>
    <w:rsid w:val="78BBBAEA"/>
    <w:rsid w:val="78BC4120"/>
    <w:rsid w:val="78BD52D3"/>
    <w:rsid w:val="78C02175"/>
    <w:rsid w:val="78C08D17"/>
    <w:rsid w:val="78C28FA9"/>
    <w:rsid w:val="78C2B53D"/>
    <w:rsid w:val="78C77EDE"/>
    <w:rsid w:val="78CDEEBA"/>
    <w:rsid w:val="78CFE0CD"/>
    <w:rsid w:val="78D28DF1"/>
    <w:rsid w:val="78D3962E"/>
    <w:rsid w:val="78D6F99D"/>
    <w:rsid w:val="78D7E302"/>
    <w:rsid w:val="78DCBD61"/>
    <w:rsid w:val="78DF0AF4"/>
    <w:rsid w:val="78E0CAB3"/>
    <w:rsid w:val="78E0DC6A"/>
    <w:rsid w:val="78E39E19"/>
    <w:rsid w:val="78E782BD"/>
    <w:rsid w:val="78ED2B55"/>
    <w:rsid w:val="78EE7605"/>
    <w:rsid w:val="78F11FF0"/>
    <w:rsid w:val="78F6DDF9"/>
    <w:rsid w:val="78F89FAD"/>
    <w:rsid w:val="78F8E6D4"/>
    <w:rsid w:val="78FD3652"/>
    <w:rsid w:val="78FD7A46"/>
    <w:rsid w:val="79049B2E"/>
    <w:rsid w:val="7906D269"/>
    <w:rsid w:val="7907A2F6"/>
    <w:rsid w:val="7908807C"/>
    <w:rsid w:val="79096DC2"/>
    <w:rsid w:val="790A1996"/>
    <w:rsid w:val="790D47B4"/>
    <w:rsid w:val="790D7B77"/>
    <w:rsid w:val="790F4A2E"/>
    <w:rsid w:val="7913473D"/>
    <w:rsid w:val="7914E2FD"/>
    <w:rsid w:val="7916AB78"/>
    <w:rsid w:val="791CD0FD"/>
    <w:rsid w:val="791E9486"/>
    <w:rsid w:val="7925B5FE"/>
    <w:rsid w:val="7926956A"/>
    <w:rsid w:val="79271BEB"/>
    <w:rsid w:val="79279132"/>
    <w:rsid w:val="792BDDAD"/>
    <w:rsid w:val="792C1118"/>
    <w:rsid w:val="792C8197"/>
    <w:rsid w:val="7934190C"/>
    <w:rsid w:val="793B2C50"/>
    <w:rsid w:val="793D8305"/>
    <w:rsid w:val="793E203C"/>
    <w:rsid w:val="79401ECE"/>
    <w:rsid w:val="794059ED"/>
    <w:rsid w:val="794480DF"/>
    <w:rsid w:val="7946FBF8"/>
    <w:rsid w:val="794C2394"/>
    <w:rsid w:val="79505CAC"/>
    <w:rsid w:val="7954D1B1"/>
    <w:rsid w:val="79566169"/>
    <w:rsid w:val="7957C035"/>
    <w:rsid w:val="795BA2B8"/>
    <w:rsid w:val="795DCDB1"/>
    <w:rsid w:val="795E379D"/>
    <w:rsid w:val="79693780"/>
    <w:rsid w:val="796BCE30"/>
    <w:rsid w:val="796E18B8"/>
    <w:rsid w:val="79701E83"/>
    <w:rsid w:val="7970426E"/>
    <w:rsid w:val="7974A58B"/>
    <w:rsid w:val="79762B21"/>
    <w:rsid w:val="79775333"/>
    <w:rsid w:val="7979992E"/>
    <w:rsid w:val="797BE22A"/>
    <w:rsid w:val="7981829F"/>
    <w:rsid w:val="79847AE6"/>
    <w:rsid w:val="7988BC2D"/>
    <w:rsid w:val="79923492"/>
    <w:rsid w:val="799A9DF5"/>
    <w:rsid w:val="799AA657"/>
    <w:rsid w:val="79A52D32"/>
    <w:rsid w:val="79A570D5"/>
    <w:rsid w:val="79A63992"/>
    <w:rsid w:val="79A65439"/>
    <w:rsid w:val="79A6C9CB"/>
    <w:rsid w:val="79ABFF38"/>
    <w:rsid w:val="79BD9CF8"/>
    <w:rsid w:val="79BDBEA6"/>
    <w:rsid w:val="79C6916E"/>
    <w:rsid w:val="79CB1401"/>
    <w:rsid w:val="79CD5AEE"/>
    <w:rsid w:val="79D16618"/>
    <w:rsid w:val="79D4B0BB"/>
    <w:rsid w:val="79D547A3"/>
    <w:rsid w:val="79D7FA3C"/>
    <w:rsid w:val="79DB994F"/>
    <w:rsid w:val="79DC3C68"/>
    <w:rsid w:val="79E162A2"/>
    <w:rsid w:val="79E21AF7"/>
    <w:rsid w:val="79E9D821"/>
    <w:rsid w:val="79ED2E8B"/>
    <w:rsid w:val="79FF0E60"/>
    <w:rsid w:val="7A003269"/>
    <w:rsid w:val="7A01B333"/>
    <w:rsid w:val="7A023A4E"/>
    <w:rsid w:val="7A033F00"/>
    <w:rsid w:val="7A05D28E"/>
    <w:rsid w:val="7A063EB3"/>
    <w:rsid w:val="7A0B201D"/>
    <w:rsid w:val="7A0BE302"/>
    <w:rsid w:val="7A0DCD5C"/>
    <w:rsid w:val="7A114A52"/>
    <w:rsid w:val="7A14361E"/>
    <w:rsid w:val="7A174ABE"/>
    <w:rsid w:val="7A198E43"/>
    <w:rsid w:val="7A19D9D1"/>
    <w:rsid w:val="7A1A6DF2"/>
    <w:rsid w:val="7A1B5602"/>
    <w:rsid w:val="7A1FF9A4"/>
    <w:rsid w:val="7A21067D"/>
    <w:rsid w:val="7A270A6B"/>
    <w:rsid w:val="7A2756EC"/>
    <w:rsid w:val="7A2AE04F"/>
    <w:rsid w:val="7A2E443A"/>
    <w:rsid w:val="7A2EE5B5"/>
    <w:rsid w:val="7A3239FA"/>
    <w:rsid w:val="7A32D010"/>
    <w:rsid w:val="7A33D95A"/>
    <w:rsid w:val="7A35B637"/>
    <w:rsid w:val="7A35EE43"/>
    <w:rsid w:val="7A3B1137"/>
    <w:rsid w:val="7A3B70B4"/>
    <w:rsid w:val="7A3C0C82"/>
    <w:rsid w:val="7A3DC6C2"/>
    <w:rsid w:val="7A4174FC"/>
    <w:rsid w:val="7A418D03"/>
    <w:rsid w:val="7A43C5BD"/>
    <w:rsid w:val="7A4490AE"/>
    <w:rsid w:val="7A451110"/>
    <w:rsid w:val="7A493260"/>
    <w:rsid w:val="7A4CF19E"/>
    <w:rsid w:val="7A4E8148"/>
    <w:rsid w:val="7A4FBDC9"/>
    <w:rsid w:val="7A52A1D5"/>
    <w:rsid w:val="7A6006C8"/>
    <w:rsid w:val="7A651611"/>
    <w:rsid w:val="7A65D1DD"/>
    <w:rsid w:val="7A66E635"/>
    <w:rsid w:val="7A69734A"/>
    <w:rsid w:val="7A6B122D"/>
    <w:rsid w:val="7A6EB8A2"/>
    <w:rsid w:val="7A6F615C"/>
    <w:rsid w:val="7A6F9A3A"/>
    <w:rsid w:val="7A7268B5"/>
    <w:rsid w:val="7A726FF1"/>
    <w:rsid w:val="7A72FEBA"/>
    <w:rsid w:val="7A740659"/>
    <w:rsid w:val="7A76A9FD"/>
    <w:rsid w:val="7A7D8936"/>
    <w:rsid w:val="7A7E8844"/>
    <w:rsid w:val="7A7E9F40"/>
    <w:rsid w:val="7A7F3482"/>
    <w:rsid w:val="7A818132"/>
    <w:rsid w:val="7A81D054"/>
    <w:rsid w:val="7A837AC2"/>
    <w:rsid w:val="7A858851"/>
    <w:rsid w:val="7A8A490D"/>
    <w:rsid w:val="7A8AF959"/>
    <w:rsid w:val="7A8F7BAD"/>
    <w:rsid w:val="7A9348F8"/>
    <w:rsid w:val="7A93D0DF"/>
    <w:rsid w:val="7A941AE8"/>
    <w:rsid w:val="7A98ADB7"/>
    <w:rsid w:val="7A9976FB"/>
    <w:rsid w:val="7A9C274F"/>
    <w:rsid w:val="7AA5FB31"/>
    <w:rsid w:val="7AA60FA8"/>
    <w:rsid w:val="7AA967C1"/>
    <w:rsid w:val="7AAAC92D"/>
    <w:rsid w:val="7AAC64D5"/>
    <w:rsid w:val="7AAD3A3F"/>
    <w:rsid w:val="7AAFB39C"/>
    <w:rsid w:val="7AB04447"/>
    <w:rsid w:val="7AB79364"/>
    <w:rsid w:val="7AB9B675"/>
    <w:rsid w:val="7ABACE01"/>
    <w:rsid w:val="7ABD9F6A"/>
    <w:rsid w:val="7ABDA452"/>
    <w:rsid w:val="7ABE6DA5"/>
    <w:rsid w:val="7AC1A8E4"/>
    <w:rsid w:val="7AC1BCEC"/>
    <w:rsid w:val="7AC27CBB"/>
    <w:rsid w:val="7AC35E4C"/>
    <w:rsid w:val="7AC36B5F"/>
    <w:rsid w:val="7AC80F0C"/>
    <w:rsid w:val="7ACE8DD0"/>
    <w:rsid w:val="7ACEC06F"/>
    <w:rsid w:val="7AD18F59"/>
    <w:rsid w:val="7AD256FE"/>
    <w:rsid w:val="7AD27A8A"/>
    <w:rsid w:val="7AD37BA1"/>
    <w:rsid w:val="7AD42748"/>
    <w:rsid w:val="7AD6B6C2"/>
    <w:rsid w:val="7AD949E7"/>
    <w:rsid w:val="7ADE5269"/>
    <w:rsid w:val="7ADF27F7"/>
    <w:rsid w:val="7ADFDE5B"/>
    <w:rsid w:val="7AE51A73"/>
    <w:rsid w:val="7AE82E1E"/>
    <w:rsid w:val="7AE93151"/>
    <w:rsid w:val="7AE94674"/>
    <w:rsid w:val="7AE9730C"/>
    <w:rsid w:val="7AEB9363"/>
    <w:rsid w:val="7AEC63B2"/>
    <w:rsid w:val="7AED7AB1"/>
    <w:rsid w:val="7AEE9138"/>
    <w:rsid w:val="7AEED230"/>
    <w:rsid w:val="7AEFA8CB"/>
    <w:rsid w:val="7AF2DD05"/>
    <w:rsid w:val="7AF32CB1"/>
    <w:rsid w:val="7AF8B0D7"/>
    <w:rsid w:val="7AFEA1E9"/>
    <w:rsid w:val="7B0002B7"/>
    <w:rsid w:val="7B00F6D5"/>
    <w:rsid w:val="7B034600"/>
    <w:rsid w:val="7B0AE2ED"/>
    <w:rsid w:val="7B0C53EA"/>
    <w:rsid w:val="7B0D109B"/>
    <w:rsid w:val="7B1113B0"/>
    <w:rsid w:val="7B126892"/>
    <w:rsid w:val="7B139DC6"/>
    <w:rsid w:val="7B14BF8B"/>
    <w:rsid w:val="7B14DE57"/>
    <w:rsid w:val="7B168F03"/>
    <w:rsid w:val="7B1C9B41"/>
    <w:rsid w:val="7B1D43C0"/>
    <w:rsid w:val="7B1DB2AA"/>
    <w:rsid w:val="7B1E9EDC"/>
    <w:rsid w:val="7B1F05A8"/>
    <w:rsid w:val="7B2206A0"/>
    <w:rsid w:val="7B256B3D"/>
    <w:rsid w:val="7B257654"/>
    <w:rsid w:val="7B25AE59"/>
    <w:rsid w:val="7B25B2AA"/>
    <w:rsid w:val="7B2612DD"/>
    <w:rsid w:val="7B26D4B3"/>
    <w:rsid w:val="7B28BCCA"/>
    <w:rsid w:val="7B28D466"/>
    <w:rsid w:val="7B2C088C"/>
    <w:rsid w:val="7B2E6253"/>
    <w:rsid w:val="7B309E15"/>
    <w:rsid w:val="7B3397DD"/>
    <w:rsid w:val="7B356E9C"/>
    <w:rsid w:val="7B3A7591"/>
    <w:rsid w:val="7B3BA40A"/>
    <w:rsid w:val="7B3C2291"/>
    <w:rsid w:val="7B42EDC1"/>
    <w:rsid w:val="7B4AAA40"/>
    <w:rsid w:val="7B4FB132"/>
    <w:rsid w:val="7B4FBF24"/>
    <w:rsid w:val="7B50808C"/>
    <w:rsid w:val="7B5090B8"/>
    <w:rsid w:val="7B51ABE7"/>
    <w:rsid w:val="7B53E232"/>
    <w:rsid w:val="7B5B17D4"/>
    <w:rsid w:val="7B5D9DB7"/>
    <w:rsid w:val="7B5DC89B"/>
    <w:rsid w:val="7B5FEA6B"/>
    <w:rsid w:val="7B60052F"/>
    <w:rsid w:val="7B60B74D"/>
    <w:rsid w:val="7B61607F"/>
    <w:rsid w:val="7B656622"/>
    <w:rsid w:val="7B662EB3"/>
    <w:rsid w:val="7B6A78E1"/>
    <w:rsid w:val="7B6A8CD8"/>
    <w:rsid w:val="7B6C0FD6"/>
    <w:rsid w:val="7B6DD542"/>
    <w:rsid w:val="7B6FF5F7"/>
    <w:rsid w:val="7B746B20"/>
    <w:rsid w:val="7B75D0A6"/>
    <w:rsid w:val="7B7680D1"/>
    <w:rsid w:val="7B77A1E2"/>
    <w:rsid w:val="7B786BE8"/>
    <w:rsid w:val="7B7DF991"/>
    <w:rsid w:val="7B7EC2B3"/>
    <w:rsid w:val="7B7F225F"/>
    <w:rsid w:val="7B7FFF12"/>
    <w:rsid w:val="7B8A005C"/>
    <w:rsid w:val="7B8CC80D"/>
    <w:rsid w:val="7B947239"/>
    <w:rsid w:val="7B99C297"/>
    <w:rsid w:val="7B9A5DC7"/>
    <w:rsid w:val="7B9E808E"/>
    <w:rsid w:val="7B9FFE0D"/>
    <w:rsid w:val="7BA2EA8C"/>
    <w:rsid w:val="7BA34E9C"/>
    <w:rsid w:val="7BA3DAB4"/>
    <w:rsid w:val="7BA4465C"/>
    <w:rsid w:val="7BA6958B"/>
    <w:rsid w:val="7BA705E8"/>
    <w:rsid w:val="7BA809A8"/>
    <w:rsid w:val="7BAB3F55"/>
    <w:rsid w:val="7BAF7CC6"/>
    <w:rsid w:val="7BAF7EBB"/>
    <w:rsid w:val="7BB18732"/>
    <w:rsid w:val="7BB36EBF"/>
    <w:rsid w:val="7BB55D54"/>
    <w:rsid w:val="7BB5A3AF"/>
    <w:rsid w:val="7BBB924C"/>
    <w:rsid w:val="7BBC6CBF"/>
    <w:rsid w:val="7BBC9C5D"/>
    <w:rsid w:val="7BC1F489"/>
    <w:rsid w:val="7BC36DCF"/>
    <w:rsid w:val="7BC7A339"/>
    <w:rsid w:val="7BCD4A6A"/>
    <w:rsid w:val="7BD94A28"/>
    <w:rsid w:val="7BDC2FD0"/>
    <w:rsid w:val="7BDFE79C"/>
    <w:rsid w:val="7BE0B251"/>
    <w:rsid w:val="7BE2AE8B"/>
    <w:rsid w:val="7BE44193"/>
    <w:rsid w:val="7BE66E2F"/>
    <w:rsid w:val="7BEC123C"/>
    <w:rsid w:val="7BEF1E85"/>
    <w:rsid w:val="7BF4AD87"/>
    <w:rsid w:val="7BF516EF"/>
    <w:rsid w:val="7BF5561E"/>
    <w:rsid w:val="7BF5DB08"/>
    <w:rsid w:val="7BF6B199"/>
    <w:rsid w:val="7BF97699"/>
    <w:rsid w:val="7BF996E4"/>
    <w:rsid w:val="7C0457E0"/>
    <w:rsid w:val="7C074659"/>
    <w:rsid w:val="7C08F838"/>
    <w:rsid w:val="7C0A9BC2"/>
    <w:rsid w:val="7C0ABE00"/>
    <w:rsid w:val="7C0B1FFA"/>
    <w:rsid w:val="7C0E9130"/>
    <w:rsid w:val="7C0FE65C"/>
    <w:rsid w:val="7C0FF3F9"/>
    <w:rsid w:val="7C11F535"/>
    <w:rsid w:val="7C151D1F"/>
    <w:rsid w:val="7C15FFFA"/>
    <w:rsid w:val="7C18F4B5"/>
    <w:rsid w:val="7C1AA018"/>
    <w:rsid w:val="7C1CC583"/>
    <w:rsid w:val="7C1EC336"/>
    <w:rsid w:val="7C209932"/>
    <w:rsid w:val="7C22529A"/>
    <w:rsid w:val="7C2E5FA9"/>
    <w:rsid w:val="7C306ACC"/>
    <w:rsid w:val="7C33F03A"/>
    <w:rsid w:val="7C3677CF"/>
    <w:rsid w:val="7C3A778C"/>
    <w:rsid w:val="7C3C0CEB"/>
    <w:rsid w:val="7C40A579"/>
    <w:rsid w:val="7C4144CA"/>
    <w:rsid w:val="7C4445A0"/>
    <w:rsid w:val="7C4BA955"/>
    <w:rsid w:val="7C4D7CD1"/>
    <w:rsid w:val="7C50763C"/>
    <w:rsid w:val="7C537501"/>
    <w:rsid w:val="7C544BAD"/>
    <w:rsid w:val="7C55E8DE"/>
    <w:rsid w:val="7C56578C"/>
    <w:rsid w:val="7C59B92C"/>
    <w:rsid w:val="7C5DFEC2"/>
    <w:rsid w:val="7C5ED51B"/>
    <w:rsid w:val="7C65F032"/>
    <w:rsid w:val="7C670364"/>
    <w:rsid w:val="7C6B549F"/>
    <w:rsid w:val="7C6BA3A4"/>
    <w:rsid w:val="7C6EBD23"/>
    <w:rsid w:val="7C700372"/>
    <w:rsid w:val="7C756A9D"/>
    <w:rsid w:val="7C76446E"/>
    <w:rsid w:val="7C7927CA"/>
    <w:rsid w:val="7C7AC602"/>
    <w:rsid w:val="7C83353C"/>
    <w:rsid w:val="7C8C286B"/>
    <w:rsid w:val="7C8D55B2"/>
    <w:rsid w:val="7C8E501A"/>
    <w:rsid w:val="7C97B232"/>
    <w:rsid w:val="7C9DA20E"/>
    <w:rsid w:val="7C9FB9C8"/>
    <w:rsid w:val="7CA4663C"/>
    <w:rsid w:val="7CA4F23B"/>
    <w:rsid w:val="7CA5644E"/>
    <w:rsid w:val="7CA7D1BA"/>
    <w:rsid w:val="7CAB55CF"/>
    <w:rsid w:val="7CAFE329"/>
    <w:rsid w:val="7CB4D337"/>
    <w:rsid w:val="7CB78781"/>
    <w:rsid w:val="7CB8516D"/>
    <w:rsid w:val="7CBCEC31"/>
    <w:rsid w:val="7CBEDB7A"/>
    <w:rsid w:val="7CBF962A"/>
    <w:rsid w:val="7CC250A8"/>
    <w:rsid w:val="7CC37EDB"/>
    <w:rsid w:val="7CC56EE1"/>
    <w:rsid w:val="7CC5A3E0"/>
    <w:rsid w:val="7CC5E1E2"/>
    <w:rsid w:val="7CC62BF7"/>
    <w:rsid w:val="7CCB49E9"/>
    <w:rsid w:val="7CCCF6B6"/>
    <w:rsid w:val="7CD2BBEB"/>
    <w:rsid w:val="7CD6F58C"/>
    <w:rsid w:val="7CD77503"/>
    <w:rsid w:val="7CDA7328"/>
    <w:rsid w:val="7CDBA7DC"/>
    <w:rsid w:val="7CE01051"/>
    <w:rsid w:val="7CE0ABB5"/>
    <w:rsid w:val="7CE2FE18"/>
    <w:rsid w:val="7CE7A881"/>
    <w:rsid w:val="7CE9F8EE"/>
    <w:rsid w:val="7CEC0EFF"/>
    <w:rsid w:val="7CF3D5E9"/>
    <w:rsid w:val="7CF5C3D9"/>
    <w:rsid w:val="7CF9B7FF"/>
    <w:rsid w:val="7D00E00E"/>
    <w:rsid w:val="7D010E5C"/>
    <w:rsid w:val="7D019852"/>
    <w:rsid w:val="7D04B7A8"/>
    <w:rsid w:val="7D05611F"/>
    <w:rsid w:val="7D05A6EB"/>
    <w:rsid w:val="7D05C9BE"/>
    <w:rsid w:val="7D095679"/>
    <w:rsid w:val="7D0A4ECF"/>
    <w:rsid w:val="7D0BF7BC"/>
    <w:rsid w:val="7D0C02EC"/>
    <w:rsid w:val="7D0F4641"/>
    <w:rsid w:val="7D15E9B8"/>
    <w:rsid w:val="7D2020FA"/>
    <w:rsid w:val="7D2057F3"/>
    <w:rsid w:val="7D229752"/>
    <w:rsid w:val="7D238C5D"/>
    <w:rsid w:val="7D28DBAB"/>
    <w:rsid w:val="7D29329B"/>
    <w:rsid w:val="7D2AF602"/>
    <w:rsid w:val="7D2B1B8E"/>
    <w:rsid w:val="7D2C3AEE"/>
    <w:rsid w:val="7D2F0096"/>
    <w:rsid w:val="7D30D84D"/>
    <w:rsid w:val="7D332F0C"/>
    <w:rsid w:val="7D35EDBE"/>
    <w:rsid w:val="7D396BCD"/>
    <w:rsid w:val="7D4851EE"/>
    <w:rsid w:val="7D5135A4"/>
    <w:rsid w:val="7D557552"/>
    <w:rsid w:val="7D574C03"/>
    <w:rsid w:val="7D58E024"/>
    <w:rsid w:val="7D5B1E51"/>
    <w:rsid w:val="7D609319"/>
    <w:rsid w:val="7D616F6A"/>
    <w:rsid w:val="7D61903C"/>
    <w:rsid w:val="7D628D9C"/>
    <w:rsid w:val="7D6454DE"/>
    <w:rsid w:val="7D6EA018"/>
    <w:rsid w:val="7D72A925"/>
    <w:rsid w:val="7D73B584"/>
    <w:rsid w:val="7D73E6CC"/>
    <w:rsid w:val="7D838334"/>
    <w:rsid w:val="7D8663E6"/>
    <w:rsid w:val="7D874AE9"/>
    <w:rsid w:val="7D87A93F"/>
    <w:rsid w:val="7D8816B7"/>
    <w:rsid w:val="7D89BDC4"/>
    <w:rsid w:val="7D8B2446"/>
    <w:rsid w:val="7D8EB3D3"/>
    <w:rsid w:val="7D923D22"/>
    <w:rsid w:val="7D959799"/>
    <w:rsid w:val="7D96132E"/>
    <w:rsid w:val="7D962CA6"/>
    <w:rsid w:val="7D9A73EA"/>
    <w:rsid w:val="7D9F4CE2"/>
    <w:rsid w:val="7D9FA0C5"/>
    <w:rsid w:val="7DA17BC6"/>
    <w:rsid w:val="7DA22AD6"/>
    <w:rsid w:val="7DA54CA0"/>
    <w:rsid w:val="7DA84F67"/>
    <w:rsid w:val="7DAA9E7A"/>
    <w:rsid w:val="7DAC193F"/>
    <w:rsid w:val="7DADD1BB"/>
    <w:rsid w:val="7DB15213"/>
    <w:rsid w:val="7DB3A8A7"/>
    <w:rsid w:val="7DB902D7"/>
    <w:rsid w:val="7DBCB6E9"/>
    <w:rsid w:val="7DC49E26"/>
    <w:rsid w:val="7DC4CC06"/>
    <w:rsid w:val="7DC4F143"/>
    <w:rsid w:val="7DC5C3B9"/>
    <w:rsid w:val="7DCA0065"/>
    <w:rsid w:val="7DCB27A8"/>
    <w:rsid w:val="7DCEF6D6"/>
    <w:rsid w:val="7DCFA404"/>
    <w:rsid w:val="7DD24EFD"/>
    <w:rsid w:val="7DD46430"/>
    <w:rsid w:val="7DD54147"/>
    <w:rsid w:val="7DD5648B"/>
    <w:rsid w:val="7DD63230"/>
    <w:rsid w:val="7DD68A14"/>
    <w:rsid w:val="7DD6DEF5"/>
    <w:rsid w:val="7DD8E09B"/>
    <w:rsid w:val="7DD9CFEF"/>
    <w:rsid w:val="7DDAB51B"/>
    <w:rsid w:val="7DDB3DD2"/>
    <w:rsid w:val="7DDED42E"/>
    <w:rsid w:val="7DDFBAD9"/>
    <w:rsid w:val="7DE78CB5"/>
    <w:rsid w:val="7DE82B9D"/>
    <w:rsid w:val="7DE897F0"/>
    <w:rsid w:val="7DEA74D0"/>
    <w:rsid w:val="7DEC6899"/>
    <w:rsid w:val="7DEC8DE6"/>
    <w:rsid w:val="7DED401C"/>
    <w:rsid w:val="7DF05F19"/>
    <w:rsid w:val="7DF0F89F"/>
    <w:rsid w:val="7DF5D529"/>
    <w:rsid w:val="7DFD1698"/>
    <w:rsid w:val="7DFD53EA"/>
    <w:rsid w:val="7E055C8E"/>
    <w:rsid w:val="7E0A147B"/>
    <w:rsid w:val="7E0B4A79"/>
    <w:rsid w:val="7E0D0DD1"/>
    <w:rsid w:val="7E0D3E56"/>
    <w:rsid w:val="7E0FA093"/>
    <w:rsid w:val="7E101259"/>
    <w:rsid w:val="7E1F38AB"/>
    <w:rsid w:val="7E217B46"/>
    <w:rsid w:val="7E21C44B"/>
    <w:rsid w:val="7E22347F"/>
    <w:rsid w:val="7E24158B"/>
    <w:rsid w:val="7E27D6D0"/>
    <w:rsid w:val="7E2C48A1"/>
    <w:rsid w:val="7E368D9B"/>
    <w:rsid w:val="7E3747A6"/>
    <w:rsid w:val="7E3768B7"/>
    <w:rsid w:val="7E388DB8"/>
    <w:rsid w:val="7E391C2A"/>
    <w:rsid w:val="7E3AA891"/>
    <w:rsid w:val="7E3F94D9"/>
    <w:rsid w:val="7E426F9F"/>
    <w:rsid w:val="7E46FE7F"/>
    <w:rsid w:val="7E47A7E6"/>
    <w:rsid w:val="7E4ABA35"/>
    <w:rsid w:val="7E4BB026"/>
    <w:rsid w:val="7E511B4A"/>
    <w:rsid w:val="7E53AA97"/>
    <w:rsid w:val="7E57C00D"/>
    <w:rsid w:val="7E57DCDF"/>
    <w:rsid w:val="7E591C65"/>
    <w:rsid w:val="7E5AD652"/>
    <w:rsid w:val="7E5E4A63"/>
    <w:rsid w:val="7E5E67ED"/>
    <w:rsid w:val="7E64C599"/>
    <w:rsid w:val="7E64F8E1"/>
    <w:rsid w:val="7E652181"/>
    <w:rsid w:val="7E670719"/>
    <w:rsid w:val="7E674347"/>
    <w:rsid w:val="7E715BA1"/>
    <w:rsid w:val="7E73F11A"/>
    <w:rsid w:val="7E7860E6"/>
    <w:rsid w:val="7E78BBD6"/>
    <w:rsid w:val="7E7A96A5"/>
    <w:rsid w:val="7E810A76"/>
    <w:rsid w:val="7E8516F5"/>
    <w:rsid w:val="7E86C2EE"/>
    <w:rsid w:val="7E88381A"/>
    <w:rsid w:val="7E884888"/>
    <w:rsid w:val="7E89CF86"/>
    <w:rsid w:val="7E8A7D87"/>
    <w:rsid w:val="7E8E620C"/>
    <w:rsid w:val="7E92C796"/>
    <w:rsid w:val="7E933B96"/>
    <w:rsid w:val="7E957F49"/>
    <w:rsid w:val="7E96F050"/>
    <w:rsid w:val="7E9B4E91"/>
    <w:rsid w:val="7E9BA2E5"/>
    <w:rsid w:val="7EA5DB69"/>
    <w:rsid w:val="7EA73163"/>
    <w:rsid w:val="7EABC967"/>
    <w:rsid w:val="7EAD09FA"/>
    <w:rsid w:val="7EADA9F3"/>
    <w:rsid w:val="7EB3B4D8"/>
    <w:rsid w:val="7EB7B716"/>
    <w:rsid w:val="7EB9DC6B"/>
    <w:rsid w:val="7EBA9AF5"/>
    <w:rsid w:val="7EBB9BE3"/>
    <w:rsid w:val="7EBCE38C"/>
    <w:rsid w:val="7EC4F9AF"/>
    <w:rsid w:val="7EC7021E"/>
    <w:rsid w:val="7ECB86C7"/>
    <w:rsid w:val="7ECE6278"/>
    <w:rsid w:val="7ED0F298"/>
    <w:rsid w:val="7ED63999"/>
    <w:rsid w:val="7ED779AB"/>
    <w:rsid w:val="7ED8B57C"/>
    <w:rsid w:val="7EDABD61"/>
    <w:rsid w:val="7EDF3574"/>
    <w:rsid w:val="7EE28310"/>
    <w:rsid w:val="7EE312FF"/>
    <w:rsid w:val="7EE53C6E"/>
    <w:rsid w:val="7EEEC65C"/>
    <w:rsid w:val="7EEF49EB"/>
    <w:rsid w:val="7EEFC612"/>
    <w:rsid w:val="7EF37081"/>
    <w:rsid w:val="7EF4AAEE"/>
    <w:rsid w:val="7EF8086E"/>
    <w:rsid w:val="7F03C1C9"/>
    <w:rsid w:val="7F0CAEB0"/>
    <w:rsid w:val="7F0E41EF"/>
    <w:rsid w:val="7F0EDDB8"/>
    <w:rsid w:val="7F118813"/>
    <w:rsid w:val="7F1247AE"/>
    <w:rsid w:val="7F158BD9"/>
    <w:rsid w:val="7F1CB14A"/>
    <w:rsid w:val="7F1FFADB"/>
    <w:rsid w:val="7F216853"/>
    <w:rsid w:val="7F24E915"/>
    <w:rsid w:val="7F281759"/>
    <w:rsid w:val="7F281AFF"/>
    <w:rsid w:val="7F2A412C"/>
    <w:rsid w:val="7F2C3A9D"/>
    <w:rsid w:val="7F36AF6A"/>
    <w:rsid w:val="7F38051E"/>
    <w:rsid w:val="7F3EE607"/>
    <w:rsid w:val="7F4464CC"/>
    <w:rsid w:val="7F45EB2A"/>
    <w:rsid w:val="7F463151"/>
    <w:rsid w:val="7F4682F2"/>
    <w:rsid w:val="7F46FFDB"/>
    <w:rsid w:val="7F4B2BDC"/>
    <w:rsid w:val="7F5674C9"/>
    <w:rsid w:val="7F593CDE"/>
    <w:rsid w:val="7F59BFA9"/>
    <w:rsid w:val="7F5BE266"/>
    <w:rsid w:val="7F5CF607"/>
    <w:rsid w:val="7F5FC25E"/>
    <w:rsid w:val="7F616832"/>
    <w:rsid w:val="7F678305"/>
    <w:rsid w:val="7F69635A"/>
    <w:rsid w:val="7F69A081"/>
    <w:rsid w:val="7F6A7833"/>
    <w:rsid w:val="7F6D205B"/>
    <w:rsid w:val="7F6EF555"/>
    <w:rsid w:val="7F736979"/>
    <w:rsid w:val="7F74C053"/>
    <w:rsid w:val="7F7B2F38"/>
    <w:rsid w:val="7F7EEB75"/>
    <w:rsid w:val="7F817646"/>
    <w:rsid w:val="7F83637B"/>
    <w:rsid w:val="7F86AD57"/>
    <w:rsid w:val="7F88CEDB"/>
    <w:rsid w:val="7F88DF25"/>
    <w:rsid w:val="7F8A26FF"/>
    <w:rsid w:val="7F8B134A"/>
    <w:rsid w:val="7F8C954B"/>
    <w:rsid w:val="7F93715E"/>
    <w:rsid w:val="7F94180A"/>
    <w:rsid w:val="7F943F10"/>
    <w:rsid w:val="7F9614E1"/>
    <w:rsid w:val="7F98927D"/>
    <w:rsid w:val="7FA15AD0"/>
    <w:rsid w:val="7FA206EA"/>
    <w:rsid w:val="7FA55EC6"/>
    <w:rsid w:val="7FA5FD61"/>
    <w:rsid w:val="7FAA0F5F"/>
    <w:rsid w:val="7FAB6EAB"/>
    <w:rsid w:val="7FAE22E7"/>
    <w:rsid w:val="7FB14C1F"/>
    <w:rsid w:val="7FB154FD"/>
    <w:rsid w:val="7FB864D8"/>
    <w:rsid w:val="7FBB0492"/>
    <w:rsid w:val="7FBC66E6"/>
    <w:rsid w:val="7FC28FD7"/>
    <w:rsid w:val="7FC7471A"/>
    <w:rsid w:val="7FCBC9F5"/>
    <w:rsid w:val="7FCFAF6F"/>
    <w:rsid w:val="7FD1247B"/>
    <w:rsid w:val="7FD2245A"/>
    <w:rsid w:val="7FD2BAB4"/>
    <w:rsid w:val="7FD3AB79"/>
    <w:rsid w:val="7FD67974"/>
    <w:rsid w:val="7FD7E12B"/>
    <w:rsid w:val="7FD9D44B"/>
    <w:rsid w:val="7FDCEE12"/>
    <w:rsid w:val="7FE2222B"/>
    <w:rsid w:val="7FE39428"/>
    <w:rsid w:val="7FEA1DEB"/>
    <w:rsid w:val="7FEA2A64"/>
    <w:rsid w:val="7FF535F2"/>
    <w:rsid w:val="7FF7C3DD"/>
    <w:rsid w:val="7FF95EE5"/>
    <w:rsid w:val="7FFC4531"/>
    <w:rsid w:val="7FFF25C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A36A69"/>
  <w15:chartTrackingRefBased/>
  <w15:docId w15:val="{41893125-CEF7-4471-B581-81C069BE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3115"/>
    <w:pPr>
      <w:keepLines/>
    </w:pPr>
  </w:style>
  <w:style w:type="paragraph" w:styleId="Heading1">
    <w:name w:val="heading 1"/>
    <w:basedOn w:val="Heading2"/>
    <w:next w:val="Normal"/>
    <w:link w:val="Heading1Char"/>
    <w:uiPriority w:val="9"/>
    <w:qFormat/>
    <w:rsid w:val="00966110"/>
    <w:pPr>
      <w:outlineLvl w:val="0"/>
    </w:pPr>
    <w:rPr>
      <w:rFonts w:cs="Arial"/>
      <w:sz w:val="36"/>
      <w:szCs w:val="36"/>
    </w:rPr>
  </w:style>
  <w:style w:type="paragraph" w:styleId="Heading2">
    <w:name w:val="heading 2"/>
    <w:basedOn w:val="Heading3"/>
    <w:next w:val="Normal"/>
    <w:link w:val="Heading2Char"/>
    <w:uiPriority w:val="9"/>
    <w:qFormat/>
    <w:rsid w:val="00282055"/>
    <w:pPr>
      <w:outlineLvl w:val="1"/>
    </w:pPr>
    <w:rPr>
      <w:b/>
      <w:bCs/>
      <w:sz w:val="28"/>
      <w:szCs w:val="28"/>
    </w:rPr>
  </w:style>
  <w:style w:type="paragraph" w:styleId="Heading3">
    <w:name w:val="heading 3"/>
    <w:basedOn w:val="Normal"/>
    <w:next w:val="Normal"/>
    <w:link w:val="Heading3Char"/>
    <w:uiPriority w:val="9"/>
    <w:qFormat/>
    <w:rsid w:val="0042107B"/>
    <w:pPr>
      <w:keepLines w:val="0"/>
      <w:widowControl w:val="0"/>
      <w:autoSpaceDE w:val="0"/>
      <w:autoSpaceDN w:val="0"/>
      <w:adjustRightInd w:val="0"/>
      <w:spacing w:before="240" w:line="276" w:lineRule="auto"/>
      <w:outlineLvl w:val="2"/>
    </w:pPr>
    <w:rPr>
      <w:rFonts w:ascii="Arial" w:hAnsi="Arial" w:cs="Helvetica"/>
      <w:color w:val="3B5D1E" w:themeColor="accent4" w:themeShade="BF"/>
      <w:szCs w:val="26"/>
    </w:rPr>
  </w:style>
  <w:style w:type="paragraph" w:styleId="Heading4">
    <w:name w:val="heading 4"/>
    <w:basedOn w:val="ListParagraph"/>
    <w:next w:val="Normal"/>
    <w:link w:val="Heading4Char"/>
    <w:uiPriority w:val="9"/>
    <w:qFormat/>
    <w:rsid w:val="00EE5D4D"/>
    <w:pPr>
      <w:keepLines w:val="0"/>
      <w:numPr>
        <w:numId w:val="0"/>
      </w:numPr>
      <w:autoSpaceDE w:val="0"/>
      <w:autoSpaceDN w:val="0"/>
      <w:adjustRightInd w:val="0"/>
      <w:spacing w:before="160" w:after="0"/>
      <w:ind w:left="360" w:hanging="360"/>
      <w:outlineLvl w:val="3"/>
    </w:pPr>
    <w:rPr>
      <w:rFonts w:ascii="Arial" w:hAnsi="Arial" w:cs="Arial"/>
      <w:i/>
      <w:iCs/>
      <w:color w:val="3B5D1E" w:themeColor="accent4" w:themeShade="BF"/>
      <w:sz w:val="22"/>
      <w:szCs w:val="22"/>
      <w:lang w:val="en"/>
    </w:rPr>
  </w:style>
  <w:style w:type="paragraph" w:styleId="Heading5">
    <w:name w:val="heading 5"/>
    <w:basedOn w:val="Normal"/>
    <w:next w:val="BodyText"/>
    <w:link w:val="Heading5Char"/>
    <w:uiPriority w:val="9"/>
    <w:semiHidden/>
    <w:qFormat/>
    <w:rsid w:val="00065F18"/>
    <w:pPr>
      <w:keepNext/>
      <w:spacing w:before="360"/>
      <w:outlineLvl w:val="4"/>
    </w:pPr>
    <w:rPr>
      <w:b/>
      <w:bCs/>
      <w:iCs/>
      <w:szCs w:val="26"/>
    </w:rPr>
  </w:style>
  <w:style w:type="paragraph" w:styleId="Heading6">
    <w:name w:val="heading 6"/>
    <w:basedOn w:val="Normal"/>
    <w:next w:val="Normal"/>
    <w:link w:val="Heading6Char"/>
    <w:uiPriority w:val="9"/>
    <w:semiHidden/>
    <w:qFormat/>
    <w:rsid w:val="00065F18"/>
    <w:pPr>
      <w:spacing w:before="360"/>
      <w:outlineLvl w:val="5"/>
    </w:pPr>
    <w:rPr>
      <w:b/>
      <w:bCs/>
      <w:i/>
      <w:szCs w:val="22"/>
    </w:rPr>
  </w:style>
  <w:style w:type="paragraph" w:styleId="Heading7">
    <w:name w:val="heading 7"/>
    <w:basedOn w:val="Normal"/>
    <w:next w:val="Normal"/>
    <w:link w:val="Heading7Char"/>
    <w:uiPriority w:val="9"/>
    <w:semiHidden/>
    <w:qFormat/>
    <w:rsid w:val="00065F18"/>
    <w:pPr>
      <w:spacing w:after="60"/>
      <w:outlineLvl w:val="6"/>
    </w:pPr>
  </w:style>
  <w:style w:type="paragraph" w:styleId="Heading8">
    <w:name w:val="heading 8"/>
    <w:basedOn w:val="Normal"/>
    <w:next w:val="Normal"/>
    <w:link w:val="Heading8Char"/>
    <w:uiPriority w:val="9"/>
    <w:semiHidden/>
    <w:qFormat/>
    <w:rsid w:val="00065F18"/>
    <w:pPr>
      <w:spacing w:after="60"/>
      <w:outlineLvl w:val="7"/>
    </w:pPr>
    <w:rPr>
      <w:i/>
      <w:iCs/>
    </w:rPr>
  </w:style>
  <w:style w:type="paragraph" w:styleId="Heading9">
    <w:name w:val="heading 9"/>
    <w:basedOn w:val="Normal"/>
    <w:next w:val="Normal"/>
    <w:link w:val="Heading9Char"/>
    <w:uiPriority w:val="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20"/>
    <w:qFormat/>
    <w:rsid w:val="0072383C"/>
    <w:rPr>
      <w:u w:val="single"/>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uiPriority w:val="9"/>
    <w:rsid w:val="00966110"/>
    <w:rPr>
      <w:rFonts w:ascii="Arial" w:hAnsi="Arial" w:cs="Arial"/>
      <w:b/>
      <w:bCs/>
      <w:color w:val="273E14" w:themeColor="accent4" w:themeShade="80"/>
      <w:sz w:val="36"/>
      <w:szCs w:val="36"/>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link w:val="SubtitleChar"/>
    <w:uiPriority w:val="1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rPr>
      <w:color w:val="3B5D1E" w:themeColor="accent4" w:themeShade="BF"/>
    </w:r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link w:val="List123Char"/>
    <w:rsid w:val="00065F18"/>
    <w:pPr>
      <w:numPr>
        <w:numId w:val="17"/>
      </w:numPr>
      <w:spacing w:before="80" w:after="80"/>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563FF2"/>
    <w:pPr>
      <w:spacing w:before="40" w:after="40" w:line="264" w:lineRule="auto"/>
      <w:jc w:val="both"/>
    </w:pPr>
    <w:rPr>
      <w:rFonts w:ascii="Arial" w:hAnsi="Arial"/>
      <w:color w:val="000000" w:themeColor="text1"/>
      <w:sz w:val="18"/>
      <w:szCs w:val="20"/>
    </w:rPr>
  </w:style>
  <w:style w:type="character" w:styleId="FootnoteReference">
    <w:name w:val="footnote reference"/>
    <w:aliases w:val="Fago Fuﬂnotenzeichen,Fago Fußnotenzeichen,Footnotes refss,Footnote number,Footnote,4_G,Appel note de bas de page,Fago Fu?notenzeichen,Stinking Styles,fr,References/Footnotes,Fago Fuß notenzeichen"/>
    <w:uiPriority w:val="99"/>
    <w:qFormat/>
    <w:rsid w:val="00DC5AE4"/>
    <w:rPr>
      <w:rFonts w:cs="Arial"/>
      <w:vertAlign w:val="superscript"/>
    </w:rPr>
  </w:style>
  <w:style w:type="paragraph" w:styleId="TOC1">
    <w:name w:val="toc 1"/>
    <w:basedOn w:val="Normal"/>
    <w:next w:val="Normal"/>
    <w:uiPriority w:val="39"/>
    <w:rsid w:val="00551B66"/>
    <w:pPr>
      <w:tabs>
        <w:tab w:val="right" w:leader="dot" w:pos="9072"/>
      </w:tabs>
      <w:spacing w:before="200" w:after="60"/>
      <w:ind w:right="567"/>
    </w:pPr>
    <w:rPr>
      <w:rFonts w:ascii="Arial" w:hAnsi="Arial"/>
      <w:b/>
      <w:color w:val="3B5D1E" w:themeColor="accent4" w:themeShade="BF"/>
      <w:sz w:val="22"/>
    </w:rPr>
  </w:style>
  <w:style w:type="paragraph" w:styleId="TOC2">
    <w:name w:val="toc 2"/>
    <w:basedOn w:val="Normal"/>
    <w:next w:val="Normal"/>
    <w:uiPriority w:val="39"/>
    <w:rsid w:val="00604BA0"/>
    <w:pPr>
      <w:tabs>
        <w:tab w:val="right" w:leader="dot" w:pos="9072"/>
      </w:tabs>
      <w:spacing w:before="60" w:after="60"/>
      <w:ind w:left="425" w:right="567"/>
    </w:pPr>
    <w:rPr>
      <w:rFonts w:ascii="Arial" w:hAnsi="Arial"/>
      <w:b/>
      <w:noProof/>
      <w:sz w:val="22"/>
    </w:rPr>
  </w:style>
  <w:style w:type="paragraph" w:styleId="TOC3">
    <w:name w:val="toc 3"/>
    <w:basedOn w:val="Normal"/>
    <w:next w:val="Normal"/>
    <w:autoRedefine/>
    <w:uiPriority w:val="39"/>
    <w:rsid w:val="00525E38"/>
    <w:pPr>
      <w:tabs>
        <w:tab w:val="right" w:leader="dot" w:pos="9072"/>
      </w:tabs>
      <w:spacing w:before="60" w:after="60"/>
      <w:ind w:left="992" w:right="567"/>
    </w:pPr>
    <w:rPr>
      <w:rFonts w:ascii="Arial" w:hAnsi="Arial"/>
      <w:noProof/>
      <w:sz w:val="22"/>
    </w:rPr>
  </w:style>
  <w:style w:type="paragraph" w:styleId="TOC4">
    <w:name w:val="toc 4"/>
    <w:basedOn w:val="Normal"/>
    <w:next w:val="Normal"/>
    <w:autoRedefine/>
    <w:uiPriority w:val="39"/>
    <w:rsid w:val="00AB666D"/>
    <w:pPr>
      <w:tabs>
        <w:tab w:val="right" w:leader="dot" w:pos="9072"/>
      </w:tabs>
      <w:spacing w:before="60" w:after="60"/>
      <w:ind w:left="1701" w:right="567"/>
    </w:pPr>
    <w:rPr>
      <w:rFonts w:ascii="Arial" w:hAnsi="Arial"/>
      <w:noProof/>
      <w:sz w:val="22"/>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uiPriority w:val="9"/>
    <w:rsid w:val="00282055"/>
    <w:rPr>
      <w:rFonts w:ascii="Arial" w:hAnsi="Arial" w:cs="Helvetica"/>
      <w:b/>
      <w:bCs/>
      <w:color w:val="3B5D1E" w:themeColor="accent4" w:themeShade="BF"/>
      <w:sz w:val="28"/>
      <w:szCs w:val="28"/>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uiPriority w:val="9"/>
    <w:rsid w:val="00EE5D4D"/>
    <w:rPr>
      <w:rFonts w:ascii="Arial" w:hAnsi="Arial" w:cs="Arial"/>
      <w:i/>
      <w:iCs/>
      <w:color w:val="3B5D1E" w:themeColor="accent4" w:themeShade="BF"/>
      <w:sz w:val="22"/>
      <w:szCs w:val="22"/>
      <w:lang w:val="e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rPr>
      <w:color w:val="3B5D1E" w:themeColor="accent4" w:themeShade="BF"/>
    </w:r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42107B"/>
    <w:rPr>
      <w:rFonts w:ascii="Arial" w:hAnsi="Arial" w:cs="Helvetica"/>
      <w:color w:val="3B5D1E" w:themeColor="accent4" w:themeShade="BF"/>
      <w:szCs w:val="26"/>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21"/>
    <w:qFormat/>
    <w:rsid w:val="00065F18"/>
    <w:rPr>
      <w:b/>
      <w:i/>
    </w:rPr>
  </w:style>
  <w:style w:type="paragraph" w:styleId="ListParagraph">
    <w:name w:val="List Paragraph"/>
    <w:aliases w:val="Unordered List Paragraph,List Paragraph numbered,List Paragraph1,List Bullet indent,Level 3,Rec para,List 1,Other List,FooterText,numbered,Paragraphe de liste1,Bulletr List Paragraph,列出段落,列出段落1,Listeafsnit1,Parágrafo da Lista1,TOC style,l"/>
    <w:basedOn w:val="List123"/>
    <w:link w:val="ListParagraphChar"/>
    <w:uiPriority w:val="34"/>
    <w:qFormat/>
    <w:rsid w:val="00C5028E"/>
  </w:style>
  <w:style w:type="character" w:customStyle="1" w:styleId="Heading5Char">
    <w:name w:val="Heading 5 Char"/>
    <w:basedOn w:val="DefaultParagraphFont"/>
    <w:link w:val="Heading5"/>
    <w:uiPriority w:val="9"/>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32"/>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1"/>
    <w:rsid w:val="00065F18"/>
    <w:rPr>
      <w:rFonts w:eastAsiaTheme="minorHAnsi"/>
      <w:lang w:eastAsia="en-US"/>
    </w:rPr>
  </w:style>
  <w:style w:type="paragraph" w:styleId="IntenseQuote">
    <w:name w:val="Intense Quote"/>
    <w:basedOn w:val="Normal"/>
    <w:next w:val="Normal"/>
    <w:link w:val="IntenseQuoteChar"/>
    <w:uiPriority w:val="30"/>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30"/>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9"/>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CommentText">
    <w:name w:val="annotation text"/>
    <w:basedOn w:val="Normal"/>
    <w:link w:val="CommentTextChar"/>
    <w:uiPriority w:val="99"/>
    <w:unhideWhenUsed/>
    <w:rsid w:val="00781662"/>
    <w:rPr>
      <w:sz w:val="20"/>
      <w:szCs w:val="20"/>
    </w:rPr>
  </w:style>
  <w:style w:type="character" w:customStyle="1" w:styleId="CommentTextChar">
    <w:name w:val="Comment Text Char"/>
    <w:basedOn w:val="DefaultParagraphFont"/>
    <w:link w:val="CommentText"/>
    <w:uiPriority w:val="99"/>
    <w:rsid w:val="00781662"/>
    <w:rPr>
      <w:sz w:val="20"/>
      <w:szCs w:val="20"/>
      <w:lang w:eastAsia="en-US"/>
    </w:rPr>
  </w:style>
  <w:style w:type="paragraph" w:styleId="CommentSubject">
    <w:name w:val="annotation subject"/>
    <w:basedOn w:val="CommentText"/>
    <w:next w:val="CommentText"/>
    <w:link w:val="CommentSubjectChar"/>
    <w:uiPriority w:val="99"/>
    <w:semiHidden/>
    <w:unhideWhenUsed/>
    <w:rsid w:val="00781662"/>
    <w:rPr>
      <w:b/>
      <w:bCs/>
    </w:rPr>
  </w:style>
  <w:style w:type="character" w:customStyle="1" w:styleId="CommentSubjectChar">
    <w:name w:val="Comment Subject Char"/>
    <w:basedOn w:val="CommentTextChar"/>
    <w:link w:val="CommentSubject"/>
    <w:uiPriority w:val="99"/>
    <w:semiHidden/>
    <w:rsid w:val="00781662"/>
    <w:rPr>
      <w:b/>
      <w:bCs/>
      <w:sz w:val="20"/>
      <w:szCs w:val="20"/>
      <w:lang w:eastAsia="en-US"/>
    </w:rPr>
  </w:style>
  <w:style w:type="paragraph" w:customStyle="1" w:styleId="pf0">
    <w:name w:val="pf0"/>
    <w:basedOn w:val="Normal"/>
    <w:rsid w:val="00090026"/>
    <w:pPr>
      <w:keepLines w:val="0"/>
      <w:spacing w:before="100" w:beforeAutospacing="1" w:after="100" w:afterAutospacing="1"/>
    </w:pPr>
    <w:rPr>
      <w:rFonts w:ascii="Times New Roman" w:eastAsia="Times New Roman" w:hAnsi="Times New Roman"/>
    </w:rPr>
  </w:style>
  <w:style w:type="character" w:customStyle="1" w:styleId="cf01">
    <w:name w:val="cf01"/>
    <w:basedOn w:val="DefaultParagraphFont"/>
    <w:rsid w:val="00090026"/>
    <w:rPr>
      <w:rFonts w:ascii="Segoe UI" w:hAnsi="Segoe UI" w:cs="Segoe UI" w:hint="default"/>
      <w:sz w:val="18"/>
      <w:szCs w:val="18"/>
    </w:rPr>
  </w:style>
  <w:style w:type="paragraph" w:customStyle="1" w:styleId="paragraph">
    <w:name w:val="paragraph"/>
    <w:basedOn w:val="Normal"/>
    <w:rsid w:val="00A51E35"/>
    <w:pPr>
      <w:keepLines w:val="0"/>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A51E35"/>
  </w:style>
  <w:style w:type="character" w:customStyle="1" w:styleId="eop">
    <w:name w:val="eop"/>
    <w:basedOn w:val="DefaultParagraphFont"/>
    <w:rsid w:val="00A51E35"/>
  </w:style>
  <w:style w:type="paragraph" w:styleId="NoSpacing">
    <w:name w:val="No Spacing"/>
    <w:uiPriority w:val="1"/>
    <w:qFormat/>
    <w:rsid w:val="005F4B26"/>
    <w:pPr>
      <w:keepLines/>
      <w:spacing w:before="0" w:after="0"/>
    </w:pPr>
    <w:rPr>
      <w:rFonts w:ascii="Helvetica" w:hAnsi="Helvetica"/>
      <w:color w:val="404040" w:themeColor="text1" w:themeTint="BF"/>
      <w:lang w:eastAsia="en-US"/>
    </w:rPr>
  </w:style>
  <w:style w:type="paragraph" w:customStyle="1" w:styleId="AllNumbparas">
    <w:name w:val="All Numb paras"/>
    <w:basedOn w:val="Numbparas"/>
    <w:link w:val="AllNumbparasChar"/>
    <w:uiPriority w:val="1"/>
    <w:qFormat/>
    <w:rsid w:val="007D73A6"/>
  </w:style>
  <w:style w:type="paragraph" w:customStyle="1" w:styleId="Paranumbers">
    <w:name w:val="Para numbers"/>
    <w:basedOn w:val="ListParagraph"/>
    <w:link w:val="ParanumbersChar"/>
    <w:qFormat/>
    <w:rsid w:val="00951504"/>
    <w:pPr>
      <w:numPr>
        <w:numId w:val="23"/>
      </w:numPr>
      <w:spacing w:before="120" w:after="0" w:line="360" w:lineRule="auto"/>
      <w:ind w:left="567" w:hanging="567"/>
    </w:pPr>
    <w:rPr>
      <w:shd w:val="clear" w:color="auto" w:fill="FFFFFF"/>
    </w:rPr>
  </w:style>
  <w:style w:type="character" w:customStyle="1" w:styleId="List123Char">
    <w:name w:val="List 1 2 3 Char"/>
    <w:basedOn w:val="DefaultParagraphFont"/>
    <w:link w:val="List123"/>
    <w:rsid w:val="000B6A6B"/>
    <w:rPr>
      <w:rFonts w:ascii="Helvetica" w:hAnsi="Helvetica"/>
      <w:color w:val="404040" w:themeColor="text1" w:themeTint="BF"/>
      <w:lang w:eastAsia="en-US"/>
    </w:rPr>
  </w:style>
  <w:style w:type="character" w:customStyle="1" w:styleId="ListParagraphChar">
    <w:name w:val="List Paragraph Char"/>
    <w:aliases w:val="Unordered List Paragraph Char,List Paragraph numbered Char,List Paragraph1 Char,List Bullet indent Char,Level 3 Char,Rec para Char,List 1 Char,Other List Char,FooterText Char,numbered Char,Paragraphe de liste1 Char,列出段落 Char,l Char"/>
    <w:basedOn w:val="List123Char"/>
    <w:link w:val="ListParagraph"/>
    <w:uiPriority w:val="1"/>
    <w:rsid w:val="000B6A6B"/>
    <w:rPr>
      <w:rFonts w:ascii="Helvetica" w:hAnsi="Helvetica"/>
      <w:color w:val="404040" w:themeColor="text1" w:themeTint="BF"/>
      <w:lang w:eastAsia="en-US"/>
    </w:rPr>
  </w:style>
  <w:style w:type="character" w:customStyle="1" w:styleId="AllNumbparasChar">
    <w:name w:val="All Numb paras Char"/>
    <w:basedOn w:val="ListParagraphChar"/>
    <w:link w:val="AllNumbparas"/>
    <w:uiPriority w:val="1"/>
    <w:rsid w:val="007D73A6"/>
    <w:rPr>
      <w:rFonts w:ascii="Arial" w:eastAsia="Calibri" w:hAnsi="Arial" w:cs="Arial"/>
      <w:bCs/>
      <w:color w:val="222222"/>
      <w:sz w:val="22"/>
      <w:szCs w:val="22"/>
      <w:lang w:eastAsia="en-US"/>
    </w:rPr>
  </w:style>
  <w:style w:type="character" w:customStyle="1" w:styleId="ParanumbersChar">
    <w:name w:val="Para numbers Char"/>
    <w:basedOn w:val="DefaultParagraphFont"/>
    <w:link w:val="Paranumbers"/>
    <w:rsid w:val="00951504"/>
    <w:rPr>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563FF2"/>
    <w:rPr>
      <w:rFonts w:ascii="Arial" w:hAnsi="Arial"/>
      <w:color w:val="000000" w:themeColor="text1"/>
      <w:sz w:val="18"/>
      <w:szCs w:val="20"/>
      <w:lang w:eastAsia="en-US"/>
    </w:rPr>
  </w:style>
  <w:style w:type="paragraph" w:styleId="Revision">
    <w:name w:val="Revision"/>
    <w:hidden/>
    <w:uiPriority w:val="99"/>
    <w:semiHidden/>
    <w:rsid w:val="002A74A9"/>
    <w:pPr>
      <w:spacing w:before="0" w:after="0"/>
    </w:pPr>
    <w:rPr>
      <w:rFonts w:ascii="Helvetica" w:hAnsi="Helvetica"/>
      <w:color w:val="404040" w:themeColor="text1" w:themeTint="BF"/>
      <w:lang w:eastAsia="en-US"/>
    </w:rPr>
  </w:style>
  <w:style w:type="paragraph" w:customStyle="1" w:styleId="EndNoteBibliography">
    <w:name w:val="EndNote Bibliography"/>
    <w:basedOn w:val="Normal"/>
    <w:link w:val="EndNoteBibliographyChar"/>
    <w:rsid w:val="00012A9D"/>
    <w:pPr>
      <w:keepLines w:val="0"/>
      <w:spacing w:before="160" w:after="0" w:line="259" w:lineRule="auto"/>
    </w:pPr>
    <w:rPr>
      <w:rFonts w:eastAsia="Times New Roman" w:cs="Calibri"/>
      <w:noProof/>
      <w:lang w:val="en-GB" w:eastAsia="en-GB"/>
    </w:rPr>
  </w:style>
  <w:style w:type="character" w:customStyle="1" w:styleId="EndNoteBibliographyChar">
    <w:name w:val="EndNote Bibliography Char"/>
    <w:basedOn w:val="DefaultParagraphFont"/>
    <w:link w:val="EndNoteBibliography"/>
    <w:rsid w:val="00012A9D"/>
    <w:rPr>
      <w:rFonts w:eastAsia="Times New Roman" w:cs="Calibri"/>
      <w:noProof/>
      <w:lang w:val="en-GB" w:eastAsia="en-GB"/>
    </w:rPr>
  </w:style>
  <w:style w:type="paragraph" w:customStyle="1" w:styleId="Hed4">
    <w:name w:val="Hed 4"/>
    <w:basedOn w:val="Heading4"/>
    <w:next w:val="Heading4"/>
    <w:link w:val="Hed4Char"/>
    <w:qFormat/>
    <w:rsid w:val="00461DA4"/>
    <w:pPr>
      <w:keepNext/>
      <w:spacing w:before="240" w:after="120"/>
      <w:ind w:left="0" w:firstLine="0"/>
    </w:pPr>
    <w:rPr>
      <w:rFonts w:cstheme="minorHAnsi"/>
      <w:b/>
      <w:iCs w:val="0"/>
    </w:rPr>
  </w:style>
  <w:style w:type="character" w:customStyle="1" w:styleId="Hed4Char">
    <w:name w:val="Hed 4 Char"/>
    <w:basedOn w:val="DefaultParagraphFont"/>
    <w:link w:val="Hed4"/>
    <w:rsid w:val="00A512A1"/>
    <w:rPr>
      <w:rFonts w:ascii="Arial" w:hAnsi="Arial" w:cstheme="minorHAnsi"/>
      <w:b/>
      <w:iCs/>
      <w:color w:val="273E14" w:themeColor="accent4" w:themeShade="80"/>
      <w:sz w:val="22"/>
      <w:szCs w:val="26"/>
      <w:lang w:val="en"/>
    </w:rPr>
  </w:style>
  <w:style w:type="paragraph" w:customStyle="1" w:styleId="Draftingnotes">
    <w:name w:val="Drafting notes"/>
    <w:basedOn w:val="Paranumbers"/>
    <w:link w:val="DraftingnotesChar"/>
    <w:rsid w:val="0071715C"/>
    <w:pPr>
      <w:keepLines w:val="0"/>
      <w:widowControl w:val="0"/>
      <w:numPr>
        <w:numId w:val="0"/>
      </w:numPr>
      <w:ind w:left="360"/>
    </w:pPr>
    <w:rPr>
      <w:b/>
      <w:bCs/>
      <w:color w:val="FF0000"/>
    </w:rPr>
  </w:style>
  <w:style w:type="character" w:customStyle="1" w:styleId="DraftingnotesChar">
    <w:name w:val="Drafting notes Char"/>
    <w:basedOn w:val="ParanumbersChar"/>
    <w:link w:val="Draftingnotes"/>
    <w:rsid w:val="0071715C"/>
    <w:rPr>
      <w:b/>
      <w:bCs/>
      <w:color w:val="FF0000"/>
      <w:lang w:eastAsia="en-US"/>
    </w:rPr>
  </w:style>
  <w:style w:type="character" w:customStyle="1" w:styleId="ui-provider">
    <w:name w:val="ui-provider"/>
    <w:basedOn w:val="DefaultParagraphFont"/>
    <w:rsid w:val="00F46B9F"/>
  </w:style>
  <w:style w:type="paragraph" w:customStyle="1" w:styleId="Bulletpoints">
    <w:name w:val="Bullet points"/>
    <w:basedOn w:val="AllNumbparas"/>
    <w:link w:val="BulletpointsChar"/>
    <w:qFormat/>
    <w:rsid w:val="0006451F"/>
    <w:pPr>
      <w:numPr>
        <w:numId w:val="27"/>
      </w:numPr>
      <w:mirrorIndents w:val="0"/>
    </w:pPr>
  </w:style>
  <w:style w:type="character" w:styleId="UnresolvedMention">
    <w:name w:val="Unresolved Mention"/>
    <w:basedOn w:val="DefaultParagraphFont"/>
    <w:uiPriority w:val="99"/>
    <w:semiHidden/>
    <w:unhideWhenUsed/>
    <w:rsid w:val="008463A6"/>
    <w:rPr>
      <w:color w:val="605E5C"/>
      <w:shd w:val="clear" w:color="auto" w:fill="E1DFDD"/>
    </w:rPr>
  </w:style>
  <w:style w:type="character" w:customStyle="1" w:styleId="BulletpointsChar">
    <w:name w:val="Bullet points Char"/>
    <w:basedOn w:val="AllNumbparasChar"/>
    <w:link w:val="Bulletpoints"/>
    <w:rsid w:val="0006451F"/>
    <w:rPr>
      <w:rFonts w:ascii="Arial" w:eastAsia="Calibri" w:hAnsi="Arial" w:cs="Arial"/>
      <w:bCs/>
      <w:color w:val="222222"/>
      <w:sz w:val="22"/>
      <w:szCs w:val="22"/>
      <w:lang w:eastAsia="en-US"/>
    </w:rPr>
  </w:style>
  <w:style w:type="character" w:customStyle="1" w:styleId="fieldrange">
    <w:name w:val="fieldrange"/>
    <w:basedOn w:val="DefaultParagraphFont"/>
    <w:rsid w:val="0006394D"/>
  </w:style>
  <w:style w:type="character" w:customStyle="1" w:styleId="findhit">
    <w:name w:val="findhit"/>
    <w:basedOn w:val="DefaultParagraphFont"/>
    <w:rsid w:val="00750900"/>
  </w:style>
  <w:style w:type="character" w:customStyle="1" w:styleId="superscript">
    <w:name w:val="superscript"/>
    <w:basedOn w:val="DefaultParagraphFont"/>
    <w:rsid w:val="00750900"/>
  </w:style>
  <w:style w:type="table" w:customStyle="1" w:styleId="DIATable1">
    <w:name w:val="_DIA Table1"/>
    <w:basedOn w:val="TableNormal"/>
    <w:uiPriority w:val="99"/>
    <w:rsid w:val="00EF602C"/>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styleId="GridTable4-Accent1">
    <w:name w:val="Grid Table 4 Accent 1"/>
    <w:basedOn w:val="TableNormal"/>
    <w:uiPriority w:val="49"/>
    <w:rsid w:val="00AA7260"/>
    <w:pPr>
      <w:spacing w:after="0"/>
    </w:pPr>
    <w:tblPr>
      <w:tblStyleRowBandSize w:val="1"/>
      <w:tblStyleColBandSize w:val="1"/>
      <w:tblBorders>
        <w:top w:val="single" w:sz="4" w:space="0" w:color="AFDDE1" w:themeColor="accent1" w:themeTint="99"/>
        <w:left w:val="single" w:sz="4" w:space="0" w:color="AFDDE1" w:themeColor="accent1" w:themeTint="99"/>
        <w:bottom w:val="single" w:sz="4" w:space="0" w:color="AFDDE1" w:themeColor="accent1" w:themeTint="99"/>
        <w:right w:val="single" w:sz="4" w:space="0" w:color="AFDDE1" w:themeColor="accent1" w:themeTint="99"/>
        <w:insideH w:val="single" w:sz="4" w:space="0" w:color="AFDDE1" w:themeColor="accent1" w:themeTint="99"/>
        <w:insideV w:val="single" w:sz="4" w:space="0" w:color="AFDDE1" w:themeColor="accent1" w:themeTint="99"/>
      </w:tblBorders>
    </w:tblPr>
    <w:tblStylePr w:type="firstRow">
      <w:rPr>
        <w:b/>
        <w:bCs/>
        <w:color w:val="FFFFFF" w:themeColor="background1"/>
      </w:rPr>
      <w:tblPr/>
      <w:tcPr>
        <w:tcBorders>
          <w:top w:val="single" w:sz="4" w:space="0" w:color="7BC7CE" w:themeColor="accent1"/>
          <w:left w:val="single" w:sz="4" w:space="0" w:color="7BC7CE" w:themeColor="accent1"/>
          <w:bottom w:val="single" w:sz="4" w:space="0" w:color="7BC7CE" w:themeColor="accent1"/>
          <w:right w:val="single" w:sz="4" w:space="0" w:color="7BC7CE" w:themeColor="accent1"/>
          <w:insideH w:val="nil"/>
          <w:insideV w:val="nil"/>
        </w:tcBorders>
        <w:shd w:val="clear" w:color="auto" w:fill="7BC7CE" w:themeFill="accent1"/>
      </w:tcPr>
    </w:tblStylePr>
    <w:tblStylePr w:type="lastRow">
      <w:rPr>
        <w:b/>
        <w:bCs/>
      </w:rPr>
      <w:tblPr/>
      <w:tcPr>
        <w:tcBorders>
          <w:top w:val="double" w:sz="4" w:space="0" w:color="7BC7CE" w:themeColor="accent1"/>
        </w:tcBorders>
      </w:tcPr>
    </w:tblStylePr>
    <w:tblStylePr w:type="firstCol">
      <w:rPr>
        <w:b/>
        <w:bCs/>
      </w:rPr>
    </w:tblStylePr>
    <w:tblStylePr w:type="lastCol">
      <w:rPr>
        <w:b/>
        <w:bCs/>
      </w:rPr>
    </w:tblStylePr>
    <w:tblStylePr w:type="band1Vert">
      <w:tblPr/>
      <w:tcPr>
        <w:shd w:val="clear" w:color="auto" w:fill="E4F3F5" w:themeFill="accent1" w:themeFillTint="33"/>
      </w:tcPr>
    </w:tblStylePr>
    <w:tblStylePr w:type="band1Horz">
      <w:tblPr/>
      <w:tcPr>
        <w:shd w:val="clear" w:color="auto" w:fill="E4F3F5" w:themeFill="accent1" w:themeFillTint="33"/>
      </w:tcPr>
    </w:tblStylePr>
  </w:style>
  <w:style w:type="character" w:customStyle="1" w:styleId="sdzsvb">
    <w:name w:val="sdzsvb"/>
    <w:basedOn w:val="DefaultParagraphFont"/>
    <w:rsid w:val="007D3B15"/>
  </w:style>
  <w:style w:type="paragraph" w:customStyle="1" w:styleId="Bullets">
    <w:name w:val="Bullets"/>
    <w:basedOn w:val="ListParagraph"/>
    <w:link w:val="BulletsChar"/>
    <w:rsid w:val="009555F8"/>
    <w:pPr>
      <w:numPr>
        <w:numId w:val="24"/>
      </w:numPr>
      <w:spacing w:before="120" w:after="120" w:line="360" w:lineRule="auto"/>
    </w:pPr>
  </w:style>
  <w:style w:type="character" w:customStyle="1" w:styleId="BulletsChar">
    <w:name w:val="Bullets Char"/>
    <w:basedOn w:val="DefaultParagraphFont"/>
    <w:link w:val="Bullets"/>
    <w:rsid w:val="009555F8"/>
    <w:rPr>
      <w:lang w:eastAsia="en-US"/>
    </w:rPr>
  </w:style>
  <w:style w:type="table" w:styleId="ListTable3-Accent1">
    <w:name w:val="List Table 3 Accent 1"/>
    <w:basedOn w:val="TableNormal"/>
    <w:uiPriority w:val="48"/>
    <w:rsid w:val="00C968BC"/>
    <w:pPr>
      <w:spacing w:after="0"/>
    </w:pPr>
    <w:tblPr>
      <w:tblStyleRowBandSize w:val="1"/>
      <w:tblStyleColBandSize w:val="1"/>
      <w:tblBorders>
        <w:top w:val="single" w:sz="4" w:space="0" w:color="7BC7CE" w:themeColor="accent1"/>
        <w:left w:val="single" w:sz="4" w:space="0" w:color="7BC7CE" w:themeColor="accent1"/>
        <w:bottom w:val="single" w:sz="4" w:space="0" w:color="7BC7CE" w:themeColor="accent1"/>
        <w:right w:val="single" w:sz="4" w:space="0" w:color="7BC7CE" w:themeColor="accent1"/>
      </w:tblBorders>
    </w:tblPr>
    <w:tblStylePr w:type="firstRow">
      <w:rPr>
        <w:b/>
        <w:bCs/>
        <w:color w:val="FFFFFF" w:themeColor="background1"/>
      </w:rPr>
      <w:tblPr/>
      <w:tcPr>
        <w:shd w:val="clear" w:color="auto" w:fill="7BC7CE" w:themeFill="accent1"/>
      </w:tcPr>
    </w:tblStylePr>
    <w:tblStylePr w:type="lastRow">
      <w:rPr>
        <w:b/>
        <w:bCs/>
      </w:rPr>
      <w:tblPr/>
      <w:tcPr>
        <w:tcBorders>
          <w:top w:val="double" w:sz="4" w:space="0" w:color="7BC7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C7CE" w:themeColor="accent1"/>
          <w:right w:val="single" w:sz="4" w:space="0" w:color="7BC7CE" w:themeColor="accent1"/>
        </w:tcBorders>
      </w:tcPr>
    </w:tblStylePr>
    <w:tblStylePr w:type="band1Horz">
      <w:tblPr/>
      <w:tcPr>
        <w:tcBorders>
          <w:top w:val="single" w:sz="4" w:space="0" w:color="7BC7CE" w:themeColor="accent1"/>
          <w:bottom w:val="single" w:sz="4" w:space="0" w:color="7BC7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C7CE" w:themeColor="accent1"/>
          <w:left w:val="nil"/>
        </w:tcBorders>
      </w:tcPr>
    </w:tblStylePr>
    <w:tblStylePr w:type="swCell">
      <w:tblPr/>
      <w:tcPr>
        <w:tcBorders>
          <w:top w:val="double" w:sz="4" w:space="0" w:color="7BC7CE" w:themeColor="accent1"/>
          <w:right w:val="nil"/>
        </w:tcBorders>
      </w:tcPr>
    </w:tblStylePr>
  </w:style>
  <w:style w:type="table" w:styleId="GridTable6Colorful-Accent1">
    <w:name w:val="Grid Table 6 Colorful Accent 1"/>
    <w:basedOn w:val="TableNormal"/>
    <w:uiPriority w:val="51"/>
    <w:rsid w:val="00996838"/>
    <w:pPr>
      <w:spacing w:after="0"/>
    </w:pPr>
    <w:rPr>
      <w:color w:val="42A9B3" w:themeColor="accent1" w:themeShade="BF"/>
    </w:rPr>
    <w:tblPr>
      <w:tblStyleRowBandSize w:val="1"/>
      <w:tblStyleColBandSize w:val="1"/>
      <w:tblBorders>
        <w:top w:val="single" w:sz="4" w:space="0" w:color="AFDDE1" w:themeColor="accent1" w:themeTint="99"/>
        <w:left w:val="single" w:sz="4" w:space="0" w:color="AFDDE1" w:themeColor="accent1" w:themeTint="99"/>
        <w:bottom w:val="single" w:sz="4" w:space="0" w:color="AFDDE1" w:themeColor="accent1" w:themeTint="99"/>
        <w:right w:val="single" w:sz="4" w:space="0" w:color="AFDDE1" w:themeColor="accent1" w:themeTint="99"/>
        <w:insideH w:val="single" w:sz="4" w:space="0" w:color="AFDDE1" w:themeColor="accent1" w:themeTint="99"/>
        <w:insideV w:val="single" w:sz="4" w:space="0" w:color="AFDDE1" w:themeColor="accent1" w:themeTint="99"/>
      </w:tblBorders>
    </w:tblPr>
    <w:tblStylePr w:type="firstRow">
      <w:rPr>
        <w:b/>
        <w:bCs/>
      </w:rPr>
      <w:tblPr/>
      <w:tcPr>
        <w:tcBorders>
          <w:bottom w:val="single" w:sz="12" w:space="0" w:color="AFDDE1" w:themeColor="accent1" w:themeTint="99"/>
        </w:tcBorders>
      </w:tcPr>
    </w:tblStylePr>
    <w:tblStylePr w:type="lastRow">
      <w:rPr>
        <w:b/>
        <w:bCs/>
      </w:rPr>
      <w:tblPr/>
      <w:tcPr>
        <w:tcBorders>
          <w:top w:val="double" w:sz="4" w:space="0" w:color="AFDDE1" w:themeColor="accent1" w:themeTint="99"/>
        </w:tcBorders>
      </w:tcPr>
    </w:tblStylePr>
    <w:tblStylePr w:type="firstCol">
      <w:rPr>
        <w:b/>
        <w:bCs/>
      </w:rPr>
    </w:tblStylePr>
    <w:tblStylePr w:type="lastCol">
      <w:rPr>
        <w:b/>
        <w:bCs/>
      </w:rPr>
    </w:tblStylePr>
    <w:tblStylePr w:type="band1Vert">
      <w:tblPr/>
      <w:tcPr>
        <w:shd w:val="clear" w:color="auto" w:fill="E4F3F5" w:themeFill="accent1" w:themeFillTint="33"/>
      </w:tcPr>
    </w:tblStylePr>
    <w:tblStylePr w:type="band1Horz">
      <w:tblPr/>
      <w:tcPr>
        <w:shd w:val="clear" w:color="auto" w:fill="E4F3F5" w:themeFill="accent1" w:themeFillTint="33"/>
      </w:tcPr>
    </w:tblStylePr>
  </w:style>
  <w:style w:type="paragraph" w:customStyle="1" w:styleId="Number">
    <w:name w:val="Number"/>
    <w:basedOn w:val="ListParagraph"/>
    <w:link w:val="NumberChar"/>
    <w:rsid w:val="00D261C5"/>
    <w:pPr>
      <w:numPr>
        <w:numId w:val="25"/>
      </w:numPr>
      <w:spacing w:line="276" w:lineRule="auto"/>
    </w:pPr>
    <w:rPr>
      <w:rFonts w:ascii="Arial" w:eastAsia="Calibri" w:hAnsi="Arial" w:cs="Arial"/>
      <w:color w:val="000000" w:themeColor="text1"/>
      <w:sz w:val="22"/>
      <w:szCs w:val="22"/>
    </w:rPr>
  </w:style>
  <w:style w:type="character" w:customStyle="1" w:styleId="NumberChar">
    <w:name w:val="Number Char"/>
    <w:basedOn w:val="ListParagraphChar"/>
    <w:link w:val="Number"/>
    <w:rsid w:val="005C4170"/>
    <w:rPr>
      <w:rFonts w:ascii="Arial" w:eastAsia="Calibri" w:hAnsi="Arial" w:cs="Arial"/>
      <w:color w:val="000000" w:themeColor="text1"/>
      <w:sz w:val="22"/>
      <w:szCs w:val="22"/>
      <w:lang w:eastAsia="en-US"/>
    </w:rPr>
  </w:style>
  <w:style w:type="character" w:styleId="Mention">
    <w:name w:val="Mention"/>
    <w:basedOn w:val="DefaultParagraphFont"/>
    <w:uiPriority w:val="99"/>
    <w:unhideWhenUsed/>
    <w:rPr>
      <w:color w:val="2B579A"/>
      <w:shd w:val="clear" w:color="auto" w:fill="E6E6E6"/>
    </w:rPr>
  </w:style>
  <w:style w:type="paragraph" w:customStyle="1" w:styleId="footnotes">
    <w:name w:val="footnotes"/>
    <w:basedOn w:val="Normal"/>
    <w:link w:val="footnotesChar"/>
    <w:qFormat/>
    <w:rsid w:val="0002355F"/>
    <w:pPr>
      <w:keepLines w:val="0"/>
      <w:spacing w:before="0" w:after="40"/>
    </w:pPr>
    <w:rPr>
      <w:rFonts w:eastAsia="Calibri" w:cs="Calibri"/>
      <w:color w:val="0A0A0A"/>
      <w:sz w:val="20"/>
      <w:szCs w:val="20"/>
    </w:rPr>
  </w:style>
  <w:style w:type="character" w:customStyle="1" w:styleId="footnotesChar">
    <w:name w:val="footnotes Char"/>
    <w:basedOn w:val="DefaultParagraphFont"/>
    <w:link w:val="footnotes"/>
    <w:rsid w:val="0002355F"/>
    <w:rPr>
      <w:rFonts w:eastAsia="Calibri" w:cs="Calibri"/>
      <w:color w:val="0A0A0A"/>
      <w:sz w:val="20"/>
      <w:szCs w:val="20"/>
      <w:lang w:eastAsia="en-US"/>
    </w:rPr>
  </w:style>
  <w:style w:type="paragraph" w:customStyle="1" w:styleId="Alldraftingnotes">
    <w:name w:val="All drafting notes"/>
    <w:basedOn w:val="AllNumbparas"/>
    <w:link w:val="AlldraftingnotesChar"/>
    <w:qFormat/>
    <w:rsid w:val="004F080E"/>
    <w:pPr>
      <w:numPr>
        <w:numId w:val="0"/>
      </w:numPr>
    </w:pPr>
    <w:rPr>
      <w:b/>
      <w:bCs w:val="0"/>
    </w:rPr>
  </w:style>
  <w:style w:type="paragraph" w:customStyle="1" w:styleId="AllQuotes">
    <w:name w:val="All Quotes"/>
    <w:basedOn w:val="Normal"/>
    <w:link w:val="AllQuotesChar"/>
    <w:qFormat/>
    <w:rsid w:val="00563FF2"/>
    <w:pPr>
      <w:keepLines w:val="0"/>
      <w:widowControl w:val="0"/>
      <w:spacing w:after="120" w:line="276" w:lineRule="auto"/>
      <w:ind w:left="1701" w:right="1134"/>
    </w:pPr>
    <w:rPr>
      <w:rFonts w:ascii="Arial" w:hAnsi="Arial"/>
      <w:sz w:val="22"/>
    </w:rPr>
  </w:style>
  <w:style w:type="character" w:customStyle="1" w:styleId="AlldraftingnotesChar">
    <w:name w:val="All drafting notes Char"/>
    <w:basedOn w:val="AllNumbparasChar"/>
    <w:link w:val="Alldraftingnotes"/>
    <w:rsid w:val="004F080E"/>
    <w:rPr>
      <w:rFonts w:ascii="Arial" w:eastAsia="Calibri" w:hAnsi="Arial" w:cstheme="minorHAnsi"/>
      <w:b/>
      <w:bCs w:val="0"/>
      <w:color w:val="404040" w:themeColor="text1" w:themeTint="BF"/>
      <w:sz w:val="22"/>
      <w:szCs w:val="22"/>
      <w:lang w:eastAsia="en-US"/>
    </w:rPr>
  </w:style>
  <w:style w:type="character" w:customStyle="1" w:styleId="AllQuotesChar">
    <w:name w:val="All Quotes Char"/>
    <w:basedOn w:val="DefaultParagraphFont"/>
    <w:link w:val="AllQuotes"/>
    <w:rsid w:val="00563FF2"/>
    <w:rPr>
      <w:rFonts w:ascii="Arial" w:hAnsi="Arial"/>
      <w:sz w:val="22"/>
    </w:rPr>
  </w:style>
  <w:style w:type="table" w:styleId="GridTable4-Accent6">
    <w:name w:val="Grid Table 4 Accent 6"/>
    <w:basedOn w:val="TableNormal"/>
    <w:uiPriority w:val="49"/>
    <w:rsid w:val="00F73A11"/>
    <w:pPr>
      <w:spacing w:before="0" w:after="0"/>
    </w:pPr>
    <w:rPr>
      <w:rFonts w:asciiTheme="minorHAnsi" w:hAnsiTheme="minorHAnsi" w:cstheme="minorBidi"/>
      <w:sz w:val="22"/>
      <w:szCs w:val="22"/>
      <w:lang w:eastAsia="en-US"/>
    </w:rPr>
    <w:tblPr>
      <w:tblStyleRowBandSize w:val="1"/>
      <w:tblStyleColBandSize w:val="1"/>
      <w:tblBorders>
        <w:top w:val="single" w:sz="4" w:space="0" w:color="F6A57A" w:themeColor="accent6" w:themeTint="99"/>
        <w:left w:val="single" w:sz="4" w:space="0" w:color="F6A57A" w:themeColor="accent6" w:themeTint="99"/>
        <w:bottom w:val="single" w:sz="4" w:space="0" w:color="F6A57A" w:themeColor="accent6" w:themeTint="99"/>
        <w:right w:val="single" w:sz="4" w:space="0" w:color="F6A57A" w:themeColor="accent6" w:themeTint="99"/>
        <w:insideH w:val="single" w:sz="4" w:space="0" w:color="F6A57A" w:themeColor="accent6" w:themeTint="99"/>
        <w:insideV w:val="single" w:sz="4" w:space="0" w:color="F6A57A" w:themeColor="accent6" w:themeTint="99"/>
      </w:tblBorders>
    </w:tblPr>
    <w:tblStylePr w:type="firstRow">
      <w:rPr>
        <w:b/>
        <w:bCs/>
        <w:color w:val="FFFFFF" w:themeColor="background1"/>
      </w:rPr>
      <w:tblPr/>
      <w:tcPr>
        <w:tcBorders>
          <w:top w:val="single" w:sz="4" w:space="0" w:color="F06A22" w:themeColor="accent6"/>
          <w:left w:val="single" w:sz="4" w:space="0" w:color="F06A22" w:themeColor="accent6"/>
          <w:bottom w:val="single" w:sz="4" w:space="0" w:color="F06A22" w:themeColor="accent6"/>
          <w:right w:val="single" w:sz="4" w:space="0" w:color="F06A22" w:themeColor="accent6"/>
          <w:insideH w:val="nil"/>
          <w:insideV w:val="nil"/>
        </w:tcBorders>
        <w:shd w:val="clear" w:color="auto" w:fill="F06A22" w:themeFill="accent6"/>
      </w:tcPr>
    </w:tblStylePr>
    <w:tblStylePr w:type="lastRow">
      <w:rPr>
        <w:b/>
        <w:bCs/>
      </w:rPr>
      <w:tblPr/>
      <w:tcPr>
        <w:tcBorders>
          <w:top w:val="double" w:sz="4" w:space="0" w:color="F06A22" w:themeColor="accent6"/>
        </w:tcBorders>
      </w:tcPr>
    </w:tblStylePr>
    <w:tblStylePr w:type="firstCol">
      <w:rPr>
        <w:b/>
        <w:bCs/>
      </w:rPr>
    </w:tblStylePr>
    <w:tblStylePr w:type="lastCol">
      <w:rPr>
        <w:b/>
        <w:bCs/>
      </w:rPr>
    </w:tblStylePr>
    <w:tblStylePr w:type="band1Vert">
      <w:tblPr/>
      <w:tcPr>
        <w:shd w:val="clear" w:color="auto" w:fill="FCE1D2" w:themeFill="accent6" w:themeFillTint="33"/>
      </w:tcPr>
    </w:tblStylePr>
    <w:tblStylePr w:type="band1Horz">
      <w:tblPr/>
      <w:tcPr>
        <w:shd w:val="clear" w:color="auto" w:fill="FCE1D2" w:themeFill="accent6" w:themeFillTint="33"/>
      </w:tcPr>
    </w:tblStylePr>
  </w:style>
  <w:style w:type="paragraph" w:styleId="Quote">
    <w:name w:val="Quote"/>
    <w:basedOn w:val="Normal"/>
    <w:next w:val="Normal"/>
    <w:link w:val="QuoteChar"/>
    <w:uiPriority w:val="29"/>
    <w:qFormat/>
    <w:rsid w:val="009F53E1"/>
    <w:pPr>
      <w:keepLines w:val="0"/>
      <w:spacing w:before="200" w:after="160" w:line="259" w:lineRule="auto"/>
      <w:ind w:left="720" w:right="864"/>
    </w:pPr>
    <w:rPr>
      <w:rFonts w:asciiTheme="minorHAnsi" w:hAnsiTheme="minorHAnsi" w:cstheme="minorBidi"/>
      <w:i/>
      <w:iCs/>
      <w:color w:val="262626" w:themeColor="text1" w:themeTint="D9"/>
      <w:sz w:val="22"/>
      <w:szCs w:val="22"/>
    </w:rPr>
  </w:style>
  <w:style w:type="character" w:customStyle="1" w:styleId="QuoteChar">
    <w:name w:val="Quote Char"/>
    <w:basedOn w:val="DefaultParagraphFont"/>
    <w:link w:val="Quote"/>
    <w:uiPriority w:val="29"/>
    <w:rsid w:val="009F53E1"/>
    <w:rPr>
      <w:rFonts w:asciiTheme="minorHAnsi" w:hAnsiTheme="minorHAnsi" w:cstheme="minorBidi"/>
      <w:i/>
      <w:iCs/>
      <w:color w:val="262626" w:themeColor="text1" w:themeTint="D9"/>
      <w:sz w:val="22"/>
      <w:szCs w:val="22"/>
      <w:lang w:eastAsia="en-US"/>
    </w:rPr>
  </w:style>
  <w:style w:type="paragraph" w:styleId="TOCHeading">
    <w:name w:val="TOC Heading"/>
    <w:basedOn w:val="Heading1"/>
    <w:next w:val="Normal"/>
    <w:uiPriority w:val="39"/>
    <w:unhideWhenUsed/>
    <w:rsid w:val="0081438D"/>
    <w:pPr>
      <w:autoSpaceDE/>
      <w:autoSpaceDN/>
      <w:adjustRightInd/>
      <w:spacing w:line="259" w:lineRule="auto"/>
      <w:outlineLvl w:val="9"/>
    </w:pPr>
    <w:rPr>
      <w:rFonts w:asciiTheme="majorHAnsi" w:eastAsiaTheme="majorEastAsia" w:hAnsiTheme="majorHAnsi" w:cstheme="majorBidi"/>
      <w:b w:val="0"/>
      <w:color w:val="2C7178" w:themeColor="accent1" w:themeShade="80"/>
      <w:szCs w:val="32"/>
      <w:lang w:val="en-US" w:eastAsia="en-US"/>
      <w14:textFill>
        <w14:solidFill>
          <w14:schemeClr w14:val="accent1">
            <w14:lumMod w14:val="50000"/>
            <w14:lumMod w14:val="50000"/>
            <w14:lumMod w14:val="75000"/>
          </w14:schemeClr>
        </w14:solidFill>
      </w14:textFill>
    </w:rPr>
  </w:style>
  <w:style w:type="paragraph" w:customStyle="1" w:styleId="Numbered">
    <w:name w:val="Numbered"/>
    <w:basedOn w:val="Normal"/>
    <w:link w:val="NumberedChar"/>
    <w:rsid w:val="00785B98"/>
    <w:pPr>
      <w:keepLines w:val="0"/>
      <w:widowControl w:val="0"/>
      <w:numPr>
        <w:numId w:val="26"/>
      </w:numPr>
      <w:spacing w:after="120" w:line="276" w:lineRule="auto"/>
      <w:mirrorIndents/>
    </w:pPr>
    <w:rPr>
      <w:rFonts w:ascii="Arial" w:eastAsia="Calibri" w:hAnsi="Arial" w:cs="Calibri"/>
      <w:color w:val="000000" w:themeColor="text1"/>
      <w:sz w:val="22"/>
      <w:szCs w:val="22"/>
    </w:rPr>
  </w:style>
  <w:style w:type="character" w:customStyle="1" w:styleId="NumberedChar">
    <w:name w:val="Numbered Char"/>
    <w:basedOn w:val="DefaultParagraphFont"/>
    <w:link w:val="Numbered"/>
    <w:rsid w:val="00785B98"/>
    <w:rPr>
      <w:rFonts w:ascii="Arial" w:eastAsia="Calibri" w:hAnsi="Arial" w:cs="Calibri"/>
      <w:color w:val="000000" w:themeColor="text1"/>
      <w:sz w:val="22"/>
      <w:szCs w:val="22"/>
    </w:rPr>
  </w:style>
  <w:style w:type="paragraph" w:customStyle="1" w:styleId="Vol4Quotes">
    <w:name w:val="Vol 4 Quotes"/>
    <w:basedOn w:val="Normal"/>
    <w:link w:val="Vol4QuotesChar"/>
    <w:rsid w:val="00785B98"/>
    <w:pPr>
      <w:keepLines w:val="0"/>
      <w:widowControl w:val="0"/>
      <w:spacing w:line="276" w:lineRule="auto"/>
      <w:ind w:left="1134" w:right="969"/>
    </w:pPr>
    <w:rPr>
      <w:rFonts w:ascii="Arial" w:hAnsi="Arial" w:cs="Arial"/>
      <w:i/>
      <w:sz w:val="22"/>
      <w:szCs w:val="22"/>
      <w:lang w:val="en-US"/>
    </w:rPr>
  </w:style>
  <w:style w:type="character" w:customStyle="1" w:styleId="Vol4QuotesChar">
    <w:name w:val="Vol 4 Quotes Char"/>
    <w:basedOn w:val="DefaultParagraphFont"/>
    <w:link w:val="Vol4Quotes"/>
    <w:rsid w:val="00785B98"/>
    <w:rPr>
      <w:rFonts w:ascii="Arial" w:hAnsi="Arial" w:cs="Arial"/>
      <w:i/>
      <w:sz w:val="22"/>
      <w:szCs w:val="22"/>
      <w:lang w:val="en-US" w:eastAsia="en-US"/>
    </w:rPr>
  </w:style>
  <w:style w:type="paragraph" w:customStyle="1" w:styleId="Quotes">
    <w:name w:val="Quotes"/>
    <w:basedOn w:val="Normal"/>
    <w:link w:val="QuotesChar"/>
    <w:rsid w:val="005A5E88"/>
    <w:pPr>
      <w:keepLines w:val="0"/>
      <w:widowControl w:val="0"/>
      <w:spacing w:line="312" w:lineRule="auto"/>
      <w:ind w:left="1134"/>
    </w:pPr>
    <w:rPr>
      <w:rFonts w:ascii="Arial" w:hAnsi="Arial"/>
      <w:sz w:val="22"/>
    </w:rPr>
  </w:style>
  <w:style w:type="character" w:customStyle="1" w:styleId="QuotesChar">
    <w:name w:val="Quotes Char"/>
    <w:basedOn w:val="DefaultParagraphFont"/>
    <w:link w:val="Quotes"/>
    <w:rsid w:val="005A5E88"/>
    <w:rPr>
      <w:rFonts w:ascii="Arial" w:hAnsi="Arial"/>
      <w:sz w:val="22"/>
    </w:rPr>
  </w:style>
  <w:style w:type="paragraph" w:styleId="TOC9">
    <w:name w:val="toc 9"/>
    <w:basedOn w:val="Normal"/>
    <w:next w:val="Normal"/>
    <w:autoRedefine/>
    <w:uiPriority w:val="39"/>
    <w:unhideWhenUsed/>
    <w:rsid w:val="00AE055C"/>
    <w:pPr>
      <w:keepLines w:val="0"/>
      <w:spacing w:before="0" w:after="100" w:line="259" w:lineRule="auto"/>
      <w:ind w:left="1760"/>
    </w:pPr>
    <w:rPr>
      <w:rFonts w:asciiTheme="minorHAnsi" w:eastAsiaTheme="minorEastAsia" w:hAnsiTheme="minorHAnsi" w:cstheme="minorBidi"/>
      <w:kern w:val="2"/>
      <w:sz w:val="22"/>
      <w:szCs w:val="22"/>
      <w14:ligatures w14:val="standardContextual"/>
    </w:rPr>
  </w:style>
  <w:style w:type="paragraph" w:customStyle="1" w:styleId="Numbparas">
    <w:name w:val="Numb paras"/>
    <w:basedOn w:val="Normal"/>
    <w:link w:val="NumbparasChar"/>
    <w:uiPriority w:val="1"/>
    <w:qFormat/>
    <w:rsid w:val="009574D1"/>
    <w:pPr>
      <w:keepLines w:val="0"/>
      <w:widowControl w:val="0"/>
      <w:numPr>
        <w:numId w:val="29"/>
      </w:numPr>
      <w:spacing w:after="120" w:line="276" w:lineRule="auto"/>
      <w:mirrorIndents/>
    </w:pPr>
    <w:rPr>
      <w:rFonts w:ascii="Arial" w:eastAsia="Calibri" w:hAnsi="Arial" w:cs="Arial"/>
      <w:bCs/>
      <w:color w:val="222222"/>
      <w:sz w:val="22"/>
      <w:szCs w:val="22"/>
      <w:shd w:val="clear" w:color="auto" w:fill="FFFFFF"/>
    </w:rPr>
  </w:style>
  <w:style w:type="character" w:customStyle="1" w:styleId="NumbparasChar">
    <w:name w:val="Numb paras Char"/>
    <w:basedOn w:val="DefaultParagraphFont"/>
    <w:link w:val="Numbparas"/>
    <w:uiPriority w:val="1"/>
    <w:rsid w:val="009574D1"/>
    <w:rPr>
      <w:rFonts w:ascii="Arial" w:eastAsia="Calibri" w:hAnsi="Arial" w:cs="Arial"/>
      <w:bCs/>
      <w:color w:val="222222"/>
      <w:sz w:val="22"/>
      <w:szCs w:val="22"/>
    </w:rPr>
  </w:style>
  <w:style w:type="paragraph" w:customStyle="1" w:styleId="Default">
    <w:name w:val="Default"/>
    <w:rsid w:val="00EC61EB"/>
    <w:pPr>
      <w:autoSpaceDE w:val="0"/>
      <w:autoSpaceDN w:val="0"/>
      <w:adjustRightInd w:val="0"/>
      <w:spacing w:before="0" w:after="0"/>
    </w:pPr>
    <w:rPr>
      <w:rFonts w:ascii="Calibri Light" w:hAnsi="Calibri Light" w:cs="Calibri Light"/>
      <w:color w:val="000000"/>
    </w:rPr>
  </w:style>
  <w:style w:type="character" w:customStyle="1" w:styleId="xcontentpasted0">
    <w:name w:val="x_contentpasted0"/>
    <w:basedOn w:val="DefaultParagraphFont"/>
    <w:rsid w:val="006E1B6B"/>
  </w:style>
  <w:style w:type="paragraph" w:customStyle="1" w:styleId="Vol4Numberedparas">
    <w:name w:val="Vol 4 Numbered paras"/>
    <w:basedOn w:val="Numbparas"/>
    <w:link w:val="Vol4NumberedparasChar"/>
    <w:rsid w:val="004763C2"/>
    <w:pPr>
      <w:numPr>
        <w:numId w:val="28"/>
      </w:numPr>
    </w:pPr>
    <w:rPr>
      <w:rFonts w:cs="Calibri"/>
      <w:bCs w:val="0"/>
      <w:color w:val="000000" w:themeColor="text1"/>
    </w:rPr>
  </w:style>
  <w:style w:type="character" w:customStyle="1" w:styleId="Vol4NumberedparasChar">
    <w:name w:val="Vol 4 Numbered paras Char"/>
    <w:basedOn w:val="DefaultParagraphFont"/>
    <w:link w:val="Vol4Numberedparas"/>
    <w:rsid w:val="004763C2"/>
    <w:rPr>
      <w:rFonts w:ascii="Arial" w:eastAsia="Calibri" w:hAnsi="Arial" w:cs="Calibri"/>
      <w:color w:val="000000" w:themeColor="text1"/>
      <w:sz w:val="22"/>
      <w:szCs w:val="22"/>
    </w:rPr>
  </w:style>
  <w:style w:type="table" w:customStyle="1" w:styleId="TableGrid10">
    <w:name w:val="Table Grid1"/>
    <w:basedOn w:val="TableNormal"/>
    <w:next w:val="TableGrid"/>
    <w:uiPriority w:val="39"/>
    <w:rsid w:val="00EC0850"/>
    <w:pPr>
      <w:spacing w:before="0" w:after="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46357890">
    <w:name w:val="scxw246357890"/>
    <w:basedOn w:val="DefaultParagraphFont"/>
    <w:rsid w:val="00CA3FAB"/>
  </w:style>
  <w:style w:type="paragraph" w:customStyle="1" w:styleId="Heading50">
    <w:name w:val="Heading5"/>
    <w:basedOn w:val="Numbparas"/>
    <w:link w:val="Heading5Char0"/>
    <w:qFormat/>
    <w:rsid w:val="00907FE6"/>
    <w:pPr>
      <w:numPr>
        <w:numId w:val="0"/>
      </w:numPr>
      <w:spacing w:before="240" w:after="240" w:line="240" w:lineRule="auto"/>
    </w:pPr>
    <w:rPr>
      <w:rFonts w:ascii="Helvetica" w:eastAsiaTheme="minorHAnsi" w:hAnsi="Helvetica" w:cs="Times New Roman"/>
      <w:bCs w:val="0"/>
      <w:iCs/>
      <w:color w:val="273E14" w:themeColor="accent4" w:themeShade="80"/>
      <w:szCs w:val="24"/>
      <w:lang w:eastAsia="en-US"/>
    </w:rPr>
  </w:style>
  <w:style w:type="character" w:customStyle="1" w:styleId="Heading5Char0">
    <w:name w:val="Heading5 Char"/>
    <w:basedOn w:val="NumbparasChar"/>
    <w:link w:val="Heading50"/>
    <w:rsid w:val="00907FE6"/>
    <w:rPr>
      <w:rFonts w:ascii="Helvetica" w:eastAsia="Calibri" w:hAnsi="Helvetica" w:cs="Arial"/>
      <w:bCs w:val="0"/>
      <w:iCs/>
      <w:color w:val="273E14" w:themeColor="accent4" w:themeShade="80"/>
      <w:sz w:val="22"/>
      <w:szCs w:val="22"/>
      <w:lang w:eastAsia="en-US"/>
    </w:rPr>
  </w:style>
  <w:style w:type="character" w:customStyle="1" w:styleId="oit-ss4">
    <w:name w:val="oit-ss4"/>
    <w:basedOn w:val="DefaultParagraphFont"/>
    <w:rsid w:val="008056A8"/>
  </w:style>
  <w:style w:type="character" w:customStyle="1" w:styleId="oit-ss1">
    <w:name w:val="oit-ss1"/>
    <w:basedOn w:val="DefaultParagraphFont"/>
    <w:rsid w:val="00627D38"/>
  </w:style>
  <w:style w:type="character" w:customStyle="1" w:styleId="oistylename23">
    <w:name w:val="oistylename23"/>
    <w:basedOn w:val="DefaultParagraphFont"/>
    <w:rsid w:val="00EC1412"/>
  </w:style>
  <w:style w:type="character" w:customStyle="1" w:styleId="nonvisual-indicator">
    <w:name w:val="nonvisual-indicator"/>
    <w:basedOn w:val="DefaultParagraphFont"/>
    <w:rsid w:val="003E6A2D"/>
  </w:style>
  <w:style w:type="paragraph" w:customStyle="1" w:styleId="text-justify">
    <w:name w:val="text-justify"/>
    <w:basedOn w:val="Normal"/>
    <w:rsid w:val="00C8102D"/>
    <w:pPr>
      <w:keepLines w:val="0"/>
      <w:spacing w:before="100" w:beforeAutospacing="1" w:after="100" w:afterAutospacing="1"/>
    </w:pPr>
    <w:rPr>
      <w:rFonts w:ascii="Times New Roman" w:eastAsia="Times New Roman" w:hAnsi="Times New Roman"/>
    </w:rPr>
  </w:style>
  <w:style w:type="paragraph" w:styleId="z-TopofForm">
    <w:name w:val="HTML Top of Form"/>
    <w:basedOn w:val="Normal"/>
    <w:next w:val="Normal"/>
    <w:link w:val="z-TopofFormChar"/>
    <w:hidden/>
    <w:uiPriority w:val="99"/>
    <w:semiHidden/>
    <w:unhideWhenUsed/>
    <w:rsid w:val="007C00DA"/>
    <w:pPr>
      <w:keepLines w:val="0"/>
      <w:pBdr>
        <w:bottom w:val="single" w:sz="6" w:space="1" w:color="auto"/>
      </w:pBdr>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C00DA"/>
    <w:rPr>
      <w:rFonts w:ascii="Arial" w:eastAsia="Times New Roman" w:hAnsi="Arial" w:cs="Arial"/>
      <w:vanish/>
      <w:sz w:val="16"/>
      <w:szCs w:val="16"/>
    </w:rPr>
  </w:style>
  <w:style w:type="paragraph" w:customStyle="1" w:styleId="TSOtherBodyText">
    <w:name w:val="TS Other (Body Text)"/>
    <w:basedOn w:val="Normal"/>
    <w:uiPriority w:val="9"/>
    <w:qFormat/>
    <w:pPr>
      <w:keepLines w:val="0"/>
      <w:spacing w:before="57" w:after="57" w:line="190" w:lineRule="atLeast"/>
    </w:pPr>
    <w:rPr>
      <w:rFonts w:ascii="Cera Pro" w:hAnsi="Cera Pro" w:cstheme="minorBidi"/>
      <w:sz w:val="16"/>
      <w:szCs w:val="22"/>
    </w:rPr>
  </w:style>
  <w:style w:type="paragraph" w:customStyle="1" w:styleId="SNHeading1">
    <w:name w:val="SN Heading 1"/>
    <w:basedOn w:val="Heading1"/>
    <w:next w:val="Normal"/>
    <w:uiPriority w:val="99"/>
    <w:semiHidden/>
    <w:pPr>
      <w:keepNext/>
      <w:keepLines/>
      <w:pageBreakBefore/>
      <w:widowControl/>
      <w:numPr>
        <w:numId w:val="30"/>
      </w:numPr>
      <w:autoSpaceDE/>
      <w:autoSpaceDN/>
      <w:adjustRightInd/>
      <w:spacing w:before="0" w:after="340" w:line="300" w:lineRule="atLeast"/>
      <w:ind w:right="851"/>
    </w:pPr>
    <w:rPr>
      <w:rFonts w:ascii="Cera Pro" w:eastAsiaTheme="majorEastAsia" w:hAnsi="Cera Pro" w:cstheme="majorBidi"/>
      <w:bCs w:val="0"/>
      <w:color w:val="000000"/>
      <w:sz w:val="48"/>
      <w:szCs w:val="32"/>
      <w:lang w:eastAsia="en-US"/>
      <w14:textFill>
        <w14:solidFill>
          <w14:srgbClr w14:val="000000">
            <w14:lumMod w14:val="50000"/>
          </w14:srgbClr>
        </w14:solidFill>
      </w14:textFill>
    </w:rPr>
  </w:style>
  <w:style w:type="paragraph" w:customStyle="1" w:styleId="StyleAllNumbparas9ptSuperscript">
    <w:name w:val="Style All Numb paras + 9 pt Superscript"/>
    <w:basedOn w:val="AllNumbparas"/>
    <w:autoRedefine/>
    <w:rsid w:val="001318FE"/>
    <w:rPr>
      <w:bCs w:val="0"/>
      <w:sz w:val="18"/>
      <w:vertAlign w:val="superscript"/>
    </w:rPr>
  </w:style>
  <w:style w:type="character" w:customStyle="1" w:styleId="StyleFootnoteReferenceFagoFunotenzeichenFagoFunotenzeichen">
    <w:name w:val="Style Footnote ReferenceFago FuﬂnotenzeichenFago Fußnotenzeichen..."/>
    <w:basedOn w:val="FootnoteReference"/>
    <w:rsid w:val="003F30E2"/>
    <w:rPr>
      <w:rFonts w:ascii="Arial" w:hAnsi="Arial" w:cs="Arial"/>
      <w:color w:val="000000" w:themeColor="text1"/>
      <w:sz w:val="22"/>
      <w:shd w:val="clear" w:color="auto" w:fill="FFFFFF"/>
      <w:vertAlign w:val="superscript"/>
    </w:rPr>
  </w:style>
  <w:style w:type="character" w:customStyle="1" w:styleId="StyleFootnoteReferenceFagoFunotenzeichenFagoFunotenzeichen1">
    <w:name w:val="Style Footnote ReferenceFago FuﬂnotenzeichenFago Fußnotenzeichen...1"/>
    <w:basedOn w:val="FootnoteReference"/>
    <w:rsid w:val="003F30E2"/>
    <w:rPr>
      <w:rFonts w:ascii="Arial" w:hAnsi="Arial" w:cs="Arial"/>
      <w:color w:val="222222"/>
      <w:sz w:val="22"/>
      <w:shd w:val="clear" w:color="auto" w:fill="FFFFFF"/>
      <w:vertAlign w:val="superscript"/>
    </w:rPr>
  </w:style>
  <w:style w:type="character" w:customStyle="1" w:styleId="scxw67291607">
    <w:name w:val="scxw67291607"/>
    <w:basedOn w:val="DefaultParagraphFont"/>
    <w:rsid w:val="00992F48"/>
  </w:style>
  <w:style w:type="paragraph" w:customStyle="1" w:styleId="ReportParagraph">
    <w:name w:val="ReportParagraph"/>
    <w:basedOn w:val="ListParagraph"/>
    <w:qFormat/>
    <w:rsid w:val="00FD73F1"/>
    <w:pPr>
      <w:numPr>
        <w:numId w:val="148"/>
      </w:numPr>
      <w:spacing w:before="240" w:after="240" w:line="276" w:lineRule="auto"/>
      <w:jc w:val="both"/>
    </w:pPr>
    <w:rPr>
      <w:rFonts w:ascii="Arial" w:hAnsi="Arial" w:cs="Arial"/>
      <w:sz w:val="22"/>
      <w:szCs w:val="22"/>
    </w:rPr>
  </w:style>
  <w:style w:type="table" w:customStyle="1" w:styleId="TableGrid20">
    <w:name w:val="Table Grid2"/>
    <w:basedOn w:val="TableNormal"/>
    <w:next w:val="TableGrid"/>
    <w:uiPriority w:val="39"/>
    <w:rsid w:val="00A545B7"/>
    <w:pPr>
      <w:spacing w:before="0" w:after="0"/>
    </w:pPr>
    <w:rPr>
      <w:rFonts w:cs="Cordia New"/>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654280"/>
  </w:style>
  <w:style w:type="character" w:customStyle="1" w:styleId="Heading8Char">
    <w:name w:val="Heading 8 Char"/>
    <w:basedOn w:val="DefaultParagraphFont"/>
    <w:link w:val="Heading8"/>
    <w:uiPriority w:val="9"/>
    <w:semiHidden/>
    <w:rsid w:val="00654280"/>
    <w:rPr>
      <w:i/>
      <w:iCs/>
    </w:rPr>
  </w:style>
  <w:style w:type="character" w:customStyle="1" w:styleId="Heading9Char">
    <w:name w:val="Heading 9 Char"/>
    <w:basedOn w:val="DefaultParagraphFont"/>
    <w:link w:val="Heading9"/>
    <w:uiPriority w:val="9"/>
    <w:semiHidden/>
    <w:rsid w:val="00654280"/>
    <w:rPr>
      <w:rFonts w:cs="Arial"/>
      <w:szCs w:val="22"/>
    </w:rPr>
  </w:style>
  <w:style w:type="character" w:customStyle="1" w:styleId="TitleChar">
    <w:name w:val="Title Char"/>
    <w:basedOn w:val="DefaultParagraphFont"/>
    <w:link w:val="Title"/>
    <w:uiPriority w:val="10"/>
    <w:rsid w:val="00654280"/>
    <w:rPr>
      <w:b/>
      <w:color w:val="1F546B"/>
      <w:sz w:val="80"/>
      <w:szCs w:val="80"/>
    </w:rPr>
  </w:style>
  <w:style w:type="character" w:customStyle="1" w:styleId="SubtitleChar">
    <w:name w:val="Subtitle Char"/>
    <w:basedOn w:val="DefaultParagraphFont"/>
    <w:link w:val="Subtitle"/>
    <w:uiPriority w:val="11"/>
    <w:rsid w:val="00654280"/>
    <w:rPr>
      <w:b/>
      <w:color w:val="7BC7CE"/>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42">
      <w:bodyDiv w:val="1"/>
      <w:marLeft w:val="0"/>
      <w:marRight w:val="0"/>
      <w:marTop w:val="0"/>
      <w:marBottom w:val="0"/>
      <w:divBdr>
        <w:top w:val="none" w:sz="0" w:space="0" w:color="auto"/>
        <w:left w:val="none" w:sz="0" w:space="0" w:color="auto"/>
        <w:bottom w:val="none" w:sz="0" w:space="0" w:color="auto"/>
        <w:right w:val="none" w:sz="0" w:space="0" w:color="auto"/>
      </w:divBdr>
    </w:div>
    <w:div w:id="3170114">
      <w:bodyDiv w:val="1"/>
      <w:marLeft w:val="0"/>
      <w:marRight w:val="0"/>
      <w:marTop w:val="0"/>
      <w:marBottom w:val="0"/>
      <w:divBdr>
        <w:top w:val="none" w:sz="0" w:space="0" w:color="auto"/>
        <w:left w:val="none" w:sz="0" w:space="0" w:color="auto"/>
        <w:bottom w:val="none" w:sz="0" w:space="0" w:color="auto"/>
        <w:right w:val="none" w:sz="0" w:space="0" w:color="auto"/>
      </w:divBdr>
      <w:divsChild>
        <w:div w:id="1708413888">
          <w:marLeft w:val="0"/>
          <w:marRight w:val="0"/>
          <w:marTop w:val="0"/>
          <w:marBottom w:val="0"/>
          <w:divBdr>
            <w:top w:val="none" w:sz="0" w:space="0" w:color="auto"/>
            <w:left w:val="none" w:sz="0" w:space="0" w:color="auto"/>
            <w:bottom w:val="none" w:sz="0" w:space="0" w:color="auto"/>
            <w:right w:val="none" w:sz="0" w:space="0" w:color="auto"/>
          </w:divBdr>
        </w:div>
      </w:divsChild>
    </w:div>
    <w:div w:id="8333074">
      <w:bodyDiv w:val="1"/>
      <w:marLeft w:val="0"/>
      <w:marRight w:val="0"/>
      <w:marTop w:val="0"/>
      <w:marBottom w:val="0"/>
      <w:divBdr>
        <w:top w:val="none" w:sz="0" w:space="0" w:color="auto"/>
        <w:left w:val="none" w:sz="0" w:space="0" w:color="auto"/>
        <w:bottom w:val="none" w:sz="0" w:space="0" w:color="auto"/>
        <w:right w:val="none" w:sz="0" w:space="0" w:color="auto"/>
      </w:divBdr>
      <w:divsChild>
        <w:div w:id="721976579">
          <w:marLeft w:val="0"/>
          <w:marRight w:val="0"/>
          <w:marTop w:val="0"/>
          <w:marBottom w:val="0"/>
          <w:divBdr>
            <w:top w:val="none" w:sz="0" w:space="0" w:color="auto"/>
            <w:left w:val="none" w:sz="0" w:space="0" w:color="auto"/>
            <w:bottom w:val="none" w:sz="0" w:space="0" w:color="auto"/>
            <w:right w:val="none" w:sz="0" w:space="0" w:color="auto"/>
          </w:divBdr>
        </w:div>
      </w:divsChild>
    </w:div>
    <w:div w:id="24331665">
      <w:bodyDiv w:val="1"/>
      <w:marLeft w:val="0"/>
      <w:marRight w:val="0"/>
      <w:marTop w:val="0"/>
      <w:marBottom w:val="0"/>
      <w:divBdr>
        <w:top w:val="none" w:sz="0" w:space="0" w:color="auto"/>
        <w:left w:val="none" w:sz="0" w:space="0" w:color="auto"/>
        <w:bottom w:val="none" w:sz="0" w:space="0" w:color="auto"/>
        <w:right w:val="none" w:sz="0" w:space="0" w:color="auto"/>
      </w:divBdr>
    </w:div>
    <w:div w:id="44455732">
      <w:bodyDiv w:val="1"/>
      <w:marLeft w:val="0"/>
      <w:marRight w:val="0"/>
      <w:marTop w:val="0"/>
      <w:marBottom w:val="0"/>
      <w:divBdr>
        <w:top w:val="none" w:sz="0" w:space="0" w:color="auto"/>
        <w:left w:val="none" w:sz="0" w:space="0" w:color="auto"/>
        <w:bottom w:val="none" w:sz="0" w:space="0" w:color="auto"/>
        <w:right w:val="none" w:sz="0" w:space="0" w:color="auto"/>
      </w:divBdr>
      <w:divsChild>
        <w:div w:id="1960067547">
          <w:marLeft w:val="0"/>
          <w:marRight w:val="0"/>
          <w:marTop w:val="0"/>
          <w:marBottom w:val="0"/>
          <w:divBdr>
            <w:top w:val="none" w:sz="0" w:space="0" w:color="auto"/>
            <w:left w:val="none" w:sz="0" w:space="0" w:color="auto"/>
            <w:bottom w:val="none" w:sz="0" w:space="0" w:color="auto"/>
            <w:right w:val="none" w:sz="0" w:space="0" w:color="auto"/>
          </w:divBdr>
        </w:div>
      </w:divsChild>
    </w:div>
    <w:div w:id="48119050">
      <w:bodyDiv w:val="1"/>
      <w:marLeft w:val="0"/>
      <w:marRight w:val="0"/>
      <w:marTop w:val="0"/>
      <w:marBottom w:val="0"/>
      <w:divBdr>
        <w:top w:val="none" w:sz="0" w:space="0" w:color="auto"/>
        <w:left w:val="none" w:sz="0" w:space="0" w:color="auto"/>
        <w:bottom w:val="none" w:sz="0" w:space="0" w:color="auto"/>
        <w:right w:val="none" w:sz="0" w:space="0" w:color="auto"/>
      </w:divBdr>
      <w:divsChild>
        <w:div w:id="1540582638">
          <w:marLeft w:val="0"/>
          <w:marRight w:val="0"/>
          <w:marTop w:val="0"/>
          <w:marBottom w:val="0"/>
          <w:divBdr>
            <w:top w:val="none" w:sz="0" w:space="0" w:color="auto"/>
            <w:left w:val="none" w:sz="0" w:space="0" w:color="auto"/>
            <w:bottom w:val="none" w:sz="0" w:space="0" w:color="auto"/>
            <w:right w:val="none" w:sz="0" w:space="0" w:color="auto"/>
          </w:divBdr>
        </w:div>
      </w:divsChild>
    </w:div>
    <w:div w:id="70588118">
      <w:bodyDiv w:val="1"/>
      <w:marLeft w:val="0"/>
      <w:marRight w:val="0"/>
      <w:marTop w:val="0"/>
      <w:marBottom w:val="0"/>
      <w:divBdr>
        <w:top w:val="none" w:sz="0" w:space="0" w:color="auto"/>
        <w:left w:val="none" w:sz="0" w:space="0" w:color="auto"/>
        <w:bottom w:val="none" w:sz="0" w:space="0" w:color="auto"/>
        <w:right w:val="none" w:sz="0" w:space="0" w:color="auto"/>
      </w:divBdr>
    </w:div>
    <w:div w:id="81723739">
      <w:bodyDiv w:val="1"/>
      <w:marLeft w:val="0"/>
      <w:marRight w:val="0"/>
      <w:marTop w:val="0"/>
      <w:marBottom w:val="0"/>
      <w:divBdr>
        <w:top w:val="none" w:sz="0" w:space="0" w:color="auto"/>
        <w:left w:val="none" w:sz="0" w:space="0" w:color="auto"/>
        <w:bottom w:val="none" w:sz="0" w:space="0" w:color="auto"/>
        <w:right w:val="none" w:sz="0" w:space="0" w:color="auto"/>
      </w:divBdr>
    </w:div>
    <w:div w:id="144124319">
      <w:bodyDiv w:val="1"/>
      <w:marLeft w:val="0"/>
      <w:marRight w:val="0"/>
      <w:marTop w:val="0"/>
      <w:marBottom w:val="0"/>
      <w:divBdr>
        <w:top w:val="none" w:sz="0" w:space="0" w:color="auto"/>
        <w:left w:val="none" w:sz="0" w:space="0" w:color="auto"/>
        <w:bottom w:val="none" w:sz="0" w:space="0" w:color="auto"/>
        <w:right w:val="none" w:sz="0" w:space="0" w:color="auto"/>
      </w:divBdr>
      <w:divsChild>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145896264">
      <w:bodyDiv w:val="1"/>
      <w:marLeft w:val="0"/>
      <w:marRight w:val="0"/>
      <w:marTop w:val="0"/>
      <w:marBottom w:val="0"/>
      <w:divBdr>
        <w:top w:val="none" w:sz="0" w:space="0" w:color="auto"/>
        <w:left w:val="none" w:sz="0" w:space="0" w:color="auto"/>
        <w:bottom w:val="none" w:sz="0" w:space="0" w:color="auto"/>
        <w:right w:val="none" w:sz="0" w:space="0" w:color="auto"/>
      </w:divBdr>
      <w:divsChild>
        <w:div w:id="2077973604">
          <w:marLeft w:val="0"/>
          <w:marRight w:val="0"/>
          <w:marTop w:val="0"/>
          <w:marBottom w:val="0"/>
          <w:divBdr>
            <w:top w:val="none" w:sz="0" w:space="0" w:color="auto"/>
            <w:left w:val="none" w:sz="0" w:space="0" w:color="auto"/>
            <w:bottom w:val="none" w:sz="0" w:space="0" w:color="auto"/>
            <w:right w:val="none" w:sz="0" w:space="0" w:color="auto"/>
          </w:divBdr>
        </w:div>
      </w:divsChild>
    </w:div>
    <w:div w:id="152571247">
      <w:bodyDiv w:val="1"/>
      <w:marLeft w:val="0"/>
      <w:marRight w:val="0"/>
      <w:marTop w:val="0"/>
      <w:marBottom w:val="0"/>
      <w:divBdr>
        <w:top w:val="none" w:sz="0" w:space="0" w:color="auto"/>
        <w:left w:val="none" w:sz="0" w:space="0" w:color="auto"/>
        <w:bottom w:val="none" w:sz="0" w:space="0" w:color="auto"/>
        <w:right w:val="none" w:sz="0" w:space="0" w:color="auto"/>
      </w:divBdr>
    </w:div>
    <w:div w:id="179125598">
      <w:bodyDiv w:val="1"/>
      <w:marLeft w:val="0"/>
      <w:marRight w:val="0"/>
      <w:marTop w:val="0"/>
      <w:marBottom w:val="0"/>
      <w:divBdr>
        <w:top w:val="none" w:sz="0" w:space="0" w:color="auto"/>
        <w:left w:val="none" w:sz="0" w:space="0" w:color="auto"/>
        <w:bottom w:val="none" w:sz="0" w:space="0" w:color="auto"/>
        <w:right w:val="none" w:sz="0" w:space="0" w:color="auto"/>
      </w:divBdr>
    </w:div>
    <w:div w:id="210728637">
      <w:bodyDiv w:val="1"/>
      <w:marLeft w:val="0"/>
      <w:marRight w:val="0"/>
      <w:marTop w:val="0"/>
      <w:marBottom w:val="0"/>
      <w:divBdr>
        <w:top w:val="none" w:sz="0" w:space="0" w:color="auto"/>
        <w:left w:val="none" w:sz="0" w:space="0" w:color="auto"/>
        <w:bottom w:val="none" w:sz="0" w:space="0" w:color="auto"/>
        <w:right w:val="none" w:sz="0" w:space="0" w:color="auto"/>
      </w:divBdr>
    </w:div>
    <w:div w:id="268664072">
      <w:bodyDiv w:val="1"/>
      <w:marLeft w:val="0"/>
      <w:marRight w:val="0"/>
      <w:marTop w:val="0"/>
      <w:marBottom w:val="0"/>
      <w:divBdr>
        <w:top w:val="none" w:sz="0" w:space="0" w:color="auto"/>
        <w:left w:val="none" w:sz="0" w:space="0" w:color="auto"/>
        <w:bottom w:val="none" w:sz="0" w:space="0" w:color="auto"/>
        <w:right w:val="none" w:sz="0" w:space="0" w:color="auto"/>
      </w:divBdr>
    </w:div>
    <w:div w:id="279458327">
      <w:bodyDiv w:val="1"/>
      <w:marLeft w:val="0"/>
      <w:marRight w:val="0"/>
      <w:marTop w:val="0"/>
      <w:marBottom w:val="0"/>
      <w:divBdr>
        <w:top w:val="none" w:sz="0" w:space="0" w:color="auto"/>
        <w:left w:val="none" w:sz="0" w:space="0" w:color="auto"/>
        <w:bottom w:val="none" w:sz="0" w:space="0" w:color="auto"/>
        <w:right w:val="none" w:sz="0" w:space="0" w:color="auto"/>
      </w:divBdr>
    </w:div>
    <w:div w:id="279798863">
      <w:bodyDiv w:val="1"/>
      <w:marLeft w:val="0"/>
      <w:marRight w:val="0"/>
      <w:marTop w:val="0"/>
      <w:marBottom w:val="0"/>
      <w:divBdr>
        <w:top w:val="none" w:sz="0" w:space="0" w:color="auto"/>
        <w:left w:val="none" w:sz="0" w:space="0" w:color="auto"/>
        <w:bottom w:val="none" w:sz="0" w:space="0" w:color="auto"/>
        <w:right w:val="none" w:sz="0" w:space="0" w:color="auto"/>
      </w:divBdr>
      <w:divsChild>
        <w:div w:id="463696357">
          <w:marLeft w:val="547"/>
          <w:marRight w:val="0"/>
          <w:marTop w:val="0"/>
          <w:marBottom w:val="0"/>
          <w:divBdr>
            <w:top w:val="none" w:sz="0" w:space="0" w:color="auto"/>
            <w:left w:val="none" w:sz="0" w:space="0" w:color="auto"/>
            <w:bottom w:val="none" w:sz="0" w:space="0" w:color="auto"/>
            <w:right w:val="none" w:sz="0" w:space="0" w:color="auto"/>
          </w:divBdr>
        </w:div>
        <w:div w:id="2052462911">
          <w:marLeft w:val="547"/>
          <w:marRight w:val="0"/>
          <w:marTop w:val="0"/>
          <w:marBottom w:val="0"/>
          <w:divBdr>
            <w:top w:val="none" w:sz="0" w:space="0" w:color="auto"/>
            <w:left w:val="none" w:sz="0" w:space="0" w:color="auto"/>
            <w:bottom w:val="none" w:sz="0" w:space="0" w:color="auto"/>
            <w:right w:val="none" w:sz="0" w:space="0" w:color="auto"/>
          </w:divBdr>
        </w:div>
      </w:divsChild>
    </w:div>
    <w:div w:id="292492781">
      <w:bodyDiv w:val="1"/>
      <w:marLeft w:val="0"/>
      <w:marRight w:val="0"/>
      <w:marTop w:val="0"/>
      <w:marBottom w:val="0"/>
      <w:divBdr>
        <w:top w:val="none" w:sz="0" w:space="0" w:color="auto"/>
        <w:left w:val="none" w:sz="0" w:space="0" w:color="auto"/>
        <w:bottom w:val="none" w:sz="0" w:space="0" w:color="auto"/>
        <w:right w:val="none" w:sz="0" w:space="0" w:color="auto"/>
      </w:divBdr>
    </w:div>
    <w:div w:id="294067413">
      <w:bodyDiv w:val="1"/>
      <w:marLeft w:val="0"/>
      <w:marRight w:val="0"/>
      <w:marTop w:val="0"/>
      <w:marBottom w:val="0"/>
      <w:divBdr>
        <w:top w:val="none" w:sz="0" w:space="0" w:color="auto"/>
        <w:left w:val="none" w:sz="0" w:space="0" w:color="auto"/>
        <w:bottom w:val="none" w:sz="0" w:space="0" w:color="auto"/>
        <w:right w:val="none" w:sz="0" w:space="0" w:color="auto"/>
      </w:divBdr>
      <w:divsChild>
        <w:div w:id="1362167404">
          <w:marLeft w:val="0"/>
          <w:marRight w:val="0"/>
          <w:marTop w:val="0"/>
          <w:marBottom w:val="0"/>
          <w:divBdr>
            <w:top w:val="none" w:sz="0" w:space="0" w:color="auto"/>
            <w:left w:val="none" w:sz="0" w:space="0" w:color="auto"/>
            <w:bottom w:val="none" w:sz="0" w:space="0" w:color="auto"/>
            <w:right w:val="none" w:sz="0" w:space="0" w:color="auto"/>
          </w:divBdr>
          <w:divsChild>
            <w:div w:id="1584409001">
              <w:marLeft w:val="0"/>
              <w:marRight w:val="0"/>
              <w:marTop w:val="0"/>
              <w:marBottom w:val="0"/>
              <w:divBdr>
                <w:top w:val="none" w:sz="0" w:space="0" w:color="auto"/>
                <w:left w:val="none" w:sz="0" w:space="0" w:color="auto"/>
                <w:bottom w:val="none" w:sz="0" w:space="0" w:color="auto"/>
                <w:right w:val="none" w:sz="0" w:space="0" w:color="auto"/>
              </w:divBdr>
              <w:divsChild>
                <w:div w:id="1860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39702">
      <w:bodyDiv w:val="1"/>
      <w:marLeft w:val="0"/>
      <w:marRight w:val="0"/>
      <w:marTop w:val="0"/>
      <w:marBottom w:val="0"/>
      <w:divBdr>
        <w:top w:val="none" w:sz="0" w:space="0" w:color="auto"/>
        <w:left w:val="none" w:sz="0" w:space="0" w:color="auto"/>
        <w:bottom w:val="none" w:sz="0" w:space="0" w:color="auto"/>
        <w:right w:val="none" w:sz="0" w:space="0" w:color="auto"/>
      </w:divBdr>
    </w:div>
    <w:div w:id="320276942">
      <w:bodyDiv w:val="1"/>
      <w:marLeft w:val="0"/>
      <w:marRight w:val="0"/>
      <w:marTop w:val="0"/>
      <w:marBottom w:val="0"/>
      <w:divBdr>
        <w:top w:val="none" w:sz="0" w:space="0" w:color="auto"/>
        <w:left w:val="none" w:sz="0" w:space="0" w:color="auto"/>
        <w:bottom w:val="none" w:sz="0" w:space="0" w:color="auto"/>
        <w:right w:val="none" w:sz="0" w:space="0" w:color="auto"/>
      </w:divBdr>
      <w:divsChild>
        <w:div w:id="2136675310">
          <w:marLeft w:val="0"/>
          <w:marRight w:val="0"/>
          <w:marTop w:val="0"/>
          <w:marBottom w:val="0"/>
          <w:divBdr>
            <w:top w:val="none" w:sz="0" w:space="0" w:color="auto"/>
            <w:left w:val="none" w:sz="0" w:space="0" w:color="auto"/>
            <w:bottom w:val="none" w:sz="0" w:space="0" w:color="auto"/>
            <w:right w:val="none" w:sz="0" w:space="0" w:color="auto"/>
          </w:divBdr>
        </w:div>
      </w:divsChild>
    </w:div>
    <w:div w:id="323902145">
      <w:bodyDiv w:val="1"/>
      <w:marLeft w:val="0"/>
      <w:marRight w:val="0"/>
      <w:marTop w:val="0"/>
      <w:marBottom w:val="0"/>
      <w:divBdr>
        <w:top w:val="none" w:sz="0" w:space="0" w:color="auto"/>
        <w:left w:val="none" w:sz="0" w:space="0" w:color="auto"/>
        <w:bottom w:val="none" w:sz="0" w:space="0" w:color="auto"/>
        <w:right w:val="none" w:sz="0" w:space="0" w:color="auto"/>
      </w:divBdr>
    </w:div>
    <w:div w:id="335766948">
      <w:bodyDiv w:val="1"/>
      <w:marLeft w:val="0"/>
      <w:marRight w:val="0"/>
      <w:marTop w:val="0"/>
      <w:marBottom w:val="0"/>
      <w:divBdr>
        <w:top w:val="none" w:sz="0" w:space="0" w:color="auto"/>
        <w:left w:val="none" w:sz="0" w:space="0" w:color="auto"/>
        <w:bottom w:val="none" w:sz="0" w:space="0" w:color="auto"/>
        <w:right w:val="none" w:sz="0" w:space="0" w:color="auto"/>
      </w:divBdr>
    </w:div>
    <w:div w:id="376978815">
      <w:bodyDiv w:val="1"/>
      <w:marLeft w:val="0"/>
      <w:marRight w:val="0"/>
      <w:marTop w:val="0"/>
      <w:marBottom w:val="0"/>
      <w:divBdr>
        <w:top w:val="none" w:sz="0" w:space="0" w:color="auto"/>
        <w:left w:val="none" w:sz="0" w:space="0" w:color="auto"/>
        <w:bottom w:val="none" w:sz="0" w:space="0" w:color="auto"/>
        <w:right w:val="none" w:sz="0" w:space="0" w:color="auto"/>
      </w:divBdr>
    </w:div>
    <w:div w:id="399442550">
      <w:bodyDiv w:val="1"/>
      <w:marLeft w:val="0"/>
      <w:marRight w:val="0"/>
      <w:marTop w:val="0"/>
      <w:marBottom w:val="0"/>
      <w:divBdr>
        <w:top w:val="none" w:sz="0" w:space="0" w:color="auto"/>
        <w:left w:val="none" w:sz="0" w:space="0" w:color="auto"/>
        <w:bottom w:val="none" w:sz="0" w:space="0" w:color="auto"/>
        <w:right w:val="none" w:sz="0" w:space="0" w:color="auto"/>
      </w:divBdr>
    </w:div>
    <w:div w:id="436173965">
      <w:bodyDiv w:val="1"/>
      <w:marLeft w:val="0"/>
      <w:marRight w:val="0"/>
      <w:marTop w:val="0"/>
      <w:marBottom w:val="0"/>
      <w:divBdr>
        <w:top w:val="none" w:sz="0" w:space="0" w:color="auto"/>
        <w:left w:val="none" w:sz="0" w:space="0" w:color="auto"/>
        <w:bottom w:val="none" w:sz="0" w:space="0" w:color="auto"/>
        <w:right w:val="none" w:sz="0" w:space="0" w:color="auto"/>
      </w:divBdr>
    </w:div>
    <w:div w:id="444352209">
      <w:bodyDiv w:val="1"/>
      <w:marLeft w:val="0"/>
      <w:marRight w:val="0"/>
      <w:marTop w:val="0"/>
      <w:marBottom w:val="0"/>
      <w:divBdr>
        <w:top w:val="none" w:sz="0" w:space="0" w:color="auto"/>
        <w:left w:val="none" w:sz="0" w:space="0" w:color="auto"/>
        <w:bottom w:val="none" w:sz="0" w:space="0" w:color="auto"/>
        <w:right w:val="none" w:sz="0" w:space="0" w:color="auto"/>
      </w:divBdr>
    </w:div>
    <w:div w:id="458569979">
      <w:bodyDiv w:val="1"/>
      <w:marLeft w:val="0"/>
      <w:marRight w:val="0"/>
      <w:marTop w:val="0"/>
      <w:marBottom w:val="0"/>
      <w:divBdr>
        <w:top w:val="none" w:sz="0" w:space="0" w:color="auto"/>
        <w:left w:val="none" w:sz="0" w:space="0" w:color="auto"/>
        <w:bottom w:val="none" w:sz="0" w:space="0" w:color="auto"/>
        <w:right w:val="none" w:sz="0" w:space="0" w:color="auto"/>
      </w:divBdr>
    </w:div>
    <w:div w:id="475418931">
      <w:bodyDiv w:val="1"/>
      <w:marLeft w:val="0"/>
      <w:marRight w:val="0"/>
      <w:marTop w:val="0"/>
      <w:marBottom w:val="0"/>
      <w:divBdr>
        <w:top w:val="none" w:sz="0" w:space="0" w:color="auto"/>
        <w:left w:val="none" w:sz="0" w:space="0" w:color="auto"/>
        <w:bottom w:val="none" w:sz="0" w:space="0" w:color="auto"/>
        <w:right w:val="none" w:sz="0" w:space="0" w:color="auto"/>
      </w:divBdr>
    </w:div>
    <w:div w:id="487553631">
      <w:bodyDiv w:val="1"/>
      <w:marLeft w:val="0"/>
      <w:marRight w:val="0"/>
      <w:marTop w:val="0"/>
      <w:marBottom w:val="0"/>
      <w:divBdr>
        <w:top w:val="none" w:sz="0" w:space="0" w:color="auto"/>
        <w:left w:val="none" w:sz="0" w:space="0" w:color="auto"/>
        <w:bottom w:val="none" w:sz="0" w:space="0" w:color="auto"/>
        <w:right w:val="none" w:sz="0" w:space="0" w:color="auto"/>
      </w:divBdr>
    </w:div>
    <w:div w:id="499735028">
      <w:bodyDiv w:val="1"/>
      <w:marLeft w:val="0"/>
      <w:marRight w:val="0"/>
      <w:marTop w:val="0"/>
      <w:marBottom w:val="0"/>
      <w:divBdr>
        <w:top w:val="none" w:sz="0" w:space="0" w:color="auto"/>
        <w:left w:val="none" w:sz="0" w:space="0" w:color="auto"/>
        <w:bottom w:val="none" w:sz="0" w:space="0" w:color="auto"/>
        <w:right w:val="none" w:sz="0" w:space="0" w:color="auto"/>
      </w:divBdr>
      <w:divsChild>
        <w:div w:id="425348649">
          <w:marLeft w:val="0"/>
          <w:marRight w:val="0"/>
          <w:marTop w:val="0"/>
          <w:marBottom w:val="0"/>
          <w:divBdr>
            <w:top w:val="none" w:sz="0" w:space="0" w:color="auto"/>
            <w:left w:val="none" w:sz="0" w:space="0" w:color="auto"/>
            <w:bottom w:val="none" w:sz="0" w:space="0" w:color="auto"/>
            <w:right w:val="none" w:sz="0" w:space="0" w:color="auto"/>
          </w:divBdr>
          <w:divsChild>
            <w:div w:id="2085830334">
              <w:marLeft w:val="0"/>
              <w:marRight w:val="0"/>
              <w:marTop w:val="0"/>
              <w:marBottom w:val="0"/>
              <w:divBdr>
                <w:top w:val="none" w:sz="0" w:space="0" w:color="auto"/>
                <w:left w:val="none" w:sz="0" w:space="0" w:color="auto"/>
                <w:bottom w:val="none" w:sz="0" w:space="0" w:color="auto"/>
                <w:right w:val="none" w:sz="0" w:space="0" w:color="auto"/>
              </w:divBdr>
              <w:divsChild>
                <w:div w:id="13954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05733">
      <w:bodyDiv w:val="1"/>
      <w:marLeft w:val="0"/>
      <w:marRight w:val="0"/>
      <w:marTop w:val="0"/>
      <w:marBottom w:val="0"/>
      <w:divBdr>
        <w:top w:val="none" w:sz="0" w:space="0" w:color="auto"/>
        <w:left w:val="none" w:sz="0" w:space="0" w:color="auto"/>
        <w:bottom w:val="none" w:sz="0" w:space="0" w:color="auto"/>
        <w:right w:val="none" w:sz="0" w:space="0" w:color="auto"/>
      </w:divBdr>
      <w:divsChild>
        <w:div w:id="1005747313">
          <w:marLeft w:val="0"/>
          <w:marRight w:val="0"/>
          <w:marTop w:val="0"/>
          <w:marBottom w:val="0"/>
          <w:divBdr>
            <w:top w:val="none" w:sz="0" w:space="0" w:color="auto"/>
            <w:left w:val="none" w:sz="0" w:space="0" w:color="auto"/>
            <w:bottom w:val="none" w:sz="0" w:space="0" w:color="auto"/>
            <w:right w:val="none" w:sz="0" w:space="0" w:color="auto"/>
          </w:divBdr>
          <w:divsChild>
            <w:div w:id="1823502309">
              <w:marLeft w:val="0"/>
              <w:marRight w:val="0"/>
              <w:marTop w:val="0"/>
              <w:marBottom w:val="0"/>
              <w:divBdr>
                <w:top w:val="none" w:sz="0" w:space="0" w:color="auto"/>
                <w:left w:val="none" w:sz="0" w:space="0" w:color="auto"/>
                <w:bottom w:val="none" w:sz="0" w:space="0" w:color="auto"/>
                <w:right w:val="none" w:sz="0" w:space="0" w:color="auto"/>
              </w:divBdr>
              <w:divsChild>
                <w:div w:id="12043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0576">
      <w:bodyDiv w:val="1"/>
      <w:marLeft w:val="0"/>
      <w:marRight w:val="0"/>
      <w:marTop w:val="0"/>
      <w:marBottom w:val="0"/>
      <w:divBdr>
        <w:top w:val="none" w:sz="0" w:space="0" w:color="auto"/>
        <w:left w:val="none" w:sz="0" w:space="0" w:color="auto"/>
        <w:bottom w:val="none" w:sz="0" w:space="0" w:color="auto"/>
        <w:right w:val="none" w:sz="0" w:space="0" w:color="auto"/>
      </w:divBdr>
      <w:divsChild>
        <w:div w:id="1045174446">
          <w:marLeft w:val="0"/>
          <w:marRight w:val="0"/>
          <w:marTop w:val="0"/>
          <w:marBottom w:val="0"/>
          <w:divBdr>
            <w:top w:val="none" w:sz="0" w:space="0" w:color="auto"/>
            <w:left w:val="none" w:sz="0" w:space="0" w:color="auto"/>
            <w:bottom w:val="none" w:sz="0" w:space="0" w:color="auto"/>
            <w:right w:val="none" w:sz="0" w:space="0" w:color="auto"/>
          </w:divBdr>
          <w:divsChild>
            <w:div w:id="1902521532">
              <w:marLeft w:val="0"/>
              <w:marRight w:val="0"/>
              <w:marTop w:val="0"/>
              <w:marBottom w:val="0"/>
              <w:divBdr>
                <w:top w:val="none" w:sz="0" w:space="0" w:color="auto"/>
                <w:left w:val="none" w:sz="0" w:space="0" w:color="auto"/>
                <w:bottom w:val="none" w:sz="0" w:space="0" w:color="auto"/>
                <w:right w:val="none" w:sz="0" w:space="0" w:color="auto"/>
              </w:divBdr>
              <w:divsChild>
                <w:div w:id="1238982856">
                  <w:marLeft w:val="0"/>
                  <w:marRight w:val="0"/>
                  <w:marTop w:val="0"/>
                  <w:marBottom w:val="0"/>
                  <w:divBdr>
                    <w:top w:val="none" w:sz="0" w:space="0" w:color="auto"/>
                    <w:left w:val="none" w:sz="0" w:space="0" w:color="auto"/>
                    <w:bottom w:val="none" w:sz="0" w:space="0" w:color="auto"/>
                    <w:right w:val="none" w:sz="0" w:space="0" w:color="auto"/>
                  </w:divBdr>
                  <w:divsChild>
                    <w:div w:id="1808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3743">
          <w:marLeft w:val="0"/>
          <w:marRight w:val="0"/>
          <w:marTop w:val="0"/>
          <w:marBottom w:val="0"/>
          <w:divBdr>
            <w:top w:val="none" w:sz="0" w:space="0" w:color="auto"/>
            <w:left w:val="none" w:sz="0" w:space="0" w:color="auto"/>
            <w:bottom w:val="none" w:sz="0" w:space="0" w:color="auto"/>
            <w:right w:val="none" w:sz="0" w:space="0" w:color="auto"/>
          </w:divBdr>
          <w:divsChild>
            <w:div w:id="607127138">
              <w:marLeft w:val="0"/>
              <w:marRight w:val="0"/>
              <w:marTop w:val="0"/>
              <w:marBottom w:val="0"/>
              <w:divBdr>
                <w:top w:val="none" w:sz="0" w:space="0" w:color="auto"/>
                <w:left w:val="none" w:sz="0" w:space="0" w:color="auto"/>
                <w:bottom w:val="none" w:sz="0" w:space="0" w:color="auto"/>
                <w:right w:val="none" w:sz="0" w:space="0" w:color="auto"/>
              </w:divBdr>
              <w:divsChild>
                <w:div w:id="2085031998">
                  <w:marLeft w:val="0"/>
                  <w:marRight w:val="0"/>
                  <w:marTop w:val="0"/>
                  <w:marBottom w:val="0"/>
                  <w:divBdr>
                    <w:top w:val="none" w:sz="0" w:space="0" w:color="auto"/>
                    <w:left w:val="none" w:sz="0" w:space="0" w:color="auto"/>
                    <w:bottom w:val="none" w:sz="0" w:space="0" w:color="auto"/>
                    <w:right w:val="none" w:sz="0" w:space="0" w:color="auto"/>
                  </w:divBdr>
                  <w:divsChild>
                    <w:div w:id="16667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16068">
      <w:bodyDiv w:val="1"/>
      <w:marLeft w:val="0"/>
      <w:marRight w:val="0"/>
      <w:marTop w:val="0"/>
      <w:marBottom w:val="0"/>
      <w:divBdr>
        <w:top w:val="none" w:sz="0" w:space="0" w:color="auto"/>
        <w:left w:val="none" w:sz="0" w:space="0" w:color="auto"/>
        <w:bottom w:val="none" w:sz="0" w:space="0" w:color="auto"/>
        <w:right w:val="none" w:sz="0" w:space="0" w:color="auto"/>
      </w:divBdr>
      <w:divsChild>
        <w:div w:id="1669477587">
          <w:marLeft w:val="0"/>
          <w:marRight w:val="0"/>
          <w:marTop w:val="0"/>
          <w:marBottom w:val="0"/>
          <w:divBdr>
            <w:top w:val="none" w:sz="0" w:space="0" w:color="auto"/>
            <w:left w:val="none" w:sz="0" w:space="0" w:color="auto"/>
            <w:bottom w:val="none" w:sz="0" w:space="0" w:color="auto"/>
            <w:right w:val="none" w:sz="0" w:space="0" w:color="auto"/>
          </w:divBdr>
        </w:div>
      </w:divsChild>
    </w:div>
    <w:div w:id="542212034">
      <w:bodyDiv w:val="1"/>
      <w:marLeft w:val="0"/>
      <w:marRight w:val="0"/>
      <w:marTop w:val="0"/>
      <w:marBottom w:val="0"/>
      <w:divBdr>
        <w:top w:val="none" w:sz="0" w:space="0" w:color="auto"/>
        <w:left w:val="none" w:sz="0" w:space="0" w:color="auto"/>
        <w:bottom w:val="none" w:sz="0" w:space="0" w:color="auto"/>
        <w:right w:val="none" w:sz="0" w:space="0" w:color="auto"/>
      </w:divBdr>
    </w:div>
    <w:div w:id="560017701">
      <w:bodyDiv w:val="1"/>
      <w:marLeft w:val="0"/>
      <w:marRight w:val="0"/>
      <w:marTop w:val="0"/>
      <w:marBottom w:val="0"/>
      <w:divBdr>
        <w:top w:val="none" w:sz="0" w:space="0" w:color="auto"/>
        <w:left w:val="none" w:sz="0" w:space="0" w:color="auto"/>
        <w:bottom w:val="none" w:sz="0" w:space="0" w:color="auto"/>
        <w:right w:val="none" w:sz="0" w:space="0" w:color="auto"/>
      </w:divBdr>
    </w:div>
    <w:div w:id="579219293">
      <w:bodyDiv w:val="1"/>
      <w:marLeft w:val="0"/>
      <w:marRight w:val="0"/>
      <w:marTop w:val="0"/>
      <w:marBottom w:val="0"/>
      <w:divBdr>
        <w:top w:val="none" w:sz="0" w:space="0" w:color="auto"/>
        <w:left w:val="none" w:sz="0" w:space="0" w:color="auto"/>
        <w:bottom w:val="none" w:sz="0" w:space="0" w:color="auto"/>
        <w:right w:val="none" w:sz="0" w:space="0" w:color="auto"/>
      </w:divBdr>
    </w:div>
    <w:div w:id="595792289">
      <w:bodyDiv w:val="1"/>
      <w:marLeft w:val="0"/>
      <w:marRight w:val="0"/>
      <w:marTop w:val="0"/>
      <w:marBottom w:val="0"/>
      <w:divBdr>
        <w:top w:val="none" w:sz="0" w:space="0" w:color="auto"/>
        <w:left w:val="none" w:sz="0" w:space="0" w:color="auto"/>
        <w:bottom w:val="none" w:sz="0" w:space="0" w:color="auto"/>
        <w:right w:val="none" w:sz="0" w:space="0" w:color="auto"/>
      </w:divBdr>
    </w:div>
    <w:div w:id="597753942">
      <w:bodyDiv w:val="1"/>
      <w:marLeft w:val="0"/>
      <w:marRight w:val="0"/>
      <w:marTop w:val="0"/>
      <w:marBottom w:val="0"/>
      <w:divBdr>
        <w:top w:val="none" w:sz="0" w:space="0" w:color="auto"/>
        <w:left w:val="none" w:sz="0" w:space="0" w:color="auto"/>
        <w:bottom w:val="none" w:sz="0" w:space="0" w:color="auto"/>
        <w:right w:val="none" w:sz="0" w:space="0" w:color="auto"/>
      </w:divBdr>
      <w:divsChild>
        <w:div w:id="5521093">
          <w:marLeft w:val="0"/>
          <w:marRight w:val="0"/>
          <w:marTop w:val="0"/>
          <w:marBottom w:val="0"/>
          <w:divBdr>
            <w:top w:val="none" w:sz="0" w:space="0" w:color="auto"/>
            <w:left w:val="none" w:sz="0" w:space="0" w:color="auto"/>
            <w:bottom w:val="none" w:sz="0" w:space="0" w:color="auto"/>
            <w:right w:val="none" w:sz="0" w:space="0" w:color="auto"/>
          </w:divBdr>
        </w:div>
        <w:div w:id="28845237">
          <w:marLeft w:val="0"/>
          <w:marRight w:val="0"/>
          <w:marTop w:val="0"/>
          <w:marBottom w:val="0"/>
          <w:divBdr>
            <w:top w:val="none" w:sz="0" w:space="0" w:color="auto"/>
            <w:left w:val="none" w:sz="0" w:space="0" w:color="auto"/>
            <w:bottom w:val="none" w:sz="0" w:space="0" w:color="auto"/>
            <w:right w:val="none" w:sz="0" w:space="0" w:color="auto"/>
          </w:divBdr>
        </w:div>
        <w:div w:id="122190833">
          <w:marLeft w:val="0"/>
          <w:marRight w:val="0"/>
          <w:marTop w:val="0"/>
          <w:marBottom w:val="0"/>
          <w:divBdr>
            <w:top w:val="none" w:sz="0" w:space="0" w:color="auto"/>
            <w:left w:val="none" w:sz="0" w:space="0" w:color="auto"/>
            <w:bottom w:val="none" w:sz="0" w:space="0" w:color="auto"/>
            <w:right w:val="none" w:sz="0" w:space="0" w:color="auto"/>
          </w:divBdr>
        </w:div>
        <w:div w:id="146021845">
          <w:marLeft w:val="0"/>
          <w:marRight w:val="0"/>
          <w:marTop w:val="0"/>
          <w:marBottom w:val="0"/>
          <w:divBdr>
            <w:top w:val="none" w:sz="0" w:space="0" w:color="auto"/>
            <w:left w:val="none" w:sz="0" w:space="0" w:color="auto"/>
            <w:bottom w:val="none" w:sz="0" w:space="0" w:color="auto"/>
            <w:right w:val="none" w:sz="0" w:space="0" w:color="auto"/>
          </w:divBdr>
        </w:div>
        <w:div w:id="198518200">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265962231">
          <w:marLeft w:val="0"/>
          <w:marRight w:val="0"/>
          <w:marTop w:val="0"/>
          <w:marBottom w:val="0"/>
          <w:divBdr>
            <w:top w:val="none" w:sz="0" w:space="0" w:color="auto"/>
            <w:left w:val="none" w:sz="0" w:space="0" w:color="auto"/>
            <w:bottom w:val="none" w:sz="0" w:space="0" w:color="auto"/>
            <w:right w:val="none" w:sz="0" w:space="0" w:color="auto"/>
          </w:divBdr>
        </w:div>
        <w:div w:id="282079319">
          <w:marLeft w:val="0"/>
          <w:marRight w:val="0"/>
          <w:marTop w:val="0"/>
          <w:marBottom w:val="0"/>
          <w:divBdr>
            <w:top w:val="none" w:sz="0" w:space="0" w:color="auto"/>
            <w:left w:val="none" w:sz="0" w:space="0" w:color="auto"/>
            <w:bottom w:val="none" w:sz="0" w:space="0" w:color="auto"/>
            <w:right w:val="none" w:sz="0" w:space="0" w:color="auto"/>
          </w:divBdr>
        </w:div>
        <w:div w:id="298994023">
          <w:marLeft w:val="0"/>
          <w:marRight w:val="0"/>
          <w:marTop w:val="0"/>
          <w:marBottom w:val="0"/>
          <w:divBdr>
            <w:top w:val="none" w:sz="0" w:space="0" w:color="auto"/>
            <w:left w:val="none" w:sz="0" w:space="0" w:color="auto"/>
            <w:bottom w:val="none" w:sz="0" w:space="0" w:color="auto"/>
            <w:right w:val="none" w:sz="0" w:space="0" w:color="auto"/>
          </w:divBdr>
        </w:div>
        <w:div w:id="376052938">
          <w:marLeft w:val="0"/>
          <w:marRight w:val="0"/>
          <w:marTop w:val="0"/>
          <w:marBottom w:val="0"/>
          <w:divBdr>
            <w:top w:val="none" w:sz="0" w:space="0" w:color="auto"/>
            <w:left w:val="none" w:sz="0" w:space="0" w:color="auto"/>
            <w:bottom w:val="none" w:sz="0" w:space="0" w:color="auto"/>
            <w:right w:val="none" w:sz="0" w:space="0" w:color="auto"/>
          </w:divBdr>
        </w:div>
        <w:div w:id="390541976">
          <w:marLeft w:val="0"/>
          <w:marRight w:val="0"/>
          <w:marTop w:val="0"/>
          <w:marBottom w:val="0"/>
          <w:divBdr>
            <w:top w:val="none" w:sz="0" w:space="0" w:color="auto"/>
            <w:left w:val="none" w:sz="0" w:space="0" w:color="auto"/>
            <w:bottom w:val="none" w:sz="0" w:space="0" w:color="auto"/>
            <w:right w:val="none" w:sz="0" w:space="0" w:color="auto"/>
          </w:divBdr>
        </w:div>
        <w:div w:id="390809235">
          <w:marLeft w:val="0"/>
          <w:marRight w:val="0"/>
          <w:marTop w:val="0"/>
          <w:marBottom w:val="0"/>
          <w:divBdr>
            <w:top w:val="none" w:sz="0" w:space="0" w:color="auto"/>
            <w:left w:val="none" w:sz="0" w:space="0" w:color="auto"/>
            <w:bottom w:val="none" w:sz="0" w:space="0" w:color="auto"/>
            <w:right w:val="none" w:sz="0" w:space="0" w:color="auto"/>
          </w:divBdr>
        </w:div>
        <w:div w:id="457799153">
          <w:marLeft w:val="0"/>
          <w:marRight w:val="0"/>
          <w:marTop w:val="0"/>
          <w:marBottom w:val="0"/>
          <w:divBdr>
            <w:top w:val="none" w:sz="0" w:space="0" w:color="auto"/>
            <w:left w:val="none" w:sz="0" w:space="0" w:color="auto"/>
            <w:bottom w:val="none" w:sz="0" w:space="0" w:color="auto"/>
            <w:right w:val="none" w:sz="0" w:space="0" w:color="auto"/>
          </w:divBdr>
        </w:div>
        <w:div w:id="543299759">
          <w:marLeft w:val="0"/>
          <w:marRight w:val="0"/>
          <w:marTop w:val="0"/>
          <w:marBottom w:val="0"/>
          <w:divBdr>
            <w:top w:val="none" w:sz="0" w:space="0" w:color="auto"/>
            <w:left w:val="none" w:sz="0" w:space="0" w:color="auto"/>
            <w:bottom w:val="none" w:sz="0" w:space="0" w:color="auto"/>
            <w:right w:val="none" w:sz="0" w:space="0" w:color="auto"/>
          </w:divBdr>
        </w:div>
        <w:div w:id="680162348">
          <w:marLeft w:val="0"/>
          <w:marRight w:val="0"/>
          <w:marTop w:val="0"/>
          <w:marBottom w:val="0"/>
          <w:divBdr>
            <w:top w:val="none" w:sz="0" w:space="0" w:color="auto"/>
            <w:left w:val="none" w:sz="0" w:space="0" w:color="auto"/>
            <w:bottom w:val="none" w:sz="0" w:space="0" w:color="auto"/>
            <w:right w:val="none" w:sz="0" w:space="0" w:color="auto"/>
          </w:divBdr>
        </w:div>
        <w:div w:id="689643049">
          <w:marLeft w:val="0"/>
          <w:marRight w:val="0"/>
          <w:marTop w:val="0"/>
          <w:marBottom w:val="0"/>
          <w:divBdr>
            <w:top w:val="none" w:sz="0" w:space="0" w:color="auto"/>
            <w:left w:val="none" w:sz="0" w:space="0" w:color="auto"/>
            <w:bottom w:val="none" w:sz="0" w:space="0" w:color="auto"/>
            <w:right w:val="none" w:sz="0" w:space="0" w:color="auto"/>
          </w:divBdr>
        </w:div>
        <w:div w:id="771246996">
          <w:marLeft w:val="0"/>
          <w:marRight w:val="0"/>
          <w:marTop w:val="0"/>
          <w:marBottom w:val="0"/>
          <w:divBdr>
            <w:top w:val="none" w:sz="0" w:space="0" w:color="auto"/>
            <w:left w:val="none" w:sz="0" w:space="0" w:color="auto"/>
            <w:bottom w:val="none" w:sz="0" w:space="0" w:color="auto"/>
            <w:right w:val="none" w:sz="0" w:space="0" w:color="auto"/>
          </w:divBdr>
        </w:div>
        <w:div w:id="805514563">
          <w:marLeft w:val="0"/>
          <w:marRight w:val="0"/>
          <w:marTop w:val="0"/>
          <w:marBottom w:val="0"/>
          <w:divBdr>
            <w:top w:val="none" w:sz="0" w:space="0" w:color="auto"/>
            <w:left w:val="none" w:sz="0" w:space="0" w:color="auto"/>
            <w:bottom w:val="none" w:sz="0" w:space="0" w:color="auto"/>
            <w:right w:val="none" w:sz="0" w:space="0" w:color="auto"/>
          </w:divBdr>
        </w:div>
        <w:div w:id="1127167742">
          <w:marLeft w:val="0"/>
          <w:marRight w:val="0"/>
          <w:marTop w:val="0"/>
          <w:marBottom w:val="0"/>
          <w:divBdr>
            <w:top w:val="none" w:sz="0" w:space="0" w:color="auto"/>
            <w:left w:val="none" w:sz="0" w:space="0" w:color="auto"/>
            <w:bottom w:val="none" w:sz="0" w:space="0" w:color="auto"/>
            <w:right w:val="none" w:sz="0" w:space="0" w:color="auto"/>
          </w:divBdr>
        </w:div>
        <w:div w:id="1414475467">
          <w:marLeft w:val="0"/>
          <w:marRight w:val="0"/>
          <w:marTop w:val="0"/>
          <w:marBottom w:val="0"/>
          <w:divBdr>
            <w:top w:val="none" w:sz="0" w:space="0" w:color="auto"/>
            <w:left w:val="none" w:sz="0" w:space="0" w:color="auto"/>
            <w:bottom w:val="none" w:sz="0" w:space="0" w:color="auto"/>
            <w:right w:val="none" w:sz="0" w:space="0" w:color="auto"/>
          </w:divBdr>
        </w:div>
        <w:div w:id="1429813485">
          <w:marLeft w:val="0"/>
          <w:marRight w:val="0"/>
          <w:marTop w:val="0"/>
          <w:marBottom w:val="0"/>
          <w:divBdr>
            <w:top w:val="none" w:sz="0" w:space="0" w:color="auto"/>
            <w:left w:val="none" w:sz="0" w:space="0" w:color="auto"/>
            <w:bottom w:val="none" w:sz="0" w:space="0" w:color="auto"/>
            <w:right w:val="none" w:sz="0" w:space="0" w:color="auto"/>
          </w:divBdr>
        </w:div>
        <w:div w:id="1681078663">
          <w:marLeft w:val="0"/>
          <w:marRight w:val="0"/>
          <w:marTop w:val="0"/>
          <w:marBottom w:val="0"/>
          <w:divBdr>
            <w:top w:val="none" w:sz="0" w:space="0" w:color="auto"/>
            <w:left w:val="none" w:sz="0" w:space="0" w:color="auto"/>
            <w:bottom w:val="none" w:sz="0" w:space="0" w:color="auto"/>
            <w:right w:val="none" w:sz="0" w:space="0" w:color="auto"/>
          </w:divBdr>
        </w:div>
        <w:div w:id="1866095872">
          <w:marLeft w:val="0"/>
          <w:marRight w:val="0"/>
          <w:marTop w:val="0"/>
          <w:marBottom w:val="0"/>
          <w:divBdr>
            <w:top w:val="none" w:sz="0" w:space="0" w:color="auto"/>
            <w:left w:val="none" w:sz="0" w:space="0" w:color="auto"/>
            <w:bottom w:val="none" w:sz="0" w:space="0" w:color="auto"/>
            <w:right w:val="none" w:sz="0" w:space="0" w:color="auto"/>
          </w:divBdr>
        </w:div>
        <w:div w:id="1904367936">
          <w:marLeft w:val="0"/>
          <w:marRight w:val="0"/>
          <w:marTop w:val="0"/>
          <w:marBottom w:val="0"/>
          <w:divBdr>
            <w:top w:val="none" w:sz="0" w:space="0" w:color="auto"/>
            <w:left w:val="none" w:sz="0" w:space="0" w:color="auto"/>
            <w:bottom w:val="none" w:sz="0" w:space="0" w:color="auto"/>
            <w:right w:val="none" w:sz="0" w:space="0" w:color="auto"/>
          </w:divBdr>
        </w:div>
        <w:div w:id="1962225821">
          <w:marLeft w:val="0"/>
          <w:marRight w:val="0"/>
          <w:marTop w:val="0"/>
          <w:marBottom w:val="0"/>
          <w:divBdr>
            <w:top w:val="none" w:sz="0" w:space="0" w:color="auto"/>
            <w:left w:val="none" w:sz="0" w:space="0" w:color="auto"/>
            <w:bottom w:val="none" w:sz="0" w:space="0" w:color="auto"/>
            <w:right w:val="none" w:sz="0" w:space="0" w:color="auto"/>
          </w:divBdr>
        </w:div>
        <w:div w:id="1966084097">
          <w:marLeft w:val="0"/>
          <w:marRight w:val="0"/>
          <w:marTop w:val="0"/>
          <w:marBottom w:val="0"/>
          <w:divBdr>
            <w:top w:val="none" w:sz="0" w:space="0" w:color="auto"/>
            <w:left w:val="none" w:sz="0" w:space="0" w:color="auto"/>
            <w:bottom w:val="none" w:sz="0" w:space="0" w:color="auto"/>
            <w:right w:val="none" w:sz="0" w:space="0" w:color="auto"/>
          </w:divBdr>
        </w:div>
        <w:div w:id="2116053667">
          <w:marLeft w:val="0"/>
          <w:marRight w:val="0"/>
          <w:marTop w:val="0"/>
          <w:marBottom w:val="0"/>
          <w:divBdr>
            <w:top w:val="none" w:sz="0" w:space="0" w:color="auto"/>
            <w:left w:val="none" w:sz="0" w:space="0" w:color="auto"/>
            <w:bottom w:val="none" w:sz="0" w:space="0" w:color="auto"/>
            <w:right w:val="none" w:sz="0" w:space="0" w:color="auto"/>
          </w:divBdr>
        </w:div>
        <w:div w:id="2120637881">
          <w:marLeft w:val="0"/>
          <w:marRight w:val="0"/>
          <w:marTop w:val="0"/>
          <w:marBottom w:val="0"/>
          <w:divBdr>
            <w:top w:val="none" w:sz="0" w:space="0" w:color="auto"/>
            <w:left w:val="none" w:sz="0" w:space="0" w:color="auto"/>
            <w:bottom w:val="none" w:sz="0" w:space="0" w:color="auto"/>
            <w:right w:val="none" w:sz="0" w:space="0" w:color="auto"/>
          </w:divBdr>
        </w:div>
        <w:div w:id="2143108243">
          <w:marLeft w:val="0"/>
          <w:marRight w:val="0"/>
          <w:marTop w:val="0"/>
          <w:marBottom w:val="0"/>
          <w:divBdr>
            <w:top w:val="none" w:sz="0" w:space="0" w:color="auto"/>
            <w:left w:val="none" w:sz="0" w:space="0" w:color="auto"/>
            <w:bottom w:val="none" w:sz="0" w:space="0" w:color="auto"/>
            <w:right w:val="none" w:sz="0" w:space="0" w:color="auto"/>
          </w:divBdr>
        </w:div>
      </w:divsChild>
    </w:div>
    <w:div w:id="603853101">
      <w:bodyDiv w:val="1"/>
      <w:marLeft w:val="0"/>
      <w:marRight w:val="0"/>
      <w:marTop w:val="0"/>
      <w:marBottom w:val="0"/>
      <w:divBdr>
        <w:top w:val="none" w:sz="0" w:space="0" w:color="auto"/>
        <w:left w:val="none" w:sz="0" w:space="0" w:color="auto"/>
        <w:bottom w:val="none" w:sz="0" w:space="0" w:color="auto"/>
        <w:right w:val="none" w:sz="0" w:space="0" w:color="auto"/>
      </w:divBdr>
    </w:div>
    <w:div w:id="614023391">
      <w:bodyDiv w:val="1"/>
      <w:marLeft w:val="0"/>
      <w:marRight w:val="0"/>
      <w:marTop w:val="0"/>
      <w:marBottom w:val="0"/>
      <w:divBdr>
        <w:top w:val="none" w:sz="0" w:space="0" w:color="auto"/>
        <w:left w:val="none" w:sz="0" w:space="0" w:color="auto"/>
        <w:bottom w:val="none" w:sz="0" w:space="0" w:color="auto"/>
        <w:right w:val="none" w:sz="0" w:space="0" w:color="auto"/>
      </w:divBdr>
      <w:divsChild>
        <w:div w:id="160892315">
          <w:marLeft w:val="0"/>
          <w:marRight w:val="0"/>
          <w:marTop w:val="0"/>
          <w:marBottom w:val="0"/>
          <w:divBdr>
            <w:top w:val="none" w:sz="0" w:space="0" w:color="auto"/>
            <w:left w:val="none" w:sz="0" w:space="0" w:color="auto"/>
            <w:bottom w:val="none" w:sz="0" w:space="0" w:color="auto"/>
            <w:right w:val="none" w:sz="0" w:space="0" w:color="auto"/>
          </w:divBdr>
        </w:div>
      </w:divsChild>
    </w:div>
    <w:div w:id="637030844">
      <w:bodyDiv w:val="1"/>
      <w:marLeft w:val="0"/>
      <w:marRight w:val="0"/>
      <w:marTop w:val="0"/>
      <w:marBottom w:val="0"/>
      <w:divBdr>
        <w:top w:val="none" w:sz="0" w:space="0" w:color="auto"/>
        <w:left w:val="none" w:sz="0" w:space="0" w:color="auto"/>
        <w:bottom w:val="none" w:sz="0" w:space="0" w:color="auto"/>
        <w:right w:val="none" w:sz="0" w:space="0" w:color="auto"/>
      </w:divBdr>
      <w:divsChild>
        <w:div w:id="280191844">
          <w:marLeft w:val="0"/>
          <w:marRight w:val="0"/>
          <w:marTop w:val="0"/>
          <w:marBottom w:val="0"/>
          <w:divBdr>
            <w:top w:val="none" w:sz="0" w:space="0" w:color="auto"/>
            <w:left w:val="none" w:sz="0" w:space="0" w:color="auto"/>
            <w:bottom w:val="none" w:sz="0" w:space="0" w:color="auto"/>
            <w:right w:val="none" w:sz="0" w:space="0" w:color="auto"/>
          </w:divBdr>
        </w:div>
      </w:divsChild>
    </w:div>
    <w:div w:id="653602832">
      <w:bodyDiv w:val="1"/>
      <w:marLeft w:val="0"/>
      <w:marRight w:val="0"/>
      <w:marTop w:val="0"/>
      <w:marBottom w:val="0"/>
      <w:divBdr>
        <w:top w:val="none" w:sz="0" w:space="0" w:color="auto"/>
        <w:left w:val="none" w:sz="0" w:space="0" w:color="auto"/>
        <w:bottom w:val="none" w:sz="0" w:space="0" w:color="auto"/>
        <w:right w:val="none" w:sz="0" w:space="0" w:color="auto"/>
      </w:divBdr>
      <w:divsChild>
        <w:div w:id="62411035">
          <w:marLeft w:val="0"/>
          <w:marRight w:val="0"/>
          <w:marTop w:val="0"/>
          <w:marBottom w:val="0"/>
          <w:divBdr>
            <w:top w:val="none" w:sz="0" w:space="0" w:color="auto"/>
            <w:left w:val="none" w:sz="0" w:space="0" w:color="auto"/>
            <w:bottom w:val="none" w:sz="0" w:space="0" w:color="auto"/>
            <w:right w:val="none" w:sz="0" w:space="0" w:color="auto"/>
          </w:divBdr>
        </w:div>
      </w:divsChild>
    </w:div>
    <w:div w:id="665861735">
      <w:bodyDiv w:val="1"/>
      <w:marLeft w:val="0"/>
      <w:marRight w:val="0"/>
      <w:marTop w:val="0"/>
      <w:marBottom w:val="0"/>
      <w:divBdr>
        <w:top w:val="none" w:sz="0" w:space="0" w:color="auto"/>
        <w:left w:val="none" w:sz="0" w:space="0" w:color="auto"/>
        <w:bottom w:val="none" w:sz="0" w:space="0" w:color="auto"/>
        <w:right w:val="none" w:sz="0" w:space="0" w:color="auto"/>
      </w:divBdr>
      <w:divsChild>
        <w:div w:id="95055897">
          <w:marLeft w:val="0"/>
          <w:marRight w:val="0"/>
          <w:marTop w:val="0"/>
          <w:marBottom w:val="0"/>
          <w:divBdr>
            <w:top w:val="none" w:sz="0" w:space="0" w:color="auto"/>
            <w:left w:val="none" w:sz="0" w:space="0" w:color="auto"/>
            <w:bottom w:val="none" w:sz="0" w:space="0" w:color="auto"/>
            <w:right w:val="none" w:sz="0" w:space="0" w:color="auto"/>
          </w:divBdr>
        </w:div>
        <w:div w:id="1866748017">
          <w:marLeft w:val="0"/>
          <w:marRight w:val="0"/>
          <w:marTop w:val="0"/>
          <w:marBottom w:val="0"/>
          <w:divBdr>
            <w:top w:val="single" w:sz="2" w:space="0" w:color="E3E3E3"/>
            <w:left w:val="single" w:sz="2" w:space="0" w:color="E3E3E3"/>
            <w:bottom w:val="single" w:sz="2" w:space="0" w:color="E3E3E3"/>
            <w:right w:val="single" w:sz="2" w:space="0" w:color="E3E3E3"/>
          </w:divBdr>
          <w:divsChild>
            <w:div w:id="2057971904">
              <w:marLeft w:val="0"/>
              <w:marRight w:val="0"/>
              <w:marTop w:val="0"/>
              <w:marBottom w:val="0"/>
              <w:divBdr>
                <w:top w:val="single" w:sz="2" w:space="0" w:color="E3E3E3"/>
                <w:left w:val="single" w:sz="2" w:space="0" w:color="E3E3E3"/>
                <w:bottom w:val="single" w:sz="2" w:space="0" w:color="E3E3E3"/>
                <w:right w:val="single" w:sz="2" w:space="0" w:color="E3E3E3"/>
              </w:divBdr>
              <w:divsChild>
                <w:div w:id="291400648">
                  <w:marLeft w:val="0"/>
                  <w:marRight w:val="0"/>
                  <w:marTop w:val="0"/>
                  <w:marBottom w:val="0"/>
                  <w:divBdr>
                    <w:top w:val="single" w:sz="2" w:space="0" w:color="E3E3E3"/>
                    <w:left w:val="single" w:sz="2" w:space="0" w:color="E3E3E3"/>
                    <w:bottom w:val="single" w:sz="2" w:space="0" w:color="E3E3E3"/>
                    <w:right w:val="single" w:sz="2" w:space="0" w:color="E3E3E3"/>
                  </w:divBdr>
                  <w:divsChild>
                    <w:div w:id="1422332349">
                      <w:marLeft w:val="0"/>
                      <w:marRight w:val="0"/>
                      <w:marTop w:val="0"/>
                      <w:marBottom w:val="0"/>
                      <w:divBdr>
                        <w:top w:val="single" w:sz="2" w:space="0" w:color="E3E3E3"/>
                        <w:left w:val="single" w:sz="2" w:space="0" w:color="E3E3E3"/>
                        <w:bottom w:val="single" w:sz="2" w:space="0" w:color="E3E3E3"/>
                        <w:right w:val="single" w:sz="2" w:space="0" w:color="E3E3E3"/>
                      </w:divBdr>
                      <w:divsChild>
                        <w:div w:id="938876485">
                          <w:marLeft w:val="0"/>
                          <w:marRight w:val="0"/>
                          <w:marTop w:val="0"/>
                          <w:marBottom w:val="0"/>
                          <w:divBdr>
                            <w:top w:val="single" w:sz="2" w:space="0" w:color="E3E3E3"/>
                            <w:left w:val="single" w:sz="2" w:space="0" w:color="E3E3E3"/>
                            <w:bottom w:val="single" w:sz="2" w:space="0" w:color="E3E3E3"/>
                            <w:right w:val="single" w:sz="2" w:space="0" w:color="E3E3E3"/>
                          </w:divBdr>
                          <w:divsChild>
                            <w:div w:id="1775520524">
                              <w:marLeft w:val="0"/>
                              <w:marRight w:val="0"/>
                              <w:marTop w:val="100"/>
                              <w:marBottom w:val="100"/>
                              <w:divBdr>
                                <w:top w:val="single" w:sz="2" w:space="0" w:color="E3E3E3"/>
                                <w:left w:val="single" w:sz="2" w:space="0" w:color="E3E3E3"/>
                                <w:bottom w:val="single" w:sz="2" w:space="0" w:color="E3E3E3"/>
                                <w:right w:val="single" w:sz="2" w:space="0" w:color="E3E3E3"/>
                              </w:divBdr>
                              <w:divsChild>
                                <w:div w:id="1465152112">
                                  <w:marLeft w:val="0"/>
                                  <w:marRight w:val="0"/>
                                  <w:marTop w:val="0"/>
                                  <w:marBottom w:val="0"/>
                                  <w:divBdr>
                                    <w:top w:val="single" w:sz="2" w:space="0" w:color="E3E3E3"/>
                                    <w:left w:val="single" w:sz="2" w:space="0" w:color="E3E3E3"/>
                                    <w:bottom w:val="single" w:sz="2" w:space="0" w:color="E3E3E3"/>
                                    <w:right w:val="single" w:sz="2" w:space="0" w:color="E3E3E3"/>
                                  </w:divBdr>
                                  <w:divsChild>
                                    <w:div w:id="1478110393">
                                      <w:marLeft w:val="0"/>
                                      <w:marRight w:val="0"/>
                                      <w:marTop w:val="0"/>
                                      <w:marBottom w:val="0"/>
                                      <w:divBdr>
                                        <w:top w:val="single" w:sz="2" w:space="0" w:color="E3E3E3"/>
                                        <w:left w:val="single" w:sz="2" w:space="0" w:color="E3E3E3"/>
                                        <w:bottom w:val="single" w:sz="2" w:space="0" w:color="E3E3E3"/>
                                        <w:right w:val="single" w:sz="2" w:space="0" w:color="E3E3E3"/>
                                      </w:divBdr>
                                      <w:divsChild>
                                        <w:div w:id="383680386">
                                          <w:marLeft w:val="0"/>
                                          <w:marRight w:val="0"/>
                                          <w:marTop w:val="0"/>
                                          <w:marBottom w:val="0"/>
                                          <w:divBdr>
                                            <w:top w:val="single" w:sz="2" w:space="0" w:color="E3E3E3"/>
                                            <w:left w:val="single" w:sz="2" w:space="0" w:color="E3E3E3"/>
                                            <w:bottom w:val="single" w:sz="2" w:space="0" w:color="E3E3E3"/>
                                            <w:right w:val="single" w:sz="2" w:space="0" w:color="E3E3E3"/>
                                          </w:divBdr>
                                          <w:divsChild>
                                            <w:div w:id="657076765">
                                              <w:marLeft w:val="0"/>
                                              <w:marRight w:val="0"/>
                                              <w:marTop w:val="0"/>
                                              <w:marBottom w:val="0"/>
                                              <w:divBdr>
                                                <w:top w:val="single" w:sz="2" w:space="0" w:color="E3E3E3"/>
                                                <w:left w:val="single" w:sz="2" w:space="0" w:color="E3E3E3"/>
                                                <w:bottom w:val="single" w:sz="2" w:space="0" w:color="E3E3E3"/>
                                                <w:right w:val="single" w:sz="2" w:space="0" w:color="E3E3E3"/>
                                              </w:divBdr>
                                              <w:divsChild>
                                                <w:div w:id="1388383527">
                                                  <w:marLeft w:val="0"/>
                                                  <w:marRight w:val="0"/>
                                                  <w:marTop w:val="0"/>
                                                  <w:marBottom w:val="0"/>
                                                  <w:divBdr>
                                                    <w:top w:val="single" w:sz="2" w:space="0" w:color="E3E3E3"/>
                                                    <w:left w:val="single" w:sz="2" w:space="0" w:color="E3E3E3"/>
                                                    <w:bottom w:val="single" w:sz="2" w:space="0" w:color="E3E3E3"/>
                                                    <w:right w:val="single" w:sz="2" w:space="0" w:color="E3E3E3"/>
                                                  </w:divBdr>
                                                  <w:divsChild>
                                                    <w:div w:id="14175544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8950857">
      <w:bodyDiv w:val="1"/>
      <w:marLeft w:val="0"/>
      <w:marRight w:val="0"/>
      <w:marTop w:val="0"/>
      <w:marBottom w:val="0"/>
      <w:divBdr>
        <w:top w:val="none" w:sz="0" w:space="0" w:color="auto"/>
        <w:left w:val="none" w:sz="0" w:space="0" w:color="auto"/>
        <w:bottom w:val="none" w:sz="0" w:space="0" w:color="auto"/>
        <w:right w:val="none" w:sz="0" w:space="0" w:color="auto"/>
      </w:divBdr>
    </w:div>
    <w:div w:id="686255671">
      <w:bodyDiv w:val="1"/>
      <w:marLeft w:val="0"/>
      <w:marRight w:val="0"/>
      <w:marTop w:val="0"/>
      <w:marBottom w:val="0"/>
      <w:divBdr>
        <w:top w:val="none" w:sz="0" w:space="0" w:color="auto"/>
        <w:left w:val="none" w:sz="0" w:space="0" w:color="auto"/>
        <w:bottom w:val="none" w:sz="0" w:space="0" w:color="auto"/>
        <w:right w:val="none" w:sz="0" w:space="0" w:color="auto"/>
      </w:divBdr>
      <w:divsChild>
        <w:div w:id="261033202">
          <w:marLeft w:val="547"/>
          <w:marRight w:val="0"/>
          <w:marTop w:val="0"/>
          <w:marBottom w:val="0"/>
          <w:divBdr>
            <w:top w:val="none" w:sz="0" w:space="0" w:color="auto"/>
            <w:left w:val="none" w:sz="0" w:space="0" w:color="auto"/>
            <w:bottom w:val="none" w:sz="0" w:space="0" w:color="auto"/>
            <w:right w:val="none" w:sz="0" w:space="0" w:color="auto"/>
          </w:divBdr>
        </w:div>
        <w:div w:id="699278808">
          <w:marLeft w:val="547"/>
          <w:marRight w:val="0"/>
          <w:marTop w:val="0"/>
          <w:marBottom w:val="0"/>
          <w:divBdr>
            <w:top w:val="none" w:sz="0" w:space="0" w:color="auto"/>
            <w:left w:val="none" w:sz="0" w:space="0" w:color="auto"/>
            <w:bottom w:val="none" w:sz="0" w:space="0" w:color="auto"/>
            <w:right w:val="none" w:sz="0" w:space="0" w:color="auto"/>
          </w:divBdr>
        </w:div>
        <w:div w:id="1184130621">
          <w:marLeft w:val="547"/>
          <w:marRight w:val="0"/>
          <w:marTop w:val="0"/>
          <w:marBottom w:val="0"/>
          <w:divBdr>
            <w:top w:val="none" w:sz="0" w:space="0" w:color="auto"/>
            <w:left w:val="none" w:sz="0" w:space="0" w:color="auto"/>
            <w:bottom w:val="none" w:sz="0" w:space="0" w:color="auto"/>
            <w:right w:val="none" w:sz="0" w:space="0" w:color="auto"/>
          </w:divBdr>
        </w:div>
        <w:div w:id="1763183811">
          <w:marLeft w:val="547"/>
          <w:marRight w:val="0"/>
          <w:marTop w:val="0"/>
          <w:marBottom w:val="0"/>
          <w:divBdr>
            <w:top w:val="none" w:sz="0" w:space="0" w:color="auto"/>
            <w:left w:val="none" w:sz="0" w:space="0" w:color="auto"/>
            <w:bottom w:val="none" w:sz="0" w:space="0" w:color="auto"/>
            <w:right w:val="none" w:sz="0" w:space="0" w:color="auto"/>
          </w:divBdr>
        </w:div>
      </w:divsChild>
    </w:div>
    <w:div w:id="687758116">
      <w:bodyDiv w:val="1"/>
      <w:marLeft w:val="0"/>
      <w:marRight w:val="0"/>
      <w:marTop w:val="0"/>
      <w:marBottom w:val="0"/>
      <w:divBdr>
        <w:top w:val="none" w:sz="0" w:space="0" w:color="auto"/>
        <w:left w:val="none" w:sz="0" w:space="0" w:color="auto"/>
        <w:bottom w:val="none" w:sz="0" w:space="0" w:color="auto"/>
        <w:right w:val="none" w:sz="0" w:space="0" w:color="auto"/>
      </w:divBdr>
    </w:div>
    <w:div w:id="693117069">
      <w:bodyDiv w:val="1"/>
      <w:marLeft w:val="0"/>
      <w:marRight w:val="0"/>
      <w:marTop w:val="0"/>
      <w:marBottom w:val="0"/>
      <w:divBdr>
        <w:top w:val="none" w:sz="0" w:space="0" w:color="auto"/>
        <w:left w:val="none" w:sz="0" w:space="0" w:color="auto"/>
        <w:bottom w:val="none" w:sz="0" w:space="0" w:color="auto"/>
        <w:right w:val="none" w:sz="0" w:space="0" w:color="auto"/>
      </w:divBdr>
    </w:div>
    <w:div w:id="699628169">
      <w:bodyDiv w:val="1"/>
      <w:marLeft w:val="0"/>
      <w:marRight w:val="0"/>
      <w:marTop w:val="0"/>
      <w:marBottom w:val="0"/>
      <w:divBdr>
        <w:top w:val="none" w:sz="0" w:space="0" w:color="auto"/>
        <w:left w:val="none" w:sz="0" w:space="0" w:color="auto"/>
        <w:bottom w:val="none" w:sz="0" w:space="0" w:color="auto"/>
        <w:right w:val="none" w:sz="0" w:space="0" w:color="auto"/>
      </w:divBdr>
      <w:divsChild>
        <w:div w:id="16468461">
          <w:marLeft w:val="0"/>
          <w:marRight w:val="0"/>
          <w:marTop w:val="0"/>
          <w:marBottom w:val="0"/>
          <w:divBdr>
            <w:top w:val="none" w:sz="0" w:space="0" w:color="auto"/>
            <w:left w:val="none" w:sz="0" w:space="0" w:color="auto"/>
            <w:bottom w:val="none" w:sz="0" w:space="0" w:color="auto"/>
            <w:right w:val="none" w:sz="0" w:space="0" w:color="auto"/>
          </w:divBdr>
        </w:div>
        <w:div w:id="571894076">
          <w:marLeft w:val="0"/>
          <w:marRight w:val="0"/>
          <w:marTop w:val="0"/>
          <w:marBottom w:val="0"/>
          <w:divBdr>
            <w:top w:val="none" w:sz="0" w:space="0" w:color="auto"/>
            <w:left w:val="none" w:sz="0" w:space="0" w:color="auto"/>
            <w:bottom w:val="none" w:sz="0" w:space="0" w:color="auto"/>
            <w:right w:val="none" w:sz="0" w:space="0" w:color="auto"/>
          </w:divBdr>
        </w:div>
        <w:div w:id="930815496">
          <w:marLeft w:val="0"/>
          <w:marRight w:val="0"/>
          <w:marTop w:val="0"/>
          <w:marBottom w:val="0"/>
          <w:divBdr>
            <w:top w:val="none" w:sz="0" w:space="0" w:color="auto"/>
            <w:left w:val="none" w:sz="0" w:space="0" w:color="auto"/>
            <w:bottom w:val="none" w:sz="0" w:space="0" w:color="auto"/>
            <w:right w:val="none" w:sz="0" w:space="0" w:color="auto"/>
          </w:divBdr>
        </w:div>
        <w:div w:id="1471904901">
          <w:marLeft w:val="0"/>
          <w:marRight w:val="0"/>
          <w:marTop w:val="0"/>
          <w:marBottom w:val="0"/>
          <w:divBdr>
            <w:top w:val="none" w:sz="0" w:space="0" w:color="auto"/>
            <w:left w:val="none" w:sz="0" w:space="0" w:color="auto"/>
            <w:bottom w:val="none" w:sz="0" w:space="0" w:color="auto"/>
            <w:right w:val="none" w:sz="0" w:space="0" w:color="auto"/>
          </w:divBdr>
        </w:div>
      </w:divsChild>
    </w:div>
    <w:div w:id="704139242">
      <w:bodyDiv w:val="1"/>
      <w:marLeft w:val="0"/>
      <w:marRight w:val="0"/>
      <w:marTop w:val="0"/>
      <w:marBottom w:val="0"/>
      <w:divBdr>
        <w:top w:val="none" w:sz="0" w:space="0" w:color="auto"/>
        <w:left w:val="none" w:sz="0" w:space="0" w:color="auto"/>
        <w:bottom w:val="none" w:sz="0" w:space="0" w:color="auto"/>
        <w:right w:val="none" w:sz="0" w:space="0" w:color="auto"/>
      </w:divBdr>
      <w:divsChild>
        <w:div w:id="195503726">
          <w:marLeft w:val="0"/>
          <w:marRight w:val="0"/>
          <w:marTop w:val="0"/>
          <w:marBottom w:val="0"/>
          <w:divBdr>
            <w:top w:val="none" w:sz="0" w:space="0" w:color="auto"/>
            <w:left w:val="none" w:sz="0" w:space="0" w:color="auto"/>
            <w:bottom w:val="none" w:sz="0" w:space="0" w:color="auto"/>
            <w:right w:val="none" w:sz="0" w:space="0" w:color="auto"/>
          </w:divBdr>
        </w:div>
        <w:div w:id="790635898">
          <w:marLeft w:val="0"/>
          <w:marRight w:val="0"/>
          <w:marTop w:val="0"/>
          <w:marBottom w:val="0"/>
          <w:divBdr>
            <w:top w:val="none" w:sz="0" w:space="0" w:color="auto"/>
            <w:left w:val="none" w:sz="0" w:space="0" w:color="auto"/>
            <w:bottom w:val="none" w:sz="0" w:space="0" w:color="auto"/>
            <w:right w:val="none" w:sz="0" w:space="0" w:color="auto"/>
          </w:divBdr>
        </w:div>
        <w:div w:id="1115909756">
          <w:marLeft w:val="0"/>
          <w:marRight w:val="0"/>
          <w:marTop w:val="0"/>
          <w:marBottom w:val="0"/>
          <w:divBdr>
            <w:top w:val="none" w:sz="0" w:space="0" w:color="auto"/>
            <w:left w:val="none" w:sz="0" w:space="0" w:color="auto"/>
            <w:bottom w:val="none" w:sz="0" w:space="0" w:color="auto"/>
            <w:right w:val="none" w:sz="0" w:space="0" w:color="auto"/>
          </w:divBdr>
        </w:div>
        <w:div w:id="1627545294">
          <w:marLeft w:val="0"/>
          <w:marRight w:val="0"/>
          <w:marTop w:val="0"/>
          <w:marBottom w:val="0"/>
          <w:divBdr>
            <w:top w:val="none" w:sz="0" w:space="0" w:color="auto"/>
            <w:left w:val="none" w:sz="0" w:space="0" w:color="auto"/>
            <w:bottom w:val="none" w:sz="0" w:space="0" w:color="auto"/>
            <w:right w:val="none" w:sz="0" w:space="0" w:color="auto"/>
          </w:divBdr>
        </w:div>
      </w:divsChild>
    </w:div>
    <w:div w:id="704788893">
      <w:bodyDiv w:val="1"/>
      <w:marLeft w:val="0"/>
      <w:marRight w:val="0"/>
      <w:marTop w:val="0"/>
      <w:marBottom w:val="0"/>
      <w:divBdr>
        <w:top w:val="none" w:sz="0" w:space="0" w:color="auto"/>
        <w:left w:val="none" w:sz="0" w:space="0" w:color="auto"/>
        <w:bottom w:val="none" w:sz="0" w:space="0" w:color="auto"/>
        <w:right w:val="none" w:sz="0" w:space="0" w:color="auto"/>
      </w:divBdr>
    </w:div>
    <w:div w:id="727460609">
      <w:bodyDiv w:val="1"/>
      <w:marLeft w:val="0"/>
      <w:marRight w:val="0"/>
      <w:marTop w:val="0"/>
      <w:marBottom w:val="0"/>
      <w:divBdr>
        <w:top w:val="none" w:sz="0" w:space="0" w:color="auto"/>
        <w:left w:val="none" w:sz="0" w:space="0" w:color="auto"/>
        <w:bottom w:val="none" w:sz="0" w:space="0" w:color="auto"/>
        <w:right w:val="none" w:sz="0" w:space="0" w:color="auto"/>
      </w:divBdr>
      <w:divsChild>
        <w:div w:id="526677715">
          <w:marLeft w:val="0"/>
          <w:marRight w:val="0"/>
          <w:marTop w:val="0"/>
          <w:marBottom w:val="0"/>
          <w:divBdr>
            <w:top w:val="none" w:sz="0" w:space="0" w:color="auto"/>
            <w:left w:val="none" w:sz="0" w:space="0" w:color="auto"/>
            <w:bottom w:val="none" w:sz="0" w:space="0" w:color="auto"/>
            <w:right w:val="none" w:sz="0" w:space="0" w:color="auto"/>
          </w:divBdr>
        </w:div>
      </w:divsChild>
    </w:div>
    <w:div w:id="735709444">
      <w:bodyDiv w:val="1"/>
      <w:marLeft w:val="0"/>
      <w:marRight w:val="0"/>
      <w:marTop w:val="0"/>
      <w:marBottom w:val="0"/>
      <w:divBdr>
        <w:top w:val="none" w:sz="0" w:space="0" w:color="auto"/>
        <w:left w:val="none" w:sz="0" w:space="0" w:color="auto"/>
        <w:bottom w:val="none" w:sz="0" w:space="0" w:color="auto"/>
        <w:right w:val="none" w:sz="0" w:space="0" w:color="auto"/>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 w:id="15158868">
          <w:marLeft w:val="0"/>
          <w:marRight w:val="0"/>
          <w:marTop w:val="0"/>
          <w:marBottom w:val="0"/>
          <w:divBdr>
            <w:top w:val="none" w:sz="0" w:space="0" w:color="auto"/>
            <w:left w:val="none" w:sz="0" w:space="0" w:color="auto"/>
            <w:bottom w:val="none" w:sz="0" w:space="0" w:color="auto"/>
            <w:right w:val="none" w:sz="0" w:space="0" w:color="auto"/>
          </w:divBdr>
        </w:div>
        <w:div w:id="67729102">
          <w:marLeft w:val="0"/>
          <w:marRight w:val="0"/>
          <w:marTop w:val="0"/>
          <w:marBottom w:val="0"/>
          <w:divBdr>
            <w:top w:val="none" w:sz="0" w:space="0" w:color="auto"/>
            <w:left w:val="none" w:sz="0" w:space="0" w:color="auto"/>
            <w:bottom w:val="none" w:sz="0" w:space="0" w:color="auto"/>
            <w:right w:val="none" w:sz="0" w:space="0" w:color="auto"/>
          </w:divBdr>
        </w:div>
        <w:div w:id="286812899">
          <w:marLeft w:val="0"/>
          <w:marRight w:val="0"/>
          <w:marTop w:val="0"/>
          <w:marBottom w:val="0"/>
          <w:divBdr>
            <w:top w:val="none" w:sz="0" w:space="0" w:color="auto"/>
            <w:left w:val="none" w:sz="0" w:space="0" w:color="auto"/>
            <w:bottom w:val="none" w:sz="0" w:space="0" w:color="auto"/>
            <w:right w:val="none" w:sz="0" w:space="0" w:color="auto"/>
          </w:divBdr>
        </w:div>
        <w:div w:id="316306171">
          <w:marLeft w:val="0"/>
          <w:marRight w:val="0"/>
          <w:marTop w:val="0"/>
          <w:marBottom w:val="0"/>
          <w:divBdr>
            <w:top w:val="none" w:sz="0" w:space="0" w:color="auto"/>
            <w:left w:val="none" w:sz="0" w:space="0" w:color="auto"/>
            <w:bottom w:val="none" w:sz="0" w:space="0" w:color="auto"/>
            <w:right w:val="none" w:sz="0" w:space="0" w:color="auto"/>
          </w:divBdr>
        </w:div>
        <w:div w:id="322201988">
          <w:marLeft w:val="0"/>
          <w:marRight w:val="0"/>
          <w:marTop w:val="0"/>
          <w:marBottom w:val="0"/>
          <w:divBdr>
            <w:top w:val="none" w:sz="0" w:space="0" w:color="auto"/>
            <w:left w:val="none" w:sz="0" w:space="0" w:color="auto"/>
            <w:bottom w:val="none" w:sz="0" w:space="0" w:color="auto"/>
            <w:right w:val="none" w:sz="0" w:space="0" w:color="auto"/>
          </w:divBdr>
        </w:div>
        <w:div w:id="340276911">
          <w:marLeft w:val="0"/>
          <w:marRight w:val="0"/>
          <w:marTop w:val="0"/>
          <w:marBottom w:val="0"/>
          <w:divBdr>
            <w:top w:val="none" w:sz="0" w:space="0" w:color="auto"/>
            <w:left w:val="none" w:sz="0" w:space="0" w:color="auto"/>
            <w:bottom w:val="none" w:sz="0" w:space="0" w:color="auto"/>
            <w:right w:val="none" w:sz="0" w:space="0" w:color="auto"/>
          </w:divBdr>
        </w:div>
        <w:div w:id="524950686">
          <w:marLeft w:val="0"/>
          <w:marRight w:val="0"/>
          <w:marTop w:val="0"/>
          <w:marBottom w:val="0"/>
          <w:divBdr>
            <w:top w:val="none" w:sz="0" w:space="0" w:color="auto"/>
            <w:left w:val="none" w:sz="0" w:space="0" w:color="auto"/>
            <w:bottom w:val="none" w:sz="0" w:space="0" w:color="auto"/>
            <w:right w:val="none" w:sz="0" w:space="0" w:color="auto"/>
          </w:divBdr>
        </w:div>
        <w:div w:id="534316000">
          <w:marLeft w:val="0"/>
          <w:marRight w:val="0"/>
          <w:marTop w:val="0"/>
          <w:marBottom w:val="0"/>
          <w:divBdr>
            <w:top w:val="none" w:sz="0" w:space="0" w:color="auto"/>
            <w:left w:val="none" w:sz="0" w:space="0" w:color="auto"/>
            <w:bottom w:val="none" w:sz="0" w:space="0" w:color="auto"/>
            <w:right w:val="none" w:sz="0" w:space="0" w:color="auto"/>
          </w:divBdr>
        </w:div>
        <w:div w:id="541673700">
          <w:marLeft w:val="0"/>
          <w:marRight w:val="0"/>
          <w:marTop w:val="0"/>
          <w:marBottom w:val="0"/>
          <w:divBdr>
            <w:top w:val="none" w:sz="0" w:space="0" w:color="auto"/>
            <w:left w:val="none" w:sz="0" w:space="0" w:color="auto"/>
            <w:bottom w:val="none" w:sz="0" w:space="0" w:color="auto"/>
            <w:right w:val="none" w:sz="0" w:space="0" w:color="auto"/>
          </w:divBdr>
        </w:div>
        <w:div w:id="601911684">
          <w:marLeft w:val="0"/>
          <w:marRight w:val="0"/>
          <w:marTop w:val="0"/>
          <w:marBottom w:val="0"/>
          <w:divBdr>
            <w:top w:val="none" w:sz="0" w:space="0" w:color="auto"/>
            <w:left w:val="none" w:sz="0" w:space="0" w:color="auto"/>
            <w:bottom w:val="none" w:sz="0" w:space="0" w:color="auto"/>
            <w:right w:val="none" w:sz="0" w:space="0" w:color="auto"/>
          </w:divBdr>
        </w:div>
        <w:div w:id="607002928">
          <w:marLeft w:val="0"/>
          <w:marRight w:val="0"/>
          <w:marTop w:val="0"/>
          <w:marBottom w:val="0"/>
          <w:divBdr>
            <w:top w:val="none" w:sz="0" w:space="0" w:color="auto"/>
            <w:left w:val="none" w:sz="0" w:space="0" w:color="auto"/>
            <w:bottom w:val="none" w:sz="0" w:space="0" w:color="auto"/>
            <w:right w:val="none" w:sz="0" w:space="0" w:color="auto"/>
          </w:divBdr>
        </w:div>
        <w:div w:id="651182204">
          <w:marLeft w:val="0"/>
          <w:marRight w:val="0"/>
          <w:marTop w:val="0"/>
          <w:marBottom w:val="0"/>
          <w:divBdr>
            <w:top w:val="none" w:sz="0" w:space="0" w:color="auto"/>
            <w:left w:val="none" w:sz="0" w:space="0" w:color="auto"/>
            <w:bottom w:val="none" w:sz="0" w:space="0" w:color="auto"/>
            <w:right w:val="none" w:sz="0" w:space="0" w:color="auto"/>
          </w:divBdr>
        </w:div>
        <w:div w:id="705834588">
          <w:marLeft w:val="0"/>
          <w:marRight w:val="0"/>
          <w:marTop w:val="0"/>
          <w:marBottom w:val="0"/>
          <w:divBdr>
            <w:top w:val="none" w:sz="0" w:space="0" w:color="auto"/>
            <w:left w:val="none" w:sz="0" w:space="0" w:color="auto"/>
            <w:bottom w:val="none" w:sz="0" w:space="0" w:color="auto"/>
            <w:right w:val="none" w:sz="0" w:space="0" w:color="auto"/>
          </w:divBdr>
        </w:div>
        <w:div w:id="740717716">
          <w:marLeft w:val="0"/>
          <w:marRight w:val="0"/>
          <w:marTop w:val="0"/>
          <w:marBottom w:val="0"/>
          <w:divBdr>
            <w:top w:val="none" w:sz="0" w:space="0" w:color="auto"/>
            <w:left w:val="none" w:sz="0" w:space="0" w:color="auto"/>
            <w:bottom w:val="none" w:sz="0" w:space="0" w:color="auto"/>
            <w:right w:val="none" w:sz="0" w:space="0" w:color="auto"/>
          </w:divBdr>
        </w:div>
        <w:div w:id="1209343882">
          <w:marLeft w:val="0"/>
          <w:marRight w:val="0"/>
          <w:marTop w:val="0"/>
          <w:marBottom w:val="0"/>
          <w:divBdr>
            <w:top w:val="none" w:sz="0" w:space="0" w:color="auto"/>
            <w:left w:val="none" w:sz="0" w:space="0" w:color="auto"/>
            <w:bottom w:val="none" w:sz="0" w:space="0" w:color="auto"/>
            <w:right w:val="none" w:sz="0" w:space="0" w:color="auto"/>
          </w:divBdr>
        </w:div>
        <w:div w:id="1339193162">
          <w:marLeft w:val="0"/>
          <w:marRight w:val="0"/>
          <w:marTop w:val="0"/>
          <w:marBottom w:val="0"/>
          <w:divBdr>
            <w:top w:val="none" w:sz="0" w:space="0" w:color="auto"/>
            <w:left w:val="none" w:sz="0" w:space="0" w:color="auto"/>
            <w:bottom w:val="none" w:sz="0" w:space="0" w:color="auto"/>
            <w:right w:val="none" w:sz="0" w:space="0" w:color="auto"/>
          </w:divBdr>
        </w:div>
        <w:div w:id="1516386564">
          <w:marLeft w:val="0"/>
          <w:marRight w:val="0"/>
          <w:marTop w:val="0"/>
          <w:marBottom w:val="0"/>
          <w:divBdr>
            <w:top w:val="none" w:sz="0" w:space="0" w:color="auto"/>
            <w:left w:val="none" w:sz="0" w:space="0" w:color="auto"/>
            <w:bottom w:val="none" w:sz="0" w:space="0" w:color="auto"/>
            <w:right w:val="none" w:sz="0" w:space="0" w:color="auto"/>
          </w:divBdr>
        </w:div>
        <w:div w:id="1580018107">
          <w:marLeft w:val="0"/>
          <w:marRight w:val="0"/>
          <w:marTop w:val="0"/>
          <w:marBottom w:val="0"/>
          <w:divBdr>
            <w:top w:val="none" w:sz="0" w:space="0" w:color="auto"/>
            <w:left w:val="none" w:sz="0" w:space="0" w:color="auto"/>
            <w:bottom w:val="none" w:sz="0" w:space="0" w:color="auto"/>
            <w:right w:val="none" w:sz="0" w:space="0" w:color="auto"/>
          </w:divBdr>
        </w:div>
        <w:div w:id="1668366229">
          <w:marLeft w:val="0"/>
          <w:marRight w:val="0"/>
          <w:marTop w:val="0"/>
          <w:marBottom w:val="0"/>
          <w:divBdr>
            <w:top w:val="none" w:sz="0" w:space="0" w:color="auto"/>
            <w:left w:val="none" w:sz="0" w:space="0" w:color="auto"/>
            <w:bottom w:val="none" w:sz="0" w:space="0" w:color="auto"/>
            <w:right w:val="none" w:sz="0" w:space="0" w:color="auto"/>
          </w:divBdr>
        </w:div>
        <w:div w:id="1704360405">
          <w:marLeft w:val="0"/>
          <w:marRight w:val="0"/>
          <w:marTop w:val="0"/>
          <w:marBottom w:val="0"/>
          <w:divBdr>
            <w:top w:val="none" w:sz="0" w:space="0" w:color="auto"/>
            <w:left w:val="none" w:sz="0" w:space="0" w:color="auto"/>
            <w:bottom w:val="none" w:sz="0" w:space="0" w:color="auto"/>
            <w:right w:val="none" w:sz="0" w:space="0" w:color="auto"/>
          </w:divBdr>
        </w:div>
        <w:div w:id="1720126976">
          <w:marLeft w:val="0"/>
          <w:marRight w:val="0"/>
          <w:marTop w:val="0"/>
          <w:marBottom w:val="0"/>
          <w:divBdr>
            <w:top w:val="none" w:sz="0" w:space="0" w:color="auto"/>
            <w:left w:val="none" w:sz="0" w:space="0" w:color="auto"/>
            <w:bottom w:val="none" w:sz="0" w:space="0" w:color="auto"/>
            <w:right w:val="none" w:sz="0" w:space="0" w:color="auto"/>
          </w:divBdr>
        </w:div>
        <w:div w:id="1806654774">
          <w:marLeft w:val="0"/>
          <w:marRight w:val="0"/>
          <w:marTop w:val="0"/>
          <w:marBottom w:val="0"/>
          <w:divBdr>
            <w:top w:val="none" w:sz="0" w:space="0" w:color="auto"/>
            <w:left w:val="none" w:sz="0" w:space="0" w:color="auto"/>
            <w:bottom w:val="none" w:sz="0" w:space="0" w:color="auto"/>
            <w:right w:val="none" w:sz="0" w:space="0" w:color="auto"/>
          </w:divBdr>
        </w:div>
        <w:div w:id="1818960916">
          <w:marLeft w:val="0"/>
          <w:marRight w:val="0"/>
          <w:marTop w:val="0"/>
          <w:marBottom w:val="0"/>
          <w:divBdr>
            <w:top w:val="none" w:sz="0" w:space="0" w:color="auto"/>
            <w:left w:val="none" w:sz="0" w:space="0" w:color="auto"/>
            <w:bottom w:val="none" w:sz="0" w:space="0" w:color="auto"/>
            <w:right w:val="none" w:sz="0" w:space="0" w:color="auto"/>
          </w:divBdr>
        </w:div>
        <w:div w:id="1889754869">
          <w:marLeft w:val="0"/>
          <w:marRight w:val="0"/>
          <w:marTop w:val="0"/>
          <w:marBottom w:val="0"/>
          <w:divBdr>
            <w:top w:val="none" w:sz="0" w:space="0" w:color="auto"/>
            <w:left w:val="none" w:sz="0" w:space="0" w:color="auto"/>
            <w:bottom w:val="none" w:sz="0" w:space="0" w:color="auto"/>
            <w:right w:val="none" w:sz="0" w:space="0" w:color="auto"/>
          </w:divBdr>
        </w:div>
        <w:div w:id="1896702640">
          <w:marLeft w:val="0"/>
          <w:marRight w:val="0"/>
          <w:marTop w:val="0"/>
          <w:marBottom w:val="0"/>
          <w:divBdr>
            <w:top w:val="none" w:sz="0" w:space="0" w:color="auto"/>
            <w:left w:val="none" w:sz="0" w:space="0" w:color="auto"/>
            <w:bottom w:val="none" w:sz="0" w:space="0" w:color="auto"/>
            <w:right w:val="none" w:sz="0" w:space="0" w:color="auto"/>
          </w:divBdr>
        </w:div>
        <w:div w:id="1908488779">
          <w:marLeft w:val="0"/>
          <w:marRight w:val="0"/>
          <w:marTop w:val="0"/>
          <w:marBottom w:val="0"/>
          <w:divBdr>
            <w:top w:val="none" w:sz="0" w:space="0" w:color="auto"/>
            <w:left w:val="none" w:sz="0" w:space="0" w:color="auto"/>
            <w:bottom w:val="none" w:sz="0" w:space="0" w:color="auto"/>
            <w:right w:val="none" w:sz="0" w:space="0" w:color="auto"/>
          </w:divBdr>
        </w:div>
        <w:div w:id="1996298404">
          <w:marLeft w:val="0"/>
          <w:marRight w:val="0"/>
          <w:marTop w:val="0"/>
          <w:marBottom w:val="0"/>
          <w:divBdr>
            <w:top w:val="none" w:sz="0" w:space="0" w:color="auto"/>
            <w:left w:val="none" w:sz="0" w:space="0" w:color="auto"/>
            <w:bottom w:val="none" w:sz="0" w:space="0" w:color="auto"/>
            <w:right w:val="none" w:sz="0" w:space="0" w:color="auto"/>
          </w:divBdr>
        </w:div>
        <w:div w:id="2014335186">
          <w:marLeft w:val="0"/>
          <w:marRight w:val="0"/>
          <w:marTop w:val="0"/>
          <w:marBottom w:val="0"/>
          <w:divBdr>
            <w:top w:val="none" w:sz="0" w:space="0" w:color="auto"/>
            <w:left w:val="none" w:sz="0" w:space="0" w:color="auto"/>
            <w:bottom w:val="none" w:sz="0" w:space="0" w:color="auto"/>
            <w:right w:val="none" w:sz="0" w:space="0" w:color="auto"/>
          </w:divBdr>
        </w:div>
        <w:div w:id="2043479582">
          <w:marLeft w:val="0"/>
          <w:marRight w:val="0"/>
          <w:marTop w:val="0"/>
          <w:marBottom w:val="0"/>
          <w:divBdr>
            <w:top w:val="none" w:sz="0" w:space="0" w:color="auto"/>
            <w:left w:val="none" w:sz="0" w:space="0" w:color="auto"/>
            <w:bottom w:val="none" w:sz="0" w:space="0" w:color="auto"/>
            <w:right w:val="none" w:sz="0" w:space="0" w:color="auto"/>
          </w:divBdr>
        </w:div>
        <w:div w:id="2046174517">
          <w:marLeft w:val="0"/>
          <w:marRight w:val="0"/>
          <w:marTop w:val="0"/>
          <w:marBottom w:val="0"/>
          <w:divBdr>
            <w:top w:val="none" w:sz="0" w:space="0" w:color="auto"/>
            <w:left w:val="none" w:sz="0" w:space="0" w:color="auto"/>
            <w:bottom w:val="none" w:sz="0" w:space="0" w:color="auto"/>
            <w:right w:val="none" w:sz="0" w:space="0" w:color="auto"/>
          </w:divBdr>
        </w:div>
        <w:div w:id="2072922650">
          <w:marLeft w:val="0"/>
          <w:marRight w:val="0"/>
          <w:marTop w:val="0"/>
          <w:marBottom w:val="0"/>
          <w:divBdr>
            <w:top w:val="none" w:sz="0" w:space="0" w:color="auto"/>
            <w:left w:val="none" w:sz="0" w:space="0" w:color="auto"/>
            <w:bottom w:val="none" w:sz="0" w:space="0" w:color="auto"/>
            <w:right w:val="none" w:sz="0" w:space="0" w:color="auto"/>
          </w:divBdr>
        </w:div>
        <w:div w:id="2098406333">
          <w:marLeft w:val="0"/>
          <w:marRight w:val="0"/>
          <w:marTop w:val="0"/>
          <w:marBottom w:val="0"/>
          <w:divBdr>
            <w:top w:val="none" w:sz="0" w:space="0" w:color="auto"/>
            <w:left w:val="none" w:sz="0" w:space="0" w:color="auto"/>
            <w:bottom w:val="none" w:sz="0" w:space="0" w:color="auto"/>
            <w:right w:val="none" w:sz="0" w:space="0" w:color="auto"/>
          </w:divBdr>
        </w:div>
      </w:divsChild>
    </w:div>
    <w:div w:id="750782469">
      <w:bodyDiv w:val="1"/>
      <w:marLeft w:val="0"/>
      <w:marRight w:val="0"/>
      <w:marTop w:val="0"/>
      <w:marBottom w:val="0"/>
      <w:divBdr>
        <w:top w:val="none" w:sz="0" w:space="0" w:color="auto"/>
        <w:left w:val="none" w:sz="0" w:space="0" w:color="auto"/>
        <w:bottom w:val="none" w:sz="0" w:space="0" w:color="auto"/>
        <w:right w:val="none" w:sz="0" w:space="0" w:color="auto"/>
      </w:divBdr>
    </w:div>
    <w:div w:id="752243627">
      <w:bodyDiv w:val="1"/>
      <w:marLeft w:val="0"/>
      <w:marRight w:val="0"/>
      <w:marTop w:val="0"/>
      <w:marBottom w:val="0"/>
      <w:divBdr>
        <w:top w:val="none" w:sz="0" w:space="0" w:color="auto"/>
        <w:left w:val="none" w:sz="0" w:space="0" w:color="auto"/>
        <w:bottom w:val="none" w:sz="0" w:space="0" w:color="auto"/>
        <w:right w:val="none" w:sz="0" w:space="0" w:color="auto"/>
      </w:divBdr>
      <w:divsChild>
        <w:div w:id="1019548997">
          <w:marLeft w:val="0"/>
          <w:marRight w:val="0"/>
          <w:marTop w:val="0"/>
          <w:marBottom w:val="0"/>
          <w:divBdr>
            <w:top w:val="none" w:sz="0" w:space="0" w:color="auto"/>
            <w:left w:val="none" w:sz="0" w:space="0" w:color="auto"/>
            <w:bottom w:val="none" w:sz="0" w:space="0" w:color="auto"/>
            <w:right w:val="none" w:sz="0" w:space="0" w:color="auto"/>
          </w:divBdr>
          <w:divsChild>
            <w:div w:id="1219826984">
              <w:marLeft w:val="0"/>
              <w:marRight w:val="0"/>
              <w:marTop w:val="0"/>
              <w:marBottom w:val="0"/>
              <w:divBdr>
                <w:top w:val="none" w:sz="0" w:space="0" w:color="auto"/>
                <w:left w:val="none" w:sz="0" w:space="0" w:color="auto"/>
                <w:bottom w:val="none" w:sz="0" w:space="0" w:color="auto"/>
                <w:right w:val="none" w:sz="0" w:space="0" w:color="auto"/>
              </w:divBdr>
              <w:divsChild>
                <w:div w:id="688721286">
                  <w:marLeft w:val="0"/>
                  <w:marRight w:val="0"/>
                  <w:marTop w:val="0"/>
                  <w:marBottom w:val="0"/>
                  <w:divBdr>
                    <w:top w:val="none" w:sz="0" w:space="0" w:color="auto"/>
                    <w:left w:val="none" w:sz="0" w:space="0" w:color="auto"/>
                    <w:bottom w:val="none" w:sz="0" w:space="0" w:color="auto"/>
                    <w:right w:val="none" w:sz="0" w:space="0" w:color="auto"/>
                  </w:divBdr>
                  <w:divsChild>
                    <w:div w:id="2920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7278">
          <w:marLeft w:val="0"/>
          <w:marRight w:val="0"/>
          <w:marTop w:val="0"/>
          <w:marBottom w:val="0"/>
          <w:divBdr>
            <w:top w:val="none" w:sz="0" w:space="0" w:color="auto"/>
            <w:left w:val="none" w:sz="0" w:space="0" w:color="auto"/>
            <w:bottom w:val="none" w:sz="0" w:space="0" w:color="auto"/>
            <w:right w:val="none" w:sz="0" w:space="0" w:color="auto"/>
          </w:divBdr>
          <w:divsChild>
            <w:div w:id="955410084">
              <w:marLeft w:val="0"/>
              <w:marRight w:val="0"/>
              <w:marTop w:val="0"/>
              <w:marBottom w:val="0"/>
              <w:divBdr>
                <w:top w:val="none" w:sz="0" w:space="0" w:color="auto"/>
                <w:left w:val="none" w:sz="0" w:space="0" w:color="auto"/>
                <w:bottom w:val="none" w:sz="0" w:space="0" w:color="auto"/>
                <w:right w:val="none" w:sz="0" w:space="0" w:color="auto"/>
              </w:divBdr>
              <w:divsChild>
                <w:div w:id="642583608">
                  <w:marLeft w:val="0"/>
                  <w:marRight w:val="0"/>
                  <w:marTop w:val="0"/>
                  <w:marBottom w:val="0"/>
                  <w:divBdr>
                    <w:top w:val="none" w:sz="0" w:space="0" w:color="auto"/>
                    <w:left w:val="none" w:sz="0" w:space="0" w:color="auto"/>
                    <w:bottom w:val="none" w:sz="0" w:space="0" w:color="auto"/>
                    <w:right w:val="none" w:sz="0" w:space="0" w:color="auto"/>
                  </w:divBdr>
                  <w:divsChild>
                    <w:div w:id="3056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7567">
      <w:bodyDiv w:val="1"/>
      <w:marLeft w:val="0"/>
      <w:marRight w:val="0"/>
      <w:marTop w:val="0"/>
      <w:marBottom w:val="0"/>
      <w:divBdr>
        <w:top w:val="none" w:sz="0" w:space="0" w:color="auto"/>
        <w:left w:val="none" w:sz="0" w:space="0" w:color="auto"/>
        <w:bottom w:val="none" w:sz="0" w:space="0" w:color="auto"/>
        <w:right w:val="none" w:sz="0" w:space="0" w:color="auto"/>
      </w:divBdr>
      <w:divsChild>
        <w:div w:id="1149176132">
          <w:marLeft w:val="0"/>
          <w:marRight w:val="0"/>
          <w:marTop w:val="0"/>
          <w:marBottom w:val="0"/>
          <w:divBdr>
            <w:top w:val="none" w:sz="0" w:space="0" w:color="auto"/>
            <w:left w:val="none" w:sz="0" w:space="0" w:color="auto"/>
            <w:bottom w:val="none" w:sz="0" w:space="0" w:color="auto"/>
            <w:right w:val="none" w:sz="0" w:space="0" w:color="auto"/>
          </w:divBdr>
        </w:div>
        <w:div w:id="1357384182">
          <w:marLeft w:val="0"/>
          <w:marRight w:val="0"/>
          <w:marTop w:val="0"/>
          <w:marBottom w:val="0"/>
          <w:divBdr>
            <w:top w:val="none" w:sz="0" w:space="0" w:color="auto"/>
            <w:left w:val="none" w:sz="0" w:space="0" w:color="auto"/>
            <w:bottom w:val="none" w:sz="0" w:space="0" w:color="auto"/>
            <w:right w:val="none" w:sz="0" w:space="0" w:color="auto"/>
          </w:divBdr>
        </w:div>
        <w:div w:id="2130123420">
          <w:marLeft w:val="0"/>
          <w:marRight w:val="0"/>
          <w:marTop w:val="0"/>
          <w:marBottom w:val="0"/>
          <w:divBdr>
            <w:top w:val="none" w:sz="0" w:space="0" w:color="auto"/>
            <w:left w:val="none" w:sz="0" w:space="0" w:color="auto"/>
            <w:bottom w:val="none" w:sz="0" w:space="0" w:color="auto"/>
            <w:right w:val="none" w:sz="0" w:space="0" w:color="auto"/>
          </w:divBdr>
        </w:div>
      </w:divsChild>
    </w:div>
    <w:div w:id="764347844">
      <w:bodyDiv w:val="1"/>
      <w:marLeft w:val="0"/>
      <w:marRight w:val="0"/>
      <w:marTop w:val="0"/>
      <w:marBottom w:val="0"/>
      <w:divBdr>
        <w:top w:val="none" w:sz="0" w:space="0" w:color="auto"/>
        <w:left w:val="none" w:sz="0" w:space="0" w:color="auto"/>
        <w:bottom w:val="none" w:sz="0" w:space="0" w:color="auto"/>
        <w:right w:val="none" w:sz="0" w:space="0" w:color="auto"/>
      </w:divBdr>
    </w:div>
    <w:div w:id="770668138">
      <w:bodyDiv w:val="1"/>
      <w:marLeft w:val="0"/>
      <w:marRight w:val="0"/>
      <w:marTop w:val="0"/>
      <w:marBottom w:val="0"/>
      <w:divBdr>
        <w:top w:val="none" w:sz="0" w:space="0" w:color="auto"/>
        <w:left w:val="none" w:sz="0" w:space="0" w:color="auto"/>
        <w:bottom w:val="none" w:sz="0" w:space="0" w:color="auto"/>
        <w:right w:val="none" w:sz="0" w:space="0" w:color="auto"/>
      </w:divBdr>
    </w:div>
    <w:div w:id="820542551">
      <w:bodyDiv w:val="1"/>
      <w:marLeft w:val="0"/>
      <w:marRight w:val="0"/>
      <w:marTop w:val="0"/>
      <w:marBottom w:val="0"/>
      <w:divBdr>
        <w:top w:val="none" w:sz="0" w:space="0" w:color="auto"/>
        <w:left w:val="none" w:sz="0" w:space="0" w:color="auto"/>
        <w:bottom w:val="none" w:sz="0" w:space="0" w:color="auto"/>
        <w:right w:val="none" w:sz="0" w:space="0" w:color="auto"/>
      </w:divBdr>
    </w:div>
    <w:div w:id="827281350">
      <w:bodyDiv w:val="1"/>
      <w:marLeft w:val="0"/>
      <w:marRight w:val="0"/>
      <w:marTop w:val="0"/>
      <w:marBottom w:val="0"/>
      <w:divBdr>
        <w:top w:val="none" w:sz="0" w:space="0" w:color="auto"/>
        <w:left w:val="none" w:sz="0" w:space="0" w:color="auto"/>
        <w:bottom w:val="none" w:sz="0" w:space="0" w:color="auto"/>
        <w:right w:val="none" w:sz="0" w:space="0" w:color="auto"/>
      </w:divBdr>
      <w:divsChild>
        <w:div w:id="353728686">
          <w:marLeft w:val="0"/>
          <w:marRight w:val="0"/>
          <w:marTop w:val="0"/>
          <w:marBottom w:val="0"/>
          <w:divBdr>
            <w:top w:val="none" w:sz="0" w:space="0" w:color="auto"/>
            <w:left w:val="none" w:sz="0" w:space="0" w:color="auto"/>
            <w:bottom w:val="none" w:sz="0" w:space="0" w:color="auto"/>
            <w:right w:val="none" w:sz="0" w:space="0" w:color="auto"/>
          </w:divBdr>
        </w:div>
        <w:div w:id="719128636">
          <w:marLeft w:val="0"/>
          <w:marRight w:val="0"/>
          <w:marTop w:val="0"/>
          <w:marBottom w:val="0"/>
          <w:divBdr>
            <w:top w:val="none" w:sz="0" w:space="0" w:color="auto"/>
            <w:left w:val="none" w:sz="0" w:space="0" w:color="auto"/>
            <w:bottom w:val="none" w:sz="0" w:space="0" w:color="auto"/>
            <w:right w:val="none" w:sz="0" w:space="0" w:color="auto"/>
          </w:divBdr>
        </w:div>
        <w:div w:id="1228036724">
          <w:marLeft w:val="0"/>
          <w:marRight w:val="0"/>
          <w:marTop w:val="0"/>
          <w:marBottom w:val="0"/>
          <w:divBdr>
            <w:top w:val="none" w:sz="0" w:space="0" w:color="auto"/>
            <w:left w:val="none" w:sz="0" w:space="0" w:color="auto"/>
            <w:bottom w:val="none" w:sz="0" w:space="0" w:color="auto"/>
            <w:right w:val="none" w:sz="0" w:space="0" w:color="auto"/>
          </w:divBdr>
        </w:div>
        <w:div w:id="1939436783">
          <w:marLeft w:val="0"/>
          <w:marRight w:val="0"/>
          <w:marTop w:val="0"/>
          <w:marBottom w:val="0"/>
          <w:divBdr>
            <w:top w:val="none" w:sz="0" w:space="0" w:color="auto"/>
            <w:left w:val="none" w:sz="0" w:space="0" w:color="auto"/>
            <w:bottom w:val="none" w:sz="0" w:space="0" w:color="auto"/>
            <w:right w:val="none" w:sz="0" w:space="0" w:color="auto"/>
          </w:divBdr>
        </w:div>
      </w:divsChild>
    </w:div>
    <w:div w:id="832797218">
      <w:bodyDiv w:val="1"/>
      <w:marLeft w:val="0"/>
      <w:marRight w:val="0"/>
      <w:marTop w:val="0"/>
      <w:marBottom w:val="0"/>
      <w:divBdr>
        <w:top w:val="none" w:sz="0" w:space="0" w:color="auto"/>
        <w:left w:val="none" w:sz="0" w:space="0" w:color="auto"/>
        <w:bottom w:val="none" w:sz="0" w:space="0" w:color="auto"/>
        <w:right w:val="none" w:sz="0" w:space="0" w:color="auto"/>
      </w:divBdr>
      <w:divsChild>
        <w:div w:id="387537857">
          <w:marLeft w:val="0"/>
          <w:marRight w:val="0"/>
          <w:marTop w:val="0"/>
          <w:marBottom w:val="0"/>
          <w:divBdr>
            <w:top w:val="none" w:sz="0" w:space="0" w:color="auto"/>
            <w:left w:val="none" w:sz="0" w:space="0" w:color="auto"/>
            <w:bottom w:val="none" w:sz="0" w:space="0" w:color="auto"/>
            <w:right w:val="none" w:sz="0" w:space="0" w:color="auto"/>
          </w:divBdr>
        </w:div>
      </w:divsChild>
    </w:div>
    <w:div w:id="845287613">
      <w:bodyDiv w:val="1"/>
      <w:marLeft w:val="0"/>
      <w:marRight w:val="0"/>
      <w:marTop w:val="0"/>
      <w:marBottom w:val="0"/>
      <w:divBdr>
        <w:top w:val="none" w:sz="0" w:space="0" w:color="auto"/>
        <w:left w:val="none" w:sz="0" w:space="0" w:color="auto"/>
        <w:bottom w:val="none" w:sz="0" w:space="0" w:color="auto"/>
        <w:right w:val="none" w:sz="0" w:space="0" w:color="auto"/>
      </w:divBdr>
    </w:div>
    <w:div w:id="850146818">
      <w:bodyDiv w:val="1"/>
      <w:marLeft w:val="0"/>
      <w:marRight w:val="0"/>
      <w:marTop w:val="0"/>
      <w:marBottom w:val="0"/>
      <w:divBdr>
        <w:top w:val="none" w:sz="0" w:space="0" w:color="auto"/>
        <w:left w:val="none" w:sz="0" w:space="0" w:color="auto"/>
        <w:bottom w:val="none" w:sz="0" w:space="0" w:color="auto"/>
        <w:right w:val="none" w:sz="0" w:space="0" w:color="auto"/>
      </w:divBdr>
      <w:divsChild>
        <w:div w:id="30763297">
          <w:marLeft w:val="0"/>
          <w:marRight w:val="0"/>
          <w:marTop w:val="0"/>
          <w:marBottom w:val="0"/>
          <w:divBdr>
            <w:top w:val="none" w:sz="0" w:space="0" w:color="auto"/>
            <w:left w:val="none" w:sz="0" w:space="0" w:color="auto"/>
            <w:bottom w:val="none" w:sz="0" w:space="0" w:color="auto"/>
            <w:right w:val="none" w:sz="0" w:space="0" w:color="auto"/>
          </w:divBdr>
          <w:divsChild>
            <w:div w:id="188691239">
              <w:marLeft w:val="0"/>
              <w:marRight w:val="0"/>
              <w:marTop w:val="0"/>
              <w:marBottom w:val="0"/>
              <w:divBdr>
                <w:top w:val="none" w:sz="0" w:space="0" w:color="auto"/>
                <w:left w:val="none" w:sz="0" w:space="0" w:color="auto"/>
                <w:bottom w:val="none" w:sz="0" w:space="0" w:color="auto"/>
                <w:right w:val="none" w:sz="0" w:space="0" w:color="auto"/>
              </w:divBdr>
            </w:div>
            <w:div w:id="199437051">
              <w:marLeft w:val="0"/>
              <w:marRight w:val="0"/>
              <w:marTop w:val="0"/>
              <w:marBottom w:val="0"/>
              <w:divBdr>
                <w:top w:val="none" w:sz="0" w:space="0" w:color="auto"/>
                <w:left w:val="none" w:sz="0" w:space="0" w:color="auto"/>
                <w:bottom w:val="none" w:sz="0" w:space="0" w:color="auto"/>
                <w:right w:val="none" w:sz="0" w:space="0" w:color="auto"/>
              </w:divBdr>
            </w:div>
            <w:div w:id="1734111210">
              <w:marLeft w:val="0"/>
              <w:marRight w:val="0"/>
              <w:marTop w:val="0"/>
              <w:marBottom w:val="0"/>
              <w:divBdr>
                <w:top w:val="none" w:sz="0" w:space="0" w:color="auto"/>
                <w:left w:val="none" w:sz="0" w:space="0" w:color="auto"/>
                <w:bottom w:val="none" w:sz="0" w:space="0" w:color="auto"/>
                <w:right w:val="none" w:sz="0" w:space="0" w:color="auto"/>
              </w:divBdr>
            </w:div>
          </w:divsChild>
        </w:div>
        <w:div w:id="1547795808">
          <w:marLeft w:val="0"/>
          <w:marRight w:val="0"/>
          <w:marTop w:val="0"/>
          <w:marBottom w:val="0"/>
          <w:divBdr>
            <w:top w:val="none" w:sz="0" w:space="0" w:color="auto"/>
            <w:left w:val="none" w:sz="0" w:space="0" w:color="auto"/>
            <w:bottom w:val="none" w:sz="0" w:space="0" w:color="auto"/>
            <w:right w:val="none" w:sz="0" w:space="0" w:color="auto"/>
          </w:divBdr>
          <w:divsChild>
            <w:div w:id="17706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1297">
      <w:bodyDiv w:val="1"/>
      <w:marLeft w:val="0"/>
      <w:marRight w:val="0"/>
      <w:marTop w:val="0"/>
      <w:marBottom w:val="0"/>
      <w:divBdr>
        <w:top w:val="none" w:sz="0" w:space="0" w:color="auto"/>
        <w:left w:val="none" w:sz="0" w:space="0" w:color="auto"/>
        <w:bottom w:val="none" w:sz="0" w:space="0" w:color="auto"/>
        <w:right w:val="none" w:sz="0" w:space="0" w:color="auto"/>
      </w:divBdr>
    </w:div>
    <w:div w:id="864827720">
      <w:bodyDiv w:val="1"/>
      <w:marLeft w:val="0"/>
      <w:marRight w:val="0"/>
      <w:marTop w:val="0"/>
      <w:marBottom w:val="0"/>
      <w:divBdr>
        <w:top w:val="none" w:sz="0" w:space="0" w:color="auto"/>
        <w:left w:val="none" w:sz="0" w:space="0" w:color="auto"/>
        <w:bottom w:val="none" w:sz="0" w:space="0" w:color="auto"/>
        <w:right w:val="none" w:sz="0" w:space="0" w:color="auto"/>
      </w:divBdr>
      <w:divsChild>
        <w:div w:id="115950240">
          <w:marLeft w:val="0"/>
          <w:marRight w:val="0"/>
          <w:marTop w:val="0"/>
          <w:marBottom w:val="0"/>
          <w:divBdr>
            <w:top w:val="none" w:sz="0" w:space="0" w:color="auto"/>
            <w:left w:val="none" w:sz="0" w:space="0" w:color="auto"/>
            <w:bottom w:val="none" w:sz="0" w:space="0" w:color="auto"/>
            <w:right w:val="none" w:sz="0" w:space="0" w:color="auto"/>
          </w:divBdr>
        </w:div>
        <w:div w:id="120611180">
          <w:marLeft w:val="0"/>
          <w:marRight w:val="0"/>
          <w:marTop w:val="0"/>
          <w:marBottom w:val="0"/>
          <w:divBdr>
            <w:top w:val="none" w:sz="0" w:space="0" w:color="auto"/>
            <w:left w:val="none" w:sz="0" w:space="0" w:color="auto"/>
            <w:bottom w:val="none" w:sz="0" w:space="0" w:color="auto"/>
            <w:right w:val="none" w:sz="0" w:space="0" w:color="auto"/>
          </w:divBdr>
        </w:div>
        <w:div w:id="169951509">
          <w:marLeft w:val="0"/>
          <w:marRight w:val="0"/>
          <w:marTop w:val="0"/>
          <w:marBottom w:val="0"/>
          <w:divBdr>
            <w:top w:val="none" w:sz="0" w:space="0" w:color="auto"/>
            <w:left w:val="none" w:sz="0" w:space="0" w:color="auto"/>
            <w:bottom w:val="none" w:sz="0" w:space="0" w:color="auto"/>
            <w:right w:val="none" w:sz="0" w:space="0" w:color="auto"/>
          </w:divBdr>
        </w:div>
        <w:div w:id="201677585">
          <w:marLeft w:val="0"/>
          <w:marRight w:val="0"/>
          <w:marTop w:val="0"/>
          <w:marBottom w:val="0"/>
          <w:divBdr>
            <w:top w:val="none" w:sz="0" w:space="0" w:color="auto"/>
            <w:left w:val="none" w:sz="0" w:space="0" w:color="auto"/>
            <w:bottom w:val="none" w:sz="0" w:space="0" w:color="auto"/>
            <w:right w:val="none" w:sz="0" w:space="0" w:color="auto"/>
          </w:divBdr>
        </w:div>
        <w:div w:id="219099790">
          <w:marLeft w:val="0"/>
          <w:marRight w:val="0"/>
          <w:marTop w:val="0"/>
          <w:marBottom w:val="0"/>
          <w:divBdr>
            <w:top w:val="none" w:sz="0" w:space="0" w:color="auto"/>
            <w:left w:val="none" w:sz="0" w:space="0" w:color="auto"/>
            <w:bottom w:val="none" w:sz="0" w:space="0" w:color="auto"/>
            <w:right w:val="none" w:sz="0" w:space="0" w:color="auto"/>
          </w:divBdr>
        </w:div>
        <w:div w:id="224488999">
          <w:marLeft w:val="0"/>
          <w:marRight w:val="0"/>
          <w:marTop w:val="0"/>
          <w:marBottom w:val="0"/>
          <w:divBdr>
            <w:top w:val="none" w:sz="0" w:space="0" w:color="auto"/>
            <w:left w:val="none" w:sz="0" w:space="0" w:color="auto"/>
            <w:bottom w:val="none" w:sz="0" w:space="0" w:color="auto"/>
            <w:right w:val="none" w:sz="0" w:space="0" w:color="auto"/>
          </w:divBdr>
        </w:div>
        <w:div w:id="289744708">
          <w:marLeft w:val="0"/>
          <w:marRight w:val="0"/>
          <w:marTop w:val="0"/>
          <w:marBottom w:val="0"/>
          <w:divBdr>
            <w:top w:val="none" w:sz="0" w:space="0" w:color="auto"/>
            <w:left w:val="none" w:sz="0" w:space="0" w:color="auto"/>
            <w:bottom w:val="none" w:sz="0" w:space="0" w:color="auto"/>
            <w:right w:val="none" w:sz="0" w:space="0" w:color="auto"/>
          </w:divBdr>
        </w:div>
        <w:div w:id="294026494">
          <w:marLeft w:val="0"/>
          <w:marRight w:val="0"/>
          <w:marTop w:val="0"/>
          <w:marBottom w:val="0"/>
          <w:divBdr>
            <w:top w:val="none" w:sz="0" w:space="0" w:color="auto"/>
            <w:left w:val="none" w:sz="0" w:space="0" w:color="auto"/>
            <w:bottom w:val="none" w:sz="0" w:space="0" w:color="auto"/>
            <w:right w:val="none" w:sz="0" w:space="0" w:color="auto"/>
          </w:divBdr>
        </w:div>
        <w:div w:id="442379048">
          <w:marLeft w:val="0"/>
          <w:marRight w:val="0"/>
          <w:marTop w:val="0"/>
          <w:marBottom w:val="0"/>
          <w:divBdr>
            <w:top w:val="none" w:sz="0" w:space="0" w:color="auto"/>
            <w:left w:val="none" w:sz="0" w:space="0" w:color="auto"/>
            <w:bottom w:val="none" w:sz="0" w:space="0" w:color="auto"/>
            <w:right w:val="none" w:sz="0" w:space="0" w:color="auto"/>
          </w:divBdr>
        </w:div>
        <w:div w:id="550073469">
          <w:marLeft w:val="0"/>
          <w:marRight w:val="0"/>
          <w:marTop w:val="0"/>
          <w:marBottom w:val="0"/>
          <w:divBdr>
            <w:top w:val="none" w:sz="0" w:space="0" w:color="auto"/>
            <w:left w:val="none" w:sz="0" w:space="0" w:color="auto"/>
            <w:bottom w:val="none" w:sz="0" w:space="0" w:color="auto"/>
            <w:right w:val="none" w:sz="0" w:space="0" w:color="auto"/>
          </w:divBdr>
        </w:div>
        <w:div w:id="551188384">
          <w:marLeft w:val="0"/>
          <w:marRight w:val="0"/>
          <w:marTop w:val="0"/>
          <w:marBottom w:val="0"/>
          <w:divBdr>
            <w:top w:val="none" w:sz="0" w:space="0" w:color="auto"/>
            <w:left w:val="none" w:sz="0" w:space="0" w:color="auto"/>
            <w:bottom w:val="none" w:sz="0" w:space="0" w:color="auto"/>
            <w:right w:val="none" w:sz="0" w:space="0" w:color="auto"/>
          </w:divBdr>
        </w:div>
        <w:div w:id="603222651">
          <w:marLeft w:val="0"/>
          <w:marRight w:val="0"/>
          <w:marTop w:val="0"/>
          <w:marBottom w:val="0"/>
          <w:divBdr>
            <w:top w:val="none" w:sz="0" w:space="0" w:color="auto"/>
            <w:left w:val="none" w:sz="0" w:space="0" w:color="auto"/>
            <w:bottom w:val="none" w:sz="0" w:space="0" w:color="auto"/>
            <w:right w:val="none" w:sz="0" w:space="0" w:color="auto"/>
          </w:divBdr>
        </w:div>
        <w:div w:id="659771034">
          <w:marLeft w:val="0"/>
          <w:marRight w:val="0"/>
          <w:marTop w:val="0"/>
          <w:marBottom w:val="0"/>
          <w:divBdr>
            <w:top w:val="none" w:sz="0" w:space="0" w:color="auto"/>
            <w:left w:val="none" w:sz="0" w:space="0" w:color="auto"/>
            <w:bottom w:val="none" w:sz="0" w:space="0" w:color="auto"/>
            <w:right w:val="none" w:sz="0" w:space="0" w:color="auto"/>
          </w:divBdr>
        </w:div>
        <w:div w:id="765614074">
          <w:marLeft w:val="0"/>
          <w:marRight w:val="0"/>
          <w:marTop w:val="0"/>
          <w:marBottom w:val="0"/>
          <w:divBdr>
            <w:top w:val="none" w:sz="0" w:space="0" w:color="auto"/>
            <w:left w:val="none" w:sz="0" w:space="0" w:color="auto"/>
            <w:bottom w:val="none" w:sz="0" w:space="0" w:color="auto"/>
            <w:right w:val="none" w:sz="0" w:space="0" w:color="auto"/>
          </w:divBdr>
        </w:div>
        <w:div w:id="838349017">
          <w:marLeft w:val="0"/>
          <w:marRight w:val="0"/>
          <w:marTop w:val="0"/>
          <w:marBottom w:val="0"/>
          <w:divBdr>
            <w:top w:val="none" w:sz="0" w:space="0" w:color="auto"/>
            <w:left w:val="none" w:sz="0" w:space="0" w:color="auto"/>
            <w:bottom w:val="none" w:sz="0" w:space="0" w:color="auto"/>
            <w:right w:val="none" w:sz="0" w:space="0" w:color="auto"/>
          </w:divBdr>
        </w:div>
        <w:div w:id="915558545">
          <w:marLeft w:val="0"/>
          <w:marRight w:val="0"/>
          <w:marTop w:val="0"/>
          <w:marBottom w:val="0"/>
          <w:divBdr>
            <w:top w:val="none" w:sz="0" w:space="0" w:color="auto"/>
            <w:left w:val="none" w:sz="0" w:space="0" w:color="auto"/>
            <w:bottom w:val="none" w:sz="0" w:space="0" w:color="auto"/>
            <w:right w:val="none" w:sz="0" w:space="0" w:color="auto"/>
          </w:divBdr>
        </w:div>
        <w:div w:id="920065716">
          <w:marLeft w:val="0"/>
          <w:marRight w:val="0"/>
          <w:marTop w:val="0"/>
          <w:marBottom w:val="0"/>
          <w:divBdr>
            <w:top w:val="none" w:sz="0" w:space="0" w:color="auto"/>
            <w:left w:val="none" w:sz="0" w:space="0" w:color="auto"/>
            <w:bottom w:val="none" w:sz="0" w:space="0" w:color="auto"/>
            <w:right w:val="none" w:sz="0" w:space="0" w:color="auto"/>
          </w:divBdr>
        </w:div>
        <w:div w:id="965545555">
          <w:marLeft w:val="0"/>
          <w:marRight w:val="0"/>
          <w:marTop w:val="0"/>
          <w:marBottom w:val="0"/>
          <w:divBdr>
            <w:top w:val="none" w:sz="0" w:space="0" w:color="auto"/>
            <w:left w:val="none" w:sz="0" w:space="0" w:color="auto"/>
            <w:bottom w:val="none" w:sz="0" w:space="0" w:color="auto"/>
            <w:right w:val="none" w:sz="0" w:space="0" w:color="auto"/>
          </w:divBdr>
        </w:div>
        <w:div w:id="997732895">
          <w:marLeft w:val="0"/>
          <w:marRight w:val="0"/>
          <w:marTop w:val="0"/>
          <w:marBottom w:val="0"/>
          <w:divBdr>
            <w:top w:val="none" w:sz="0" w:space="0" w:color="auto"/>
            <w:left w:val="none" w:sz="0" w:space="0" w:color="auto"/>
            <w:bottom w:val="none" w:sz="0" w:space="0" w:color="auto"/>
            <w:right w:val="none" w:sz="0" w:space="0" w:color="auto"/>
          </w:divBdr>
        </w:div>
        <w:div w:id="1032608233">
          <w:marLeft w:val="0"/>
          <w:marRight w:val="0"/>
          <w:marTop w:val="0"/>
          <w:marBottom w:val="0"/>
          <w:divBdr>
            <w:top w:val="none" w:sz="0" w:space="0" w:color="auto"/>
            <w:left w:val="none" w:sz="0" w:space="0" w:color="auto"/>
            <w:bottom w:val="none" w:sz="0" w:space="0" w:color="auto"/>
            <w:right w:val="none" w:sz="0" w:space="0" w:color="auto"/>
          </w:divBdr>
        </w:div>
        <w:div w:id="1194416402">
          <w:marLeft w:val="0"/>
          <w:marRight w:val="0"/>
          <w:marTop w:val="0"/>
          <w:marBottom w:val="0"/>
          <w:divBdr>
            <w:top w:val="none" w:sz="0" w:space="0" w:color="auto"/>
            <w:left w:val="none" w:sz="0" w:space="0" w:color="auto"/>
            <w:bottom w:val="none" w:sz="0" w:space="0" w:color="auto"/>
            <w:right w:val="none" w:sz="0" w:space="0" w:color="auto"/>
          </w:divBdr>
        </w:div>
        <w:div w:id="1201170449">
          <w:marLeft w:val="0"/>
          <w:marRight w:val="0"/>
          <w:marTop w:val="0"/>
          <w:marBottom w:val="0"/>
          <w:divBdr>
            <w:top w:val="none" w:sz="0" w:space="0" w:color="auto"/>
            <w:left w:val="none" w:sz="0" w:space="0" w:color="auto"/>
            <w:bottom w:val="none" w:sz="0" w:space="0" w:color="auto"/>
            <w:right w:val="none" w:sz="0" w:space="0" w:color="auto"/>
          </w:divBdr>
        </w:div>
        <w:div w:id="1346709925">
          <w:marLeft w:val="0"/>
          <w:marRight w:val="0"/>
          <w:marTop w:val="0"/>
          <w:marBottom w:val="0"/>
          <w:divBdr>
            <w:top w:val="none" w:sz="0" w:space="0" w:color="auto"/>
            <w:left w:val="none" w:sz="0" w:space="0" w:color="auto"/>
            <w:bottom w:val="none" w:sz="0" w:space="0" w:color="auto"/>
            <w:right w:val="none" w:sz="0" w:space="0" w:color="auto"/>
          </w:divBdr>
        </w:div>
        <w:div w:id="1361511846">
          <w:marLeft w:val="0"/>
          <w:marRight w:val="0"/>
          <w:marTop w:val="0"/>
          <w:marBottom w:val="0"/>
          <w:divBdr>
            <w:top w:val="none" w:sz="0" w:space="0" w:color="auto"/>
            <w:left w:val="none" w:sz="0" w:space="0" w:color="auto"/>
            <w:bottom w:val="none" w:sz="0" w:space="0" w:color="auto"/>
            <w:right w:val="none" w:sz="0" w:space="0" w:color="auto"/>
          </w:divBdr>
        </w:div>
        <w:div w:id="1366753637">
          <w:marLeft w:val="0"/>
          <w:marRight w:val="0"/>
          <w:marTop w:val="0"/>
          <w:marBottom w:val="0"/>
          <w:divBdr>
            <w:top w:val="none" w:sz="0" w:space="0" w:color="auto"/>
            <w:left w:val="none" w:sz="0" w:space="0" w:color="auto"/>
            <w:bottom w:val="none" w:sz="0" w:space="0" w:color="auto"/>
            <w:right w:val="none" w:sz="0" w:space="0" w:color="auto"/>
          </w:divBdr>
        </w:div>
        <w:div w:id="1404372651">
          <w:marLeft w:val="0"/>
          <w:marRight w:val="0"/>
          <w:marTop w:val="0"/>
          <w:marBottom w:val="0"/>
          <w:divBdr>
            <w:top w:val="none" w:sz="0" w:space="0" w:color="auto"/>
            <w:left w:val="none" w:sz="0" w:space="0" w:color="auto"/>
            <w:bottom w:val="none" w:sz="0" w:space="0" w:color="auto"/>
            <w:right w:val="none" w:sz="0" w:space="0" w:color="auto"/>
          </w:divBdr>
        </w:div>
        <w:div w:id="1406293219">
          <w:marLeft w:val="0"/>
          <w:marRight w:val="0"/>
          <w:marTop w:val="0"/>
          <w:marBottom w:val="0"/>
          <w:divBdr>
            <w:top w:val="none" w:sz="0" w:space="0" w:color="auto"/>
            <w:left w:val="none" w:sz="0" w:space="0" w:color="auto"/>
            <w:bottom w:val="none" w:sz="0" w:space="0" w:color="auto"/>
            <w:right w:val="none" w:sz="0" w:space="0" w:color="auto"/>
          </w:divBdr>
        </w:div>
        <w:div w:id="1487669652">
          <w:marLeft w:val="0"/>
          <w:marRight w:val="0"/>
          <w:marTop w:val="0"/>
          <w:marBottom w:val="0"/>
          <w:divBdr>
            <w:top w:val="none" w:sz="0" w:space="0" w:color="auto"/>
            <w:left w:val="none" w:sz="0" w:space="0" w:color="auto"/>
            <w:bottom w:val="none" w:sz="0" w:space="0" w:color="auto"/>
            <w:right w:val="none" w:sz="0" w:space="0" w:color="auto"/>
          </w:divBdr>
        </w:div>
        <w:div w:id="1488669431">
          <w:marLeft w:val="0"/>
          <w:marRight w:val="0"/>
          <w:marTop w:val="0"/>
          <w:marBottom w:val="0"/>
          <w:divBdr>
            <w:top w:val="none" w:sz="0" w:space="0" w:color="auto"/>
            <w:left w:val="none" w:sz="0" w:space="0" w:color="auto"/>
            <w:bottom w:val="none" w:sz="0" w:space="0" w:color="auto"/>
            <w:right w:val="none" w:sz="0" w:space="0" w:color="auto"/>
          </w:divBdr>
        </w:div>
        <w:div w:id="1551454522">
          <w:marLeft w:val="0"/>
          <w:marRight w:val="0"/>
          <w:marTop w:val="0"/>
          <w:marBottom w:val="0"/>
          <w:divBdr>
            <w:top w:val="none" w:sz="0" w:space="0" w:color="auto"/>
            <w:left w:val="none" w:sz="0" w:space="0" w:color="auto"/>
            <w:bottom w:val="none" w:sz="0" w:space="0" w:color="auto"/>
            <w:right w:val="none" w:sz="0" w:space="0" w:color="auto"/>
          </w:divBdr>
        </w:div>
        <w:div w:id="1612587087">
          <w:marLeft w:val="0"/>
          <w:marRight w:val="0"/>
          <w:marTop w:val="0"/>
          <w:marBottom w:val="0"/>
          <w:divBdr>
            <w:top w:val="none" w:sz="0" w:space="0" w:color="auto"/>
            <w:left w:val="none" w:sz="0" w:space="0" w:color="auto"/>
            <w:bottom w:val="none" w:sz="0" w:space="0" w:color="auto"/>
            <w:right w:val="none" w:sz="0" w:space="0" w:color="auto"/>
          </w:divBdr>
        </w:div>
        <w:div w:id="1680040748">
          <w:marLeft w:val="0"/>
          <w:marRight w:val="0"/>
          <w:marTop w:val="0"/>
          <w:marBottom w:val="0"/>
          <w:divBdr>
            <w:top w:val="none" w:sz="0" w:space="0" w:color="auto"/>
            <w:left w:val="none" w:sz="0" w:space="0" w:color="auto"/>
            <w:bottom w:val="none" w:sz="0" w:space="0" w:color="auto"/>
            <w:right w:val="none" w:sz="0" w:space="0" w:color="auto"/>
          </w:divBdr>
        </w:div>
        <w:div w:id="1724711456">
          <w:marLeft w:val="0"/>
          <w:marRight w:val="0"/>
          <w:marTop w:val="0"/>
          <w:marBottom w:val="0"/>
          <w:divBdr>
            <w:top w:val="none" w:sz="0" w:space="0" w:color="auto"/>
            <w:left w:val="none" w:sz="0" w:space="0" w:color="auto"/>
            <w:bottom w:val="none" w:sz="0" w:space="0" w:color="auto"/>
            <w:right w:val="none" w:sz="0" w:space="0" w:color="auto"/>
          </w:divBdr>
        </w:div>
        <w:div w:id="1890798308">
          <w:marLeft w:val="0"/>
          <w:marRight w:val="0"/>
          <w:marTop w:val="0"/>
          <w:marBottom w:val="0"/>
          <w:divBdr>
            <w:top w:val="none" w:sz="0" w:space="0" w:color="auto"/>
            <w:left w:val="none" w:sz="0" w:space="0" w:color="auto"/>
            <w:bottom w:val="none" w:sz="0" w:space="0" w:color="auto"/>
            <w:right w:val="none" w:sz="0" w:space="0" w:color="auto"/>
          </w:divBdr>
        </w:div>
        <w:div w:id="1959606231">
          <w:marLeft w:val="0"/>
          <w:marRight w:val="0"/>
          <w:marTop w:val="0"/>
          <w:marBottom w:val="0"/>
          <w:divBdr>
            <w:top w:val="none" w:sz="0" w:space="0" w:color="auto"/>
            <w:left w:val="none" w:sz="0" w:space="0" w:color="auto"/>
            <w:bottom w:val="none" w:sz="0" w:space="0" w:color="auto"/>
            <w:right w:val="none" w:sz="0" w:space="0" w:color="auto"/>
          </w:divBdr>
        </w:div>
        <w:div w:id="2001763699">
          <w:marLeft w:val="0"/>
          <w:marRight w:val="0"/>
          <w:marTop w:val="0"/>
          <w:marBottom w:val="0"/>
          <w:divBdr>
            <w:top w:val="none" w:sz="0" w:space="0" w:color="auto"/>
            <w:left w:val="none" w:sz="0" w:space="0" w:color="auto"/>
            <w:bottom w:val="none" w:sz="0" w:space="0" w:color="auto"/>
            <w:right w:val="none" w:sz="0" w:space="0" w:color="auto"/>
          </w:divBdr>
        </w:div>
        <w:div w:id="2048791305">
          <w:marLeft w:val="0"/>
          <w:marRight w:val="0"/>
          <w:marTop w:val="0"/>
          <w:marBottom w:val="0"/>
          <w:divBdr>
            <w:top w:val="none" w:sz="0" w:space="0" w:color="auto"/>
            <w:left w:val="none" w:sz="0" w:space="0" w:color="auto"/>
            <w:bottom w:val="none" w:sz="0" w:space="0" w:color="auto"/>
            <w:right w:val="none" w:sz="0" w:space="0" w:color="auto"/>
          </w:divBdr>
        </w:div>
        <w:div w:id="2058049065">
          <w:marLeft w:val="0"/>
          <w:marRight w:val="0"/>
          <w:marTop w:val="0"/>
          <w:marBottom w:val="0"/>
          <w:divBdr>
            <w:top w:val="none" w:sz="0" w:space="0" w:color="auto"/>
            <w:left w:val="none" w:sz="0" w:space="0" w:color="auto"/>
            <w:bottom w:val="none" w:sz="0" w:space="0" w:color="auto"/>
            <w:right w:val="none" w:sz="0" w:space="0" w:color="auto"/>
          </w:divBdr>
        </w:div>
        <w:div w:id="2070227818">
          <w:marLeft w:val="0"/>
          <w:marRight w:val="0"/>
          <w:marTop w:val="0"/>
          <w:marBottom w:val="0"/>
          <w:divBdr>
            <w:top w:val="none" w:sz="0" w:space="0" w:color="auto"/>
            <w:left w:val="none" w:sz="0" w:space="0" w:color="auto"/>
            <w:bottom w:val="none" w:sz="0" w:space="0" w:color="auto"/>
            <w:right w:val="none" w:sz="0" w:space="0" w:color="auto"/>
          </w:divBdr>
        </w:div>
        <w:div w:id="2103795393">
          <w:marLeft w:val="0"/>
          <w:marRight w:val="0"/>
          <w:marTop w:val="0"/>
          <w:marBottom w:val="0"/>
          <w:divBdr>
            <w:top w:val="none" w:sz="0" w:space="0" w:color="auto"/>
            <w:left w:val="none" w:sz="0" w:space="0" w:color="auto"/>
            <w:bottom w:val="none" w:sz="0" w:space="0" w:color="auto"/>
            <w:right w:val="none" w:sz="0" w:space="0" w:color="auto"/>
          </w:divBdr>
        </w:div>
        <w:div w:id="2109502307">
          <w:marLeft w:val="0"/>
          <w:marRight w:val="0"/>
          <w:marTop w:val="0"/>
          <w:marBottom w:val="0"/>
          <w:divBdr>
            <w:top w:val="none" w:sz="0" w:space="0" w:color="auto"/>
            <w:left w:val="none" w:sz="0" w:space="0" w:color="auto"/>
            <w:bottom w:val="none" w:sz="0" w:space="0" w:color="auto"/>
            <w:right w:val="none" w:sz="0" w:space="0" w:color="auto"/>
          </w:divBdr>
        </w:div>
        <w:div w:id="2126001760">
          <w:marLeft w:val="0"/>
          <w:marRight w:val="0"/>
          <w:marTop w:val="0"/>
          <w:marBottom w:val="0"/>
          <w:divBdr>
            <w:top w:val="none" w:sz="0" w:space="0" w:color="auto"/>
            <w:left w:val="none" w:sz="0" w:space="0" w:color="auto"/>
            <w:bottom w:val="none" w:sz="0" w:space="0" w:color="auto"/>
            <w:right w:val="none" w:sz="0" w:space="0" w:color="auto"/>
          </w:divBdr>
        </w:div>
      </w:divsChild>
    </w:div>
    <w:div w:id="868224459">
      <w:bodyDiv w:val="1"/>
      <w:marLeft w:val="0"/>
      <w:marRight w:val="0"/>
      <w:marTop w:val="0"/>
      <w:marBottom w:val="0"/>
      <w:divBdr>
        <w:top w:val="none" w:sz="0" w:space="0" w:color="auto"/>
        <w:left w:val="none" w:sz="0" w:space="0" w:color="auto"/>
        <w:bottom w:val="none" w:sz="0" w:space="0" w:color="auto"/>
        <w:right w:val="none" w:sz="0" w:space="0" w:color="auto"/>
      </w:divBdr>
    </w:div>
    <w:div w:id="932199863">
      <w:bodyDiv w:val="1"/>
      <w:marLeft w:val="0"/>
      <w:marRight w:val="0"/>
      <w:marTop w:val="0"/>
      <w:marBottom w:val="0"/>
      <w:divBdr>
        <w:top w:val="none" w:sz="0" w:space="0" w:color="auto"/>
        <w:left w:val="none" w:sz="0" w:space="0" w:color="auto"/>
        <w:bottom w:val="none" w:sz="0" w:space="0" w:color="auto"/>
        <w:right w:val="none" w:sz="0" w:space="0" w:color="auto"/>
      </w:divBdr>
    </w:div>
    <w:div w:id="997000700">
      <w:bodyDiv w:val="1"/>
      <w:marLeft w:val="0"/>
      <w:marRight w:val="0"/>
      <w:marTop w:val="0"/>
      <w:marBottom w:val="0"/>
      <w:divBdr>
        <w:top w:val="none" w:sz="0" w:space="0" w:color="auto"/>
        <w:left w:val="none" w:sz="0" w:space="0" w:color="auto"/>
        <w:bottom w:val="none" w:sz="0" w:space="0" w:color="auto"/>
        <w:right w:val="none" w:sz="0" w:space="0" w:color="auto"/>
      </w:divBdr>
    </w:div>
    <w:div w:id="1032337710">
      <w:bodyDiv w:val="1"/>
      <w:marLeft w:val="0"/>
      <w:marRight w:val="0"/>
      <w:marTop w:val="0"/>
      <w:marBottom w:val="0"/>
      <w:divBdr>
        <w:top w:val="none" w:sz="0" w:space="0" w:color="auto"/>
        <w:left w:val="none" w:sz="0" w:space="0" w:color="auto"/>
        <w:bottom w:val="none" w:sz="0" w:space="0" w:color="auto"/>
        <w:right w:val="none" w:sz="0" w:space="0" w:color="auto"/>
      </w:divBdr>
      <w:divsChild>
        <w:div w:id="178086204">
          <w:marLeft w:val="0"/>
          <w:marRight w:val="0"/>
          <w:marTop w:val="0"/>
          <w:marBottom w:val="0"/>
          <w:divBdr>
            <w:top w:val="none" w:sz="0" w:space="0" w:color="auto"/>
            <w:left w:val="none" w:sz="0" w:space="0" w:color="auto"/>
            <w:bottom w:val="none" w:sz="0" w:space="0" w:color="auto"/>
            <w:right w:val="none" w:sz="0" w:space="0" w:color="auto"/>
          </w:divBdr>
          <w:divsChild>
            <w:div w:id="1290815847">
              <w:marLeft w:val="0"/>
              <w:marRight w:val="0"/>
              <w:marTop w:val="0"/>
              <w:marBottom w:val="0"/>
              <w:divBdr>
                <w:top w:val="none" w:sz="0" w:space="0" w:color="auto"/>
                <w:left w:val="none" w:sz="0" w:space="0" w:color="auto"/>
                <w:bottom w:val="none" w:sz="0" w:space="0" w:color="auto"/>
                <w:right w:val="none" w:sz="0" w:space="0" w:color="auto"/>
              </w:divBdr>
              <w:divsChild>
                <w:div w:id="16809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0919">
      <w:bodyDiv w:val="1"/>
      <w:marLeft w:val="0"/>
      <w:marRight w:val="0"/>
      <w:marTop w:val="0"/>
      <w:marBottom w:val="0"/>
      <w:divBdr>
        <w:top w:val="none" w:sz="0" w:space="0" w:color="auto"/>
        <w:left w:val="none" w:sz="0" w:space="0" w:color="auto"/>
        <w:bottom w:val="none" w:sz="0" w:space="0" w:color="auto"/>
        <w:right w:val="none" w:sz="0" w:space="0" w:color="auto"/>
      </w:divBdr>
    </w:div>
    <w:div w:id="1051928990">
      <w:bodyDiv w:val="1"/>
      <w:marLeft w:val="0"/>
      <w:marRight w:val="0"/>
      <w:marTop w:val="0"/>
      <w:marBottom w:val="0"/>
      <w:divBdr>
        <w:top w:val="none" w:sz="0" w:space="0" w:color="auto"/>
        <w:left w:val="none" w:sz="0" w:space="0" w:color="auto"/>
        <w:bottom w:val="none" w:sz="0" w:space="0" w:color="auto"/>
        <w:right w:val="none" w:sz="0" w:space="0" w:color="auto"/>
      </w:divBdr>
    </w:div>
    <w:div w:id="1086154078">
      <w:bodyDiv w:val="1"/>
      <w:marLeft w:val="0"/>
      <w:marRight w:val="0"/>
      <w:marTop w:val="0"/>
      <w:marBottom w:val="0"/>
      <w:divBdr>
        <w:top w:val="none" w:sz="0" w:space="0" w:color="auto"/>
        <w:left w:val="none" w:sz="0" w:space="0" w:color="auto"/>
        <w:bottom w:val="none" w:sz="0" w:space="0" w:color="auto"/>
        <w:right w:val="none" w:sz="0" w:space="0" w:color="auto"/>
      </w:divBdr>
      <w:divsChild>
        <w:div w:id="233127331">
          <w:marLeft w:val="0"/>
          <w:marRight w:val="0"/>
          <w:marTop w:val="0"/>
          <w:marBottom w:val="0"/>
          <w:divBdr>
            <w:top w:val="none" w:sz="0" w:space="0" w:color="auto"/>
            <w:left w:val="none" w:sz="0" w:space="0" w:color="auto"/>
            <w:bottom w:val="none" w:sz="0" w:space="0" w:color="auto"/>
            <w:right w:val="none" w:sz="0" w:space="0" w:color="auto"/>
          </w:divBdr>
        </w:div>
      </w:divsChild>
    </w:div>
    <w:div w:id="1112474831">
      <w:bodyDiv w:val="1"/>
      <w:marLeft w:val="0"/>
      <w:marRight w:val="0"/>
      <w:marTop w:val="0"/>
      <w:marBottom w:val="0"/>
      <w:divBdr>
        <w:top w:val="none" w:sz="0" w:space="0" w:color="auto"/>
        <w:left w:val="none" w:sz="0" w:space="0" w:color="auto"/>
        <w:bottom w:val="none" w:sz="0" w:space="0" w:color="auto"/>
        <w:right w:val="none" w:sz="0" w:space="0" w:color="auto"/>
      </w:divBdr>
      <w:divsChild>
        <w:div w:id="1133713665">
          <w:marLeft w:val="0"/>
          <w:marRight w:val="0"/>
          <w:marTop w:val="0"/>
          <w:marBottom w:val="0"/>
          <w:divBdr>
            <w:top w:val="none" w:sz="0" w:space="0" w:color="auto"/>
            <w:left w:val="none" w:sz="0" w:space="0" w:color="auto"/>
            <w:bottom w:val="none" w:sz="0" w:space="0" w:color="auto"/>
            <w:right w:val="none" w:sz="0" w:space="0" w:color="auto"/>
          </w:divBdr>
        </w:div>
      </w:divsChild>
    </w:div>
    <w:div w:id="1114441885">
      <w:bodyDiv w:val="1"/>
      <w:marLeft w:val="0"/>
      <w:marRight w:val="0"/>
      <w:marTop w:val="0"/>
      <w:marBottom w:val="0"/>
      <w:divBdr>
        <w:top w:val="none" w:sz="0" w:space="0" w:color="auto"/>
        <w:left w:val="none" w:sz="0" w:space="0" w:color="auto"/>
        <w:bottom w:val="none" w:sz="0" w:space="0" w:color="auto"/>
        <w:right w:val="none" w:sz="0" w:space="0" w:color="auto"/>
      </w:divBdr>
    </w:div>
    <w:div w:id="1128009252">
      <w:bodyDiv w:val="1"/>
      <w:marLeft w:val="0"/>
      <w:marRight w:val="0"/>
      <w:marTop w:val="0"/>
      <w:marBottom w:val="0"/>
      <w:divBdr>
        <w:top w:val="none" w:sz="0" w:space="0" w:color="auto"/>
        <w:left w:val="none" w:sz="0" w:space="0" w:color="auto"/>
        <w:bottom w:val="none" w:sz="0" w:space="0" w:color="auto"/>
        <w:right w:val="none" w:sz="0" w:space="0" w:color="auto"/>
      </w:divBdr>
    </w:div>
    <w:div w:id="1164779366">
      <w:bodyDiv w:val="1"/>
      <w:marLeft w:val="0"/>
      <w:marRight w:val="0"/>
      <w:marTop w:val="0"/>
      <w:marBottom w:val="0"/>
      <w:divBdr>
        <w:top w:val="none" w:sz="0" w:space="0" w:color="auto"/>
        <w:left w:val="none" w:sz="0" w:space="0" w:color="auto"/>
        <w:bottom w:val="none" w:sz="0" w:space="0" w:color="auto"/>
        <w:right w:val="none" w:sz="0" w:space="0" w:color="auto"/>
      </w:divBdr>
    </w:div>
    <w:div w:id="1175654772">
      <w:bodyDiv w:val="1"/>
      <w:marLeft w:val="0"/>
      <w:marRight w:val="0"/>
      <w:marTop w:val="0"/>
      <w:marBottom w:val="0"/>
      <w:divBdr>
        <w:top w:val="none" w:sz="0" w:space="0" w:color="auto"/>
        <w:left w:val="none" w:sz="0" w:space="0" w:color="auto"/>
        <w:bottom w:val="none" w:sz="0" w:space="0" w:color="auto"/>
        <w:right w:val="none" w:sz="0" w:space="0" w:color="auto"/>
      </w:divBdr>
      <w:divsChild>
        <w:div w:id="525220115">
          <w:marLeft w:val="0"/>
          <w:marRight w:val="0"/>
          <w:marTop w:val="0"/>
          <w:marBottom w:val="0"/>
          <w:divBdr>
            <w:top w:val="none" w:sz="0" w:space="0" w:color="auto"/>
            <w:left w:val="none" w:sz="0" w:space="0" w:color="auto"/>
            <w:bottom w:val="none" w:sz="0" w:space="0" w:color="auto"/>
            <w:right w:val="none" w:sz="0" w:space="0" w:color="auto"/>
          </w:divBdr>
        </w:div>
        <w:div w:id="596445320">
          <w:marLeft w:val="0"/>
          <w:marRight w:val="0"/>
          <w:marTop w:val="0"/>
          <w:marBottom w:val="0"/>
          <w:divBdr>
            <w:top w:val="none" w:sz="0" w:space="0" w:color="auto"/>
            <w:left w:val="none" w:sz="0" w:space="0" w:color="auto"/>
            <w:bottom w:val="none" w:sz="0" w:space="0" w:color="auto"/>
            <w:right w:val="none" w:sz="0" w:space="0" w:color="auto"/>
          </w:divBdr>
        </w:div>
      </w:divsChild>
    </w:div>
    <w:div w:id="1192305921">
      <w:bodyDiv w:val="1"/>
      <w:marLeft w:val="0"/>
      <w:marRight w:val="0"/>
      <w:marTop w:val="0"/>
      <w:marBottom w:val="0"/>
      <w:divBdr>
        <w:top w:val="none" w:sz="0" w:space="0" w:color="auto"/>
        <w:left w:val="none" w:sz="0" w:space="0" w:color="auto"/>
        <w:bottom w:val="none" w:sz="0" w:space="0" w:color="auto"/>
        <w:right w:val="none" w:sz="0" w:space="0" w:color="auto"/>
      </w:divBdr>
      <w:divsChild>
        <w:div w:id="751586982">
          <w:marLeft w:val="0"/>
          <w:marRight w:val="0"/>
          <w:marTop w:val="0"/>
          <w:marBottom w:val="0"/>
          <w:divBdr>
            <w:top w:val="none" w:sz="0" w:space="0" w:color="auto"/>
            <w:left w:val="none" w:sz="0" w:space="0" w:color="auto"/>
            <w:bottom w:val="none" w:sz="0" w:space="0" w:color="auto"/>
            <w:right w:val="none" w:sz="0" w:space="0" w:color="auto"/>
          </w:divBdr>
        </w:div>
        <w:div w:id="1846312792">
          <w:marLeft w:val="0"/>
          <w:marRight w:val="0"/>
          <w:marTop w:val="0"/>
          <w:marBottom w:val="0"/>
          <w:divBdr>
            <w:top w:val="none" w:sz="0" w:space="0" w:color="auto"/>
            <w:left w:val="none" w:sz="0" w:space="0" w:color="auto"/>
            <w:bottom w:val="none" w:sz="0" w:space="0" w:color="auto"/>
            <w:right w:val="none" w:sz="0" w:space="0" w:color="auto"/>
          </w:divBdr>
        </w:div>
        <w:div w:id="1893034968">
          <w:marLeft w:val="0"/>
          <w:marRight w:val="0"/>
          <w:marTop w:val="0"/>
          <w:marBottom w:val="0"/>
          <w:divBdr>
            <w:top w:val="none" w:sz="0" w:space="0" w:color="auto"/>
            <w:left w:val="none" w:sz="0" w:space="0" w:color="auto"/>
            <w:bottom w:val="none" w:sz="0" w:space="0" w:color="auto"/>
            <w:right w:val="none" w:sz="0" w:space="0" w:color="auto"/>
          </w:divBdr>
        </w:div>
        <w:div w:id="1927031298">
          <w:marLeft w:val="0"/>
          <w:marRight w:val="0"/>
          <w:marTop w:val="0"/>
          <w:marBottom w:val="0"/>
          <w:divBdr>
            <w:top w:val="none" w:sz="0" w:space="0" w:color="auto"/>
            <w:left w:val="none" w:sz="0" w:space="0" w:color="auto"/>
            <w:bottom w:val="none" w:sz="0" w:space="0" w:color="auto"/>
            <w:right w:val="none" w:sz="0" w:space="0" w:color="auto"/>
          </w:divBdr>
        </w:div>
      </w:divsChild>
    </w:div>
    <w:div w:id="1197305670">
      <w:bodyDiv w:val="1"/>
      <w:marLeft w:val="0"/>
      <w:marRight w:val="0"/>
      <w:marTop w:val="0"/>
      <w:marBottom w:val="0"/>
      <w:divBdr>
        <w:top w:val="none" w:sz="0" w:space="0" w:color="auto"/>
        <w:left w:val="none" w:sz="0" w:space="0" w:color="auto"/>
        <w:bottom w:val="none" w:sz="0" w:space="0" w:color="auto"/>
        <w:right w:val="none" w:sz="0" w:space="0" w:color="auto"/>
      </w:divBdr>
      <w:divsChild>
        <w:div w:id="1417358122">
          <w:marLeft w:val="0"/>
          <w:marRight w:val="0"/>
          <w:marTop w:val="0"/>
          <w:marBottom w:val="0"/>
          <w:divBdr>
            <w:top w:val="none" w:sz="0" w:space="0" w:color="auto"/>
            <w:left w:val="none" w:sz="0" w:space="0" w:color="auto"/>
            <w:bottom w:val="none" w:sz="0" w:space="0" w:color="auto"/>
            <w:right w:val="none" w:sz="0" w:space="0" w:color="auto"/>
          </w:divBdr>
        </w:div>
        <w:div w:id="1646742205">
          <w:marLeft w:val="0"/>
          <w:marRight w:val="0"/>
          <w:marTop w:val="0"/>
          <w:marBottom w:val="0"/>
          <w:divBdr>
            <w:top w:val="none" w:sz="0" w:space="0" w:color="auto"/>
            <w:left w:val="none" w:sz="0" w:space="0" w:color="auto"/>
            <w:bottom w:val="none" w:sz="0" w:space="0" w:color="auto"/>
            <w:right w:val="none" w:sz="0" w:space="0" w:color="auto"/>
          </w:divBdr>
        </w:div>
      </w:divsChild>
    </w:div>
    <w:div w:id="1198085259">
      <w:bodyDiv w:val="1"/>
      <w:marLeft w:val="0"/>
      <w:marRight w:val="0"/>
      <w:marTop w:val="0"/>
      <w:marBottom w:val="0"/>
      <w:divBdr>
        <w:top w:val="none" w:sz="0" w:space="0" w:color="auto"/>
        <w:left w:val="none" w:sz="0" w:space="0" w:color="auto"/>
        <w:bottom w:val="none" w:sz="0" w:space="0" w:color="auto"/>
        <w:right w:val="none" w:sz="0" w:space="0" w:color="auto"/>
      </w:divBdr>
    </w:div>
    <w:div w:id="1204713609">
      <w:bodyDiv w:val="1"/>
      <w:marLeft w:val="0"/>
      <w:marRight w:val="0"/>
      <w:marTop w:val="0"/>
      <w:marBottom w:val="0"/>
      <w:divBdr>
        <w:top w:val="none" w:sz="0" w:space="0" w:color="auto"/>
        <w:left w:val="none" w:sz="0" w:space="0" w:color="auto"/>
        <w:bottom w:val="none" w:sz="0" w:space="0" w:color="auto"/>
        <w:right w:val="none" w:sz="0" w:space="0" w:color="auto"/>
      </w:divBdr>
    </w:div>
    <w:div w:id="1209491484">
      <w:bodyDiv w:val="1"/>
      <w:marLeft w:val="0"/>
      <w:marRight w:val="0"/>
      <w:marTop w:val="0"/>
      <w:marBottom w:val="0"/>
      <w:divBdr>
        <w:top w:val="none" w:sz="0" w:space="0" w:color="auto"/>
        <w:left w:val="none" w:sz="0" w:space="0" w:color="auto"/>
        <w:bottom w:val="none" w:sz="0" w:space="0" w:color="auto"/>
        <w:right w:val="none" w:sz="0" w:space="0" w:color="auto"/>
      </w:divBdr>
      <w:divsChild>
        <w:div w:id="395512361">
          <w:marLeft w:val="0"/>
          <w:marRight w:val="0"/>
          <w:marTop w:val="0"/>
          <w:marBottom w:val="0"/>
          <w:divBdr>
            <w:top w:val="none" w:sz="0" w:space="0" w:color="auto"/>
            <w:left w:val="none" w:sz="0" w:space="0" w:color="auto"/>
            <w:bottom w:val="none" w:sz="0" w:space="0" w:color="auto"/>
            <w:right w:val="none" w:sz="0" w:space="0" w:color="auto"/>
          </w:divBdr>
        </w:div>
      </w:divsChild>
    </w:div>
    <w:div w:id="1221211077">
      <w:bodyDiv w:val="1"/>
      <w:marLeft w:val="0"/>
      <w:marRight w:val="0"/>
      <w:marTop w:val="0"/>
      <w:marBottom w:val="0"/>
      <w:divBdr>
        <w:top w:val="none" w:sz="0" w:space="0" w:color="auto"/>
        <w:left w:val="none" w:sz="0" w:space="0" w:color="auto"/>
        <w:bottom w:val="none" w:sz="0" w:space="0" w:color="auto"/>
        <w:right w:val="none" w:sz="0" w:space="0" w:color="auto"/>
      </w:divBdr>
    </w:div>
    <w:div w:id="1228152466">
      <w:bodyDiv w:val="1"/>
      <w:marLeft w:val="0"/>
      <w:marRight w:val="0"/>
      <w:marTop w:val="0"/>
      <w:marBottom w:val="0"/>
      <w:divBdr>
        <w:top w:val="none" w:sz="0" w:space="0" w:color="auto"/>
        <w:left w:val="none" w:sz="0" w:space="0" w:color="auto"/>
        <w:bottom w:val="none" w:sz="0" w:space="0" w:color="auto"/>
        <w:right w:val="none" w:sz="0" w:space="0" w:color="auto"/>
      </w:divBdr>
    </w:div>
    <w:div w:id="1244101300">
      <w:bodyDiv w:val="1"/>
      <w:marLeft w:val="0"/>
      <w:marRight w:val="0"/>
      <w:marTop w:val="0"/>
      <w:marBottom w:val="0"/>
      <w:divBdr>
        <w:top w:val="none" w:sz="0" w:space="0" w:color="auto"/>
        <w:left w:val="none" w:sz="0" w:space="0" w:color="auto"/>
        <w:bottom w:val="none" w:sz="0" w:space="0" w:color="auto"/>
        <w:right w:val="none" w:sz="0" w:space="0" w:color="auto"/>
      </w:divBdr>
    </w:div>
    <w:div w:id="1253318843">
      <w:bodyDiv w:val="1"/>
      <w:marLeft w:val="0"/>
      <w:marRight w:val="0"/>
      <w:marTop w:val="0"/>
      <w:marBottom w:val="0"/>
      <w:divBdr>
        <w:top w:val="none" w:sz="0" w:space="0" w:color="auto"/>
        <w:left w:val="none" w:sz="0" w:space="0" w:color="auto"/>
        <w:bottom w:val="none" w:sz="0" w:space="0" w:color="auto"/>
        <w:right w:val="none" w:sz="0" w:space="0" w:color="auto"/>
      </w:divBdr>
    </w:div>
    <w:div w:id="1261716787">
      <w:bodyDiv w:val="1"/>
      <w:marLeft w:val="0"/>
      <w:marRight w:val="0"/>
      <w:marTop w:val="0"/>
      <w:marBottom w:val="0"/>
      <w:divBdr>
        <w:top w:val="none" w:sz="0" w:space="0" w:color="auto"/>
        <w:left w:val="none" w:sz="0" w:space="0" w:color="auto"/>
        <w:bottom w:val="none" w:sz="0" w:space="0" w:color="auto"/>
        <w:right w:val="none" w:sz="0" w:space="0" w:color="auto"/>
      </w:divBdr>
      <w:divsChild>
        <w:div w:id="1160998575">
          <w:marLeft w:val="0"/>
          <w:marRight w:val="0"/>
          <w:marTop w:val="0"/>
          <w:marBottom w:val="0"/>
          <w:divBdr>
            <w:top w:val="none" w:sz="0" w:space="0" w:color="auto"/>
            <w:left w:val="none" w:sz="0" w:space="0" w:color="auto"/>
            <w:bottom w:val="none" w:sz="0" w:space="0" w:color="auto"/>
            <w:right w:val="none" w:sz="0" w:space="0" w:color="auto"/>
          </w:divBdr>
        </w:div>
      </w:divsChild>
    </w:div>
    <w:div w:id="1286765341">
      <w:bodyDiv w:val="1"/>
      <w:marLeft w:val="0"/>
      <w:marRight w:val="0"/>
      <w:marTop w:val="0"/>
      <w:marBottom w:val="0"/>
      <w:divBdr>
        <w:top w:val="none" w:sz="0" w:space="0" w:color="auto"/>
        <w:left w:val="none" w:sz="0" w:space="0" w:color="auto"/>
        <w:bottom w:val="none" w:sz="0" w:space="0" w:color="auto"/>
        <w:right w:val="none" w:sz="0" w:space="0" w:color="auto"/>
      </w:divBdr>
    </w:div>
    <w:div w:id="1293249551">
      <w:bodyDiv w:val="1"/>
      <w:marLeft w:val="0"/>
      <w:marRight w:val="0"/>
      <w:marTop w:val="0"/>
      <w:marBottom w:val="0"/>
      <w:divBdr>
        <w:top w:val="none" w:sz="0" w:space="0" w:color="auto"/>
        <w:left w:val="none" w:sz="0" w:space="0" w:color="auto"/>
        <w:bottom w:val="none" w:sz="0" w:space="0" w:color="auto"/>
        <w:right w:val="none" w:sz="0" w:space="0" w:color="auto"/>
      </w:divBdr>
    </w:div>
    <w:div w:id="1315797313">
      <w:bodyDiv w:val="1"/>
      <w:marLeft w:val="0"/>
      <w:marRight w:val="0"/>
      <w:marTop w:val="0"/>
      <w:marBottom w:val="0"/>
      <w:divBdr>
        <w:top w:val="none" w:sz="0" w:space="0" w:color="auto"/>
        <w:left w:val="none" w:sz="0" w:space="0" w:color="auto"/>
        <w:bottom w:val="none" w:sz="0" w:space="0" w:color="auto"/>
        <w:right w:val="none" w:sz="0" w:space="0" w:color="auto"/>
      </w:divBdr>
      <w:divsChild>
        <w:div w:id="449740170">
          <w:marLeft w:val="0"/>
          <w:marRight w:val="0"/>
          <w:marTop w:val="0"/>
          <w:marBottom w:val="0"/>
          <w:divBdr>
            <w:top w:val="none" w:sz="0" w:space="0" w:color="auto"/>
            <w:left w:val="none" w:sz="0" w:space="0" w:color="auto"/>
            <w:bottom w:val="none" w:sz="0" w:space="0" w:color="auto"/>
            <w:right w:val="none" w:sz="0" w:space="0" w:color="auto"/>
          </w:divBdr>
        </w:div>
      </w:divsChild>
    </w:div>
    <w:div w:id="1319773337">
      <w:bodyDiv w:val="1"/>
      <w:marLeft w:val="0"/>
      <w:marRight w:val="0"/>
      <w:marTop w:val="0"/>
      <w:marBottom w:val="0"/>
      <w:divBdr>
        <w:top w:val="none" w:sz="0" w:space="0" w:color="auto"/>
        <w:left w:val="none" w:sz="0" w:space="0" w:color="auto"/>
        <w:bottom w:val="none" w:sz="0" w:space="0" w:color="auto"/>
        <w:right w:val="none" w:sz="0" w:space="0" w:color="auto"/>
      </w:divBdr>
    </w:div>
    <w:div w:id="1326711596">
      <w:bodyDiv w:val="1"/>
      <w:marLeft w:val="0"/>
      <w:marRight w:val="0"/>
      <w:marTop w:val="0"/>
      <w:marBottom w:val="0"/>
      <w:divBdr>
        <w:top w:val="none" w:sz="0" w:space="0" w:color="auto"/>
        <w:left w:val="none" w:sz="0" w:space="0" w:color="auto"/>
        <w:bottom w:val="none" w:sz="0" w:space="0" w:color="auto"/>
        <w:right w:val="none" w:sz="0" w:space="0" w:color="auto"/>
      </w:divBdr>
      <w:divsChild>
        <w:div w:id="1218785178">
          <w:marLeft w:val="0"/>
          <w:marRight w:val="0"/>
          <w:marTop w:val="0"/>
          <w:marBottom w:val="0"/>
          <w:divBdr>
            <w:top w:val="none" w:sz="0" w:space="0" w:color="auto"/>
            <w:left w:val="none" w:sz="0" w:space="0" w:color="auto"/>
            <w:bottom w:val="none" w:sz="0" w:space="0" w:color="auto"/>
            <w:right w:val="none" w:sz="0" w:space="0" w:color="auto"/>
          </w:divBdr>
        </w:div>
      </w:divsChild>
    </w:div>
    <w:div w:id="1335377412">
      <w:bodyDiv w:val="1"/>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
      </w:divsChild>
    </w:div>
    <w:div w:id="1350718842">
      <w:bodyDiv w:val="1"/>
      <w:marLeft w:val="0"/>
      <w:marRight w:val="0"/>
      <w:marTop w:val="0"/>
      <w:marBottom w:val="0"/>
      <w:divBdr>
        <w:top w:val="none" w:sz="0" w:space="0" w:color="auto"/>
        <w:left w:val="none" w:sz="0" w:space="0" w:color="auto"/>
        <w:bottom w:val="none" w:sz="0" w:space="0" w:color="auto"/>
        <w:right w:val="none" w:sz="0" w:space="0" w:color="auto"/>
      </w:divBdr>
    </w:div>
    <w:div w:id="1355494119">
      <w:bodyDiv w:val="1"/>
      <w:marLeft w:val="0"/>
      <w:marRight w:val="0"/>
      <w:marTop w:val="0"/>
      <w:marBottom w:val="0"/>
      <w:divBdr>
        <w:top w:val="none" w:sz="0" w:space="0" w:color="auto"/>
        <w:left w:val="none" w:sz="0" w:space="0" w:color="auto"/>
        <w:bottom w:val="none" w:sz="0" w:space="0" w:color="auto"/>
        <w:right w:val="none" w:sz="0" w:space="0" w:color="auto"/>
      </w:divBdr>
    </w:div>
    <w:div w:id="1375613762">
      <w:bodyDiv w:val="1"/>
      <w:marLeft w:val="0"/>
      <w:marRight w:val="0"/>
      <w:marTop w:val="0"/>
      <w:marBottom w:val="0"/>
      <w:divBdr>
        <w:top w:val="none" w:sz="0" w:space="0" w:color="auto"/>
        <w:left w:val="none" w:sz="0" w:space="0" w:color="auto"/>
        <w:bottom w:val="none" w:sz="0" w:space="0" w:color="auto"/>
        <w:right w:val="none" w:sz="0" w:space="0" w:color="auto"/>
      </w:divBdr>
    </w:div>
    <w:div w:id="1401095555">
      <w:bodyDiv w:val="1"/>
      <w:marLeft w:val="0"/>
      <w:marRight w:val="0"/>
      <w:marTop w:val="0"/>
      <w:marBottom w:val="0"/>
      <w:divBdr>
        <w:top w:val="none" w:sz="0" w:space="0" w:color="auto"/>
        <w:left w:val="none" w:sz="0" w:space="0" w:color="auto"/>
        <w:bottom w:val="none" w:sz="0" w:space="0" w:color="auto"/>
        <w:right w:val="none" w:sz="0" w:space="0" w:color="auto"/>
      </w:divBdr>
    </w:div>
    <w:div w:id="1429539600">
      <w:bodyDiv w:val="1"/>
      <w:marLeft w:val="0"/>
      <w:marRight w:val="0"/>
      <w:marTop w:val="0"/>
      <w:marBottom w:val="0"/>
      <w:divBdr>
        <w:top w:val="none" w:sz="0" w:space="0" w:color="auto"/>
        <w:left w:val="none" w:sz="0" w:space="0" w:color="auto"/>
        <w:bottom w:val="none" w:sz="0" w:space="0" w:color="auto"/>
        <w:right w:val="none" w:sz="0" w:space="0" w:color="auto"/>
      </w:divBdr>
    </w:div>
    <w:div w:id="1483815278">
      <w:bodyDiv w:val="1"/>
      <w:marLeft w:val="0"/>
      <w:marRight w:val="0"/>
      <w:marTop w:val="0"/>
      <w:marBottom w:val="0"/>
      <w:divBdr>
        <w:top w:val="none" w:sz="0" w:space="0" w:color="auto"/>
        <w:left w:val="none" w:sz="0" w:space="0" w:color="auto"/>
        <w:bottom w:val="none" w:sz="0" w:space="0" w:color="auto"/>
        <w:right w:val="none" w:sz="0" w:space="0" w:color="auto"/>
      </w:divBdr>
      <w:divsChild>
        <w:div w:id="893154839">
          <w:marLeft w:val="0"/>
          <w:marRight w:val="0"/>
          <w:marTop w:val="0"/>
          <w:marBottom w:val="0"/>
          <w:divBdr>
            <w:top w:val="none" w:sz="0" w:space="0" w:color="auto"/>
            <w:left w:val="none" w:sz="0" w:space="0" w:color="auto"/>
            <w:bottom w:val="none" w:sz="0" w:space="0" w:color="auto"/>
            <w:right w:val="none" w:sz="0" w:space="0" w:color="auto"/>
          </w:divBdr>
        </w:div>
        <w:div w:id="1847549537">
          <w:marLeft w:val="0"/>
          <w:marRight w:val="0"/>
          <w:marTop w:val="0"/>
          <w:marBottom w:val="0"/>
          <w:divBdr>
            <w:top w:val="none" w:sz="0" w:space="0" w:color="auto"/>
            <w:left w:val="none" w:sz="0" w:space="0" w:color="auto"/>
            <w:bottom w:val="none" w:sz="0" w:space="0" w:color="auto"/>
            <w:right w:val="none" w:sz="0" w:space="0" w:color="auto"/>
          </w:divBdr>
        </w:div>
      </w:divsChild>
    </w:div>
    <w:div w:id="1485974030">
      <w:bodyDiv w:val="1"/>
      <w:marLeft w:val="0"/>
      <w:marRight w:val="0"/>
      <w:marTop w:val="0"/>
      <w:marBottom w:val="0"/>
      <w:divBdr>
        <w:top w:val="none" w:sz="0" w:space="0" w:color="auto"/>
        <w:left w:val="none" w:sz="0" w:space="0" w:color="auto"/>
        <w:bottom w:val="none" w:sz="0" w:space="0" w:color="auto"/>
        <w:right w:val="none" w:sz="0" w:space="0" w:color="auto"/>
      </w:divBdr>
    </w:div>
    <w:div w:id="1502819609">
      <w:bodyDiv w:val="1"/>
      <w:marLeft w:val="0"/>
      <w:marRight w:val="0"/>
      <w:marTop w:val="0"/>
      <w:marBottom w:val="0"/>
      <w:divBdr>
        <w:top w:val="none" w:sz="0" w:space="0" w:color="auto"/>
        <w:left w:val="none" w:sz="0" w:space="0" w:color="auto"/>
        <w:bottom w:val="none" w:sz="0" w:space="0" w:color="auto"/>
        <w:right w:val="none" w:sz="0" w:space="0" w:color="auto"/>
      </w:divBdr>
    </w:div>
    <w:div w:id="1507094579">
      <w:bodyDiv w:val="1"/>
      <w:marLeft w:val="0"/>
      <w:marRight w:val="0"/>
      <w:marTop w:val="0"/>
      <w:marBottom w:val="0"/>
      <w:divBdr>
        <w:top w:val="none" w:sz="0" w:space="0" w:color="auto"/>
        <w:left w:val="none" w:sz="0" w:space="0" w:color="auto"/>
        <w:bottom w:val="none" w:sz="0" w:space="0" w:color="auto"/>
        <w:right w:val="none" w:sz="0" w:space="0" w:color="auto"/>
      </w:divBdr>
    </w:div>
    <w:div w:id="1511794786">
      <w:bodyDiv w:val="1"/>
      <w:marLeft w:val="0"/>
      <w:marRight w:val="0"/>
      <w:marTop w:val="0"/>
      <w:marBottom w:val="0"/>
      <w:divBdr>
        <w:top w:val="none" w:sz="0" w:space="0" w:color="auto"/>
        <w:left w:val="none" w:sz="0" w:space="0" w:color="auto"/>
        <w:bottom w:val="none" w:sz="0" w:space="0" w:color="auto"/>
        <w:right w:val="none" w:sz="0" w:space="0" w:color="auto"/>
      </w:divBdr>
    </w:div>
    <w:div w:id="1524398548">
      <w:bodyDiv w:val="1"/>
      <w:marLeft w:val="0"/>
      <w:marRight w:val="0"/>
      <w:marTop w:val="0"/>
      <w:marBottom w:val="0"/>
      <w:divBdr>
        <w:top w:val="none" w:sz="0" w:space="0" w:color="auto"/>
        <w:left w:val="none" w:sz="0" w:space="0" w:color="auto"/>
        <w:bottom w:val="none" w:sz="0" w:space="0" w:color="auto"/>
        <w:right w:val="none" w:sz="0" w:space="0" w:color="auto"/>
      </w:divBdr>
    </w:div>
    <w:div w:id="1534270347">
      <w:bodyDiv w:val="1"/>
      <w:marLeft w:val="0"/>
      <w:marRight w:val="0"/>
      <w:marTop w:val="0"/>
      <w:marBottom w:val="0"/>
      <w:divBdr>
        <w:top w:val="none" w:sz="0" w:space="0" w:color="auto"/>
        <w:left w:val="none" w:sz="0" w:space="0" w:color="auto"/>
        <w:bottom w:val="none" w:sz="0" w:space="0" w:color="auto"/>
        <w:right w:val="none" w:sz="0" w:space="0" w:color="auto"/>
      </w:divBdr>
      <w:divsChild>
        <w:div w:id="454372654">
          <w:marLeft w:val="0"/>
          <w:marRight w:val="0"/>
          <w:marTop w:val="0"/>
          <w:marBottom w:val="0"/>
          <w:divBdr>
            <w:top w:val="none" w:sz="0" w:space="0" w:color="auto"/>
            <w:left w:val="none" w:sz="0" w:space="0" w:color="auto"/>
            <w:bottom w:val="none" w:sz="0" w:space="0" w:color="auto"/>
            <w:right w:val="none" w:sz="0" w:space="0" w:color="auto"/>
          </w:divBdr>
        </w:div>
      </w:divsChild>
    </w:div>
    <w:div w:id="1535967900">
      <w:bodyDiv w:val="1"/>
      <w:marLeft w:val="0"/>
      <w:marRight w:val="0"/>
      <w:marTop w:val="0"/>
      <w:marBottom w:val="0"/>
      <w:divBdr>
        <w:top w:val="none" w:sz="0" w:space="0" w:color="auto"/>
        <w:left w:val="none" w:sz="0" w:space="0" w:color="auto"/>
        <w:bottom w:val="none" w:sz="0" w:space="0" w:color="auto"/>
        <w:right w:val="none" w:sz="0" w:space="0" w:color="auto"/>
      </w:divBdr>
      <w:divsChild>
        <w:div w:id="444545385">
          <w:marLeft w:val="0"/>
          <w:marRight w:val="0"/>
          <w:marTop w:val="0"/>
          <w:marBottom w:val="0"/>
          <w:divBdr>
            <w:top w:val="none" w:sz="0" w:space="0" w:color="auto"/>
            <w:left w:val="none" w:sz="0" w:space="0" w:color="auto"/>
            <w:bottom w:val="none" w:sz="0" w:space="0" w:color="auto"/>
            <w:right w:val="none" w:sz="0" w:space="0" w:color="auto"/>
          </w:divBdr>
          <w:divsChild>
            <w:div w:id="631322842">
              <w:marLeft w:val="0"/>
              <w:marRight w:val="0"/>
              <w:marTop w:val="0"/>
              <w:marBottom w:val="0"/>
              <w:divBdr>
                <w:top w:val="none" w:sz="0" w:space="0" w:color="auto"/>
                <w:left w:val="none" w:sz="0" w:space="0" w:color="auto"/>
                <w:bottom w:val="none" w:sz="0" w:space="0" w:color="auto"/>
                <w:right w:val="none" w:sz="0" w:space="0" w:color="auto"/>
              </w:divBdr>
              <w:divsChild>
                <w:div w:id="18633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2337">
      <w:bodyDiv w:val="1"/>
      <w:marLeft w:val="0"/>
      <w:marRight w:val="0"/>
      <w:marTop w:val="0"/>
      <w:marBottom w:val="0"/>
      <w:divBdr>
        <w:top w:val="none" w:sz="0" w:space="0" w:color="auto"/>
        <w:left w:val="none" w:sz="0" w:space="0" w:color="auto"/>
        <w:bottom w:val="none" w:sz="0" w:space="0" w:color="auto"/>
        <w:right w:val="none" w:sz="0" w:space="0" w:color="auto"/>
      </w:divBdr>
    </w:div>
    <w:div w:id="1570076162">
      <w:bodyDiv w:val="1"/>
      <w:marLeft w:val="0"/>
      <w:marRight w:val="0"/>
      <w:marTop w:val="0"/>
      <w:marBottom w:val="0"/>
      <w:divBdr>
        <w:top w:val="none" w:sz="0" w:space="0" w:color="auto"/>
        <w:left w:val="none" w:sz="0" w:space="0" w:color="auto"/>
        <w:bottom w:val="none" w:sz="0" w:space="0" w:color="auto"/>
        <w:right w:val="none" w:sz="0" w:space="0" w:color="auto"/>
      </w:divBdr>
      <w:divsChild>
        <w:div w:id="69086634">
          <w:marLeft w:val="0"/>
          <w:marRight w:val="0"/>
          <w:marTop w:val="0"/>
          <w:marBottom w:val="0"/>
          <w:divBdr>
            <w:top w:val="none" w:sz="0" w:space="0" w:color="auto"/>
            <w:left w:val="none" w:sz="0" w:space="0" w:color="auto"/>
            <w:bottom w:val="none" w:sz="0" w:space="0" w:color="auto"/>
            <w:right w:val="none" w:sz="0" w:space="0" w:color="auto"/>
          </w:divBdr>
        </w:div>
      </w:divsChild>
    </w:div>
    <w:div w:id="1607882602">
      <w:bodyDiv w:val="1"/>
      <w:marLeft w:val="0"/>
      <w:marRight w:val="0"/>
      <w:marTop w:val="0"/>
      <w:marBottom w:val="0"/>
      <w:divBdr>
        <w:top w:val="none" w:sz="0" w:space="0" w:color="auto"/>
        <w:left w:val="none" w:sz="0" w:space="0" w:color="auto"/>
        <w:bottom w:val="none" w:sz="0" w:space="0" w:color="auto"/>
        <w:right w:val="none" w:sz="0" w:space="0" w:color="auto"/>
      </w:divBdr>
    </w:div>
    <w:div w:id="1613508679">
      <w:bodyDiv w:val="1"/>
      <w:marLeft w:val="0"/>
      <w:marRight w:val="0"/>
      <w:marTop w:val="0"/>
      <w:marBottom w:val="0"/>
      <w:divBdr>
        <w:top w:val="none" w:sz="0" w:space="0" w:color="auto"/>
        <w:left w:val="none" w:sz="0" w:space="0" w:color="auto"/>
        <w:bottom w:val="none" w:sz="0" w:space="0" w:color="auto"/>
        <w:right w:val="none" w:sz="0" w:space="0" w:color="auto"/>
      </w:divBdr>
      <w:divsChild>
        <w:div w:id="648049711">
          <w:marLeft w:val="0"/>
          <w:marRight w:val="0"/>
          <w:marTop w:val="0"/>
          <w:marBottom w:val="0"/>
          <w:divBdr>
            <w:top w:val="none" w:sz="0" w:space="0" w:color="auto"/>
            <w:left w:val="none" w:sz="0" w:space="0" w:color="auto"/>
            <w:bottom w:val="none" w:sz="0" w:space="0" w:color="auto"/>
            <w:right w:val="none" w:sz="0" w:space="0" w:color="auto"/>
          </w:divBdr>
        </w:div>
      </w:divsChild>
    </w:div>
    <w:div w:id="1630672883">
      <w:bodyDiv w:val="1"/>
      <w:marLeft w:val="0"/>
      <w:marRight w:val="0"/>
      <w:marTop w:val="0"/>
      <w:marBottom w:val="0"/>
      <w:divBdr>
        <w:top w:val="none" w:sz="0" w:space="0" w:color="auto"/>
        <w:left w:val="none" w:sz="0" w:space="0" w:color="auto"/>
        <w:bottom w:val="none" w:sz="0" w:space="0" w:color="auto"/>
        <w:right w:val="none" w:sz="0" w:space="0" w:color="auto"/>
      </w:divBdr>
      <w:divsChild>
        <w:div w:id="89550808">
          <w:marLeft w:val="0"/>
          <w:marRight w:val="0"/>
          <w:marTop w:val="0"/>
          <w:marBottom w:val="0"/>
          <w:divBdr>
            <w:top w:val="none" w:sz="0" w:space="0" w:color="auto"/>
            <w:left w:val="none" w:sz="0" w:space="0" w:color="auto"/>
            <w:bottom w:val="none" w:sz="0" w:space="0" w:color="auto"/>
            <w:right w:val="none" w:sz="0" w:space="0" w:color="auto"/>
          </w:divBdr>
          <w:divsChild>
            <w:div w:id="418403387">
              <w:marLeft w:val="0"/>
              <w:marRight w:val="0"/>
              <w:marTop w:val="0"/>
              <w:marBottom w:val="0"/>
              <w:divBdr>
                <w:top w:val="none" w:sz="0" w:space="0" w:color="auto"/>
                <w:left w:val="none" w:sz="0" w:space="0" w:color="auto"/>
                <w:bottom w:val="none" w:sz="0" w:space="0" w:color="auto"/>
                <w:right w:val="none" w:sz="0" w:space="0" w:color="auto"/>
              </w:divBdr>
              <w:divsChild>
                <w:div w:id="1283224348">
                  <w:marLeft w:val="0"/>
                  <w:marRight w:val="0"/>
                  <w:marTop w:val="0"/>
                  <w:marBottom w:val="0"/>
                  <w:divBdr>
                    <w:top w:val="none" w:sz="0" w:space="0" w:color="auto"/>
                    <w:left w:val="none" w:sz="0" w:space="0" w:color="auto"/>
                    <w:bottom w:val="none" w:sz="0" w:space="0" w:color="auto"/>
                    <w:right w:val="none" w:sz="0" w:space="0" w:color="auto"/>
                  </w:divBdr>
                  <w:divsChild>
                    <w:div w:id="5473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5624">
          <w:marLeft w:val="0"/>
          <w:marRight w:val="0"/>
          <w:marTop w:val="0"/>
          <w:marBottom w:val="0"/>
          <w:divBdr>
            <w:top w:val="none" w:sz="0" w:space="0" w:color="auto"/>
            <w:left w:val="none" w:sz="0" w:space="0" w:color="auto"/>
            <w:bottom w:val="none" w:sz="0" w:space="0" w:color="auto"/>
            <w:right w:val="none" w:sz="0" w:space="0" w:color="auto"/>
          </w:divBdr>
          <w:divsChild>
            <w:div w:id="897784379">
              <w:marLeft w:val="0"/>
              <w:marRight w:val="0"/>
              <w:marTop w:val="0"/>
              <w:marBottom w:val="0"/>
              <w:divBdr>
                <w:top w:val="none" w:sz="0" w:space="0" w:color="auto"/>
                <w:left w:val="none" w:sz="0" w:space="0" w:color="auto"/>
                <w:bottom w:val="none" w:sz="0" w:space="0" w:color="auto"/>
                <w:right w:val="none" w:sz="0" w:space="0" w:color="auto"/>
              </w:divBdr>
              <w:divsChild>
                <w:div w:id="453452510">
                  <w:marLeft w:val="0"/>
                  <w:marRight w:val="0"/>
                  <w:marTop w:val="0"/>
                  <w:marBottom w:val="0"/>
                  <w:divBdr>
                    <w:top w:val="none" w:sz="0" w:space="0" w:color="auto"/>
                    <w:left w:val="none" w:sz="0" w:space="0" w:color="auto"/>
                    <w:bottom w:val="none" w:sz="0" w:space="0" w:color="auto"/>
                    <w:right w:val="none" w:sz="0" w:space="0" w:color="auto"/>
                  </w:divBdr>
                  <w:divsChild>
                    <w:div w:id="14724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73634">
      <w:bodyDiv w:val="1"/>
      <w:marLeft w:val="0"/>
      <w:marRight w:val="0"/>
      <w:marTop w:val="0"/>
      <w:marBottom w:val="0"/>
      <w:divBdr>
        <w:top w:val="none" w:sz="0" w:space="0" w:color="auto"/>
        <w:left w:val="none" w:sz="0" w:space="0" w:color="auto"/>
        <w:bottom w:val="none" w:sz="0" w:space="0" w:color="auto"/>
        <w:right w:val="none" w:sz="0" w:space="0" w:color="auto"/>
      </w:divBdr>
      <w:divsChild>
        <w:div w:id="1712266711">
          <w:marLeft w:val="0"/>
          <w:marRight w:val="0"/>
          <w:marTop w:val="0"/>
          <w:marBottom w:val="0"/>
          <w:divBdr>
            <w:top w:val="none" w:sz="0" w:space="0" w:color="auto"/>
            <w:left w:val="none" w:sz="0" w:space="0" w:color="auto"/>
            <w:bottom w:val="none" w:sz="0" w:space="0" w:color="auto"/>
            <w:right w:val="none" w:sz="0" w:space="0" w:color="auto"/>
          </w:divBdr>
        </w:div>
      </w:divsChild>
    </w:div>
    <w:div w:id="1649942297">
      <w:bodyDiv w:val="1"/>
      <w:marLeft w:val="0"/>
      <w:marRight w:val="0"/>
      <w:marTop w:val="0"/>
      <w:marBottom w:val="0"/>
      <w:divBdr>
        <w:top w:val="none" w:sz="0" w:space="0" w:color="auto"/>
        <w:left w:val="none" w:sz="0" w:space="0" w:color="auto"/>
        <w:bottom w:val="none" w:sz="0" w:space="0" w:color="auto"/>
        <w:right w:val="none" w:sz="0" w:space="0" w:color="auto"/>
      </w:divBdr>
    </w:div>
    <w:div w:id="1659113479">
      <w:bodyDiv w:val="1"/>
      <w:marLeft w:val="0"/>
      <w:marRight w:val="0"/>
      <w:marTop w:val="0"/>
      <w:marBottom w:val="0"/>
      <w:divBdr>
        <w:top w:val="none" w:sz="0" w:space="0" w:color="auto"/>
        <w:left w:val="none" w:sz="0" w:space="0" w:color="auto"/>
        <w:bottom w:val="none" w:sz="0" w:space="0" w:color="auto"/>
        <w:right w:val="none" w:sz="0" w:space="0" w:color="auto"/>
      </w:divBdr>
      <w:divsChild>
        <w:div w:id="118375038">
          <w:marLeft w:val="0"/>
          <w:marRight w:val="0"/>
          <w:marTop w:val="0"/>
          <w:marBottom w:val="0"/>
          <w:divBdr>
            <w:top w:val="none" w:sz="0" w:space="0" w:color="auto"/>
            <w:left w:val="none" w:sz="0" w:space="0" w:color="auto"/>
            <w:bottom w:val="none" w:sz="0" w:space="0" w:color="auto"/>
            <w:right w:val="none" w:sz="0" w:space="0" w:color="auto"/>
          </w:divBdr>
        </w:div>
        <w:div w:id="1714574581">
          <w:marLeft w:val="0"/>
          <w:marRight w:val="0"/>
          <w:marTop w:val="0"/>
          <w:marBottom w:val="0"/>
          <w:divBdr>
            <w:top w:val="none" w:sz="0" w:space="0" w:color="auto"/>
            <w:left w:val="none" w:sz="0" w:space="0" w:color="auto"/>
            <w:bottom w:val="none" w:sz="0" w:space="0" w:color="auto"/>
            <w:right w:val="none" w:sz="0" w:space="0" w:color="auto"/>
          </w:divBdr>
        </w:div>
        <w:div w:id="1906254056">
          <w:marLeft w:val="0"/>
          <w:marRight w:val="0"/>
          <w:marTop w:val="0"/>
          <w:marBottom w:val="0"/>
          <w:divBdr>
            <w:top w:val="none" w:sz="0" w:space="0" w:color="auto"/>
            <w:left w:val="none" w:sz="0" w:space="0" w:color="auto"/>
            <w:bottom w:val="none" w:sz="0" w:space="0" w:color="auto"/>
            <w:right w:val="none" w:sz="0" w:space="0" w:color="auto"/>
          </w:divBdr>
        </w:div>
      </w:divsChild>
    </w:div>
    <w:div w:id="1691489997">
      <w:bodyDiv w:val="1"/>
      <w:marLeft w:val="0"/>
      <w:marRight w:val="0"/>
      <w:marTop w:val="0"/>
      <w:marBottom w:val="0"/>
      <w:divBdr>
        <w:top w:val="none" w:sz="0" w:space="0" w:color="auto"/>
        <w:left w:val="none" w:sz="0" w:space="0" w:color="auto"/>
        <w:bottom w:val="none" w:sz="0" w:space="0" w:color="auto"/>
        <w:right w:val="none" w:sz="0" w:space="0" w:color="auto"/>
      </w:divBdr>
    </w:div>
    <w:div w:id="1723366657">
      <w:bodyDiv w:val="1"/>
      <w:marLeft w:val="0"/>
      <w:marRight w:val="0"/>
      <w:marTop w:val="0"/>
      <w:marBottom w:val="0"/>
      <w:divBdr>
        <w:top w:val="none" w:sz="0" w:space="0" w:color="auto"/>
        <w:left w:val="none" w:sz="0" w:space="0" w:color="auto"/>
        <w:bottom w:val="none" w:sz="0" w:space="0" w:color="auto"/>
        <w:right w:val="none" w:sz="0" w:space="0" w:color="auto"/>
      </w:divBdr>
    </w:div>
    <w:div w:id="1727680931">
      <w:bodyDiv w:val="1"/>
      <w:marLeft w:val="0"/>
      <w:marRight w:val="0"/>
      <w:marTop w:val="0"/>
      <w:marBottom w:val="0"/>
      <w:divBdr>
        <w:top w:val="none" w:sz="0" w:space="0" w:color="auto"/>
        <w:left w:val="none" w:sz="0" w:space="0" w:color="auto"/>
        <w:bottom w:val="none" w:sz="0" w:space="0" w:color="auto"/>
        <w:right w:val="none" w:sz="0" w:space="0" w:color="auto"/>
      </w:divBdr>
    </w:div>
    <w:div w:id="1749301178">
      <w:bodyDiv w:val="1"/>
      <w:marLeft w:val="0"/>
      <w:marRight w:val="0"/>
      <w:marTop w:val="0"/>
      <w:marBottom w:val="0"/>
      <w:divBdr>
        <w:top w:val="none" w:sz="0" w:space="0" w:color="auto"/>
        <w:left w:val="none" w:sz="0" w:space="0" w:color="auto"/>
        <w:bottom w:val="none" w:sz="0" w:space="0" w:color="auto"/>
        <w:right w:val="none" w:sz="0" w:space="0" w:color="auto"/>
      </w:divBdr>
      <w:divsChild>
        <w:div w:id="1651983670">
          <w:marLeft w:val="0"/>
          <w:marRight w:val="0"/>
          <w:marTop w:val="0"/>
          <w:marBottom w:val="0"/>
          <w:divBdr>
            <w:top w:val="none" w:sz="0" w:space="0" w:color="auto"/>
            <w:left w:val="none" w:sz="0" w:space="0" w:color="auto"/>
            <w:bottom w:val="none" w:sz="0" w:space="0" w:color="auto"/>
            <w:right w:val="none" w:sz="0" w:space="0" w:color="auto"/>
          </w:divBdr>
        </w:div>
      </w:divsChild>
    </w:div>
    <w:div w:id="1786850998">
      <w:bodyDiv w:val="1"/>
      <w:marLeft w:val="0"/>
      <w:marRight w:val="0"/>
      <w:marTop w:val="0"/>
      <w:marBottom w:val="0"/>
      <w:divBdr>
        <w:top w:val="none" w:sz="0" w:space="0" w:color="auto"/>
        <w:left w:val="none" w:sz="0" w:space="0" w:color="auto"/>
        <w:bottom w:val="none" w:sz="0" w:space="0" w:color="auto"/>
        <w:right w:val="none" w:sz="0" w:space="0" w:color="auto"/>
      </w:divBdr>
    </w:div>
    <w:div w:id="1798255845">
      <w:bodyDiv w:val="1"/>
      <w:marLeft w:val="0"/>
      <w:marRight w:val="0"/>
      <w:marTop w:val="0"/>
      <w:marBottom w:val="0"/>
      <w:divBdr>
        <w:top w:val="none" w:sz="0" w:space="0" w:color="auto"/>
        <w:left w:val="none" w:sz="0" w:space="0" w:color="auto"/>
        <w:bottom w:val="none" w:sz="0" w:space="0" w:color="auto"/>
        <w:right w:val="none" w:sz="0" w:space="0" w:color="auto"/>
      </w:divBdr>
      <w:divsChild>
        <w:div w:id="59521731">
          <w:marLeft w:val="547"/>
          <w:marRight w:val="0"/>
          <w:marTop w:val="0"/>
          <w:marBottom w:val="0"/>
          <w:divBdr>
            <w:top w:val="none" w:sz="0" w:space="0" w:color="auto"/>
            <w:left w:val="none" w:sz="0" w:space="0" w:color="auto"/>
            <w:bottom w:val="none" w:sz="0" w:space="0" w:color="auto"/>
            <w:right w:val="none" w:sz="0" w:space="0" w:color="auto"/>
          </w:divBdr>
        </w:div>
        <w:div w:id="286664915">
          <w:marLeft w:val="547"/>
          <w:marRight w:val="0"/>
          <w:marTop w:val="0"/>
          <w:marBottom w:val="0"/>
          <w:divBdr>
            <w:top w:val="none" w:sz="0" w:space="0" w:color="auto"/>
            <w:left w:val="none" w:sz="0" w:space="0" w:color="auto"/>
            <w:bottom w:val="none" w:sz="0" w:space="0" w:color="auto"/>
            <w:right w:val="none" w:sz="0" w:space="0" w:color="auto"/>
          </w:divBdr>
        </w:div>
        <w:div w:id="938176564">
          <w:marLeft w:val="547"/>
          <w:marRight w:val="0"/>
          <w:marTop w:val="0"/>
          <w:marBottom w:val="0"/>
          <w:divBdr>
            <w:top w:val="none" w:sz="0" w:space="0" w:color="auto"/>
            <w:left w:val="none" w:sz="0" w:space="0" w:color="auto"/>
            <w:bottom w:val="none" w:sz="0" w:space="0" w:color="auto"/>
            <w:right w:val="none" w:sz="0" w:space="0" w:color="auto"/>
          </w:divBdr>
        </w:div>
        <w:div w:id="1892107596">
          <w:marLeft w:val="547"/>
          <w:marRight w:val="0"/>
          <w:marTop w:val="0"/>
          <w:marBottom w:val="0"/>
          <w:divBdr>
            <w:top w:val="none" w:sz="0" w:space="0" w:color="auto"/>
            <w:left w:val="none" w:sz="0" w:space="0" w:color="auto"/>
            <w:bottom w:val="none" w:sz="0" w:space="0" w:color="auto"/>
            <w:right w:val="none" w:sz="0" w:space="0" w:color="auto"/>
          </w:divBdr>
        </w:div>
      </w:divsChild>
    </w:div>
    <w:div w:id="1815952458">
      <w:bodyDiv w:val="1"/>
      <w:marLeft w:val="0"/>
      <w:marRight w:val="0"/>
      <w:marTop w:val="0"/>
      <w:marBottom w:val="0"/>
      <w:divBdr>
        <w:top w:val="none" w:sz="0" w:space="0" w:color="auto"/>
        <w:left w:val="none" w:sz="0" w:space="0" w:color="auto"/>
        <w:bottom w:val="none" w:sz="0" w:space="0" w:color="auto"/>
        <w:right w:val="none" w:sz="0" w:space="0" w:color="auto"/>
      </w:divBdr>
    </w:div>
    <w:div w:id="1833837930">
      <w:bodyDiv w:val="1"/>
      <w:marLeft w:val="0"/>
      <w:marRight w:val="0"/>
      <w:marTop w:val="0"/>
      <w:marBottom w:val="0"/>
      <w:divBdr>
        <w:top w:val="none" w:sz="0" w:space="0" w:color="auto"/>
        <w:left w:val="none" w:sz="0" w:space="0" w:color="auto"/>
        <w:bottom w:val="none" w:sz="0" w:space="0" w:color="auto"/>
        <w:right w:val="none" w:sz="0" w:space="0" w:color="auto"/>
      </w:divBdr>
    </w:div>
    <w:div w:id="1847480065">
      <w:bodyDiv w:val="1"/>
      <w:marLeft w:val="0"/>
      <w:marRight w:val="0"/>
      <w:marTop w:val="0"/>
      <w:marBottom w:val="0"/>
      <w:divBdr>
        <w:top w:val="none" w:sz="0" w:space="0" w:color="auto"/>
        <w:left w:val="none" w:sz="0" w:space="0" w:color="auto"/>
        <w:bottom w:val="none" w:sz="0" w:space="0" w:color="auto"/>
        <w:right w:val="none" w:sz="0" w:space="0" w:color="auto"/>
      </w:divBdr>
    </w:div>
    <w:div w:id="1885866936">
      <w:bodyDiv w:val="1"/>
      <w:marLeft w:val="0"/>
      <w:marRight w:val="0"/>
      <w:marTop w:val="0"/>
      <w:marBottom w:val="0"/>
      <w:divBdr>
        <w:top w:val="none" w:sz="0" w:space="0" w:color="auto"/>
        <w:left w:val="none" w:sz="0" w:space="0" w:color="auto"/>
        <w:bottom w:val="none" w:sz="0" w:space="0" w:color="auto"/>
        <w:right w:val="none" w:sz="0" w:space="0" w:color="auto"/>
      </w:divBdr>
      <w:divsChild>
        <w:div w:id="1849128818">
          <w:marLeft w:val="0"/>
          <w:marRight w:val="0"/>
          <w:marTop w:val="0"/>
          <w:marBottom w:val="0"/>
          <w:divBdr>
            <w:top w:val="none" w:sz="0" w:space="0" w:color="auto"/>
            <w:left w:val="none" w:sz="0" w:space="0" w:color="auto"/>
            <w:bottom w:val="none" w:sz="0" w:space="0" w:color="auto"/>
            <w:right w:val="none" w:sz="0" w:space="0" w:color="auto"/>
          </w:divBdr>
        </w:div>
      </w:divsChild>
    </w:div>
    <w:div w:id="1886215745">
      <w:bodyDiv w:val="1"/>
      <w:marLeft w:val="0"/>
      <w:marRight w:val="0"/>
      <w:marTop w:val="0"/>
      <w:marBottom w:val="0"/>
      <w:divBdr>
        <w:top w:val="none" w:sz="0" w:space="0" w:color="auto"/>
        <w:left w:val="none" w:sz="0" w:space="0" w:color="auto"/>
        <w:bottom w:val="none" w:sz="0" w:space="0" w:color="auto"/>
        <w:right w:val="none" w:sz="0" w:space="0" w:color="auto"/>
      </w:divBdr>
    </w:div>
    <w:div w:id="1887519221">
      <w:bodyDiv w:val="1"/>
      <w:marLeft w:val="0"/>
      <w:marRight w:val="0"/>
      <w:marTop w:val="0"/>
      <w:marBottom w:val="0"/>
      <w:divBdr>
        <w:top w:val="none" w:sz="0" w:space="0" w:color="auto"/>
        <w:left w:val="none" w:sz="0" w:space="0" w:color="auto"/>
        <w:bottom w:val="none" w:sz="0" w:space="0" w:color="auto"/>
        <w:right w:val="none" w:sz="0" w:space="0" w:color="auto"/>
      </w:divBdr>
    </w:div>
    <w:div w:id="1891455052">
      <w:bodyDiv w:val="1"/>
      <w:marLeft w:val="0"/>
      <w:marRight w:val="0"/>
      <w:marTop w:val="0"/>
      <w:marBottom w:val="0"/>
      <w:divBdr>
        <w:top w:val="none" w:sz="0" w:space="0" w:color="auto"/>
        <w:left w:val="none" w:sz="0" w:space="0" w:color="auto"/>
        <w:bottom w:val="none" w:sz="0" w:space="0" w:color="auto"/>
        <w:right w:val="none" w:sz="0" w:space="0" w:color="auto"/>
      </w:divBdr>
    </w:div>
    <w:div w:id="1898710897">
      <w:bodyDiv w:val="1"/>
      <w:marLeft w:val="0"/>
      <w:marRight w:val="0"/>
      <w:marTop w:val="0"/>
      <w:marBottom w:val="0"/>
      <w:divBdr>
        <w:top w:val="none" w:sz="0" w:space="0" w:color="auto"/>
        <w:left w:val="none" w:sz="0" w:space="0" w:color="auto"/>
        <w:bottom w:val="none" w:sz="0" w:space="0" w:color="auto"/>
        <w:right w:val="none" w:sz="0" w:space="0" w:color="auto"/>
      </w:divBdr>
    </w:div>
    <w:div w:id="1935674073">
      <w:bodyDiv w:val="1"/>
      <w:marLeft w:val="0"/>
      <w:marRight w:val="0"/>
      <w:marTop w:val="0"/>
      <w:marBottom w:val="0"/>
      <w:divBdr>
        <w:top w:val="none" w:sz="0" w:space="0" w:color="auto"/>
        <w:left w:val="none" w:sz="0" w:space="0" w:color="auto"/>
        <w:bottom w:val="none" w:sz="0" w:space="0" w:color="auto"/>
        <w:right w:val="none" w:sz="0" w:space="0" w:color="auto"/>
      </w:divBdr>
    </w:div>
    <w:div w:id="1942060943">
      <w:bodyDiv w:val="1"/>
      <w:marLeft w:val="0"/>
      <w:marRight w:val="0"/>
      <w:marTop w:val="0"/>
      <w:marBottom w:val="0"/>
      <w:divBdr>
        <w:top w:val="none" w:sz="0" w:space="0" w:color="auto"/>
        <w:left w:val="none" w:sz="0" w:space="0" w:color="auto"/>
        <w:bottom w:val="none" w:sz="0" w:space="0" w:color="auto"/>
        <w:right w:val="none" w:sz="0" w:space="0" w:color="auto"/>
      </w:divBdr>
    </w:div>
    <w:div w:id="1956716124">
      <w:bodyDiv w:val="1"/>
      <w:marLeft w:val="0"/>
      <w:marRight w:val="0"/>
      <w:marTop w:val="0"/>
      <w:marBottom w:val="0"/>
      <w:divBdr>
        <w:top w:val="none" w:sz="0" w:space="0" w:color="auto"/>
        <w:left w:val="none" w:sz="0" w:space="0" w:color="auto"/>
        <w:bottom w:val="none" w:sz="0" w:space="0" w:color="auto"/>
        <w:right w:val="none" w:sz="0" w:space="0" w:color="auto"/>
      </w:divBdr>
    </w:div>
    <w:div w:id="2004620789">
      <w:bodyDiv w:val="1"/>
      <w:marLeft w:val="0"/>
      <w:marRight w:val="0"/>
      <w:marTop w:val="0"/>
      <w:marBottom w:val="0"/>
      <w:divBdr>
        <w:top w:val="none" w:sz="0" w:space="0" w:color="auto"/>
        <w:left w:val="none" w:sz="0" w:space="0" w:color="auto"/>
        <w:bottom w:val="none" w:sz="0" w:space="0" w:color="auto"/>
        <w:right w:val="none" w:sz="0" w:space="0" w:color="auto"/>
      </w:divBdr>
    </w:div>
    <w:div w:id="2023772733">
      <w:bodyDiv w:val="1"/>
      <w:marLeft w:val="0"/>
      <w:marRight w:val="0"/>
      <w:marTop w:val="0"/>
      <w:marBottom w:val="0"/>
      <w:divBdr>
        <w:top w:val="none" w:sz="0" w:space="0" w:color="auto"/>
        <w:left w:val="none" w:sz="0" w:space="0" w:color="auto"/>
        <w:bottom w:val="none" w:sz="0" w:space="0" w:color="auto"/>
        <w:right w:val="none" w:sz="0" w:space="0" w:color="auto"/>
      </w:divBdr>
    </w:div>
    <w:div w:id="2042778432">
      <w:bodyDiv w:val="1"/>
      <w:marLeft w:val="0"/>
      <w:marRight w:val="0"/>
      <w:marTop w:val="0"/>
      <w:marBottom w:val="0"/>
      <w:divBdr>
        <w:top w:val="none" w:sz="0" w:space="0" w:color="auto"/>
        <w:left w:val="none" w:sz="0" w:space="0" w:color="auto"/>
        <w:bottom w:val="none" w:sz="0" w:space="0" w:color="auto"/>
        <w:right w:val="none" w:sz="0" w:space="0" w:color="auto"/>
      </w:divBdr>
      <w:divsChild>
        <w:div w:id="196938232">
          <w:marLeft w:val="0"/>
          <w:marRight w:val="0"/>
          <w:marTop w:val="0"/>
          <w:marBottom w:val="0"/>
          <w:divBdr>
            <w:top w:val="none" w:sz="0" w:space="0" w:color="auto"/>
            <w:left w:val="none" w:sz="0" w:space="0" w:color="auto"/>
            <w:bottom w:val="none" w:sz="0" w:space="0" w:color="auto"/>
            <w:right w:val="none" w:sz="0" w:space="0" w:color="auto"/>
          </w:divBdr>
        </w:div>
      </w:divsChild>
    </w:div>
    <w:div w:id="2046516934">
      <w:bodyDiv w:val="1"/>
      <w:marLeft w:val="0"/>
      <w:marRight w:val="0"/>
      <w:marTop w:val="0"/>
      <w:marBottom w:val="0"/>
      <w:divBdr>
        <w:top w:val="none" w:sz="0" w:space="0" w:color="auto"/>
        <w:left w:val="none" w:sz="0" w:space="0" w:color="auto"/>
        <w:bottom w:val="none" w:sz="0" w:space="0" w:color="auto"/>
        <w:right w:val="none" w:sz="0" w:space="0" w:color="auto"/>
      </w:divBdr>
      <w:divsChild>
        <w:div w:id="1434202254">
          <w:marLeft w:val="0"/>
          <w:marRight w:val="0"/>
          <w:marTop w:val="0"/>
          <w:marBottom w:val="0"/>
          <w:divBdr>
            <w:top w:val="none" w:sz="0" w:space="0" w:color="auto"/>
            <w:left w:val="none" w:sz="0" w:space="0" w:color="auto"/>
            <w:bottom w:val="none" w:sz="0" w:space="0" w:color="auto"/>
            <w:right w:val="none" w:sz="0" w:space="0" w:color="auto"/>
          </w:divBdr>
        </w:div>
        <w:div w:id="1567571325">
          <w:marLeft w:val="0"/>
          <w:marRight w:val="0"/>
          <w:marTop w:val="0"/>
          <w:marBottom w:val="0"/>
          <w:divBdr>
            <w:top w:val="none" w:sz="0" w:space="0" w:color="auto"/>
            <w:left w:val="none" w:sz="0" w:space="0" w:color="auto"/>
            <w:bottom w:val="none" w:sz="0" w:space="0" w:color="auto"/>
            <w:right w:val="none" w:sz="0" w:space="0" w:color="auto"/>
          </w:divBdr>
        </w:div>
      </w:divsChild>
    </w:div>
    <w:div w:id="2076119623">
      <w:bodyDiv w:val="1"/>
      <w:marLeft w:val="0"/>
      <w:marRight w:val="0"/>
      <w:marTop w:val="0"/>
      <w:marBottom w:val="0"/>
      <w:divBdr>
        <w:top w:val="none" w:sz="0" w:space="0" w:color="auto"/>
        <w:left w:val="none" w:sz="0" w:space="0" w:color="auto"/>
        <w:bottom w:val="none" w:sz="0" w:space="0" w:color="auto"/>
        <w:right w:val="none" w:sz="0" w:space="0" w:color="auto"/>
      </w:divBdr>
      <w:divsChild>
        <w:div w:id="30570552">
          <w:marLeft w:val="0"/>
          <w:marRight w:val="0"/>
          <w:marTop w:val="0"/>
          <w:marBottom w:val="0"/>
          <w:divBdr>
            <w:top w:val="none" w:sz="0" w:space="0" w:color="auto"/>
            <w:left w:val="none" w:sz="0" w:space="0" w:color="auto"/>
            <w:bottom w:val="none" w:sz="0" w:space="0" w:color="auto"/>
            <w:right w:val="none" w:sz="0" w:space="0" w:color="auto"/>
          </w:divBdr>
        </w:div>
        <w:div w:id="140118388">
          <w:marLeft w:val="0"/>
          <w:marRight w:val="0"/>
          <w:marTop w:val="0"/>
          <w:marBottom w:val="0"/>
          <w:divBdr>
            <w:top w:val="none" w:sz="0" w:space="0" w:color="auto"/>
            <w:left w:val="none" w:sz="0" w:space="0" w:color="auto"/>
            <w:bottom w:val="none" w:sz="0" w:space="0" w:color="auto"/>
            <w:right w:val="none" w:sz="0" w:space="0" w:color="auto"/>
          </w:divBdr>
        </w:div>
        <w:div w:id="209613666">
          <w:marLeft w:val="0"/>
          <w:marRight w:val="0"/>
          <w:marTop w:val="0"/>
          <w:marBottom w:val="0"/>
          <w:divBdr>
            <w:top w:val="none" w:sz="0" w:space="0" w:color="auto"/>
            <w:left w:val="none" w:sz="0" w:space="0" w:color="auto"/>
            <w:bottom w:val="none" w:sz="0" w:space="0" w:color="auto"/>
            <w:right w:val="none" w:sz="0" w:space="0" w:color="auto"/>
          </w:divBdr>
        </w:div>
        <w:div w:id="236987791">
          <w:marLeft w:val="0"/>
          <w:marRight w:val="0"/>
          <w:marTop w:val="0"/>
          <w:marBottom w:val="0"/>
          <w:divBdr>
            <w:top w:val="none" w:sz="0" w:space="0" w:color="auto"/>
            <w:left w:val="none" w:sz="0" w:space="0" w:color="auto"/>
            <w:bottom w:val="none" w:sz="0" w:space="0" w:color="auto"/>
            <w:right w:val="none" w:sz="0" w:space="0" w:color="auto"/>
          </w:divBdr>
        </w:div>
        <w:div w:id="282150579">
          <w:marLeft w:val="0"/>
          <w:marRight w:val="0"/>
          <w:marTop w:val="0"/>
          <w:marBottom w:val="0"/>
          <w:divBdr>
            <w:top w:val="none" w:sz="0" w:space="0" w:color="auto"/>
            <w:left w:val="none" w:sz="0" w:space="0" w:color="auto"/>
            <w:bottom w:val="none" w:sz="0" w:space="0" w:color="auto"/>
            <w:right w:val="none" w:sz="0" w:space="0" w:color="auto"/>
          </w:divBdr>
        </w:div>
        <w:div w:id="329410710">
          <w:marLeft w:val="0"/>
          <w:marRight w:val="0"/>
          <w:marTop w:val="0"/>
          <w:marBottom w:val="0"/>
          <w:divBdr>
            <w:top w:val="none" w:sz="0" w:space="0" w:color="auto"/>
            <w:left w:val="none" w:sz="0" w:space="0" w:color="auto"/>
            <w:bottom w:val="none" w:sz="0" w:space="0" w:color="auto"/>
            <w:right w:val="none" w:sz="0" w:space="0" w:color="auto"/>
          </w:divBdr>
        </w:div>
        <w:div w:id="342056489">
          <w:marLeft w:val="0"/>
          <w:marRight w:val="0"/>
          <w:marTop w:val="0"/>
          <w:marBottom w:val="0"/>
          <w:divBdr>
            <w:top w:val="none" w:sz="0" w:space="0" w:color="auto"/>
            <w:left w:val="none" w:sz="0" w:space="0" w:color="auto"/>
            <w:bottom w:val="none" w:sz="0" w:space="0" w:color="auto"/>
            <w:right w:val="none" w:sz="0" w:space="0" w:color="auto"/>
          </w:divBdr>
        </w:div>
        <w:div w:id="355039041">
          <w:marLeft w:val="0"/>
          <w:marRight w:val="0"/>
          <w:marTop w:val="0"/>
          <w:marBottom w:val="0"/>
          <w:divBdr>
            <w:top w:val="none" w:sz="0" w:space="0" w:color="auto"/>
            <w:left w:val="none" w:sz="0" w:space="0" w:color="auto"/>
            <w:bottom w:val="none" w:sz="0" w:space="0" w:color="auto"/>
            <w:right w:val="none" w:sz="0" w:space="0" w:color="auto"/>
          </w:divBdr>
        </w:div>
        <w:div w:id="400908067">
          <w:marLeft w:val="0"/>
          <w:marRight w:val="0"/>
          <w:marTop w:val="0"/>
          <w:marBottom w:val="0"/>
          <w:divBdr>
            <w:top w:val="none" w:sz="0" w:space="0" w:color="auto"/>
            <w:left w:val="none" w:sz="0" w:space="0" w:color="auto"/>
            <w:bottom w:val="none" w:sz="0" w:space="0" w:color="auto"/>
            <w:right w:val="none" w:sz="0" w:space="0" w:color="auto"/>
          </w:divBdr>
        </w:div>
        <w:div w:id="514882540">
          <w:marLeft w:val="0"/>
          <w:marRight w:val="0"/>
          <w:marTop w:val="0"/>
          <w:marBottom w:val="0"/>
          <w:divBdr>
            <w:top w:val="none" w:sz="0" w:space="0" w:color="auto"/>
            <w:left w:val="none" w:sz="0" w:space="0" w:color="auto"/>
            <w:bottom w:val="none" w:sz="0" w:space="0" w:color="auto"/>
            <w:right w:val="none" w:sz="0" w:space="0" w:color="auto"/>
          </w:divBdr>
        </w:div>
        <w:div w:id="568881980">
          <w:marLeft w:val="0"/>
          <w:marRight w:val="0"/>
          <w:marTop w:val="0"/>
          <w:marBottom w:val="0"/>
          <w:divBdr>
            <w:top w:val="none" w:sz="0" w:space="0" w:color="auto"/>
            <w:left w:val="none" w:sz="0" w:space="0" w:color="auto"/>
            <w:bottom w:val="none" w:sz="0" w:space="0" w:color="auto"/>
            <w:right w:val="none" w:sz="0" w:space="0" w:color="auto"/>
          </w:divBdr>
        </w:div>
        <w:div w:id="593591058">
          <w:marLeft w:val="0"/>
          <w:marRight w:val="0"/>
          <w:marTop w:val="0"/>
          <w:marBottom w:val="0"/>
          <w:divBdr>
            <w:top w:val="none" w:sz="0" w:space="0" w:color="auto"/>
            <w:left w:val="none" w:sz="0" w:space="0" w:color="auto"/>
            <w:bottom w:val="none" w:sz="0" w:space="0" w:color="auto"/>
            <w:right w:val="none" w:sz="0" w:space="0" w:color="auto"/>
          </w:divBdr>
        </w:div>
        <w:div w:id="635450818">
          <w:marLeft w:val="0"/>
          <w:marRight w:val="0"/>
          <w:marTop w:val="0"/>
          <w:marBottom w:val="0"/>
          <w:divBdr>
            <w:top w:val="none" w:sz="0" w:space="0" w:color="auto"/>
            <w:left w:val="none" w:sz="0" w:space="0" w:color="auto"/>
            <w:bottom w:val="none" w:sz="0" w:space="0" w:color="auto"/>
            <w:right w:val="none" w:sz="0" w:space="0" w:color="auto"/>
          </w:divBdr>
        </w:div>
        <w:div w:id="649797359">
          <w:marLeft w:val="0"/>
          <w:marRight w:val="0"/>
          <w:marTop w:val="0"/>
          <w:marBottom w:val="0"/>
          <w:divBdr>
            <w:top w:val="none" w:sz="0" w:space="0" w:color="auto"/>
            <w:left w:val="none" w:sz="0" w:space="0" w:color="auto"/>
            <w:bottom w:val="none" w:sz="0" w:space="0" w:color="auto"/>
            <w:right w:val="none" w:sz="0" w:space="0" w:color="auto"/>
          </w:divBdr>
        </w:div>
        <w:div w:id="754210968">
          <w:marLeft w:val="0"/>
          <w:marRight w:val="0"/>
          <w:marTop w:val="0"/>
          <w:marBottom w:val="0"/>
          <w:divBdr>
            <w:top w:val="none" w:sz="0" w:space="0" w:color="auto"/>
            <w:left w:val="none" w:sz="0" w:space="0" w:color="auto"/>
            <w:bottom w:val="none" w:sz="0" w:space="0" w:color="auto"/>
            <w:right w:val="none" w:sz="0" w:space="0" w:color="auto"/>
          </w:divBdr>
        </w:div>
        <w:div w:id="815226683">
          <w:marLeft w:val="0"/>
          <w:marRight w:val="0"/>
          <w:marTop w:val="0"/>
          <w:marBottom w:val="0"/>
          <w:divBdr>
            <w:top w:val="none" w:sz="0" w:space="0" w:color="auto"/>
            <w:left w:val="none" w:sz="0" w:space="0" w:color="auto"/>
            <w:bottom w:val="none" w:sz="0" w:space="0" w:color="auto"/>
            <w:right w:val="none" w:sz="0" w:space="0" w:color="auto"/>
          </w:divBdr>
        </w:div>
        <w:div w:id="936668652">
          <w:marLeft w:val="0"/>
          <w:marRight w:val="0"/>
          <w:marTop w:val="0"/>
          <w:marBottom w:val="0"/>
          <w:divBdr>
            <w:top w:val="none" w:sz="0" w:space="0" w:color="auto"/>
            <w:left w:val="none" w:sz="0" w:space="0" w:color="auto"/>
            <w:bottom w:val="none" w:sz="0" w:space="0" w:color="auto"/>
            <w:right w:val="none" w:sz="0" w:space="0" w:color="auto"/>
          </w:divBdr>
        </w:div>
        <w:div w:id="940920720">
          <w:marLeft w:val="0"/>
          <w:marRight w:val="0"/>
          <w:marTop w:val="0"/>
          <w:marBottom w:val="0"/>
          <w:divBdr>
            <w:top w:val="none" w:sz="0" w:space="0" w:color="auto"/>
            <w:left w:val="none" w:sz="0" w:space="0" w:color="auto"/>
            <w:bottom w:val="none" w:sz="0" w:space="0" w:color="auto"/>
            <w:right w:val="none" w:sz="0" w:space="0" w:color="auto"/>
          </w:divBdr>
        </w:div>
        <w:div w:id="946084518">
          <w:marLeft w:val="0"/>
          <w:marRight w:val="0"/>
          <w:marTop w:val="0"/>
          <w:marBottom w:val="0"/>
          <w:divBdr>
            <w:top w:val="none" w:sz="0" w:space="0" w:color="auto"/>
            <w:left w:val="none" w:sz="0" w:space="0" w:color="auto"/>
            <w:bottom w:val="none" w:sz="0" w:space="0" w:color="auto"/>
            <w:right w:val="none" w:sz="0" w:space="0" w:color="auto"/>
          </w:divBdr>
        </w:div>
        <w:div w:id="1093162935">
          <w:marLeft w:val="0"/>
          <w:marRight w:val="0"/>
          <w:marTop w:val="0"/>
          <w:marBottom w:val="0"/>
          <w:divBdr>
            <w:top w:val="none" w:sz="0" w:space="0" w:color="auto"/>
            <w:left w:val="none" w:sz="0" w:space="0" w:color="auto"/>
            <w:bottom w:val="none" w:sz="0" w:space="0" w:color="auto"/>
            <w:right w:val="none" w:sz="0" w:space="0" w:color="auto"/>
          </w:divBdr>
        </w:div>
        <w:div w:id="1151213771">
          <w:marLeft w:val="0"/>
          <w:marRight w:val="0"/>
          <w:marTop w:val="0"/>
          <w:marBottom w:val="0"/>
          <w:divBdr>
            <w:top w:val="none" w:sz="0" w:space="0" w:color="auto"/>
            <w:left w:val="none" w:sz="0" w:space="0" w:color="auto"/>
            <w:bottom w:val="none" w:sz="0" w:space="0" w:color="auto"/>
            <w:right w:val="none" w:sz="0" w:space="0" w:color="auto"/>
          </w:divBdr>
        </w:div>
        <w:div w:id="1163351716">
          <w:marLeft w:val="0"/>
          <w:marRight w:val="0"/>
          <w:marTop w:val="0"/>
          <w:marBottom w:val="0"/>
          <w:divBdr>
            <w:top w:val="none" w:sz="0" w:space="0" w:color="auto"/>
            <w:left w:val="none" w:sz="0" w:space="0" w:color="auto"/>
            <w:bottom w:val="none" w:sz="0" w:space="0" w:color="auto"/>
            <w:right w:val="none" w:sz="0" w:space="0" w:color="auto"/>
          </w:divBdr>
        </w:div>
        <w:div w:id="1317224868">
          <w:marLeft w:val="0"/>
          <w:marRight w:val="0"/>
          <w:marTop w:val="0"/>
          <w:marBottom w:val="0"/>
          <w:divBdr>
            <w:top w:val="none" w:sz="0" w:space="0" w:color="auto"/>
            <w:left w:val="none" w:sz="0" w:space="0" w:color="auto"/>
            <w:bottom w:val="none" w:sz="0" w:space="0" w:color="auto"/>
            <w:right w:val="none" w:sz="0" w:space="0" w:color="auto"/>
          </w:divBdr>
        </w:div>
        <w:div w:id="1380399458">
          <w:marLeft w:val="0"/>
          <w:marRight w:val="0"/>
          <w:marTop w:val="0"/>
          <w:marBottom w:val="0"/>
          <w:divBdr>
            <w:top w:val="none" w:sz="0" w:space="0" w:color="auto"/>
            <w:left w:val="none" w:sz="0" w:space="0" w:color="auto"/>
            <w:bottom w:val="none" w:sz="0" w:space="0" w:color="auto"/>
            <w:right w:val="none" w:sz="0" w:space="0" w:color="auto"/>
          </w:divBdr>
        </w:div>
        <w:div w:id="1450121100">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1564440384">
          <w:marLeft w:val="0"/>
          <w:marRight w:val="0"/>
          <w:marTop w:val="0"/>
          <w:marBottom w:val="0"/>
          <w:divBdr>
            <w:top w:val="none" w:sz="0" w:space="0" w:color="auto"/>
            <w:left w:val="none" w:sz="0" w:space="0" w:color="auto"/>
            <w:bottom w:val="none" w:sz="0" w:space="0" w:color="auto"/>
            <w:right w:val="none" w:sz="0" w:space="0" w:color="auto"/>
          </w:divBdr>
        </w:div>
        <w:div w:id="1566993594">
          <w:marLeft w:val="0"/>
          <w:marRight w:val="0"/>
          <w:marTop w:val="0"/>
          <w:marBottom w:val="0"/>
          <w:divBdr>
            <w:top w:val="none" w:sz="0" w:space="0" w:color="auto"/>
            <w:left w:val="none" w:sz="0" w:space="0" w:color="auto"/>
            <w:bottom w:val="none" w:sz="0" w:space="0" w:color="auto"/>
            <w:right w:val="none" w:sz="0" w:space="0" w:color="auto"/>
          </w:divBdr>
        </w:div>
        <w:div w:id="1606838632">
          <w:marLeft w:val="0"/>
          <w:marRight w:val="0"/>
          <w:marTop w:val="0"/>
          <w:marBottom w:val="0"/>
          <w:divBdr>
            <w:top w:val="none" w:sz="0" w:space="0" w:color="auto"/>
            <w:left w:val="none" w:sz="0" w:space="0" w:color="auto"/>
            <w:bottom w:val="none" w:sz="0" w:space="0" w:color="auto"/>
            <w:right w:val="none" w:sz="0" w:space="0" w:color="auto"/>
          </w:divBdr>
        </w:div>
        <w:div w:id="1610352591">
          <w:marLeft w:val="0"/>
          <w:marRight w:val="0"/>
          <w:marTop w:val="0"/>
          <w:marBottom w:val="0"/>
          <w:divBdr>
            <w:top w:val="none" w:sz="0" w:space="0" w:color="auto"/>
            <w:left w:val="none" w:sz="0" w:space="0" w:color="auto"/>
            <w:bottom w:val="none" w:sz="0" w:space="0" w:color="auto"/>
            <w:right w:val="none" w:sz="0" w:space="0" w:color="auto"/>
          </w:divBdr>
        </w:div>
        <w:div w:id="1632664798">
          <w:marLeft w:val="0"/>
          <w:marRight w:val="0"/>
          <w:marTop w:val="0"/>
          <w:marBottom w:val="0"/>
          <w:divBdr>
            <w:top w:val="none" w:sz="0" w:space="0" w:color="auto"/>
            <w:left w:val="none" w:sz="0" w:space="0" w:color="auto"/>
            <w:bottom w:val="none" w:sz="0" w:space="0" w:color="auto"/>
            <w:right w:val="none" w:sz="0" w:space="0" w:color="auto"/>
          </w:divBdr>
        </w:div>
        <w:div w:id="1692216920">
          <w:marLeft w:val="0"/>
          <w:marRight w:val="0"/>
          <w:marTop w:val="0"/>
          <w:marBottom w:val="0"/>
          <w:divBdr>
            <w:top w:val="none" w:sz="0" w:space="0" w:color="auto"/>
            <w:left w:val="none" w:sz="0" w:space="0" w:color="auto"/>
            <w:bottom w:val="none" w:sz="0" w:space="0" w:color="auto"/>
            <w:right w:val="none" w:sz="0" w:space="0" w:color="auto"/>
          </w:divBdr>
        </w:div>
        <w:div w:id="1719738991">
          <w:marLeft w:val="0"/>
          <w:marRight w:val="0"/>
          <w:marTop w:val="0"/>
          <w:marBottom w:val="0"/>
          <w:divBdr>
            <w:top w:val="none" w:sz="0" w:space="0" w:color="auto"/>
            <w:left w:val="none" w:sz="0" w:space="0" w:color="auto"/>
            <w:bottom w:val="none" w:sz="0" w:space="0" w:color="auto"/>
            <w:right w:val="none" w:sz="0" w:space="0" w:color="auto"/>
          </w:divBdr>
        </w:div>
        <w:div w:id="1735816401">
          <w:marLeft w:val="0"/>
          <w:marRight w:val="0"/>
          <w:marTop w:val="0"/>
          <w:marBottom w:val="0"/>
          <w:divBdr>
            <w:top w:val="none" w:sz="0" w:space="0" w:color="auto"/>
            <w:left w:val="none" w:sz="0" w:space="0" w:color="auto"/>
            <w:bottom w:val="none" w:sz="0" w:space="0" w:color="auto"/>
            <w:right w:val="none" w:sz="0" w:space="0" w:color="auto"/>
          </w:divBdr>
        </w:div>
        <w:div w:id="1780640214">
          <w:marLeft w:val="0"/>
          <w:marRight w:val="0"/>
          <w:marTop w:val="0"/>
          <w:marBottom w:val="0"/>
          <w:divBdr>
            <w:top w:val="none" w:sz="0" w:space="0" w:color="auto"/>
            <w:left w:val="none" w:sz="0" w:space="0" w:color="auto"/>
            <w:bottom w:val="none" w:sz="0" w:space="0" w:color="auto"/>
            <w:right w:val="none" w:sz="0" w:space="0" w:color="auto"/>
          </w:divBdr>
        </w:div>
        <w:div w:id="1889755914">
          <w:marLeft w:val="0"/>
          <w:marRight w:val="0"/>
          <w:marTop w:val="0"/>
          <w:marBottom w:val="0"/>
          <w:divBdr>
            <w:top w:val="none" w:sz="0" w:space="0" w:color="auto"/>
            <w:left w:val="none" w:sz="0" w:space="0" w:color="auto"/>
            <w:bottom w:val="none" w:sz="0" w:space="0" w:color="auto"/>
            <w:right w:val="none" w:sz="0" w:space="0" w:color="auto"/>
          </w:divBdr>
        </w:div>
        <w:div w:id="1913197674">
          <w:marLeft w:val="0"/>
          <w:marRight w:val="0"/>
          <w:marTop w:val="0"/>
          <w:marBottom w:val="0"/>
          <w:divBdr>
            <w:top w:val="none" w:sz="0" w:space="0" w:color="auto"/>
            <w:left w:val="none" w:sz="0" w:space="0" w:color="auto"/>
            <w:bottom w:val="none" w:sz="0" w:space="0" w:color="auto"/>
            <w:right w:val="none" w:sz="0" w:space="0" w:color="auto"/>
          </w:divBdr>
        </w:div>
        <w:div w:id="1936592970">
          <w:marLeft w:val="0"/>
          <w:marRight w:val="0"/>
          <w:marTop w:val="0"/>
          <w:marBottom w:val="0"/>
          <w:divBdr>
            <w:top w:val="none" w:sz="0" w:space="0" w:color="auto"/>
            <w:left w:val="none" w:sz="0" w:space="0" w:color="auto"/>
            <w:bottom w:val="none" w:sz="0" w:space="0" w:color="auto"/>
            <w:right w:val="none" w:sz="0" w:space="0" w:color="auto"/>
          </w:divBdr>
        </w:div>
        <w:div w:id="2007173108">
          <w:marLeft w:val="0"/>
          <w:marRight w:val="0"/>
          <w:marTop w:val="0"/>
          <w:marBottom w:val="0"/>
          <w:divBdr>
            <w:top w:val="none" w:sz="0" w:space="0" w:color="auto"/>
            <w:left w:val="none" w:sz="0" w:space="0" w:color="auto"/>
            <w:bottom w:val="none" w:sz="0" w:space="0" w:color="auto"/>
            <w:right w:val="none" w:sz="0" w:space="0" w:color="auto"/>
          </w:divBdr>
        </w:div>
        <w:div w:id="2013294316">
          <w:marLeft w:val="0"/>
          <w:marRight w:val="0"/>
          <w:marTop w:val="0"/>
          <w:marBottom w:val="0"/>
          <w:divBdr>
            <w:top w:val="none" w:sz="0" w:space="0" w:color="auto"/>
            <w:left w:val="none" w:sz="0" w:space="0" w:color="auto"/>
            <w:bottom w:val="none" w:sz="0" w:space="0" w:color="auto"/>
            <w:right w:val="none" w:sz="0" w:space="0" w:color="auto"/>
          </w:divBdr>
        </w:div>
        <w:div w:id="2102677393">
          <w:marLeft w:val="0"/>
          <w:marRight w:val="0"/>
          <w:marTop w:val="0"/>
          <w:marBottom w:val="0"/>
          <w:divBdr>
            <w:top w:val="none" w:sz="0" w:space="0" w:color="auto"/>
            <w:left w:val="none" w:sz="0" w:space="0" w:color="auto"/>
            <w:bottom w:val="none" w:sz="0" w:space="0" w:color="auto"/>
            <w:right w:val="none" w:sz="0" w:space="0" w:color="auto"/>
          </w:divBdr>
        </w:div>
      </w:divsChild>
    </w:div>
    <w:div w:id="2077392127">
      <w:bodyDiv w:val="1"/>
      <w:marLeft w:val="0"/>
      <w:marRight w:val="0"/>
      <w:marTop w:val="0"/>
      <w:marBottom w:val="0"/>
      <w:divBdr>
        <w:top w:val="none" w:sz="0" w:space="0" w:color="auto"/>
        <w:left w:val="none" w:sz="0" w:space="0" w:color="auto"/>
        <w:bottom w:val="none" w:sz="0" w:space="0" w:color="auto"/>
        <w:right w:val="none" w:sz="0" w:space="0" w:color="auto"/>
      </w:divBdr>
    </w:div>
    <w:div w:id="2078434269">
      <w:bodyDiv w:val="1"/>
      <w:marLeft w:val="0"/>
      <w:marRight w:val="0"/>
      <w:marTop w:val="0"/>
      <w:marBottom w:val="0"/>
      <w:divBdr>
        <w:top w:val="none" w:sz="0" w:space="0" w:color="auto"/>
        <w:left w:val="none" w:sz="0" w:space="0" w:color="auto"/>
        <w:bottom w:val="none" w:sz="0" w:space="0" w:color="auto"/>
        <w:right w:val="none" w:sz="0" w:space="0" w:color="auto"/>
      </w:divBdr>
    </w:div>
    <w:div w:id="2110351618">
      <w:bodyDiv w:val="1"/>
      <w:marLeft w:val="0"/>
      <w:marRight w:val="0"/>
      <w:marTop w:val="0"/>
      <w:marBottom w:val="0"/>
      <w:divBdr>
        <w:top w:val="none" w:sz="0" w:space="0" w:color="auto"/>
        <w:left w:val="none" w:sz="0" w:space="0" w:color="auto"/>
        <w:bottom w:val="none" w:sz="0" w:space="0" w:color="auto"/>
        <w:right w:val="none" w:sz="0" w:space="0" w:color="auto"/>
      </w:divBdr>
    </w:div>
    <w:div w:id="2128162398">
      <w:bodyDiv w:val="1"/>
      <w:marLeft w:val="0"/>
      <w:marRight w:val="0"/>
      <w:marTop w:val="0"/>
      <w:marBottom w:val="0"/>
      <w:divBdr>
        <w:top w:val="none" w:sz="0" w:space="0" w:color="auto"/>
        <w:left w:val="none" w:sz="0" w:space="0" w:color="auto"/>
        <w:bottom w:val="none" w:sz="0" w:space="0" w:color="auto"/>
        <w:right w:val="none" w:sz="0" w:space="0" w:color="auto"/>
      </w:divBdr>
    </w:div>
    <w:div w:id="21365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Adoption_Act_1955&amp;action=edit&amp;redlink=1" TargetMode="External"/><Relationship Id="rId18" Type="http://schemas.openxmlformats.org/officeDocument/2006/relationships/hyperlink" Target="https://en.wikipedia.org/wiki/Oranga_Tamariki_Act_1989" TargetMode="External"/><Relationship Id="rId26" Type="http://schemas.openxmlformats.org/officeDocument/2006/relationships/header" Target="header2.xml"/><Relationship Id="rId21" Type="http://schemas.openxmlformats.org/officeDocument/2006/relationships/image" Target="media/image1.png"/><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en.wikipedia.org/w/index.php?title=Adoption_Act_1955&amp;action=edit&amp;redlink=1" TargetMode="External"/><Relationship Id="rId17" Type="http://schemas.openxmlformats.org/officeDocument/2006/relationships/hyperlink" Target="https://en.wikipedia.org/w/index.php?title=Adoption_Act_1955&amp;action=edit&amp;redlink=1" TargetMode="External"/><Relationship Id="rId25" Type="http://schemas.openxmlformats.org/officeDocument/2006/relationships/footer" Target="footer1.xml"/><Relationship Id="rId33" Type="http://schemas.openxmlformats.org/officeDocument/2006/relationships/image" Target="media/image10.png"/><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en.wikipedia.org/w/index.php?title=Adoption_Act_1955&amp;action=edit&amp;redlink=1" TargetMode="External"/><Relationship Id="rId20" Type="http://schemas.openxmlformats.org/officeDocument/2006/relationships/hyperlink" Target="https://en.wikipedia.org/wiki/Oranga_Tamariki_Act_1989"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wikipedia.org/wiki/M%C4%81ori_people" TargetMode="External"/><Relationship Id="rId24" Type="http://schemas.openxmlformats.org/officeDocument/2006/relationships/header" Target="header1.xml"/><Relationship Id="rId32" Type="http://schemas.openxmlformats.org/officeDocument/2006/relationships/image" Target="media/image9.png"/><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en.wikipedia.org/w/index.php?title=Adoption_Act_1955&amp;action=edit&amp;redlink=1"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wikipedia.org/w/index.php?title=Adoption_Act_1955&amp;action=edit&amp;redlink=1"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ndex.php?title=Adoption_Act_1955&amp;action=edit&amp;redlink=1"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6" Type="http://schemas.openxmlformats.org/officeDocument/2006/relationships/hyperlink" Target="https://nzetc.victoria.ac.nz/tm/scholarly/name-036430.html" TargetMode="External"/><Relationship Id="rId117" Type="http://schemas.openxmlformats.org/officeDocument/2006/relationships/hyperlink" Target="https://www.jw.org/en/jehovahs-witnesses/faq/how-many-jw/" TargetMode="External"/><Relationship Id="rId21" Type="http://schemas.openxmlformats.org/officeDocument/2006/relationships/hyperlink" Target="https://nzetc.victoria.ac.nz/tm/scholarly/name-411034.html" TargetMode="External"/><Relationship Id="rId42" Type="http://schemas.openxmlformats.org/officeDocument/2006/relationships/hyperlink" Target="https://nzetc.victoria.ac.nz/tm/scholarly/name-411034.html" TargetMode="External"/><Relationship Id="rId47" Type="http://schemas.openxmlformats.org/officeDocument/2006/relationships/hyperlink" Target="https://nzetc.victoria.ac.nz/tm/scholarly/name-036430.html" TargetMode="External"/><Relationship Id="rId63" Type="http://schemas.openxmlformats.org/officeDocument/2006/relationships/hyperlink" Target="https://nzetc.victoria.ac.nz/tm/scholarly/name-411034.html" TargetMode="External"/><Relationship Id="rId68" Type="http://schemas.openxmlformats.org/officeDocument/2006/relationships/hyperlink" Target="https://teara.govt.nz/en/child-abuse" TargetMode="External"/><Relationship Id="rId84" Type="http://schemas.openxmlformats.org/officeDocument/2006/relationships/hyperlink" Target="https://nzetc.victoria.ac.nz/tm/scholarly/name-036430.html" TargetMode="External"/><Relationship Id="rId89" Type="http://schemas.openxmlformats.org/officeDocument/2006/relationships/hyperlink" Target="https://teara.govt.nz/en/pacific-churches-in-new-zealand/page-2" TargetMode="External"/><Relationship Id="rId112" Type="http://schemas.openxmlformats.org/officeDocument/2006/relationships/hyperlink" Target="https://teara.govt.nz/en/disability-and-disability-organisations" TargetMode="External"/><Relationship Id="rId16" Type="http://schemas.openxmlformats.org/officeDocument/2006/relationships/hyperlink" Target="https://nzetc.victoria.ac.nz/tm/scholarly/name-463168.html" TargetMode="External"/><Relationship Id="rId107" Type="http://schemas.openxmlformats.org/officeDocument/2006/relationships/hyperlink" Target="https://paperspast.natlib.govt.nz/newspapers/CHP19660729.2.36?phrase=2&amp;query=New+Law+Reduces+Adoptions&amp;snippet=true" TargetMode="External"/><Relationship Id="rId11" Type="http://schemas.openxmlformats.org/officeDocument/2006/relationships/hyperlink" Target="http://www.TeAra.govt.nz/en/care-and-carers/page-4" TargetMode="External"/><Relationship Id="rId32" Type="http://schemas.openxmlformats.org/officeDocument/2006/relationships/hyperlink" Target="https://nzetc.victoria.ac.nz/tm/scholarly/name-036430.html" TargetMode="External"/><Relationship Id="rId37" Type="http://schemas.openxmlformats.org/officeDocument/2006/relationships/hyperlink" Target="https://www.mfat.govt.nz/en/about-us/mfat75/75-our-story/apia/" TargetMode="External"/><Relationship Id="rId53" Type="http://schemas.openxmlformats.org/officeDocument/2006/relationships/hyperlink" Target="https://nzetc.victoria.ac.nz/tm/scholarly/name-036430.html" TargetMode="External"/><Relationship Id="rId58" Type="http://schemas.openxmlformats.org/officeDocument/2006/relationships/hyperlink" Target="https://nzetc.victoria.ac.nz/tm/scholarly/name-463168.html" TargetMode="External"/><Relationship Id="rId74" Type="http://schemas.openxmlformats.org/officeDocument/2006/relationships/hyperlink" Target="https://nzetc.victoria.ac.nz/tm/scholarly/name-036430.html" TargetMode="External"/><Relationship Id="rId79" Type="http://schemas.openxmlformats.org/officeDocument/2006/relationships/hyperlink" Target="https://nzetc.victoria.ac.nz/tm/scholarly/name-463168.html" TargetMode="External"/><Relationship Id="rId102" Type="http://schemas.openxmlformats.org/officeDocument/2006/relationships/hyperlink" Target="https://www.publicservice.govt.nz/system/system-architecture-and-design/how-the-public-sector-is-organised" TargetMode="External"/><Relationship Id="rId123" Type="http://schemas.openxmlformats.org/officeDocument/2006/relationships/hyperlink" Target="https://www.education.govt.nz/school/new-zealands-network-of-schools/about/types-of-schools-and-year-levels/." TargetMode="External"/><Relationship Id="rId5" Type="http://schemas.openxmlformats.org/officeDocument/2006/relationships/hyperlink" Target="https://www.ashburn.co.nz/about/" TargetMode="External"/><Relationship Id="rId90" Type="http://schemas.openxmlformats.org/officeDocument/2006/relationships/hyperlink" Target="https://www.rbnz.govt.nz/monetary-policy/about-monetary-policy/inflation-calculator" TargetMode="External"/><Relationship Id="rId95" Type="http://schemas.openxmlformats.org/officeDocument/2006/relationships/hyperlink" Target="https://teara.govt.nz/en/anti-racism-and-treaty-of-waitangi-activism/page-5" TargetMode="External"/><Relationship Id="rId22" Type="http://schemas.openxmlformats.org/officeDocument/2006/relationships/hyperlink" Target="https://nzetc.victoria.ac.nz/tm/scholarly/name-463168.html" TargetMode="External"/><Relationship Id="rId27" Type="http://schemas.openxmlformats.org/officeDocument/2006/relationships/hyperlink" Target="https://nzetc.victoria.ac.nz/tm/scholarly/name-411034.html" TargetMode="External"/><Relationship Id="rId43" Type="http://schemas.openxmlformats.org/officeDocument/2006/relationships/hyperlink" Target="https://nzetc.victoria.ac.nz/tm/scholarly/name-463168.html" TargetMode="External"/><Relationship Id="rId48" Type="http://schemas.openxmlformats.org/officeDocument/2006/relationships/hyperlink" Target="https://nzetc.victoria.ac.nz/tm/scholarly/name-411034.html" TargetMode="External"/><Relationship Id="rId64" Type="http://schemas.openxmlformats.org/officeDocument/2006/relationships/hyperlink" Target="https://nzetc.victoria.ac.nz/tm/scholarly/name-463168.html" TargetMode="External"/><Relationship Id="rId69" Type="http://schemas.openxmlformats.org/officeDocument/2006/relationships/hyperlink" Target="https://teara.govt.nz/en/biographies/4m17/mackenzie-clutha-nantes" TargetMode="External"/><Relationship Id="rId113" Type="http://schemas.openxmlformats.org/officeDocument/2006/relationships/hyperlink" Target="https://www.blennz.school.nz/about-blennz/our-history/" TargetMode="External"/><Relationship Id="rId118" Type="http://schemas.openxmlformats.org/officeDocument/2006/relationships/hyperlink" Target="https://www.jw.org/en/news/region/new-zealand/Seventy-Five-Years-of-Legally-Establishing-the-Good-News-in-New-Zealand/" TargetMode="External"/><Relationship Id="rId80" Type="http://schemas.openxmlformats.org/officeDocument/2006/relationships/hyperlink" Target="https://nzetc.victoria.ac.nz/tm/scholarly/name-036430.html" TargetMode="External"/><Relationship Id="rId85" Type="http://schemas.openxmlformats.org/officeDocument/2006/relationships/hyperlink" Target="https://nzetc.victoria.ac.nz/tm/scholarly/name-463168.html" TargetMode="External"/><Relationship Id="rId12" Type="http://schemas.openxmlformats.org/officeDocument/2006/relationships/hyperlink" Target="http://www.TeAra.govt.nz/en/youth-offenders/page-2" TargetMode="External"/><Relationship Id="rId17" Type="http://schemas.openxmlformats.org/officeDocument/2006/relationships/hyperlink" Target="https://nzetc.victoria.ac.nz/tm/scholarly/name-036430.html" TargetMode="External"/><Relationship Id="rId33" Type="http://schemas.openxmlformats.org/officeDocument/2006/relationships/hyperlink" Target="https://www.mwwl.org.nz/about" TargetMode="External"/><Relationship Id="rId38" Type="http://schemas.openxmlformats.org/officeDocument/2006/relationships/hyperlink" Target="https://teara.govt.nz/en/childhood" TargetMode="External"/><Relationship Id="rId59" Type="http://schemas.openxmlformats.org/officeDocument/2006/relationships/hyperlink" Target="https://nzetc.victoria.ac.nz/tm/scholarly/name-036430.html" TargetMode="External"/><Relationship Id="rId103" Type="http://schemas.openxmlformats.org/officeDocument/2006/relationships/hyperlink" Target="https://www.publicservice.govt.nz/news/how-the-public-service-has-changed-over-time" TargetMode="External"/><Relationship Id="rId108" Type="http://schemas.openxmlformats.org/officeDocument/2006/relationships/hyperlink" Target="https://teara.govt.nz/en/youth-offenders/page-3" TargetMode="External"/><Relationship Id="rId124" Type="http://schemas.openxmlformats.org/officeDocument/2006/relationships/hyperlink" Target="https://teara.govt.nz/en/private-education/page-3" TargetMode="External"/><Relationship Id="rId54" Type="http://schemas.openxmlformats.org/officeDocument/2006/relationships/hyperlink" Target="https://nzetc.victoria.ac.nz/tm/scholarly/name-411034.html" TargetMode="External"/><Relationship Id="rId70" Type="http://schemas.openxmlformats.org/officeDocument/2006/relationships/hyperlink" Target="https://teara.govt.nz/en/disability-and-disability-organisations" TargetMode="External"/><Relationship Id="rId75" Type="http://schemas.openxmlformats.org/officeDocument/2006/relationships/hyperlink" Target="https://nzetc.victoria.ac.nz/tm/scholarly/name-463168.html" TargetMode="External"/><Relationship Id="rId91" Type="http://schemas.openxmlformats.org/officeDocument/2006/relationships/hyperlink" Target="https://www.acc.co.nz/about-us/who-we-are/our-history/" TargetMode="External"/><Relationship Id="rId96" Type="http://schemas.openxmlformats.org/officeDocument/2006/relationships/hyperlink" Target="https://teara.govt.nz/en/anti-racism-and-treaty-of-waitangi-activism/page-5" TargetMode="External"/><Relationship Id="rId1" Type="http://schemas.openxmlformats.org/officeDocument/2006/relationships/hyperlink" Target="http://www.TeAra.govt.nz/en/whakapapa-genealogy/page-1" TargetMode="External"/><Relationship Id="rId6" Type="http://schemas.openxmlformats.org/officeDocument/2006/relationships/hyperlink" Target="https://www.parliament.uk/about/living-heritage/transformingsociety/livinglearning/19thcentury/overview/poorlaw/" TargetMode="External"/><Relationship Id="rId23" Type="http://schemas.openxmlformats.org/officeDocument/2006/relationships/hyperlink" Target="https://nzetc.victoria.ac.nz/tm/scholarly/name-036430.html" TargetMode="External"/><Relationship Id="rId28" Type="http://schemas.openxmlformats.org/officeDocument/2006/relationships/hyperlink" Target="https://nzetc.victoria.ac.nz/tm/scholarly/name-463168.html" TargetMode="External"/><Relationship Id="rId49" Type="http://schemas.openxmlformats.org/officeDocument/2006/relationships/hyperlink" Target="https://nzetc.victoria.ac.nz/tm/scholarly/name-463168.html" TargetMode="External"/><Relationship Id="rId114" Type="http://schemas.openxmlformats.org/officeDocument/2006/relationships/hyperlink" Target="https://www.rbnz.govt.nz/monetary-policy/about-monetary-policy/inflation-calculator" TargetMode="External"/><Relationship Id="rId119" Type="http://schemas.openxmlformats.org/officeDocument/2006/relationships/hyperlink" Target="https://register.charities.govt.nz/CharitiesRegister/Search%20accessed%2024%20April%202024" TargetMode="External"/><Relationship Id="rId44" Type="http://schemas.openxmlformats.org/officeDocument/2006/relationships/hyperlink" Target="https://nzetc.victoria.ac.nz/tm/scholarly/name-036430.html" TargetMode="External"/><Relationship Id="rId60" Type="http://schemas.openxmlformats.org/officeDocument/2006/relationships/hyperlink" Target="https://nzetc.victoria.ac.nz/tm/scholarly/name-411034.html" TargetMode="External"/><Relationship Id="rId65" Type="http://schemas.openxmlformats.org/officeDocument/2006/relationships/hyperlink" Target="https://nzetc.victoria.ac.nz/tm/scholarly/name-036430.html" TargetMode="External"/><Relationship Id="rId81" Type="http://schemas.openxmlformats.org/officeDocument/2006/relationships/hyperlink" Target="https://nzetc.victoria.ac.nz/tm/scholarly/name-463168.html" TargetMode="External"/><Relationship Id="rId86" Type="http://schemas.openxmlformats.org/officeDocument/2006/relationships/hyperlink" Target="https://nzetc.victoria.ac.nz/tm/scholarly/name-036430.html" TargetMode="External"/><Relationship Id="rId13" Type="http://schemas.openxmlformats.org/officeDocument/2006/relationships/hyperlink" Target="https://teara.govt.nz/en/te-hauora-maori-i-mua-history-of-maori-health/page-3" TargetMode="External"/><Relationship Id="rId18" Type="http://schemas.openxmlformats.org/officeDocument/2006/relationships/hyperlink" Target="https://nzetc.victoria.ac.nz/tm/scholarly/name-411034.html" TargetMode="External"/><Relationship Id="rId39" Type="http://schemas.openxmlformats.org/officeDocument/2006/relationships/hyperlink" Target="https://nzetc.victoria.ac.nz/tm/scholarly/name-411034.html" TargetMode="External"/><Relationship Id="rId109" Type="http://schemas.openxmlformats.org/officeDocument/2006/relationships/hyperlink" Target="https://teara.govt.nz/en/mental-health-services/page-3" TargetMode="External"/><Relationship Id="rId34" Type="http://schemas.openxmlformats.org/officeDocument/2006/relationships/hyperlink" Target="https://teara.govt.nz/en/veterans-assistance/page-2" TargetMode="External"/><Relationship Id="rId50" Type="http://schemas.openxmlformats.org/officeDocument/2006/relationships/hyperlink" Target="https://nzetc.victoria.ac.nz/tm/scholarly/name-036430.html" TargetMode="External"/><Relationship Id="rId55" Type="http://schemas.openxmlformats.org/officeDocument/2006/relationships/hyperlink" Target="https://nzetc.victoria.ac.nz/tm/scholarly/name-463168.html" TargetMode="External"/><Relationship Id="rId76" Type="http://schemas.openxmlformats.org/officeDocument/2006/relationships/hyperlink" Target="https://nzetc.victoria.ac.nz/tm/scholarly/name-036430.html" TargetMode="External"/><Relationship Id="rId97" Type="http://schemas.openxmlformats.org/officeDocument/2006/relationships/hyperlink" Target="https://teara.govt.nz/en/te-tai/te-mana-o-te-reo-maori-nga-tamatoa" TargetMode="External"/><Relationship Id="rId104" Type="http://schemas.openxmlformats.org/officeDocument/2006/relationships/hyperlink" Target="https://www.oag.parliament.nz/about-us/what-we-do" TargetMode="External"/><Relationship Id="rId120" Type="http://schemas.openxmlformats.org/officeDocument/2006/relationships/hyperlink" Target="https://register.charities.govt.nz/Charity/CC29352" TargetMode="External"/><Relationship Id="rId125" Type="http://schemas.openxmlformats.org/officeDocument/2006/relationships/hyperlink" Target="https://teara.govt.nz/en/maori-education-matauranga/page-4" TargetMode="External"/><Relationship Id="rId7" Type="http://schemas.openxmlformats.org/officeDocument/2006/relationships/hyperlink" Target="http://www.TeAra.govt.nz/en/te-tango-whenua-maori-land-alienation" TargetMode="External"/><Relationship Id="rId71" Type="http://schemas.openxmlformats.org/officeDocument/2006/relationships/hyperlink" Target="https://teara.govt.nz/en/pacific-churches-in-new-zealand/page-2" TargetMode="External"/><Relationship Id="rId92" Type="http://schemas.openxmlformats.org/officeDocument/2006/relationships/hyperlink" Target="https://teara.govt.nz/en/photograph/26348/jane-and-james-ritchie" TargetMode="External"/><Relationship Id="rId2" Type="http://schemas.openxmlformats.org/officeDocument/2006/relationships/hyperlink" Target="http://www.marsdenarchive.otago.ac.nz/MS_0176_001" TargetMode="External"/><Relationship Id="rId29" Type="http://schemas.openxmlformats.org/officeDocument/2006/relationships/hyperlink" Target="https://nzetc.victoria.ac.nz/tm/scholarly/name-036430.html" TargetMode="External"/><Relationship Id="rId24" Type="http://schemas.openxmlformats.org/officeDocument/2006/relationships/hyperlink" Target="https://nzetc.victoria.ac.nz/tm/scholarly/name-411034.html" TargetMode="External"/><Relationship Id="rId40" Type="http://schemas.openxmlformats.org/officeDocument/2006/relationships/hyperlink" Target="https://nzetc.victoria.ac.nz/tm/scholarly/name-463168.html" TargetMode="External"/><Relationship Id="rId45" Type="http://schemas.openxmlformats.org/officeDocument/2006/relationships/hyperlink" Target="https://nzetc.victoria.ac.nz/tm/scholarly/name-411034.html" TargetMode="External"/><Relationship Id="rId66" Type="http://schemas.openxmlformats.org/officeDocument/2006/relationships/hyperlink" Target="https://www.acc.co.nz/about-us/who-we-are/our-history/" TargetMode="External"/><Relationship Id="rId87" Type="http://schemas.openxmlformats.org/officeDocument/2006/relationships/hyperlink" Target="https://nzetc.victoria.ac.nz/tm/scholarly/name-463168.html" TargetMode="External"/><Relationship Id="rId110" Type="http://schemas.openxmlformats.org/officeDocument/2006/relationships/hyperlink" Target="https://teara.govt.nz/en/care-and-carers/page-4" TargetMode="External"/><Relationship Id="rId115" Type="http://schemas.openxmlformats.org/officeDocument/2006/relationships/hyperlink" Target="https://www.rbnz.govt.nz/monetary-policy/about-monetary-policy/inflation-calculator" TargetMode="External"/><Relationship Id="rId61" Type="http://schemas.openxmlformats.org/officeDocument/2006/relationships/hyperlink" Target="https://nzetc.victoria.ac.nz/tm/scholarly/name-463168.html" TargetMode="External"/><Relationship Id="rId82" Type="http://schemas.openxmlformats.org/officeDocument/2006/relationships/hyperlink" Target="https://nzetc.victoria.ac.nz/tm/scholarly/name-036430.html" TargetMode="External"/><Relationship Id="rId19" Type="http://schemas.openxmlformats.org/officeDocument/2006/relationships/hyperlink" Target="https://nzetc.victoria.ac.nz/tm/scholarly/name-463168.html" TargetMode="External"/><Relationship Id="rId14" Type="http://schemas.openxmlformats.org/officeDocument/2006/relationships/hyperlink" Target="https://teara.govt.nz/en/te-hauora-maori-i-mua-history-of-maori-health/page-3" TargetMode="External"/><Relationship Id="rId30" Type="http://schemas.openxmlformats.org/officeDocument/2006/relationships/hyperlink" Target="https://nzetc.victoria.ac.nz/tm/scholarly/name-411034.html" TargetMode="External"/><Relationship Id="rId35" Type="http://schemas.openxmlformats.org/officeDocument/2006/relationships/hyperlink" Target="https://gg.govt.nz/office-governor-general/roles-and-functions-governor-general/constitutional-role/constitution/constitution" TargetMode="External"/><Relationship Id="rId56" Type="http://schemas.openxmlformats.org/officeDocument/2006/relationships/hyperlink" Target="https://nzetc.victoria.ac.nz/tm/scholarly/name-036430.html" TargetMode="External"/><Relationship Id="rId77" Type="http://schemas.openxmlformats.org/officeDocument/2006/relationships/hyperlink" Target="https://nzetc.victoria.ac.nz/tm/scholarly/name-463168.html" TargetMode="External"/><Relationship Id="rId100" Type="http://schemas.openxmlformats.org/officeDocument/2006/relationships/hyperlink" Target="https://advocacy.org.nz/about-the-advocacy-service/" TargetMode="External"/><Relationship Id="rId105" Type="http://schemas.openxmlformats.org/officeDocument/2006/relationships/hyperlink" Target="https://www.ombudsman.parliament.nz/about-ombudsman/past-present-and-future" TargetMode="External"/><Relationship Id="rId8" Type="http://schemas.openxmlformats.org/officeDocument/2006/relationships/hyperlink" Target="http://www.TeAra.govt.nz/en/te-tango-whenua-maori-land-alienation" TargetMode="External"/><Relationship Id="rId51" Type="http://schemas.openxmlformats.org/officeDocument/2006/relationships/hyperlink" Target="https://nzetc.victoria.ac.nz/tm/scholarly/name-411034.html" TargetMode="External"/><Relationship Id="rId72" Type="http://schemas.openxmlformats.org/officeDocument/2006/relationships/hyperlink" Target="https://teara.govt.nz/en/anti-racism-and-treaty-of-waitangi-activism/page-5" TargetMode="External"/><Relationship Id="rId93" Type="http://schemas.openxmlformats.org/officeDocument/2006/relationships/hyperlink" Target="https://teara.govt.nz/en/child-abuse" TargetMode="External"/><Relationship Id="rId98" Type="http://schemas.openxmlformats.org/officeDocument/2006/relationships/hyperlink" Target="https://www.deaf.org.nz/about/history/" TargetMode="External"/><Relationship Id="rId121" Type="http://schemas.openxmlformats.org/officeDocument/2006/relationships/hyperlink" Target="https://hbcht.org.nz/our-history/" TargetMode="External"/><Relationship Id="rId3" Type="http://schemas.openxmlformats.org/officeDocument/2006/relationships/hyperlink" Target="https://teara.govt.nz/en/biographies/1s11/shortland-edward" TargetMode="External"/><Relationship Id="rId25" Type="http://schemas.openxmlformats.org/officeDocument/2006/relationships/hyperlink" Target="https://nzetc.victoria.ac.nz/tm/scholarly/name-463168.html" TargetMode="External"/><Relationship Id="rId46" Type="http://schemas.openxmlformats.org/officeDocument/2006/relationships/hyperlink" Target="https://nzetc.victoria.ac.nz/tm/scholarly/name-463168.html" TargetMode="External"/><Relationship Id="rId67" Type="http://schemas.openxmlformats.org/officeDocument/2006/relationships/hyperlink" Target="https://teara.govt.nz/en/mental-health-services/page-2" TargetMode="External"/><Relationship Id="rId116" Type="http://schemas.openxmlformats.org/officeDocument/2006/relationships/hyperlink" Target="https://www.rbnz.govt.nz/monetary-policy/about-monetary-policy/inflation-calculator" TargetMode="External"/><Relationship Id="rId20" Type="http://schemas.openxmlformats.org/officeDocument/2006/relationships/hyperlink" Target="https://nzetc.victoria.ac.nz/tm/scholarly/name-036430.html" TargetMode="External"/><Relationship Id="rId41" Type="http://schemas.openxmlformats.org/officeDocument/2006/relationships/hyperlink" Target="https://nzetc.victoria.ac.nz/tm/scholarly/name-036430.html" TargetMode="External"/><Relationship Id="rId62" Type="http://schemas.openxmlformats.org/officeDocument/2006/relationships/hyperlink" Target="https://nzetc.victoria.ac.nz/tm/scholarly/name-036430.html" TargetMode="External"/><Relationship Id="rId83" Type="http://schemas.openxmlformats.org/officeDocument/2006/relationships/hyperlink" Target="https://nzetc.victoria.ac.nz/tm/scholarly/name-463168.html" TargetMode="External"/><Relationship Id="rId88" Type="http://schemas.openxmlformats.org/officeDocument/2006/relationships/hyperlink" Target="https://nzetc.victoria.ac.nz/tm/scholarly/name-036430.html" TargetMode="External"/><Relationship Id="rId111" Type="http://schemas.openxmlformats.org/officeDocument/2006/relationships/hyperlink" Target="https://teara.govt.nz/en/voluntary-welfare-organisations/page-4" TargetMode="External"/><Relationship Id="rId15" Type="http://schemas.openxmlformats.org/officeDocument/2006/relationships/hyperlink" Target="https://nzetc.victoria.ac.nz/tm/scholarly/name-411034.html" TargetMode="External"/><Relationship Id="rId36" Type="http://schemas.openxmlformats.org/officeDocument/2006/relationships/hyperlink" Target="https://teara.govt.nz/en/pacific-islands-and-new-zealand/page-5" TargetMode="External"/><Relationship Id="rId57" Type="http://schemas.openxmlformats.org/officeDocument/2006/relationships/hyperlink" Target="https://nzetc.victoria.ac.nz/tm/scholarly/name-411034.html" TargetMode="External"/><Relationship Id="rId106" Type="http://schemas.openxmlformats.org/officeDocument/2006/relationships/hyperlink" Target="https://teara.govt.nz/en/adoption/page-2" TargetMode="External"/><Relationship Id="rId10" Type="http://schemas.openxmlformats.org/officeDocument/2006/relationships/hyperlink" Target="https://www.sense.org.uk/information-and-advice/ableism-and-disablism" TargetMode="External"/><Relationship Id="rId31" Type="http://schemas.openxmlformats.org/officeDocument/2006/relationships/hyperlink" Target="https://nzetc.victoria.ac.nz/tm/scholarly/name-463168.html" TargetMode="External"/><Relationship Id="rId52" Type="http://schemas.openxmlformats.org/officeDocument/2006/relationships/hyperlink" Target="https://nzetc.victoria.ac.nz/tm/scholarly/name-463168.html" TargetMode="External"/><Relationship Id="rId73" Type="http://schemas.openxmlformats.org/officeDocument/2006/relationships/hyperlink" Target="https://nzetc.victoria.ac.nz/tm/scholarly/name-463168.html" TargetMode="External"/><Relationship Id="rId78" Type="http://schemas.openxmlformats.org/officeDocument/2006/relationships/hyperlink" Target="https://nzetc.victoria.ac.nz/tm/scholarly/name-036430.html" TargetMode="External"/><Relationship Id="rId94" Type="http://schemas.openxmlformats.org/officeDocument/2006/relationships/hyperlink" Target="https://www.ptsd.va.gov/professional/treat/essentials/history_ptsd.asp" TargetMode="External"/><Relationship Id="rId99" Type="http://schemas.openxmlformats.org/officeDocument/2006/relationships/hyperlink" Target="https://teara.govt.nz/en/disability-and-disability-organisations." TargetMode="External"/><Relationship Id="rId101" Type="http://schemas.openxmlformats.org/officeDocument/2006/relationships/hyperlink" Target="https://teara.govt.nz/en/interactive/28422/religious-adherence-1878-2013" TargetMode="External"/><Relationship Id="rId122" Type="http://schemas.openxmlformats.org/officeDocument/2006/relationships/hyperlink" Target="https://ahi.auckland.ac.nz/2021/08/05/help-where-help-was-needed-single-mothers-and-the-salvation-army-bethany-home-in-1960s-70s-auckland/" TargetMode="External"/><Relationship Id="rId4" Type="http://schemas.openxmlformats.org/officeDocument/2006/relationships/hyperlink" Target="https://nzhistory.govt.nz/culture/immigration/home-away-from-home/summary" TargetMode="External"/><Relationship Id="rId9" Type="http://schemas.openxmlformats.org/officeDocument/2006/relationships/hyperlink" Target="https://nmaahc.si.edu/learn/talking-about-race/topics/being-antiracist" TargetMode="External"/></Relationships>
</file>

<file path=word/documenttasks/documenttasks1.xml><?xml version="1.0" encoding="utf-8"?>
<t:Tasks xmlns:t="http://schemas.microsoft.com/office/tasks/2019/documenttasks" xmlns:oel="http://schemas.microsoft.com/office/2019/extlst">
  <t:Task id="{5809E106-725D-4D0D-9290-C742708AB219}">
    <t:Anchor>
      <t:Comment id="6456905"/>
    </t:Anchor>
    <t:History>
      <t:Event id="{E444411D-9263-4C18-BBC1-190A7349E374}" time="2024-04-28T23:51:09.275Z">
        <t:Attribution userId="S::Sarah.Jardine@abuseincare.org.nz::a5244744-e5db-496c-ab23-bbafdbb45034" userProvider="AD" userName="Sarah Jardine"/>
        <t:Anchor>
          <t:Comment id="6456905"/>
        </t:Anchor>
        <t:Create/>
      </t:Event>
      <t:Event id="{657E8B64-608E-4A75-8131-D09901E83211}" time="2024-04-28T23:51:09.275Z">
        <t:Attribution userId="S::Sarah.Jardine@abuseincare.org.nz::a5244744-e5db-496c-ab23-bbafdbb45034" userProvider="AD" userName="Sarah Jardine"/>
        <t:Anchor>
          <t:Comment id="6456905"/>
        </t:Anchor>
        <t:Assign userId="S::Mel.Weddell@abuseincare.org.nz::02629cf0-9bbf-465d-b1b1-1824ed4212c0" userProvider="AD" userName="Mel Weddell"/>
      </t:Event>
      <t:Event id="{5E742819-9202-4978-B2CC-EA019E957BFF}" time="2024-04-28T23:51:09.275Z">
        <t:Attribution userId="S::Sarah.Jardine@abuseincare.org.nz::a5244744-e5db-496c-ab23-bbafdbb45034" userProvider="AD" userName="Sarah Jardine"/>
        <t:Anchor>
          <t:Comment id="6456905"/>
        </t:Anchor>
        <t:SetTitle title="@Mel Weddell I’ve noticed various ways to refer to this in this chapter - there’s somewhere else that says “in 2024’s money” or something..."/>
      </t:Event>
      <t:Event id="{7AE359A3-16E8-4F53-8528-BE60AFE187A3}" time="2024-04-30T03:10:54.031Z">
        <t:Attribution userId="S::Sarah.Jardine@abuseincare.org.nz::a5244744-e5db-496c-ab23-bbafdbb45034" userProvider="AD" userName="Sarah Jardine"/>
        <t:Progress percentComplete="100"/>
      </t:Event>
    </t:History>
  </t:Task>
  <t:Task id="{A85F1B5A-C8FF-4840-80BB-76921EB862B0}">
    <t:Anchor>
      <t:Comment id="667856738"/>
    </t:Anchor>
    <t:History>
      <t:Event id="{EA002067-9B1D-4EAB-98C1-63C6CB97CF2A}" time="2023-03-30T20:57:44.416Z">
        <t:Attribution userId="S::jessica.sebastian@abuseincare.org.nz::b670e40c-5ea0-4c39-8181-3145d232b19f" userProvider="AD" userName="Jessica Sebastian"/>
        <t:Anchor>
          <t:Comment id="1884849509"/>
        </t:Anchor>
        <t:Create/>
      </t:Event>
      <t:Event id="{500A3D86-2608-4DA6-BA74-91CD3C506888}" time="2023-03-30T20:57:44.416Z">
        <t:Attribution userId="S::jessica.sebastian@abuseincare.org.nz::b670e40c-5ea0-4c39-8181-3145d232b19f" userProvider="AD" userName="Jessica Sebastian"/>
        <t:Anchor>
          <t:Comment id="1884849509"/>
        </t:Anchor>
        <t:Assign userId="S::Frances.Dash@abuseincare.org.nz::e3b8b314-ce60-4ee5-9e46-8a242b965627" userProvider="AD" userName="Frances Dash"/>
      </t:Event>
      <t:Event id="{8ADECB83-F7A8-4009-B49B-CB3BF1FE6A59}" time="2023-03-30T20:57:44.416Z">
        <t:Attribution userId="S::jessica.sebastian@abuseincare.org.nz::b670e40c-5ea0-4c39-8181-3145d232b19f" userProvider="AD" userName="Jessica Sebastian"/>
        <t:Anchor>
          <t:Comment id="1884849509"/>
        </t:Anchor>
        <t:SetTitle title="@Frances Dash - check?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Janet Dawson</DisplayName>
        <AccountId>40</AccountId>
        <AccountType/>
      </UserInfo>
      <UserInfo>
        <DisplayName>Wiremu Rikihana</DisplayName>
        <AccountId>21</AccountId>
        <AccountType/>
      </UserInfo>
      <UserInfo>
        <DisplayName>Sarah Neal</DisplayName>
        <AccountId>61</AccountId>
        <AccountType/>
      </UserInfo>
      <UserInfo>
        <DisplayName>Rebecca Bear</DisplayName>
        <AccountId>29</AccountId>
        <AccountType/>
      </UserInfo>
      <UserInfo>
        <DisplayName>Julia Harris</DisplayName>
        <AccountId>296</AccountId>
        <AccountType/>
      </UserInfo>
      <UserInfo>
        <DisplayName>SharingLinks.3b6fa041-d1b0-4423-8760-08e402a66280.OrganizationEdit.d40d32cc-2b44-4088-9360-356660144850</DisplayName>
        <AccountId>958</AccountId>
        <AccountType/>
      </UserInfo>
      <UserInfo>
        <DisplayName>Arrun Soma</DisplayName>
        <AccountId>48</AccountId>
        <AccountType/>
      </UserInfo>
      <UserInfo>
        <DisplayName>Kelly Curran</DisplayName>
        <AccountId>153</AccountId>
        <AccountType/>
      </UserInfo>
      <UserInfo>
        <DisplayName>Steph McKinlay</DisplayName>
        <AccountId>811</AccountId>
        <AccountType/>
      </UserInfo>
      <UserInfo>
        <DisplayName>Mel Weddell</DisplayName>
        <AccountId>267</AccountId>
        <AccountType/>
      </UserInfo>
      <UserInfo>
        <DisplayName>Rā Steer</DisplayName>
        <AccountId>981</AccountId>
        <AccountType/>
      </UserInfo>
      <UserInfo>
        <DisplayName>Kim Carter</DisplayName>
        <AccountId>696</AccountId>
        <AccountType/>
      </UserInfo>
      <UserInfo>
        <DisplayName>Winnie Bridie</DisplayName>
        <AccountId>82</AccountId>
        <AccountType/>
      </UserInfo>
      <UserInfo>
        <DisplayName>Mae Newey</DisplayName>
        <AccountId>379</AccountId>
        <AccountType/>
      </UserInfo>
      <UserInfo>
        <DisplayName>Jenny Coleman-Walker</DisplayName>
        <AccountId>266</AccountId>
        <AccountType/>
      </UserInfo>
      <UserInfo>
        <DisplayName>Sarah Jardine</DisplayName>
        <AccountId>908</AccountId>
        <AccountType/>
      </UserInfo>
      <UserInfo>
        <DisplayName>Te Arai McAdam</DisplayName>
        <AccountId>448</AccountId>
        <AccountType/>
      </UserInfo>
      <UserInfo>
        <DisplayName>Kate Clark</DisplayName>
        <AccountId>1039</AccountId>
        <AccountType/>
      </UserInfo>
      <UserInfo>
        <DisplayName>Ngawai McGregor</DisplayName>
        <AccountId>203</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COMPLETE xmlns="3f0433f8-ae96-4e83-84a2-60fc2c55a8af"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A80B9E4-B905-4FBD-BCC9-3CDE43185C82}">
  <ds:schemaRefs>
    <ds:schemaRef ds:uri="http://schemas.microsoft.com/sharepoint/v3/contenttype/forms"/>
  </ds:schemaRefs>
</ds:datastoreItem>
</file>

<file path=customXml/itemProps2.xml><?xml version="1.0" encoding="utf-8"?>
<ds:datastoreItem xmlns:ds="http://schemas.openxmlformats.org/officeDocument/2006/customXml" ds:itemID="{2920CEA5-3976-4B12-8F64-77F4C0EA4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908FD-B282-43DE-90C1-E6D956AA62CE}">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4.xml><?xml version="1.0" encoding="utf-8"?>
<ds:datastoreItem xmlns:ds="http://schemas.openxmlformats.org/officeDocument/2006/customXml" ds:itemID="{A7CFF562-F212-4072-9747-6773791E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196</Pages>
  <Words>56479</Words>
  <Characters>321934</Characters>
  <Application>Microsoft Office Word</Application>
  <DocSecurity>0</DocSecurity>
  <Lines>2682</Lines>
  <Paragraphs>755</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377658</CharactersWithSpaces>
  <SharedDoc>false</SharedDoc>
  <HLinks>
    <vt:vector size="2574" baseType="variant">
      <vt:variant>
        <vt:i4>3342430</vt:i4>
      </vt:variant>
      <vt:variant>
        <vt:i4>1701</vt:i4>
      </vt:variant>
      <vt:variant>
        <vt:i4>0</vt:i4>
      </vt:variant>
      <vt:variant>
        <vt:i4>5</vt:i4>
      </vt:variant>
      <vt:variant>
        <vt:lpwstr>https://en.wikipedia.org/wiki/Oranga_Tamariki_Act_1989</vt:lpwstr>
      </vt:variant>
      <vt:variant>
        <vt:lpwstr/>
      </vt:variant>
      <vt:variant>
        <vt:i4>7405601</vt:i4>
      </vt:variant>
      <vt:variant>
        <vt:i4>1698</vt:i4>
      </vt:variant>
      <vt:variant>
        <vt:i4>0</vt:i4>
      </vt:variant>
      <vt:variant>
        <vt:i4>5</vt:i4>
      </vt:variant>
      <vt:variant>
        <vt:lpwstr>https://en.wikipedia.org/w/index.php?title=Adoption_Act_1955&amp;action=edit&amp;redlink=1</vt:lpwstr>
      </vt:variant>
      <vt:variant>
        <vt:lpwstr/>
      </vt:variant>
      <vt:variant>
        <vt:i4>3342430</vt:i4>
      </vt:variant>
      <vt:variant>
        <vt:i4>1695</vt:i4>
      </vt:variant>
      <vt:variant>
        <vt:i4>0</vt:i4>
      </vt:variant>
      <vt:variant>
        <vt:i4>5</vt:i4>
      </vt:variant>
      <vt:variant>
        <vt:lpwstr>https://en.wikipedia.org/wiki/Oranga_Tamariki_Act_1989</vt:lpwstr>
      </vt:variant>
      <vt:variant>
        <vt:lpwstr/>
      </vt:variant>
      <vt:variant>
        <vt:i4>7405601</vt:i4>
      </vt:variant>
      <vt:variant>
        <vt:i4>1692</vt:i4>
      </vt:variant>
      <vt:variant>
        <vt:i4>0</vt:i4>
      </vt:variant>
      <vt:variant>
        <vt:i4>5</vt:i4>
      </vt:variant>
      <vt:variant>
        <vt:lpwstr>https://en.wikipedia.org/w/index.php?title=Adoption_Act_1955&amp;action=edit&amp;redlink=1</vt:lpwstr>
      </vt:variant>
      <vt:variant>
        <vt:lpwstr/>
      </vt:variant>
      <vt:variant>
        <vt:i4>7405601</vt:i4>
      </vt:variant>
      <vt:variant>
        <vt:i4>1689</vt:i4>
      </vt:variant>
      <vt:variant>
        <vt:i4>0</vt:i4>
      </vt:variant>
      <vt:variant>
        <vt:i4>5</vt:i4>
      </vt:variant>
      <vt:variant>
        <vt:lpwstr>https://en.wikipedia.org/w/index.php?title=Adoption_Act_1955&amp;action=edit&amp;redlink=1</vt:lpwstr>
      </vt:variant>
      <vt:variant>
        <vt:lpwstr/>
      </vt:variant>
      <vt:variant>
        <vt:i4>7405601</vt:i4>
      </vt:variant>
      <vt:variant>
        <vt:i4>1686</vt:i4>
      </vt:variant>
      <vt:variant>
        <vt:i4>0</vt:i4>
      </vt:variant>
      <vt:variant>
        <vt:i4>5</vt:i4>
      </vt:variant>
      <vt:variant>
        <vt:lpwstr>https://en.wikipedia.org/w/index.php?title=Adoption_Act_1955&amp;action=edit&amp;redlink=1</vt:lpwstr>
      </vt:variant>
      <vt:variant>
        <vt:lpwstr/>
      </vt:variant>
      <vt:variant>
        <vt:i4>7405601</vt:i4>
      </vt:variant>
      <vt:variant>
        <vt:i4>1683</vt:i4>
      </vt:variant>
      <vt:variant>
        <vt:i4>0</vt:i4>
      </vt:variant>
      <vt:variant>
        <vt:i4>5</vt:i4>
      </vt:variant>
      <vt:variant>
        <vt:lpwstr>https://en.wikipedia.org/w/index.php?title=Adoption_Act_1955&amp;action=edit&amp;redlink=1</vt:lpwstr>
      </vt:variant>
      <vt:variant>
        <vt:lpwstr/>
      </vt:variant>
      <vt:variant>
        <vt:i4>7405601</vt:i4>
      </vt:variant>
      <vt:variant>
        <vt:i4>1680</vt:i4>
      </vt:variant>
      <vt:variant>
        <vt:i4>0</vt:i4>
      </vt:variant>
      <vt:variant>
        <vt:i4>5</vt:i4>
      </vt:variant>
      <vt:variant>
        <vt:lpwstr>https://en.wikipedia.org/w/index.php?title=Adoption_Act_1955&amp;action=edit&amp;redlink=1</vt:lpwstr>
      </vt:variant>
      <vt:variant>
        <vt:lpwstr/>
      </vt:variant>
      <vt:variant>
        <vt:i4>7405601</vt:i4>
      </vt:variant>
      <vt:variant>
        <vt:i4>1677</vt:i4>
      </vt:variant>
      <vt:variant>
        <vt:i4>0</vt:i4>
      </vt:variant>
      <vt:variant>
        <vt:i4>5</vt:i4>
      </vt:variant>
      <vt:variant>
        <vt:lpwstr>https://en.wikipedia.org/w/index.php?title=Adoption_Act_1955&amp;action=edit&amp;redlink=1</vt:lpwstr>
      </vt:variant>
      <vt:variant>
        <vt:lpwstr/>
      </vt:variant>
      <vt:variant>
        <vt:i4>262146</vt:i4>
      </vt:variant>
      <vt:variant>
        <vt:i4>1674</vt:i4>
      </vt:variant>
      <vt:variant>
        <vt:i4>0</vt:i4>
      </vt:variant>
      <vt:variant>
        <vt:i4>5</vt:i4>
      </vt:variant>
      <vt:variant>
        <vt:lpwstr>https://en.wikipedia.org/wiki/Mike_Moore_(New_Zealand_politician)</vt:lpwstr>
      </vt:variant>
      <vt:variant>
        <vt:lpwstr/>
      </vt:variant>
      <vt:variant>
        <vt:i4>4194334</vt:i4>
      </vt:variant>
      <vt:variant>
        <vt:i4>1671</vt:i4>
      </vt:variant>
      <vt:variant>
        <vt:i4>0</vt:i4>
      </vt:variant>
      <vt:variant>
        <vt:i4>5</vt:i4>
      </vt:variant>
      <vt:variant>
        <vt:lpwstr>https://en.wikipedia.org/wiki/Geoffrey_Palmer_(politician)</vt:lpwstr>
      </vt:variant>
      <vt:variant>
        <vt:lpwstr/>
      </vt:variant>
      <vt:variant>
        <vt:i4>8126464</vt:i4>
      </vt:variant>
      <vt:variant>
        <vt:i4>1668</vt:i4>
      </vt:variant>
      <vt:variant>
        <vt:i4>0</vt:i4>
      </vt:variant>
      <vt:variant>
        <vt:i4>5</vt:i4>
      </vt:variant>
      <vt:variant>
        <vt:lpwstr>https://en.wikipedia.org/wiki/David_Lange</vt:lpwstr>
      </vt:variant>
      <vt:variant>
        <vt:lpwstr/>
      </vt:variant>
      <vt:variant>
        <vt:i4>7405654</vt:i4>
      </vt:variant>
      <vt:variant>
        <vt:i4>1665</vt:i4>
      </vt:variant>
      <vt:variant>
        <vt:i4>0</vt:i4>
      </vt:variant>
      <vt:variant>
        <vt:i4>5</vt:i4>
      </vt:variant>
      <vt:variant>
        <vt:lpwstr>https://en.wikipedia.org/wiki/M%C4%81ori_people</vt:lpwstr>
      </vt:variant>
      <vt:variant>
        <vt:lpwstr/>
      </vt:variant>
      <vt:variant>
        <vt:i4>1703995</vt:i4>
      </vt:variant>
      <vt:variant>
        <vt:i4>1658</vt:i4>
      </vt:variant>
      <vt:variant>
        <vt:i4>0</vt:i4>
      </vt:variant>
      <vt:variant>
        <vt:i4>5</vt:i4>
      </vt:variant>
      <vt:variant>
        <vt:lpwstr/>
      </vt:variant>
      <vt:variant>
        <vt:lpwstr>_Toc168639141</vt:lpwstr>
      </vt:variant>
      <vt:variant>
        <vt:i4>1703995</vt:i4>
      </vt:variant>
      <vt:variant>
        <vt:i4>1652</vt:i4>
      </vt:variant>
      <vt:variant>
        <vt:i4>0</vt:i4>
      </vt:variant>
      <vt:variant>
        <vt:i4>5</vt:i4>
      </vt:variant>
      <vt:variant>
        <vt:lpwstr/>
      </vt:variant>
      <vt:variant>
        <vt:lpwstr>_Toc168639140</vt:lpwstr>
      </vt:variant>
      <vt:variant>
        <vt:i4>1900603</vt:i4>
      </vt:variant>
      <vt:variant>
        <vt:i4>1646</vt:i4>
      </vt:variant>
      <vt:variant>
        <vt:i4>0</vt:i4>
      </vt:variant>
      <vt:variant>
        <vt:i4>5</vt:i4>
      </vt:variant>
      <vt:variant>
        <vt:lpwstr/>
      </vt:variant>
      <vt:variant>
        <vt:lpwstr>_Toc168639139</vt:lpwstr>
      </vt:variant>
      <vt:variant>
        <vt:i4>1900603</vt:i4>
      </vt:variant>
      <vt:variant>
        <vt:i4>1640</vt:i4>
      </vt:variant>
      <vt:variant>
        <vt:i4>0</vt:i4>
      </vt:variant>
      <vt:variant>
        <vt:i4>5</vt:i4>
      </vt:variant>
      <vt:variant>
        <vt:lpwstr/>
      </vt:variant>
      <vt:variant>
        <vt:lpwstr>_Toc168639138</vt:lpwstr>
      </vt:variant>
      <vt:variant>
        <vt:i4>1900603</vt:i4>
      </vt:variant>
      <vt:variant>
        <vt:i4>1634</vt:i4>
      </vt:variant>
      <vt:variant>
        <vt:i4>0</vt:i4>
      </vt:variant>
      <vt:variant>
        <vt:i4>5</vt:i4>
      </vt:variant>
      <vt:variant>
        <vt:lpwstr/>
      </vt:variant>
      <vt:variant>
        <vt:lpwstr>_Toc168639137</vt:lpwstr>
      </vt:variant>
      <vt:variant>
        <vt:i4>1900603</vt:i4>
      </vt:variant>
      <vt:variant>
        <vt:i4>1628</vt:i4>
      </vt:variant>
      <vt:variant>
        <vt:i4>0</vt:i4>
      </vt:variant>
      <vt:variant>
        <vt:i4>5</vt:i4>
      </vt:variant>
      <vt:variant>
        <vt:lpwstr/>
      </vt:variant>
      <vt:variant>
        <vt:lpwstr>_Toc168639136</vt:lpwstr>
      </vt:variant>
      <vt:variant>
        <vt:i4>1900603</vt:i4>
      </vt:variant>
      <vt:variant>
        <vt:i4>1622</vt:i4>
      </vt:variant>
      <vt:variant>
        <vt:i4>0</vt:i4>
      </vt:variant>
      <vt:variant>
        <vt:i4>5</vt:i4>
      </vt:variant>
      <vt:variant>
        <vt:lpwstr/>
      </vt:variant>
      <vt:variant>
        <vt:lpwstr>_Toc168639135</vt:lpwstr>
      </vt:variant>
      <vt:variant>
        <vt:i4>1900603</vt:i4>
      </vt:variant>
      <vt:variant>
        <vt:i4>1616</vt:i4>
      </vt:variant>
      <vt:variant>
        <vt:i4>0</vt:i4>
      </vt:variant>
      <vt:variant>
        <vt:i4>5</vt:i4>
      </vt:variant>
      <vt:variant>
        <vt:lpwstr/>
      </vt:variant>
      <vt:variant>
        <vt:lpwstr>_Toc168639134</vt:lpwstr>
      </vt:variant>
      <vt:variant>
        <vt:i4>1900603</vt:i4>
      </vt:variant>
      <vt:variant>
        <vt:i4>1610</vt:i4>
      </vt:variant>
      <vt:variant>
        <vt:i4>0</vt:i4>
      </vt:variant>
      <vt:variant>
        <vt:i4>5</vt:i4>
      </vt:variant>
      <vt:variant>
        <vt:lpwstr/>
      </vt:variant>
      <vt:variant>
        <vt:lpwstr>_Toc168639133</vt:lpwstr>
      </vt:variant>
      <vt:variant>
        <vt:i4>1900603</vt:i4>
      </vt:variant>
      <vt:variant>
        <vt:i4>1604</vt:i4>
      </vt:variant>
      <vt:variant>
        <vt:i4>0</vt:i4>
      </vt:variant>
      <vt:variant>
        <vt:i4>5</vt:i4>
      </vt:variant>
      <vt:variant>
        <vt:lpwstr/>
      </vt:variant>
      <vt:variant>
        <vt:lpwstr>_Toc168639132</vt:lpwstr>
      </vt:variant>
      <vt:variant>
        <vt:i4>1900603</vt:i4>
      </vt:variant>
      <vt:variant>
        <vt:i4>1598</vt:i4>
      </vt:variant>
      <vt:variant>
        <vt:i4>0</vt:i4>
      </vt:variant>
      <vt:variant>
        <vt:i4>5</vt:i4>
      </vt:variant>
      <vt:variant>
        <vt:lpwstr/>
      </vt:variant>
      <vt:variant>
        <vt:lpwstr>_Toc168639131</vt:lpwstr>
      </vt:variant>
      <vt:variant>
        <vt:i4>1900603</vt:i4>
      </vt:variant>
      <vt:variant>
        <vt:i4>1592</vt:i4>
      </vt:variant>
      <vt:variant>
        <vt:i4>0</vt:i4>
      </vt:variant>
      <vt:variant>
        <vt:i4>5</vt:i4>
      </vt:variant>
      <vt:variant>
        <vt:lpwstr/>
      </vt:variant>
      <vt:variant>
        <vt:lpwstr>_Toc168639130</vt:lpwstr>
      </vt:variant>
      <vt:variant>
        <vt:i4>1835067</vt:i4>
      </vt:variant>
      <vt:variant>
        <vt:i4>1586</vt:i4>
      </vt:variant>
      <vt:variant>
        <vt:i4>0</vt:i4>
      </vt:variant>
      <vt:variant>
        <vt:i4>5</vt:i4>
      </vt:variant>
      <vt:variant>
        <vt:lpwstr/>
      </vt:variant>
      <vt:variant>
        <vt:lpwstr>_Toc168639129</vt:lpwstr>
      </vt:variant>
      <vt:variant>
        <vt:i4>1835067</vt:i4>
      </vt:variant>
      <vt:variant>
        <vt:i4>1580</vt:i4>
      </vt:variant>
      <vt:variant>
        <vt:i4>0</vt:i4>
      </vt:variant>
      <vt:variant>
        <vt:i4>5</vt:i4>
      </vt:variant>
      <vt:variant>
        <vt:lpwstr/>
      </vt:variant>
      <vt:variant>
        <vt:lpwstr>_Toc168639128</vt:lpwstr>
      </vt:variant>
      <vt:variant>
        <vt:i4>1835067</vt:i4>
      </vt:variant>
      <vt:variant>
        <vt:i4>1574</vt:i4>
      </vt:variant>
      <vt:variant>
        <vt:i4>0</vt:i4>
      </vt:variant>
      <vt:variant>
        <vt:i4>5</vt:i4>
      </vt:variant>
      <vt:variant>
        <vt:lpwstr/>
      </vt:variant>
      <vt:variant>
        <vt:lpwstr>_Toc168639127</vt:lpwstr>
      </vt:variant>
      <vt:variant>
        <vt:i4>1835067</vt:i4>
      </vt:variant>
      <vt:variant>
        <vt:i4>1568</vt:i4>
      </vt:variant>
      <vt:variant>
        <vt:i4>0</vt:i4>
      </vt:variant>
      <vt:variant>
        <vt:i4>5</vt:i4>
      </vt:variant>
      <vt:variant>
        <vt:lpwstr/>
      </vt:variant>
      <vt:variant>
        <vt:lpwstr>_Toc168639126</vt:lpwstr>
      </vt:variant>
      <vt:variant>
        <vt:i4>1835067</vt:i4>
      </vt:variant>
      <vt:variant>
        <vt:i4>1562</vt:i4>
      </vt:variant>
      <vt:variant>
        <vt:i4>0</vt:i4>
      </vt:variant>
      <vt:variant>
        <vt:i4>5</vt:i4>
      </vt:variant>
      <vt:variant>
        <vt:lpwstr/>
      </vt:variant>
      <vt:variant>
        <vt:lpwstr>_Toc168639125</vt:lpwstr>
      </vt:variant>
      <vt:variant>
        <vt:i4>1835067</vt:i4>
      </vt:variant>
      <vt:variant>
        <vt:i4>1556</vt:i4>
      </vt:variant>
      <vt:variant>
        <vt:i4>0</vt:i4>
      </vt:variant>
      <vt:variant>
        <vt:i4>5</vt:i4>
      </vt:variant>
      <vt:variant>
        <vt:lpwstr/>
      </vt:variant>
      <vt:variant>
        <vt:lpwstr>_Toc168639124</vt:lpwstr>
      </vt:variant>
      <vt:variant>
        <vt:i4>1835067</vt:i4>
      </vt:variant>
      <vt:variant>
        <vt:i4>1550</vt:i4>
      </vt:variant>
      <vt:variant>
        <vt:i4>0</vt:i4>
      </vt:variant>
      <vt:variant>
        <vt:i4>5</vt:i4>
      </vt:variant>
      <vt:variant>
        <vt:lpwstr/>
      </vt:variant>
      <vt:variant>
        <vt:lpwstr>_Toc168639123</vt:lpwstr>
      </vt:variant>
      <vt:variant>
        <vt:i4>1835067</vt:i4>
      </vt:variant>
      <vt:variant>
        <vt:i4>1544</vt:i4>
      </vt:variant>
      <vt:variant>
        <vt:i4>0</vt:i4>
      </vt:variant>
      <vt:variant>
        <vt:i4>5</vt:i4>
      </vt:variant>
      <vt:variant>
        <vt:lpwstr/>
      </vt:variant>
      <vt:variant>
        <vt:lpwstr>_Toc168639122</vt:lpwstr>
      </vt:variant>
      <vt:variant>
        <vt:i4>1835067</vt:i4>
      </vt:variant>
      <vt:variant>
        <vt:i4>1538</vt:i4>
      </vt:variant>
      <vt:variant>
        <vt:i4>0</vt:i4>
      </vt:variant>
      <vt:variant>
        <vt:i4>5</vt:i4>
      </vt:variant>
      <vt:variant>
        <vt:lpwstr/>
      </vt:variant>
      <vt:variant>
        <vt:lpwstr>_Toc168639121</vt:lpwstr>
      </vt:variant>
      <vt:variant>
        <vt:i4>1835067</vt:i4>
      </vt:variant>
      <vt:variant>
        <vt:i4>1532</vt:i4>
      </vt:variant>
      <vt:variant>
        <vt:i4>0</vt:i4>
      </vt:variant>
      <vt:variant>
        <vt:i4>5</vt:i4>
      </vt:variant>
      <vt:variant>
        <vt:lpwstr/>
      </vt:variant>
      <vt:variant>
        <vt:lpwstr>_Toc168639120</vt:lpwstr>
      </vt:variant>
      <vt:variant>
        <vt:i4>2031675</vt:i4>
      </vt:variant>
      <vt:variant>
        <vt:i4>1526</vt:i4>
      </vt:variant>
      <vt:variant>
        <vt:i4>0</vt:i4>
      </vt:variant>
      <vt:variant>
        <vt:i4>5</vt:i4>
      </vt:variant>
      <vt:variant>
        <vt:lpwstr/>
      </vt:variant>
      <vt:variant>
        <vt:lpwstr>_Toc168639119</vt:lpwstr>
      </vt:variant>
      <vt:variant>
        <vt:i4>2031675</vt:i4>
      </vt:variant>
      <vt:variant>
        <vt:i4>1520</vt:i4>
      </vt:variant>
      <vt:variant>
        <vt:i4>0</vt:i4>
      </vt:variant>
      <vt:variant>
        <vt:i4>5</vt:i4>
      </vt:variant>
      <vt:variant>
        <vt:lpwstr/>
      </vt:variant>
      <vt:variant>
        <vt:lpwstr>_Toc168639118</vt:lpwstr>
      </vt:variant>
      <vt:variant>
        <vt:i4>2031675</vt:i4>
      </vt:variant>
      <vt:variant>
        <vt:i4>1514</vt:i4>
      </vt:variant>
      <vt:variant>
        <vt:i4>0</vt:i4>
      </vt:variant>
      <vt:variant>
        <vt:i4>5</vt:i4>
      </vt:variant>
      <vt:variant>
        <vt:lpwstr/>
      </vt:variant>
      <vt:variant>
        <vt:lpwstr>_Toc168639117</vt:lpwstr>
      </vt:variant>
      <vt:variant>
        <vt:i4>2031675</vt:i4>
      </vt:variant>
      <vt:variant>
        <vt:i4>1508</vt:i4>
      </vt:variant>
      <vt:variant>
        <vt:i4>0</vt:i4>
      </vt:variant>
      <vt:variant>
        <vt:i4>5</vt:i4>
      </vt:variant>
      <vt:variant>
        <vt:lpwstr/>
      </vt:variant>
      <vt:variant>
        <vt:lpwstr>_Toc168639116</vt:lpwstr>
      </vt:variant>
      <vt:variant>
        <vt:i4>2031675</vt:i4>
      </vt:variant>
      <vt:variant>
        <vt:i4>1502</vt:i4>
      </vt:variant>
      <vt:variant>
        <vt:i4>0</vt:i4>
      </vt:variant>
      <vt:variant>
        <vt:i4>5</vt:i4>
      </vt:variant>
      <vt:variant>
        <vt:lpwstr/>
      </vt:variant>
      <vt:variant>
        <vt:lpwstr>_Toc168639115</vt:lpwstr>
      </vt:variant>
      <vt:variant>
        <vt:i4>2031675</vt:i4>
      </vt:variant>
      <vt:variant>
        <vt:i4>1496</vt:i4>
      </vt:variant>
      <vt:variant>
        <vt:i4>0</vt:i4>
      </vt:variant>
      <vt:variant>
        <vt:i4>5</vt:i4>
      </vt:variant>
      <vt:variant>
        <vt:lpwstr/>
      </vt:variant>
      <vt:variant>
        <vt:lpwstr>_Toc168639114</vt:lpwstr>
      </vt:variant>
      <vt:variant>
        <vt:i4>2031675</vt:i4>
      </vt:variant>
      <vt:variant>
        <vt:i4>1490</vt:i4>
      </vt:variant>
      <vt:variant>
        <vt:i4>0</vt:i4>
      </vt:variant>
      <vt:variant>
        <vt:i4>5</vt:i4>
      </vt:variant>
      <vt:variant>
        <vt:lpwstr/>
      </vt:variant>
      <vt:variant>
        <vt:lpwstr>_Toc168639113</vt:lpwstr>
      </vt:variant>
      <vt:variant>
        <vt:i4>2031675</vt:i4>
      </vt:variant>
      <vt:variant>
        <vt:i4>1484</vt:i4>
      </vt:variant>
      <vt:variant>
        <vt:i4>0</vt:i4>
      </vt:variant>
      <vt:variant>
        <vt:i4>5</vt:i4>
      </vt:variant>
      <vt:variant>
        <vt:lpwstr/>
      </vt:variant>
      <vt:variant>
        <vt:lpwstr>_Toc168639112</vt:lpwstr>
      </vt:variant>
      <vt:variant>
        <vt:i4>2031675</vt:i4>
      </vt:variant>
      <vt:variant>
        <vt:i4>1478</vt:i4>
      </vt:variant>
      <vt:variant>
        <vt:i4>0</vt:i4>
      </vt:variant>
      <vt:variant>
        <vt:i4>5</vt:i4>
      </vt:variant>
      <vt:variant>
        <vt:lpwstr/>
      </vt:variant>
      <vt:variant>
        <vt:lpwstr>_Toc168639111</vt:lpwstr>
      </vt:variant>
      <vt:variant>
        <vt:i4>2031675</vt:i4>
      </vt:variant>
      <vt:variant>
        <vt:i4>1472</vt:i4>
      </vt:variant>
      <vt:variant>
        <vt:i4>0</vt:i4>
      </vt:variant>
      <vt:variant>
        <vt:i4>5</vt:i4>
      </vt:variant>
      <vt:variant>
        <vt:lpwstr/>
      </vt:variant>
      <vt:variant>
        <vt:lpwstr>_Toc168639110</vt:lpwstr>
      </vt:variant>
      <vt:variant>
        <vt:i4>1966139</vt:i4>
      </vt:variant>
      <vt:variant>
        <vt:i4>1466</vt:i4>
      </vt:variant>
      <vt:variant>
        <vt:i4>0</vt:i4>
      </vt:variant>
      <vt:variant>
        <vt:i4>5</vt:i4>
      </vt:variant>
      <vt:variant>
        <vt:lpwstr/>
      </vt:variant>
      <vt:variant>
        <vt:lpwstr>_Toc168639109</vt:lpwstr>
      </vt:variant>
      <vt:variant>
        <vt:i4>1966139</vt:i4>
      </vt:variant>
      <vt:variant>
        <vt:i4>1460</vt:i4>
      </vt:variant>
      <vt:variant>
        <vt:i4>0</vt:i4>
      </vt:variant>
      <vt:variant>
        <vt:i4>5</vt:i4>
      </vt:variant>
      <vt:variant>
        <vt:lpwstr/>
      </vt:variant>
      <vt:variant>
        <vt:lpwstr>_Toc168639108</vt:lpwstr>
      </vt:variant>
      <vt:variant>
        <vt:i4>1966139</vt:i4>
      </vt:variant>
      <vt:variant>
        <vt:i4>1454</vt:i4>
      </vt:variant>
      <vt:variant>
        <vt:i4>0</vt:i4>
      </vt:variant>
      <vt:variant>
        <vt:i4>5</vt:i4>
      </vt:variant>
      <vt:variant>
        <vt:lpwstr/>
      </vt:variant>
      <vt:variant>
        <vt:lpwstr>_Toc168639107</vt:lpwstr>
      </vt:variant>
      <vt:variant>
        <vt:i4>1966139</vt:i4>
      </vt:variant>
      <vt:variant>
        <vt:i4>1448</vt:i4>
      </vt:variant>
      <vt:variant>
        <vt:i4>0</vt:i4>
      </vt:variant>
      <vt:variant>
        <vt:i4>5</vt:i4>
      </vt:variant>
      <vt:variant>
        <vt:lpwstr/>
      </vt:variant>
      <vt:variant>
        <vt:lpwstr>_Toc168639106</vt:lpwstr>
      </vt:variant>
      <vt:variant>
        <vt:i4>1966139</vt:i4>
      </vt:variant>
      <vt:variant>
        <vt:i4>1442</vt:i4>
      </vt:variant>
      <vt:variant>
        <vt:i4>0</vt:i4>
      </vt:variant>
      <vt:variant>
        <vt:i4>5</vt:i4>
      </vt:variant>
      <vt:variant>
        <vt:lpwstr/>
      </vt:variant>
      <vt:variant>
        <vt:lpwstr>_Toc168639105</vt:lpwstr>
      </vt:variant>
      <vt:variant>
        <vt:i4>1966139</vt:i4>
      </vt:variant>
      <vt:variant>
        <vt:i4>1436</vt:i4>
      </vt:variant>
      <vt:variant>
        <vt:i4>0</vt:i4>
      </vt:variant>
      <vt:variant>
        <vt:i4>5</vt:i4>
      </vt:variant>
      <vt:variant>
        <vt:lpwstr/>
      </vt:variant>
      <vt:variant>
        <vt:lpwstr>_Toc168639104</vt:lpwstr>
      </vt:variant>
      <vt:variant>
        <vt:i4>1966139</vt:i4>
      </vt:variant>
      <vt:variant>
        <vt:i4>1430</vt:i4>
      </vt:variant>
      <vt:variant>
        <vt:i4>0</vt:i4>
      </vt:variant>
      <vt:variant>
        <vt:i4>5</vt:i4>
      </vt:variant>
      <vt:variant>
        <vt:lpwstr/>
      </vt:variant>
      <vt:variant>
        <vt:lpwstr>_Toc168639103</vt:lpwstr>
      </vt:variant>
      <vt:variant>
        <vt:i4>1966139</vt:i4>
      </vt:variant>
      <vt:variant>
        <vt:i4>1424</vt:i4>
      </vt:variant>
      <vt:variant>
        <vt:i4>0</vt:i4>
      </vt:variant>
      <vt:variant>
        <vt:i4>5</vt:i4>
      </vt:variant>
      <vt:variant>
        <vt:lpwstr/>
      </vt:variant>
      <vt:variant>
        <vt:lpwstr>_Toc168639102</vt:lpwstr>
      </vt:variant>
      <vt:variant>
        <vt:i4>1966139</vt:i4>
      </vt:variant>
      <vt:variant>
        <vt:i4>1418</vt:i4>
      </vt:variant>
      <vt:variant>
        <vt:i4>0</vt:i4>
      </vt:variant>
      <vt:variant>
        <vt:i4>5</vt:i4>
      </vt:variant>
      <vt:variant>
        <vt:lpwstr/>
      </vt:variant>
      <vt:variant>
        <vt:lpwstr>_Toc168639101</vt:lpwstr>
      </vt:variant>
      <vt:variant>
        <vt:i4>1966139</vt:i4>
      </vt:variant>
      <vt:variant>
        <vt:i4>1412</vt:i4>
      </vt:variant>
      <vt:variant>
        <vt:i4>0</vt:i4>
      </vt:variant>
      <vt:variant>
        <vt:i4>5</vt:i4>
      </vt:variant>
      <vt:variant>
        <vt:lpwstr/>
      </vt:variant>
      <vt:variant>
        <vt:lpwstr>_Toc168639100</vt:lpwstr>
      </vt:variant>
      <vt:variant>
        <vt:i4>1507386</vt:i4>
      </vt:variant>
      <vt:variant>
        <vt:i4>1406</vt:i4>
      </vt:variant>
      <vt:variant>
        <vt:i4>0</vt:i4>
      </vt:variant>
      <vt:variant>
        <vt:i4>5</vt:i4>
      </vt:variant>
      <vt:variant>
        <vt:lpwstr/>
      </vt:variant>
      <vt:variant>
        <vt:lpwstr>_Toc168639099</vt:lpwstr>
      </vt:variant>
      <vt:variant>
        <vt:i4>1507386</vt:i4>
      </vt:variant>
      <vt:variant>
        <vt:i4>1400</vt:i4>
      </vt:variant>
      <vt:variant>
        <vt:i4>0</vt:i4>
      </vt:variant>
      <vt:variant>
        <vt:i4>5</vt:i4>
      </vt:variant>
      <vt:variant>
        <vt:lpwstr/>
      </vt:variant>
      <vt:variant>
        <vt:lpwstr>_Toc168639098</vt:lpwstr>
      </vt:variant>
      <vt:variant>
        <vt:i4>1507386</vt:i4>
      </vt:variant>
      <vt:variant>
        <vt:i4>1394</vt:i4>
      </vt:variant>
      <vt:variant>
        <vt:i4>0</vt:i4>
      </vt:variant>
      <vt:variant>
        <vt:i4>5</vt:i4>
      </vt:variant>
      <vt:variant>
        <vt:lpwstr/>
      </vt:variant>
      <vt:variant>
        <vt:lpwstr>_Toc168639097</vt:lpwstr>
      </vt:variant>
      <vt:variant>
        <vt:i4>1507386</vt:i4>
      </vt:variant>
      <vt:variant>
        <vt:i4>1388</vt:i4>
      </vt:variant>
      <vt:variant>
        <vt:i4>0</vt:i4>
      </vt:variant>
      <vt:variant>
        <vt:i4>5</vt:i4>
      </vt:variant>
      <vt:variant>
        <vt:lpwstr/>
      </vt:variant>
      <vt:variant>
        <vt:lpwstr>_Toc168639096</vt:lpwstr>
      </vt:variant>
      <vt:variant>
        <vt:i4>1507386</vt:i4>
      </vt:variant>
      <vt:variant>
        <vt:i4>1382</vt:i4>
      </vt:variant>
      <vt:variant>
        <vt:i4>0</vt:i4>
      </vt:variant>
      <vt:variant>
        <vt:i4>5</vt:i4>
      </vt:variant>
      <vt:variant>
        <vt:lpwstr/>
      </vt:variant>
      <vt:variant>
        <vt:lpwstr>_Toc168639095</vt:lpwstr>
      </vt:variant>
      <vt:variant>
        <vt:i4>1507386</vt:i4>
      </vt:variant>
      <vt:variant>
        <vt:i4>1376</vt:i4>
      </vt:variant>
      <vt:variant>
        <vt:i4>0</vt:i4>
      </vt:variant>
      <vt:variant>
        <vt:i4>5</vt:i4>
      </vt:variant>
      <vt:variant>
        <vt:lpwstr/>
      </vt:variant>
      <vt:variant>
        <vt:lpwstr>_Toc168639094</vt:lpwstr>
      </vt:variant>
      <vt:variant>
        <vt:i4>1507386</vt:i4>
      </vt:variant>
      <vt:variant>
        <vt:i4>1370</vt:i4>
      </vt:variant>
      <vt:variant>
        <vt:i4>0</vt:i4>
      </vt:variant>
      <vt:variant>
        <vt:i4>5</vt:i4>
      </vt:variant>
      <vt:variant>
        <vt:lpwstr/>
      </vt:variant>
      <vt:variant>
        <vt:lpwstr>_Toc168639093</vt:lpwstr>
      </vt:variant>
      <vt:variant>
        <vt:i4>1507386</vt:i4>
      </vt:variant>
      <vt:variant>
        <vt:i4>1364</vt:i4>
      </vt:variant>
      <vt:variant>
        <vt:i4>0</vt:i4>
      </vt:variant>
      <vt:variant>
        <vt:i4>5</vt:i4>
      </vt:variant>
      <vt:variant>
        <vt:lpwstr/>
      </vt:variant>
      <vt:variant>
        <vt:lpwstr>_Toc168639092</vt:lpwstr>
      </vt:variant>
      <vt:variant>
        <vt:i4>1507386</vt:i4>
      </vt:variant>
      <vt:variant>
        <vt:i4>1358</vt:i4>
      </vt:variant>
      <vt:variant>
        <vt:i4>0</vt:i4>
      </vt:variant>
      <vt:variant>
        <vt:i4>5</vt:i4>
      </vt:variant>
      <vt:variant>
        <vt:lpwstr/>
      </vt:variant>
      <vt:variant>
        <vt:lpwstr>_Toc168639091</vt:lpwstr>
      </vt:variant>
      <vt:variant>
        <vt:i4>1507386</vt:i4>
      </vt:variant>
      <vt:variant>
        <vt:i4>1352</vt:i4>
      </vt:variant>
      <vt:variant>
        <vt:i4>0</vt:i4>
      </vt:variant>
      <vt:variant>
        <vt:i4>5</vt:i4>
      </vt:variant>
      <vt:variant>
        <vt:lpwstr/>
      </vt:variant>
      <vt:variant>
        <vt:lpwstr>_Toc168639090</vt:lpwstr>
      </vt:variant>
      <vt:variant>
        <vt:i4>1441850</vt:i4>
      </vt:variant>
      <vt:variant>
        <vt:i4>1346</vt:i4>
      </vt:variant>
      <vt:variant>
        <vt:i4>0</vt:i4>
      </vt:variant>
      <vt:variant>
        <vt:i4>5</vt:i4>
      </vt:variant>
      <vt:variant>
        <vt:lpwstr/>
      </vt:variant>
      <vt:variant>
        <vt:lpwstr>_Toc168639089</vt:lpwstr>
      </vt:variant>
      <vt:variant>
        <vt:i4>1441850</vt:i4>
      </vt:variant>
      <vt:variant>
        <vt:i4>1340</vt:i4>
      </vt:variant>
      <vt:variant>
        <vt:i4>0</vt:i4>
      </vt:variant>
      <vt:variant>
        <vt:i4>5</vt:i4>
      </vt:variant>
      <vt:variant>
        <vt:lpwstr/>
      </vt:variant>
      <vt:variant>
        <vt:lpwstr>_Toc168639088</vt:lpwstr>
      </vt:variant>
      <vt:variant>
        <vt:i4>1441850</vt:i4>
      </vt:variant>
      <vt:variant>
        <vt:i4>1334</vt:i4>
      </vt:variant>
      <vt:variant>
        <vt:i4>0</vt:i4>
      </vt:variant>
      <vt:variant>
        <vt:i4>5</vt:i4>
      </vt:variant>
      <vt:variant>
        <vt:lpwstr/>
      </vt:variant>
      <vt:variant>
        <vt:lpwstr>_Toc168639087</vt:lpwstr>
      </vt:variant>
      <vt:variant>
        <vt:i4>1441850</vt:i4>
      </vt:variant>
      <vt:variant>
        <vt:i4>1328</vt:i4>
      </vt:variant>
      <vt:variant>
        <vt:i4>0</vt:i4>
      </vt:variant>
      <vt:variant>
        <vt:i4>5</vt:i4>
      </vt:variant>
      <vt:variant>
        <vt:lpwstr/>
      </vt:variant>
      <vt:variant>
        <vt:lpwstr>_Toc168639086</vt:lpwstr>
      </vt:variant>
      <vt:variant>
        <vt:i4>1441850</vt:i4>
      </vt:variant>
      <vt:variant>
        <vt:i4>1322</vt:i4>
      </vt:variant>
      <vt:variant>
        <vt:i4>0</vt:i4>
      </vt:variant>
      <vt:variant>
        <vt:i4>5</vt:i4>
      </vt:variant>
      <vt:variant>
        <vt:lpwstr/>
      </vt:variant>
      <vt:variant>
        <vt:lpwstr>_Toc168639085</vt:lpwstr>
      </vt:variant>
      <vt:variant>
        <vt:i4>1441850</vt:i4>
      </vt:variant>
      <vt:variant>
        <vt:i4>1316</vt:i4>
      </vt:variant>
      <vt:variant>
        <vt:i4>0</vt:i4>
      </vt:variant>
      <vt:variant>
        <vt:i4>5</vt:i4>
      </vt:variant>
      <vt:variant>
        <vt:lpwstr/>
      </vt:variant>
      <vt:variant>
        <vt:lpwstr>_Toc168639084</vt:lpwstr>
      </vt:variant>
      <vt:variant>
        <vt:i4>1441850</vt:i4>
      </vt:variant>
      <vt:variant>
        <vt:i4>1310</vt:i4>
      </vt:variant>
      <vt:variant>
        <vt:i4>0</vt:i4>
      </vt:variant>
      <vt:variant>
        <vt:i4>5</vt:i4>
      </vt:variant>
      <vt:variant>
        <vt:lpwstr/>
      </vt:variant>
      <vt:variant>
        <vt:lpwstr>_Toc168639083</vt:lpwstr>
      </vt:variant>
      <vt:variant>
        <vt:i4>1441850</vt:i4>
      </vt:variant>
      <vt:variant>
        <vt:i4>1304</vt:i4>
      </vt:variant>
      <vt:variant>
        <vt:i4>0</vt:i4>
      </vt:variant>
      <vt:variant>
        <vt:i4>5</vt:i4>
      </vt:variant>
      <vt:variant>
        <vt:lpwstr/>
      </vt:variant>
      <vt:variant>
        <vt:lpwstr>_Toc168639082</vt:lpwstr>
      </vt:variant>
      <vt:variant>
        <vt:i4>1441850</vt:i4>
      </vt:variant>
      <vt:variant>
        <vt:i4>1298</vt:i4>
      </vt:variant>
      <vt:variant>
        <vt:i4>0</vt:i4>
      </vt:variant>
      <vt:variant>
        <vt:i4>5</vt:i4>
      </vt:variant>
      <vt:variant>
        <vt:lpwstr/>
      </vt:variant>
      <vt:variant>
        <vt:lpwstr>_Toc168639081</vt:lpwstr>
      </vt:variant>
      <vt:variant>
        <vt:i4>1441850</vt:i4>
      </vt:variant>
      <vt:variant>
        <vt:i4>1292</vt:i4>
      </vt:variant>
      <vt:variant>
        <vt:i4>0</vt:i4>
      </vt:variant>
      <vt:variant>
        <vt:i4>5</vt:i4>
      </vt:variant>
      <vt:variant>
        <vt:lpwstr/>
      </vt:variant>
      <vt:variant>
        <vt:lpwstr>_Toc168639080</vt:lpwstr>
      </vt:variant>
      <vt:variant>
        <vt:i4>1638458</vt:i4>
      </vt:variant>
      <vt:variant>
        <vt:i4>1286</vt:i4>
      </vt:variant>
      <vt:variant>
        <vt:i4>0</vt:i4>
      </vt:variant>
      <vt:variant>
        <vt:i4>5</vt:i4>
      </vt:variant>
      <vt:variant>
        <vt:lpwstr/>
      </vt:variant>
      <vt:variant>
        <vt:lpwstr>_Toc168639079</vt:lpwstr>
      </vt:variant>
      <vt:variant>
        <vt:i4>1638458</vt:i4>
      </vt:variant>
      <vt:variant>
        <vt:i4>1280</vt:i4>
      </vt:variant>
      <vt:variant>
        <vt:i4>0</vt:i4>
      </vt:variant>
      <vt:variant>
        <vt:i4>5</vt:i4>
      </vt:variant>
      <vt:variant>
        <vt:lpwstr/>
      </vt:variant>
      <vt:variant>
        <vt:lpwstr>_Toc168639078</vt:lpwstr>
      </vt:variant>
      <vt:variant>
        <vt:i4>1638458</vt:i4>
      </vt:variant>
      <vt:variant>
        <vt:i4>1274</vt:i4>
      </vt:variant>
      <vt:variant>
        <vt:i4>0</vt:i4>
      </vt:variant>
      <vt:variant>
        <vt:i4>5</vt:i4>
      </vt:variant>
      <vt:variant>
        <vt:lpwstr/>
      </vt:variant>
      <vt:variant>
        <vt:lpwstr>_Toc168639077</vt:lpwstr>
      </vt:variant>
      <vt:variant>
        <vt:i4>1638458</vt:i4>
      </vt:variant>
      <vt:variant>
        <vt:i4>1268</vt:i4>
      </vt:variant>
      <vt:variant>
        <vt:i4>0</vt:i4>
      </vt:variant>
      <vt:variant>
        <vt:i4>5</vt:i4>
      </vt:variant>
      <vt:variant>
        <vt:lpwstr/>
      </vt:variant>
      <vt:variant>
        <vt:lpwstr>_Toc168639076</vt:lpwstr>
      </vt:variant>
      <vt:variant>
        <vt:i4>1638458</vt:i4>
      </vt:variant>
      <vt:variant>
        <vt:i4>1262</vt:i4>
      </vt:variant>
      <vt:variant>
        <vt:i4>0</vt:i4>
      </vt:variant>
      <vt:variant>
        <vt:i4>5</vt:i4>
      </vt:variant>
      <vt:variant>
        <vt:lpwstr/>
      </vt:variant>
      <vt:variant>
        <vt:lpwstr>_Toc168639075</vt:lpwstr>
      </vt:variant>
      <vt:variant>
        <vt:i4>1638458</vt:i4>
      </vt:variant>
      <vt:variant>
        <vt:i4>1256</vt:i4>
      </vt:variant>
      <vt:variant>
        <vt:i4>0</vt:i4>
      </vt:variant>
      <vt:variant>
        <vt:i4>5</vt:i4>
      </vt:variant>
      <vt:variant>
        <vt:lpwstr/>
      </vt:variant>
      <vt:variant>
        <vt:lpwstr>_Toc168639074</vt:lpwstr>
      </vt:variant>
      <vt:variant>
        <vt:i4>1638458</vt:i4>
      </vt:variant>
      <vt:variant>
        <vt:i4>1250</vt:i4>
      </vt:variant>
      <vt:variant>
        <vt:i4>0</vt:i4>
      </vt:variant>
      <vt:variant>
        <vt:i4>5</vt:i4>
      </vt:variant>
      <vt:variant>
        <vt:lpwstr/>
      </vt:variant>
      <vt:variant>
        <vt:lpwstr>_Toc168639073</vt:lpwstr>
      </vt:variant>
      <vt:variant>
        <vt:i4>1638458</vt:i4>
      </vt:variant>
      <vt:variant>
        <vt:i4>1244</vt:i4>
      </vt:variant>
      <vt:variant>
        <vt:i4>0</vt:i4>
      </vt:variant>
      <vt:variant>
        <vt:i4>5</vt:i4>
      </vt:variant>
      <vt:variant>
        <vt:lpwstr/>
      </vt:variant>
      <vt:variant>
        <vt:lpwstr>_Toc168639072</vt:lpwstr>
      </vt:variant>
      <vt:variant>
        <vt:i4>1638458</vt:i4>
      </vt:variant>
      <vt:variant>
        <vt:i4>1238</vt:i4>
      </vt:variant>
      <vt:variant>
        <vt:i4>0</vt:i4>
      </vt:variant>
      <vt:variant>
        <vt:i4>5</vt:i4>
      </vt:variant>
      <vt:variant>
        <vt:lpwstr/>
      </vt:variant>
      <vt:variant>
        <vt:lpwstr>_Toc168639071</vt:lpwstr>
      </vt:variant>
      <vt:variant>
        <vt:i4>1638458</vt:i4>
      </vt:variant>
      <vt:variant>
        <vt:i4>1232</vt:i4>
      </vt:variant>
      <vt:variant>
        <vt:i4>0</vt:i4>
      </vt:variant>
      <vt:variant>
        <vt:i4>5</vt:i4>
      </vt:variant>
      <vt:variant>
        <vt:lpwstr/>
      </vt:variant>
      <vt:variant>
        <vt:lpwstr>_Toc168639070</vt:lpwstr>
      </vt:variant>
      <vt:variant>
        <vt:i4>1572922</vt:i4>
      </vt:variant>
      <vt:variant>
        <vt:i4>1226</vt:i4>
      </vt:variant>
      <vt:variant>
        <vt:i4>0</vt:i4>
      </vt:variant>
      <vt:variant>
        <vt:i4>5</vt:i4>
      </vt:variant>
      <vt:variant>
        <vt:lpwstr/>
      </vt:variant>
      <vt:variant>
        <vt:lpwstr>_Toc168639069</vt:lpwstr>
      </vt:variant>
      <vt:variant>
        <vt:i4>1572922</vt:i4>
      </vt:variant>
      <vt:variant>
        <vt:i4>1220</vt:i4>
      </vt:variant>
      <vt:variant>
        <vt:i4>0</vt:i4>
      </vt:variant>
      <vt:variant>
        <vt:i4>5</vt:i4>
      </vt:variant>
      <vt:variant>
        <vt:lpwstr/>
      </vt:variant>
      <vt:variant>
        <vt:lpwstr>_Toc168639068</vt:lpwstr>
      </vt:variant>
      <vt:variant>
        <vt:i4>1572922</vt:i4>
      </vt:variant>
      <vt:variant>
        <vt:i4>1214</vt:i4>
      </vt:variant>
      <vt:variant>
        <vt:i4>0</vt:i4>
      </vt:variant>
      <vt:variant>
        <vt:i4>5</vt:i4>
      </vt:variant>
      <vt:variant>
        <vt:lpwstr/>
      </vt:variant>
      <vt:variant>
        <vt:lpwstr>_Toc168639067</vt:lpwstr>
      </vt:variant>
      <vt:variant>
        <vt:i4>1572922</vt:i4>
      </vt:variant>
      <vt:variant>
        <vt:i4>1208</vt:i4>
      </vt:variant>
      <vt:variant>
        <vt:i4>0</vt:i4>
      </vt:variant>
      <vt:variant>
        <vt:i4>5</vt:i4>
      </vt:variant>
      <vt:variant>
        <vt:lpwstr/>
      </vt:variant>
      <vt:variant>
        <vt:lpwstr>_Toc168639066</vt:lpwstr>
      </vt:variant>
      <vt:variant>
        <vt:i4>1572922</vt:i4>
      </vt:variant>
      <vt:variant>
        <vt:i4>1202</vt:i4>
      </vt:variant>
      <vt:variant>
        <vt:i4>0</vt:i4>
      </vt:variant>
      <vt:variant>
        <vt:i4>5</vt:i4>
      </vt:variant>
      <vt:variant>
        <vt:lpwstr/>
      </vt:variant>
      <vt:variant>
        <vt:lpwstr>_Toc168639065</vt:lpwstr>
      </vt:variant>
      <vt:variant>
        <vt:i4>1572922</vt:i4>
      </vt:variant>
      <vt:variant>
        <vt:i4>1196</vt:i4>
      </vt:variant>
      <vt:variant>
        <vt:i4>0</vt:i4>
      </vt:variant>
      <vt:variant>
        <vt:i4>5</vt:i4>
      </vt:variant>
      <vt:variant>
        <vt:lpwstr/>
      </vt:variant>
      <vt:variant>
        <vt:lpwstr>_Toc168639064</vt:lpwstr>
      </vt:variant>
      <vt:variant>
        <vt:i4>1572922</vt:i4>
      </vt:variant>
      <vt:variant>
        <vt:i4>1190</vt:i4>
      </vt:variant>
      <vt:variant>
        <vt:i4>0</vt:i4>
      </vt:variant>
      <vt:variant>
        <vt:i4>5</vt:i4>
      </vt:variant>
      <vt:variant>
        <vt:lpwstr/>
      </vt:variant>
      <vt:variant>
        <vt:lpwstr>_Toc168639063</vt:lpwstr>
      </vt:variant>
      <vt:variant>
        <vt:i4>1572922</vt:i4>
      </vt:variant>
      <vt:variant>
        <vt:i4>1184</vt:i4>
      </vt:variant>
      <vt:variant>
        <vt:i4>0</vt:i4>
      </vt:variant>
      <vt:variant>
        <vt:i4>5</vt:i4>
      </vt:variant>
      <vt:variant>
        <vt:lpwstr/>
      </vt:variant>
      <vt:variant>
        <vt:lpwstr>_Toc168639062</vt:lpwstr>
      </vt:variant>
      <vt:variant>
        <vt:i4>1572922</vt:i4>
      </vt:variant>
      <vt:variant>
        <vt:i4>1178</vt:i4>
      </vt:variant>
      <vt:variant>
        <vt:i4>0</vt:i4>
      </vt:variant>
      <vt:variant>
        <vt:i4>5</vt:i4>
      </vt:variant>
      <vt:variant>
        <vt:lpwstr/>
      </vt:variant>
      <vt:variant>
        <vt:lpwstr>_Toc168639061</vt:lpwstr>
      </vt:variant>
      <vt:variant>
        <vt:i4>1572922</vt:i4>
      </vt:variant>
      <vt:variant>
        <vt:i4>1172</vt:i4>
      </vt:variant>
      <vt:variant>
        <vt:i4>0</vt:i4>
      </vt:variant>
      <vt:variant>
        <vt:i4>5</vt:i4>
      </vt:variant>
      <vt:variant>
        <vt:lpwstr/>
      </vt:variant>
      <vt:variant>
        <vt:lpwstr>_Toc168639060</vt:lpwstr>
      </vt:variant>
      <vt:variant>
        <vt:i4>1769530</vt:i4>
      </vt:variant>
      <vt:variant>
        <vt:i4>1166</vt:i4>
      </vt:variant>
      <vt:variant>
        <vt:i4>0</vt:i4>
      </vt:variant>
      <vt:variant>
        <vt:i4>5</vt:i4>
      </vt:variant>
      <vt:variant>
        <vt:lpwstr/>
      </vt:variant>
      <vt:variant>
        <vt:lpwstr>_Toc168639059</vt:lpwstr>
      </vt:variant>
      <vt:variant>
        <vt:i4>1769530</vt:i4>
      </vt:variant>
      <vt:variant>
        <vt:i4>1160</vt:i4>
      </vt:variant>
      <vt:variant>
        <vt:i4>0</vt:i4>
      </vt:variant>
      <vt:variant>
        <vt:i4>5</vt:i4>
      </vt:variant>
      <vt:variant>
        <vt:lpwstr/>
      </vt:variant>
      <vt:variant>
        <vt:lpwstr>_Toc168639058</vt:lpwstr>
      </vt:variant>
      <vt:variant>
        <vt:i4>1769530</vt:i4>
      </vt:variant>
      <vt:variant>
        <vt:i4>1154</vt:i4>
      </vt:variant>
      <vt:variant>
        <vt:i4>0</vt:i4>
      </vt:variant>
      <vt:variant>
        <vt:i4>5</vt:i4>
      </vt:variant>
      <vt:variant>
        <vt:lpwstr/>
      </vt:variant>
      <vt:variant>
        <vt:lpwstr>_Toc168639057</vt:lpwstr>
      </vt:variant>
      <vt:variant>
        <vt:i4>1769530</vt:i4>
      </vt:variant>
      <vt:variant>
        <vt:i4>1148</vt:i4>
      </vt:variant>
      <vt:variant>
        <vt:i4>0</vt:i4>
      </vt:variant>
      <vt:variant>
        <vt:i4>5</vt:i4>
      </vt:variant>
      <vt:variant>
        <vt:lpwstr/>
      </vt:variant>
      <vt:variant>
        <vt:lpwstr>_Toc168639056</vt:lpwstr>
      </vt:variant>
      <vt:variant>
        <vt:i4>1769530</vt:i4>
      </vt:variant>
      <vt:variant>
        <vt:i4>1142</vt:i4>
      </vt:variant>
      <vt:variant>
        <vt:i4>0</vt:i4>
      </vt:variant>
      <vt:variant>
        <vt:i4>5</vt:i4>
      </vt:variant>
      <vt:variant>
        <vt:lpwstr/>
      </vt:variant>
      <vt:variant>
        <vt:lpwstr>_Toc168639055</vt:lpwstr>
      </vt:variant>
      <vt:variant>
        <vt:i4>1769530</vt:i4>
      </vt:variant>
      <vt:variant>
        <vt:i4>1136</vt:i4>
      </vt:variant>
      <vt:variant>
        <vt:i4>0</vt:i4>
      </vt:variant>
      <vt:variant>
        <vt:i4>5</vt:i4>
      </vt:variant>
      <vt:variant>
        <vt:lpwstr/>
      </vt:variant>
      <vt:variant>
        <vt:lpwstr>_Toc168639054</vt:lpwstr>
      </vt:variant>
      <vt:variant>
        <vt:i4>1769530</vt:i4>
      </vt:variant>
      <vt:variant>
        <vt:i4>1130</vt:i4>
      </vt:variant>
      <vt:variant>
        <vt:i4>0</vt:i4>
      </vt:variant>
      <vt:variant>
        <vt:i4>5</vt:i4>
      </vt:variant>
      <vt:variant>
        <vt:lpwstr/>
      </vt:variant>
      <vt:variant>
        <vt:lpwstr>_Toc168639053</vt:lpwstr>
      </vt:variant>
      <vt:variant>
        <vt:i4>1769530</vt:i4>
      </vt:variant>
      <vt:variant>
        <vt:i4>1124</vt:i4>
      </vt:variant>
      <vt:variant>
        <vt:i4>0</vt:i4>
      </vt:variant>
      <vt:variant>
        <vt:i4>5</vt:i4>
      </vt:variant>
      <vt:variant>
        <vt:lpwstr/>
      </vt:variant>
      <vt:variant>
        <vt:lpwstr>_Toc168639052</vt:lpwstr>
      </vt:variant>
      <vt:variant>
        <vt:i4>1769530</vt:i4>
      </vt:variant>
      <vt:variant>
        <vt:i4>1118</vt:i4>
      </vt:variant>
      <vt:variant>
        <vt:i4>0</vt:i4>
      </vt:variant>
      <vt:variant>
        <vt:i4>5</vt:i4>
      </vt:variant>
      <vt:variant>
        <vt:lpwstr/>
      </vt:variant>
      <vt:variant>
        <vt:lpwstr>_Toc168639051</vt:lpwstr>
      </vt:variant>
      <vt:variant>
        <vt:i4>1769530</vt:i4>
      </vt:variant>
      <vt:variant>
        <vt:i4>1112</vt:i4>
      </vt:variant>
      <vt:variant>
        <vt:i4>0</vt:i4>
      </vt:variant>
      <vt:variant>
        <vt:i4>5</vt:i4>
      </vt:variant>
      <vt:variant>
        <vt:lpwstr/>
      </vt:variant>
      <vt:variant>
        <vt:lpwstr>_Toc168639050</vt:lpwstr>
      </vt:variant>
      <vt:variant>
        <vt:i4>1703994</vt:i4>
      </vt:variant>
      <vt:variant>
        <vt:i4>1106</vt:i4>
      </vt:variant>
      <vt:variant>
        <vt:i4>0</vt:i4>
      </vt:variant>
      <vt:variant>
        <vt:i4>5</vt:i4>
      </vt:variant>
      <vt:variant>
        <vt:lpwstr/>
      </vt:variant>
      <vt:variant>
        <vt:lpwstr>_Toc168639049</vt:lpwstr>
      </vt:variant>
      <vt:variant>
        <vt:i4>1703994</vt:i4>
      </vt:variant>
      <vt:variant>
        <vt:i4>1100</vt:i4>
      </vt:variant>
      <vt:variant>
        <vt:i4>0</vt:i4>
      </vt:variant>
      <vt:variant>
        <vt:i4>5</vt:i4>
      </vt:variant>
      <vt:variant>
        <vt:lpwstr/>
      </vt:variant>
      <vt:variant>
        <vt:lpwstr>_Toc168639048</vt:lpwstr>
      </vt:variant>
      <vt:variant>
        <vt:i4>1703994</vt:i4>
      </vt:variant>
      <vt:variant>
        <vt:i4>1094</vt:i4>
      </vt:variant>
      <vt:variant>
        <vt:i4>0</vt:i4>
      </vt:variant>
      <vt:variant>
        <vt:i4>5</vt:i4>
      </vt:variant>
      <vt:variant>
        <vt:lpwstr/>
      </vt:variant>
      <vt:variant>
        <vt:lpwstr>_Toc168639047</vt:lpwstr>
      </vt:variant>
      <vt:variant>
        <vt:i4>1703994</vt:i4>
      </vt:variant>
      <vt:variant>
        <vt:i4>1088</vt:i4>
      </vt:variant>
      <vt:variant>
        <vt:i4>0</vt:i4>
      </vt:variant>
      <vt:variant>
        <vt:i4>5</vt:i4>
      </vt:variant>
      <vt:variant>
        <vt:lpwstr/>
      </vt:variant>
      <vt:variant>
        <vt:lpwstr>_Toc168639046</vt:lpwstr>
      </vt:variant>
      <vt:variant>
        <vt:i4>1703994</vt:i4>
      </vt:variant>
      <vt:variant>
        <vt:i4>1082</vt:i4>
      </vt:variant>
      <vt:variant>
        <vt:i4>0</vt:i4>
      </vt:variant>
      <vt:variant>
        <vt:i4>5</vt:i4>
      </vt:variant>
      <vt:variant>
        <vt:lpwstr/>
      </vt:variant>
      <vt:variant>
        <vt:lpwstr>_Toc168639045</vt:lpwstr>
      </vt:variant>
      <vt:variant>
        <vt:i4>1703994</vt:i4>
      </vt:variant>
      <vt:variant>
        <vt:i4>1076</vt:i4>
      </vt:variant>
      <vt:variant>
        <vt:i4>0</vt:i4>
      </vt:variant>
      <vt:variant>
        <vt:i4>5</vt:i4>
      </vt:variant>
      <vt:variant>
        <vt:lpwstr/>
      </vt:variant>
      <vt:variant>
        <vt:lpwstr>_Toc168639044</vt:lpwstr>
      </vt:variant>
      <vt:variant>
        <vt:i4>1703994</vt:i4>
      </vt:variant>
      <vt:variant>
        <vt:i4>1070</vt:i4>
      </vt:variant>
      <vt:variant>
        <vt:i4>0</vt:i4>
      </vt:variant>
      <vt:variant>
        <vt:i4>5</vt:i4>
      </vt:variant>
      <vt:variant>
        <vt:lpwstr/>
      </vt:variant>
      <vt:variant>
        <vt:lpwstr>_Toc168639043</vt:lpwstr>
      </vt:variant>
      <vt:variant>
        <vt:i4>1703994</vt:i4>
      </vt:variant>
      <vt:variant>
        <vt:i4>1064</vt:i4>
      </vt:variant>
      <vt:variant>
        <vt:i4>0</vt:i4>
      </vt:variant>
      <vt:variant>
        <vt:i4>5</vt:i4>
      </vt:variant>
      <vt:variant>
        <vt:lpwstr/>
      </vt:variant>
      <vt:variant>
        <vt:lpwstr>_Toc168639042</vt:lpwstr>
      </vt:variant>
      <vt:variant>
        <vt:i4>1703994</vt:i4>
      </vt:variant>
      <vt:variant>
        <vt:i4>1058</vt:i4>
      </vt:variant>
      <vt:variant>
        <vt:i4>0</vt:i4>
      </vt:variant>
      <vt:variant>
        <vt:i4>5</vt:i4>
      </vt:variant>
      <vt:variant>
        <vt:lpwstr/>
      </vt:variant>
      <vt:variant>
        <vt:lpwstr>_Toc168639041</vt:lpwstr>
      </vt:variant>
      <vt:variant>
        <vt:i4>1703994</vt:i4>
      </vt:variant>
      <vt:variant>
        <vt:i4>1052</vt:i4>
      </vt:variant>
      <vt:variant>
        <vt:i4>0</vt:i4>
      </vt:variant>
      <vt:variant>
        <vt:i4>5</vt:i4>
      </vt:variant>
      <vt:variant>
        <vt:lpwstr/>
      </vt:variant>
      <vt:variant>
        <vt:lpwstr>_Toc168639040</vt:lpwstr>
      </vt:variant>
      <vt:variant>
        <vt:i4>1900602</vt:i4>
      </vt:variant>
      <vt:variant>
        <vt:i4>1046</vt:i4>
      </vt:variant>
      <vt:variant>
        <vt:i4>0</vt:i4>
      </vt:variant>
      <vt:variant>
        <vt:i4>5</vt:i4>
      </vt:variant>
      <vt:variant>
        <vt:lpwstr/>
      </vt:variant>
      <vt:variant>
        <vt:lpwstr>_Toc168639039</vt:lpwstr>
      </vt:variant>
      <vt:variant>
        <vt:i4>1900602</vt:i4>
      </vt:variant>
      <vt:variant>
        <vt:i4>1040</vt:i4>
      </vt:variant>
      <vt:variant>
        <vt:i4>0</vt:i4>
      </vt:variant>
      <vt:variant>
        <vt:i4>5</vt:i4>
      </vt:variant>
      <vt:variant>
        <vt:lpwstr/>
      </vt:variant>
      <vt:variant>
        <vt:lpwstr>_Toc168639038</vt:lpwstr>
      </vt:variant>
      <vt:variant>
        <vt:i4>1900602</vt:i4>
      </vt:variant>
      <vt:variant>
        <vt:i4>1034</vt:i4>
      </vt:variant>
      <vt:variant>
        <vt:i4>0</vt:i4>
      </vt:variant>
      <vt:variant>
        <vt:i4>5</vt:i4>
      </vt:variant>
      <vt:variant>
        <vt:lpwstr/>
      </vt:variant>
      <vt:variant>
        <vt:lpwstr>_Toc168639037</vt:lpwstr>
      </vt:variant>
      <vt:variant>
        <vt:i4>1900602</vt:i4>
      </vt:variant>
      <vt:variant>
        <vt:i4>1028</vt:i4>
      </vt:variant>
      <vt:variant>
        <vt:i4>0</vt:i4>
      </vt:variant>
      <vt:variant>
        <vt:i4>5</vt:i4>
      </vt:variant>
      <vt:variant>
        <vt:lpwstr/>
      </vt:variant>
      <vt:variant>
        <vt:lpwstr>_Toc168639036</vt:lpwstr>
      </vt:variant>
      <vt:variant>
        <vt:i4>1900602</vt:i4>
      </vt:variant>
      <vt:variant>
        <vt:i4>1022</vt:i4>
      </vt:variant>
      <vt:variant>
        <vt:i4>0</vt:i4>
      </vt:variant>
      <vt:variant>
        <vt:i4>5</vt:i4>
      </vt:variant>
      <vt:variant>
        <vt:lpwstr/>
      </vt:variant>
      <vt:variant>
        <vt:lpwstr>_Toc168639035</vt:lpwstr>
      </vt:variant>
      <vt:variant>
        <vt:i4>1900602</vt:i4>
      </vt:variant>
      <vt:variant>
        <vt:i4>1016</vt:i4>
      </vt:variant>
      <vt:variant>
        <vt:i4>0</vt:i4>
      </vt:variant>
      <vt:variant>
        <vt:i4>5</vt:i4>
      </vt:variant>
      <vt:variant>
        <vt:lpwstr/>
      </vt:variant>
      <vt:variant>
        <vt:lpwstr>_Toc168639034</vt:lpwstr>
      </vt:variant>
      <vt:variant>
        <vt:i4>1900602</vt:i4>
      </vt:variant>
      <vt:variant>
        <vt:i4>1010</vt:i4>
      </vt:variant>
      <vt:variant>
        <vt:i4>0</vt:i4>
      </vt:variant>
      <vt:variant>
        <vt:i4>5</vt:i4>
      </vt:variant>
      <vt:variant>
        <vt:lpwstr/>
      </vt:variant>
      <vt:variant>
        <vt:lpwstr>_Toc168639033</vt:lpwstr>
      </vt:variant>
      <vt:variant>
        <vt:i4>1900602</vt:i4>
      </vt:variant>
      <vt:variant>
        <vt:i4>1004</vt:i4>
      </vt:variant>
      <vt:variant>
        <vt:i4>0</vt:i4>
      </vt:variant>
      <vt:variant>
        <vt:i4>5</vt:i4>
      </vt:variant>
      <vt:variant>
        <vt:lpwstr/>
      </vt:variant>
      <vt:variant>
        <vt:lpwstr>_Toc168639032</vt:lpwstr>
      </vt:variant>
      <vt:variant>
        <vt:i4>1900602</vt:i4>
      </vt:variant>
      <vt:variant>
        <vt:i4>998</vt:i4>
      </vt:variant>
      <vt:variant>
        <vt:i4>0</vt:i4>
      </vt:variant>
      <vt:variant>
        <vt:i4>5</vt:i4>
      </vt:variant>
      <vt:variant>
        <vt:lpwstr/>
      </vt:variant>
      <vt:variant>
        <vt:lpwstr>_Toc168639031</vt:lpwstr>
      </vt:variant>
      <vt:variant>
        <vt:i4>1900602</vt:i4>
      </vt:variant>
      <vt:variant>
        <vt:i4>992</vt:i4>
      </vt:variant>
      <vt:variant>
        <vt:i4>0</vt:i4>
      </vt:variant>
      <vt:variant>
        <vt:i4>5</vt:i4>
      </vt:variant>
      <vt:variant>
        <vt:lpwstr/>
      </vt:variant>
      <vt:variant>
        <vt:lpwstr>_Toc168639030</vt:lpwstr>
      </vt:variant>
      <vt:variant>
        <vt:i4>1835066</vt:i4>
      </vt:variant>
      <vt:variant>
        <vt:i4>986</vt:i4>
      </vt:variant>
      <vt:variant>
        <vt:i4>0</vt:i4>
      </vt:variant>
      <vt:variant>
        <vt:i4>5</vt:i4>
      </vt:variant>
      <vt:variant>
        <vt:lpwstr/>
      </vt:variant>
      <vt:variant>
        <vt:lpwstr>_Toc168639029</vt:lpwstr>
      </vt:variant>
      <vt:variant>
        <vt:i4>1835066</vt:i4>
      </vt:variant>
      <vt:variant>
        <vt:i4>980</vt:i4>
      </vt:variant>
      <vt:variant>
        <vt:i4>0</vt:i4>
      </vt:variant>
      <vt:variant>
        <vt:i4>5</vt:i4>
      </vt:variant>
      <vt:variant>
        <vt:lpwstr/>
      </vt:variant>
      <vt:variant>
        <vt:lpwstr>_Toc168639028</vt:lpwstr>
      </vt:variant>
      <vt:variant>
        <vt:i4>1835066</vt:i4>
      </vt:variant>
      <vt:variant>
        <vt:i4>974</vt:i4>
      </vt:variant>
      <vt:variant>
        <vt:i4>0</vt:i4>
      </vt:variant>
      <vt:variant>
        <vt:i4>5</vt:i4>
      </vt:variant>
      <vt:variant>
        <vt:lpwstr/>
      </vt:variant>
      <vt:variant>
        <vt:lpwstr>_Toc168639027</vt:lpwstr>
      </vt:variant>
      <vt:variant>
        <vt:i4>1835066</vt:i4>
      </vt:variant>
      <vt:variant>
        <vt:i4>968</vt:i4>
      </vt:variant>
      <vt:variant>
        <vt:i4>0</vt:i4>
      </vt:variant>
      <vt:variant>
        <vt:i4>5</vt:i4>
      </vt:variant>
      <vt:variant>
        <vt:lpwstr/>
      </vt:variant>
      <vt:variant>
        <vt:lpwstr>_Toc168639026</vt:lpwstr>
      </vt:variant>
      <vt:variant>
        <vt:i4>1835066</vt:i4>
      </vt:variant>
      <vt:variant>
        <vt:i4>962</vt:i4>
      </vt:variant>
      <vt:variant>
        <vt:i4>0</vt:i4>
      </vt:variant>
      <vt:variant>
        <vt:i4>5</vt:i4>
      </vt:variant>
      <vt:variant>
        <vt:lpwstr/>
      </vt:variant>
      <vt:variant>
        <vt:lpwstr>_Toc168639025</vt:lpwstr>
      </vt:variant>
      <vt:variant>
        <vt:i4>1835066</vt:i4>
      </vt:variant>
      <vt:variant>
        <vt:i4>956</vt:i4>
      </vt:variant>
      <vt:variant>
        <vt:i4>0</vt:i4>
      </vt:variant>
      <vt:variant>
        <vt:i4>5</vt:i4>
      </vt:variant>
      <vt:variant>
        <vt:lpwstr/>
      </vt:variant>
      <vt:variant>
        <vt:lpwstr>_Toc168639024</vt:lpwstr>
      </vt:variant>
      <vt:variant>
        <vt:i4>1835066</vt:i4>
      </vt:variant>
      <vt:variant>
        <vt:i4>950</vt:i4>
      </vt:variant>
      <vt:variant>
        <vt:i4>0</vt:i4>
      </vt:variant>
      <vt:variant>
        <vt:i4>5</vt:i4>
      </vt:variant>
      <vt:variant>
        <vt:lpwstr/>
      </vt:variant>
      <vt:variant>
        <vt:lpwstr>_Toc168639023</vt:lpwstr>
      </vt:variant>
      <vt:variant>
        <vt:i4>1835066</vt:i4>
      </vt:variant>
      <vt:variant>
        <vt:i4>944</vt:i4>
      </vt:variant>
      <vt:variant>
        <vt:i4>0</vt:i4>
      </vt:variant>
      <vt:variant>
        <vt:i4>5</vt:i4>
      </vt:variant>
      <vt:variant>
        <vt:lpwstr/>
      </vt:variant>
      <vt:variant>
        <vt:lpwstr>_Toc168639022</vt:lpwstr>
      </vt:variant>
      <vt:variant>
        <vt:i4>1835066</vt:i4>
      </vt:variant>
      <vt:variant>
        <vt:i4>938</vt:i4>
      </vt:variant>
      <vt:variant>
        <vt:i4>0</vt:i4>
      </vt:variant>
      <vt:variant>
        <vt:i4>5</vt:i4>
      </vt:variant>
      <vt:variant>
        <vt:lpwstr/>
      </vt:variant>
      <vt:variant>
        <vt:lpwstr>_Toc168639021</vt:lpwstr>
      </vt:variant>
      <vt:variant>
        <vt:i4>1835066</vt:i4>
      </vt:variant>
      <vt:variant>
        <vt:i4>932</vt:i4>
      </vt:variant>
      <vt:variant>
        <vt:i4>0</vt:i4>
      </vt:variant>
      <vt:variant>
        <vt:i4>5</vt:i4>
      </vt:variant>
      <vt:variant>
        <vt:lpwstr/>
      </vt:variant>
      <vt:variant>
        <vt:lpwstr>_Toc168639020</vt:lpwstr>
      </vt:variant>
      <vt:variant>
        <vt:i4>2031674</vt:i4>
      </vt:variant>
      <vt:variant>
        <vt:i4>926</vt:i4>
      </vt:variant>
      <vt:variant>
        <vt:i4>0</vt:i4>
      </vt:variant>
      <vt:variant>
        <vt:i4>5</vt:i4>
      </vt:variant>
      <vt:variant>
        <vt:lpwstr/>
      </vt:variant>
      <vt:variant>
        <vt:lpwstr>_Toc168639019</vt:lpwstr>
      </vt:variant>
      <vt:variant>
        <vt:i4>2031674</vt:i4>
      </vt:variant>
      <vt:variant>
        <vt:i4>920</vt:i4>
      </vt:variant>
      <vt:variant>
        <vt:i4>0</vt:i4>
      </vt:variant>
      <vt:variant>
        <vt:i4>5</vt:i4>
      </vt:variant>
      <vt:variant>
        <vt:lpwstr/>
      </vt:variant>
      <vt:variant>
        <vt:lpwstr>_Toc168639018</vt:lpwstr>
      </vt:variant>
      <vt:variant>
        <vt:i4>2031674</vt:i4>
      </vt:variant>
      <vt:variant>
        <vt:i4>914</vt:i4>
      </vt:variant>
      <vt:variant>
        <vt:i4>0</vt:i4>
      </vt:variant>
      <vt:variant>
        <vt:i4>5</vt:i4>
      </vt:variant>
      <vt:variant>
        <vt:lpwstr/>
      </vt:variant>
      <vt:variant>
        <vt:lpwstr>_Toc168639017</vt:lpwstr>
      </vt:variant>
      <vt:variant>
        <vt:i4>2031674</vt:i4>
      </vt:variant>
      <vt:variant>
        <vt:i4>908</vt:i4>
      </vt:variant>
      <vt:variant>
        <vt:i4>0</vt:i4>
      </vt:variant>
      <vt:variant>
        <vt:i4>5</vt:i4>
      </vt:variant>
      <vt:variant>
        <vt:lpwstr/>
      </vt:variant>
      <vt:variant>
        <vt:lpwstr>_Toc168639016</vt:lpwstr>
      </vt:variant>
      <vt:variant>
        <vt:i4>2031674</vt:i4>
      </vt:variant>
      <vt:variant>
        <vt:i4>902</vt:i4>
      </vt:variant>
      <vt:variant>
        <vt:i4>0</vt:i4>
      </vt:variant>
      <vt:variant>
        <vt:i4>5</vt:i4>
      </vt:variant>
      <vt:variant>
        <vt:lpwstr/>
      </vt:variant>
      <vt:variant>
        <vt:lpwstr>_Toc168639015</vt:lpwstr>
      </vt:variant>
      <vt:variant>
        <vt:i4>2031674</vt:i4>
      </vt:variant>
      <vt:variant>
        <vt:i4>896</vt:i4>
      </vt:variant>
      <vt:variant>
        <vt:i4>0</vt:i4>
      </vt:variant>
      <vt:variant>
        <vt:i4>5</vt:i4>
      </vt:variant>
      <vt:variant>
        <vt:lpwstr/>
      </vt:variant>
      <vt:variant>
        <vt:lpwstr>_Toc168639014</vt:lpwstr>
      </vt:variant>
      <vt:variant>
        <vt:i4>2031674</vt:i4>
      </vt:variant>
      <vt:variant>
        <vt:i4>890</vt:i4>
      </vt:variant>
      <vt:variant>
        <vt:i4>0</vt:i4>
      </vt:variant>
      <vt:variant>
        <vt:i4>5</vt:i4>
      </vt:variant>
      <vt:variant>
        <vt:lpwstr/>
      </vt:variant>
      <vt:variant>
        <vt:lpwstr>_Toc168639013</vt:lpwstr>
      </vt:variant>
      <vt:variant>
        <vt:i4>2031674</vt:i4>
      </vt:variant>
      <vt:variant>
        <vt:i4>884</vt:i4>
      </vt:variant>
      <vt:variant>
        <vt:i4>0</vt:i4>
      </vt:variant>
      <vt:variant>
        <vt:i4>5</vt:i4>
      </vt:variant>
      <vt:variant>
        <vt:lpwstr/>
      </vt:variant>
      <vt:variant>
        <vt:lpwstr>_Toc168639012</vt:lpwstr>
      </vt:variant>
      <vt:variant>
        <vt:i4>2031674</vt:i4>
      </vt:variant>
      <vt:variant>
        <vt:i4>878</vt:i4>
      </vt:variant>
      <vt:variant>
        <vt:i4>0</vt:i4>
      </vt:variant>
      <vt:variant>
        <vt:i4>5</vt:i4>
      </vt:variant>
      <vt:variant>
        <vt:lpwstr/>
      </vt:variant>
      <vt:variant>
        <vt:lpwstr>_Toc168639011</vt:lpwstr>
      </vt:variant>
      <vt:variant>
        <vt:i4>2031674</vt:i4>
      </vt:variant>
      <vt:variant>
        <vt:i4>872</vt:i4>
      </vt:variant>
      <vt:variant>
        <vt:i4>0</vt:i4>
      </vt:variant>
      <vt:variant>
        <vt:i4>5</vt:i4>
      </vt:variant>
      <vt:variant>
        <vt:lpwstr/>
      </vt:variant>
      <vt:variant>
        <vt:lpwstr>_Toc168639010</vt:lpwstr>
      </vt:variant>
      <vt:variant>
        <vt:i4>1966138</vt:i4>
      </vt:variant>
      <vt:variant>
        <vt:i4>866</vt:i4>
      </vt:variant>
      <vt:variant>
        <vt:i4>0</vt:i4>
      </vt:variant>
      <vt:variant>
        <vt:i4>5</vt:i4>
      </vt:variant>
      <vt:variant>
        <vt:lpwstr/>
      </vt:variant>
      <vt:variant>
        <vt:lpwstr>_Toc168639009</vt:lpwstr>
      </vt:variant>
      <vt:variant>
        <vt:i4>1966138</vt:i4>
      </vt:variant>
      <vt:variant>
        <vt:i4>860</vt:i4>
      </vt:variant>
      <vt:variant>
        <vt:i4>0</vt:i4>
      </vt:variant>
      <vt:variant>
        <vt:i4>5</vt:i4>
      </vt:variant>
      <vt:variant>
        <vt:lpwstr/>
      </vt:variant>
      <vt:variant>
        <vt:lpwstr>_Toc168639008</vt:lpwstr>
      </vt:variant>
      <vt:variant>
        <vt:i4>1966138</vt:i4>
      </vt:variant>
      <vt:variant>
        <vt:i4>854</vt:i4>
      </vt:variant>
      <vt:variant>
        <vt:i4>0</vt:i4>
      </vt:variant>
      <vt:variant>
        <vt:i4>5</vt:i4>
      </vt:variant>
      <vt:variant>
        <vt:lpwstr/>
      </vt:variant>
      <vt:variant>
        <vt:lpwstr>_Toc168639007</vt:lpwstr>
      </vt:variant>
      <vt:variant>
        <vt:i4>1966138</vt:i4>
      </vt:variant>
      <vt:variant>
        <vt:i4>848</vt:i4>
      </vt:variant>
      <vt:variant>
        <vt:i4>0</vt:i4>
      </vt:variant>
      <vt:variant>
        <vt:i4>5</vt:i4>
      </vt:variant>
      <vt:variant>
        <vt:lpwstr/>
      </vt:variant>
      <vt:variant>
        <vt:lpwstr>_Toc168639006</vt:lpwstr>
      </vt:variant>
      <vt:variant>
        <vt:i4>1966138</vt:i4>
      </vt:variant>
      <vt:variant>
        <vt:i4>842</vt:i4>
      </vt:variant>
      <vt:variant>
        <vt:i4>0</vt:i4>
      </vt:variant>
      <vt:variant>
        <vt:i4>5</vt:i4>
      </vt:variant>
      <vt:variant>
        <vt:lpwstr/>
      </vt:variant>
      <vt:variant>
        <vt:lpwstr>_Toc168639005</vt:lpwstr>
      </vt:variant>
      <vt:variant>
        <vt:i4>1966138</vt:i4>
      </vt:variant>
      <vt:variant>
        <vt:i4>836</vt:i4>
      </vt:variant>
      <vt:variant>
        <vt:i4>0</vt:i4>
      </vt:variant>
      <vt:variant>
        <vt:i4>5</vt:i4>
      </vt:variant>
      <vt:variant>
        <vt:lpwstr/>
      </vt:variant>
      <vt:variant>
        <vt:lpwstr>_Toc168639004</vt:lpwstr>
      </vt:variant>
      <vt:variant>
        <vt:i4>1966138</vt:i4>
      </vt:variant>
      <vt:variant>
        <vt:i4>830</vt:i4>
      </vt:variant>
      <vt:variant>
        <vt:i4>0</vt:i4>
      </vt:variant>
      <vt:variant>
        <vt:i4>5</vt:i4>
      </vt:variant>
      <vt:variant>
        <vt:lpwstr/>
      </vt:variant>
      <vt:variant>
        <vt:lpwstr>_Toc168639003</vt:lpwstr>
      </vt:variant>
      <vt:variant>
        <vt:i4>1966138</vt:i4>
      </vt:variant>
      <vt:variant>
        <vt:i4>824</vt:i4>
      </vt:variant>
      <vt:variant>
        <vt:i4>0</vt:i4>
      </vt:variant>
      <vt:variant>
        <vt:i4>5</vt:i4>
      </vt:variant>
      <vt:variant>
        <vt:lpwstr/>
      </vt:variant>
      <vt:variant>
        <vt:lpwstr>_Toc168639002</vt:lpwstr>
      </vt:variant>
      <vt:variant>
        <vt:i4>1966138</vt:i4>
      </vt:variant>
      <vt:variant>
        <vt:i4>818</vt:i4>
      </vt:variant>
      <vt:variant>
        <vt:i4>0</vt:i4>
      </vt:variant>
      <vt:variant>
        <vt:i4>5</vt:i4>
      </vt:variant>
      <vt:variant>
        <vt:lpwstr/>
      </vt:variant>
      <vt:variant>
        <vt:lpwstr>_Toc168639001</vt:lpwstr>
      </vt:variant>
      <vt:variant>
        <vt:i4>1966138</vt:i4>
      </vt:variant>
      <vt:variant>
        <vt:i4>812</vt:i4>
      </vt:variant>
      <vt:variant>
        <vt:i4>0</vt:i4>
      </vt:variant>
      <vt:variant>
        <vt:i4>5</vt:i4>
      </vt:variant>
      <vt:variant>
        <vt:lpwstr/>
      </vt:variant>
      <vt:variant>
        <vt:lpwstr>_Toc168639000</vt:lpwstr>
      </vt:variant>
      <vt:variant>
        <vt:i4>1441843</vt:i4>
      </vt:variant>
      <vt:variant>
        <vt:i4>806</vt:i4>
      </vt:variant>
      <vt:variant>
        <vt:i4>0</vt:i4>
      </vt:variant>
      <vt:variant>
        <vt:i4>5</vt:i4>
      </vt:variant>
      <vt:variant>
        <vt:lpwstr/>
      </vt:variant>
      <vt:variant>
        <vt:lpwstr>_Toc168638999</vt:lpwstr>
      </vt:variant>
      <vt:variant>
        <vt:i4>1441843</vt:i4>
      </vt:variant>
      <vt:variant>
        <vt:i4>800</vt:i4>
      </vt:variant>
      <vt:variant>
        <vt:i4>0</vt:i4>
      </vt:variant>
      <vt:variant>
        <vt:i4>5</vt:i4>
      </vt:variant>
      <vt:variant>
        <vt:lpwstr/>
      </vt:variant>
      <vt:variant>
        <vt:lpwstr>_Toc168638998</vt:lpwstr>
      </vt:variant>
      <vt:variant>
        <vt:i4>1441843</vt:i4>
      </vt:variant>
      <vt:variant>
        <vt:i4>794</vt:i4>
      </vt:variant>
      <vt:variant>
        <vt:i4>0</vt:i4>
      </vt:variant>
      <vt:variant>
        <vt:i4>5</vt:i4>
      </vt:variant>
      <vt:variant>
        <vt:lpwstr/>
      </vt:variant>
      <vt:variant>
        <vt:lpwstr>_Toc168638997</vt:lpwstr>
      </vt:variant>
      <vt:variant>
        <vt:i4>1441843</vt:i4>
      </vt:variant>
      <vt:variant>
        <vt:i4>788</vt:i4>
      </vt:variant>
      <vt:variant>
        <vt:i4>0</vt:i4>
      </vt:variant>
      <vt:variant>
        <vt:i4>5</vt:i4>
      </vt:variant>
      <vt:variant>
        <vt:lpwstr/>
      </vt:variant>
      <vt:variant>
        <vt:lpwstr>_Toc168638996</vt:lpwstr>
      </vt:variant>
      <vt:variant>
        <vt:i4>1441843</vt:i4>
      </vt:variant>
      <vt:variant>
        <vt:i4>782</vt:i4>
      </vt:variant>
      <vt:variant>
        <vt:i4>0</vt:i4>
      </vt:variant>
      <vt:variant>
        <vt:i4>5</vt:i4>
      </vt:variant>
      <vt:variant>
        <vt:lpwstr/>
      </vt:variant>
      <vt:variant>
        <vt:lpwstr>_Toc168638995</vt:lpwstr>
      </vt:variant>
      <vt:variant>
        <vt:i4>1441843</vt:i4>
      </vt:variant>
      <vt:variant>
        <vt:i4>776</vt:i4>
      </vt:variant>
      <vt:variant>
        <vt:i4>0</vt:i4>
      </vt:variant>
      <vt:variant>
        <vt:i4>5</vt:i4>
      </vt:variant>
      <vt:variant>
        <vt:lpwstr/>
      </vt:variant>
      <vt:variant>
        <vt:lpwstr>_Toc168638994</vt:lpwstr>
      </vt:variant>
      <vt:variant>
        <vt:i4>1441843</vt:i4>
      </vt:variant>
      <vt:variant>
        <vt:i4>770</vt:i4>
      </vt:variant>
      <vt:variant>
        <vt:i4>0</vt:i4>
      </vt:variant>
      <vt:variant>
        <vt:i4>5</vt:i4>
      </vt:variant>
      <vt:variant>
        <vt:lpwstr/>
      </vt:variant>
      <vt:variant>
        <vt:lpwstr>_Toc168638993</vt:lpwstr>
      </vt:variant>
      <vt:variant>
        <vt:i4>1441843</vt:i4>
      </vt:variant>
      <vt:variant>
        <vt:i4>764</vt:i4>
      </vt:variant>
      <vt:variant>
        <vt:i4>0</vt:i4>
      </vt:variant>
      <vt:variant>
        <vt:i4>5</vt:i4>
      </vt:variant>
      <vt:variant>
        <vt:lpwstr/>
      </vt:variant>
      <vt:variant>
        <vt:lpwstr>_Toc168638992</vt:lpwstr>
      </vt:variant>
      <vt:variant>
        <vt:i4>1441843</vt:i4>
      </vt:variant>
      <vt:variant>
        <vt:i4>758</vt:i4>
      </vt:variant>
      <vt:variant>
        <vt:i4>0</vt:i4>
      </vt:variant>
      <vt:variant>
        <vt:i4>5</vt:i4>
      </vt:variant>
      <vt:variant>
        <vt:lpwstr/>
      </vt:variant>
      <vt:variant>
        <vt:lpwstr>_Toc168638991</vt:lpwstr>
      </vt:variant>
      <vt:variant>
        <vt:i4>1441843</vt:i4>
      </vt:variant>
      <vt:variant>
        <vt:i4>752</vt:i4>
      </vt:variant>
      <vt:variant>
        <vt:i4>0</vt:i4>
      </vt:variant>
      <vt:variant>
        <vt:i4>5</vt:i4>
      </vt:variant>
      <vt:variant>
        <vt:lpwstr/>
      </vt:variant>
      <vt:variant>
        <vt:lpwstr>_Toc168638990</vt:lpwstr>
      </vt:variant>
      <vt:variant>
        <vt:i4>1507379</vt:i4>
      </vt:variant>
      <vt:variant>
        <vt:i4>746</vt:i4>
      </vt:variant>
      <vt:variant>
        <vt:i4>0</vt:i4>
      </vt:variant>
      <vt:variant>
        <vt:i4>5</vt:i4>
      </vt:variant>
      <vt:variant>
        <vt:lpwstr/>
      </vt:variant>
      <vt:variant>
        <vt:lpwstr>_Toc168638989</vt:lpwstr>
      </vt:variant>
      <vt:variant>
        <vt:i4>1507379</vt:i4>
      </vt:variant>
      <vt:variant>
        <vt:i4>740</vt:i4>
      </vt:variant>
      <vt:variant>
        <vt:i4>0</vt:i4>
      </vt:variant>
      <vt:variant>
        <vt:i4>5</vt:i4>
      </vt:variant>
      <vt:variant>
        <vt:lpwstr/>
      </vt:variant>
      <vt:variant>
        <vt:lpwstr>_Toc168638988</vt:lpwstr>
      </vt:variant>
      <vt:variant>
        <vt:i4>1507379</vt:i4>
      </vt:variant>
      <vt:variant>
        <vt:i4>734</vt:i4>
      </vt:variant>
      <vt:variant>
        <vt:i4>0</vt:i4>
      </vt:variant>
      <vt:variant>
        <vt:i4>5</vt:i4>
      </vt:variant>
      <vt:variant>
        <vt:lpwstr/>
      </vt:variant>
      <vt:variant>
        <vt:lpwstr>_Toc168638987</vt:lpwstr>
      </vt:variant>
      <vt:variant>
        <vt:i4>1507379</vt:i4>
      </vt:variant>
      <vt:variant>
        <vt:i4>728</vt:i4>
      </vt:variant>
      <vt:variant>
        <vt:i4>0</vt:i4>
      </vt:variant>
      <vt:variant>
        <vt:i4>5</vt:i4>
      </vt:variant>
      <vt:variant>
        <vt:lpwstr/>
      </vt:variant>
      <vt:variant>
        <vt:lpwstr>_Toc168638986</vt:lpwstr>
      </vt:variant>
      <vt:variant>
        <vt:i4>1507379</vt:i4>
      </vt:variant>
      <vt:variant>
        <vt:i4>722</vt:i4>
      </vt:variant>
      <vt:variant>
        <vt:i4>0</vt:i4>
      </vt:variant>
      <vt:variant>
        <vt:i4>5</vt:i4>
      </vt:variant>
      <vt:variant>
        <vt:lpwstr/>
      </vt:variant>
      <vt:variant>
        <vt:lpwstr>_Toc168638985</vt:lpwstr>
      </vt:variant>
      <vt:variant>
        <vt:i4>1507379</vt:i4>
      </vt:variant>
      <vt:variant>
        <vt:i4>716</vt:i4>
      </vt:variant>
      <vt:variant>
        <vt:i4>0</vt:i4>
      </vt:variant>
      <vt:variant>
        <vt:i4>5</vt:i4>
      </vt:variant>
      <vt:variant>
        <vt:lpwstr/>
      </vt:variant>
      <vt:variant>
        <vt:lpwstr>_Toc168638984</vt:lpwstr>
      </vt:variant>
      <vt:variant>
        <vt:i4>1507379</vt:i4>
      </vt:variant>
      <vt:variant>
        <vt:i4>710</vt:i4>
      </vt:variant>
      <vt:variant>
        <vt:i4>0</vt:i4>
      </vt:variant>
      <vt:variant>
        <vt:i4>5</vt:i4>
      </vt:variant>
      <vt:variant>
        <vt:lpwstr/>
      </vt:variant>
      <vt:variant>
        <vt:lpwstr>_Toc168638983</vt:lpwstr>
      </vt:variant>
      <vt:variant>
        <vt:i4>1507379</vt:i4>
      </vt:variant>
      <vt:variant>
        <vt:i4>704</vt:i4>
      </vt:variant>
      <vt:variant>
        <vt:i4>0</vt:i4>
      </vt:variant>
      <vt:variant>
        <vt:i4>5</vt:i4>
      </vt:variant>
      <vt:variant>
        <vt:lpwstr/>
      </vt:variant>
      <vt:variant>
        <vt:lpwstr>_Toc168638982</vt:lpwstr>
      </vt:variant>
      <vt:variant>
        <vt:i4>1507379</vt:i4>
      </vt:variant>
      <vt:variant>
        <vt:i4>698</vt:i4>
      </vt:variant>
      <vt:variant>
        <vt:i4>0</vt:i4>
      </vt:variant>
      <vt:variant>
        <vt:i4>5</vt:i4>
      </vt:variant>
      <vt:variant>
        <vt:lpwstr/>
      </vt:variant>
      <vt:variant>
        <vt:lpwstr>_Toc168638981</vt:lpwstr>
      </vt:variant>
      <vt:variant>
        <vt:i4>1507379</vt:i4>
      </vt:variant>
      <vt:variant>
        <vt:i4>692</vt:i4>
      </vt:variant>
      <vt:variant>
        <vt:i4>0</vt:i4>
      </vt:variant>
      <vt:variant>
        <vt:i4>5</vt:i4>
      </vt:variant>
      <vt:variant>
        <vt:lpwstr/>
      </vt:variant>
      <vt:variant>
        <vt:lpwstr>_Toc168638980</vt:lpwstr>
      </vt:variant>
      <vt:variant>
        <vt:i4>1572915</vt:i4>
      </vt:variant>
      <vt:variant>
        <vt:i4>686</vt:i4>
      </vt:variant>
      <vt:variant>
        <vt:i4>0</vt:i4>
      </vt:variant>
      <vt:variant>
        <vt:i4>5</vt:i4>
      </vt:variant>
      <vt:variant>
        <vt:lpwstr/>
      </vt:variant>
      <vt:variant>
        <vt:lpwstr>_Toc168638979</vt:lpwstr>
      </vt:variant>
      <vt:variant>
        <vt:i4>1572915</vt:i4>
      </vt:variant>
      <vt:variant>
        <vt:i4>680</vt:i4>
      </vt:variant>
      <vt:variant>
        <vt:i4>0</vt:i4>
      </vt:variant>
      <vt:variant>
        <vt:i4>5</vt:i4>
      </vt:variant>
      <vt:variant>
        <vt:lpwstr/>
      </vt:variant>
      <vt:variant>
        <vt:lpwstr>_Toc168638978</vt:lpwstr>
      </vt:variant>
      <vt:variant>
        <vt:i4>1572915</vt:i4>
      </vt:variant>
      <vt:variant>
        <vt:i4>674</vt:i4>
      </vt:variant>
      <vt:variant>
        <vt:i4>0</vt:i4>
      </vt:variant>
      <vt:variant>
        <vt:i4>5</vt:i4>
      </vt:variant>
      <vt:variant>
        <vt:lpwstr/>
      </vt:variant>
      <vt:variant>
        <vt:lpwstr>_Toc168638977</vt:lpwstr>
      </vt:variant>
      <vt:variant>
        <vt:i4>1572915</vt:i4>
      </vt:variant>
      <vt:variant>
        <vt:i4>668</vt:i4>
      </vt:variant>
      <vt:variant>
        <vt:i4>0</vt:i4>
      </vt:variant>
      <vt:variant>
        <vt:i4>5</vt:i4>
      </vt:variant>
      <vt:variant>
        <vt:lpwstr/>
      </vt:variant>
      <vt:variant>
        <vt:lpwstr>_Toc168638976</vt:lpwstr>
      </vt:variant>
      <vt:variant>
        <vt:i4>1572915</vt:i4>
      </vt:variant>
      <vt:variant>
        <vt:i4>662</vt:i4>
      </vt:variant>
      <vt:variant>
        <vt:i4>0</vt:i4>
      </vt:variant>
      <vt:variant>
        <vt:i4>5</vt:i4>
      </vt:variant>
      <vt:variant>
        <vt:lpwstr/>
      </vt:variant>
      <vt:variant>
        <vt:lpwstr>_Toc168638975</vt:lpwstr>
      </vt:variant>
      <vt:variant>
        <vt:i4>1572915</vt:i4>
      </vt:variant>
      <vt:variant>
        <vt:i4>656</vt:i4>
      </vt:variant>
      <vt:variant>
        <vt:i4>0</vt:i4>
      </vt:variant>
      <vt:variant>
        <vt:i4>5</vt:i4>
      </vt:variant>
      <vt:variant>
        <vt:lpwstr/>
      </vt:variant>
      <vt:variant>
        <vt:lpwstr>_Toc168638974</vt:lpwstr>
      </vt:variant>
      <vt:variant>
        <vt:i4>1572915</vt:i4>
      </vt:variant>
      <vt:variant>
        <vt:i4>650</vt:i4>
      </vt:variant>
      <vt:variant>
        <vt:i4>0</vt:i4>
      </vt:variant>
      <vt:variant>
        <vt:i4>5</vt:i4>
      </vt:variant>
      <vt:variant>
        <vt:lpwstr/>
      </vt:variant>
      <vt:variant>
        <vt:lpwstr>_Toc168638973</vt:lpwstr>
      </vt:variant>
      <vt:variant>
        <vt:i4>1572915</vt:i4>
      </vt:variant>
      <vt:variant>
        <vt:i4>644</vt:i4>
      </vt:variant>
      <vt:variant>
        <vt:i4>0</vt:i4>
      </vt:variant>
      <vt:variant>
        <vt:i4>5</vt:i4>
      </vt:variant>
      <vt:variant>
        <vt:lpwstr/>
      </vt:variant>
      <vt:variant>
        <vt:lpwstr>_Toc168638972</vt:lpwstr>
      </vt:variant>
      <vt:variant>
        <vt:i4>1572915</vt:i4>
      </vt:variant>
      <vt:variant>
        <vt:i4>638</vt:i4>
      </vt:variant>
      <vt:variant>
        <vt:i4>0</vt:i4>
      </vt:variant>
      <vt:variant>
        <vt:i4>5</vt:i4>
      </vt:variant>
      <vt:variant>
        <vt:lpwstr/>
      </vt:variant>
      <vt:variant>
        <vt:lpwstr>_Toc168638971</vt:lpwstr>
      </vt:variant>
      <vt:variant>
        <vt:i4>1572915</vt:i4>
      </vt:variant>
      <vt:variant>
        <vt:i4>632</vt:i4>
      </vt:variant>
      <vt:variant>
        <vt:i4>0</vt:i4>
      </vt:variant>
      <vt:variant>
        <vt:i4>5</vt:i4>
      </vt:variant>
      <vt:variant>
        <vt:lpwstr/>
      </vt:variant>
      <vt:variant>
        <vt:lpwstr>_Toc168638970</vt:lpwstr>
      </vt:variant>
      <vt:variant>
        <vt:i4>1638451</vt:i4>
      </vt:variant>
      <vt:variant>
        <vt:i4>626</vt:i4>
      </vt:variant>
      <vt:variant>
        <vt:i4>0</vt:i4>
      </vt:variant>
      <vt:variant>
        <vt:i4>5</vt:i4>
      </vt:variant>
      <vt:variant>
        <vt:lpwstr/>
      </vt:variant>
      <vt:variant>
        <vt:lpwstr>_Toc168638969</vt:lpwstr>
      </vt:variant>
      <vt:variant>
        <vt:i4>1638451</vt:i4>
      </vt:variant>
      <vt:variant>
        <vt:i4>620</vt:i4>
      </vt:variant>
      <vt:variant>
        <vt:i4>0</vt:i4>
      </vt:variant>
      <vt:variant>
        <vt:i4>5</vt:i4>
      </vt:variant>
      <vt:variant>
        <vt:lpwstr/>
      </vt:variant>
      <vt:variant>
        <vt:lpwstr>_Toc168638968</vt:lpwstr>
      </vt:variant>
      <vt:variant>
        <vt:i4>1638451</vt:i4>
      </vt:variant>
      <vt:variant>
        <vt:i4>614</vt:i4>
      </vt:variant>
      <vt:variant>
        <vt:i4>0</vt:i4>
      </vt:variant>
      <vt:variant>
        <vt:i4>5</vt:i4>
      </vt:variant>
      <vt:variant>
        <vt:lpwstr/>
      </vt:variant>
      <vt:variant>
        <vt:lpwstr>_Toc168638967</vt:lpwstr>
      </vt:variant>
      <vt:variant>
        <vt:i4>1638451</vt:i4>
      </vt:variant>
      <vt:variant>
        <vt:i4>608</vt:i4>
      </vt:variant>
      <vt:variant>
        <vt:i4>0</vt:i4>
      </vt:variant>
      <vt:variant>
        <vt:i4>5</vt:i4>
      </vt:variant>
      <vt:variant>
        <vt:lpwstr/>
      </vt:variant>
      <vt:variant>
        <vt:lpwstr>_Toc168638966</vt:lpwstr>
      </vt:variant>
      <vt:variant>
        <vt:i4>1638451</vt:i4>
      </vt:variant>
      <vt:variant>
        <vt:i4>602</vt:i4>
      </vt:variant>
      <vt:variant>
        <vt:i4>0</vt:i4>
      </vt:variant>
      <vt:variant>
        <vt:i4>5</vt:i4>
      </vt:variant>
      <vt:variant>
        <vt:lpwstr/>
      </vt:variant>
      <vt:variant>
        <vt:lpwstr>_Toc168638965</vt:lpwstr>
      </vt:variant>
      <vt:variant>
        <vt:i4>1638451</vt:i4>
      </vt:variant>
      <vt:variant>
        <vt:i4>596</vt:i4>
      </vt:variant>
      <vt:variant>
        <vt:i4>0</vt:i4>
      </vt:variant>
      <vt:variant>
        <vt:i4>5</vt:i4>
      </vt:variant>
      <vt:variant>
        <vt:lpwstr/>
      </vt:variant>
      <vt:variant>
        <vt:lpwstr>_Toc168638964</vt:lpwstr>
      </vt:variant>
      <vt:variant>
        <vt:i4>1638451</vt:i4>
      </vt:variant>
      <vt:variant>
        <vt:i4>590</vt:i4>
      </vt:variant>
      <vt:variant>
        <vt:i4>0</vt:i4>
      </vt:variant>
      <vt:variant>
        <vt:i4>5</vt:i4>
      </vt:variant>
      <vt:variant>
        <vt:lpwstr/>
      </vt:variant>
      <vt:variant>
        <vt:lpwstr>_Toc168638963</vt:lpwstr>
      </vt:variant>
      <vt:variant>
        <vt:i4>1638451</vt:i4>
      </vt:variant>
      <vt:variant>
        <vt:i4>584</vt:i4>
      </vt:variant>
      <vt:variant>
        <vt:i4>0</vt:i4>
      </vt:variant>
      <vt:variant>
        <vt:i4>5</vt:i4>
      </vt:variant>
      <vt:variant>
        <vt:lpwstr/>
      </vt:variant>
      <vt:variant>
        <vt:lpwstr>_Toc168638962</vt:lpwstr>
      </vt:variant>
      <vt:variant>
        <vt:i4>1638451</vt:i4>
      </vt:variant>
      <vt:variant>
        <vt:i4>578</vt:i4>
      </vt:variant>
      <vt:variant>
        <vt:i4>0</vt:i4>
      </vt:variant>
      <vt:variant>
        <vt:i4>5</vt:i4>
      </vt:variant>
      <vt:variant>
        <vt:lpwstr/>
      </vt:variant>
      <vt:variant>
        <vt:lpwstr>_Toc168638961</vt:lpwstr>
      </vt:variant>
      <vt:variant>
        <vt:i4>1638451</vt:i4>
      </vt:variant>
      <vt:variant>
        <vt:i4>572</vt:i4>
      </vt:variant>
      <vt:variant>
        <vt:i4>0</vt:i4>
      </vt:variant>
      <vt:variant>
        <vt:i4>5</vt:i4>
      </vt:variant>
      <vt:variant>
        <vt:lpwstr/>
      </vt:variant>
      <vt:variant>
        <vt:lpwstr>_Toc168638960</vt:lpwstr>
      </vt:variant>
      <vt:variant>
        <vt:i4>1703987</vt:i4>
      </vt:variant>
      <vt:variant>
        <vt:i4>566</vt:i4>
      </vt:variant>
      <vt:variant>
        <vt:i4>0</vt:i4>
      </vt:variant>
      <vt:variant>
        <vt:i4>5</vt:i4>
      </vt:variant>
      <vt:variant>
        <vt:lpwstr/>
      </vt:variant>
      <vt:variant>
        <vt:lpwstr>_Toc168638959</vt:lpwstr>
      </vt:variant>
      <vt:variant>
        <vt:i4>1703987</vt:i4>
      </vt:variant>
      <vt:variant>
        <vt:i4>560</vt:i4>
      </vt:variant>
      <vt:variant>
        <vt:i4>0</vt:i4>
      </vt:variant>
      <vt:variant>
        <vt:i4>5</vt:i4>
      </vt:variant>
      <vt:variant>
        <vt:lpwstr/>
      </vt:variant>
      <vt:variant>
        <vt:lpwstr>_Toc168638958</vt:lpwstr>
      </vt:variant>
      <vt:variant>
        <vt:i4>1703987</vt:i4>
      </vt:variant>
      <vt:variant>
        <vt:i4>554</vt:i4>
      </vt:variant>
      <vt:variant>
        <vt:i4>0</vt:i4>
      </vt:variant>
      <vt:variant>
        <vt:i4>5</vt:i4>
      </vt:variant>
      <vt:variant>
        <vt:lpwstr/>
      </vt:variant>
      <vt:variant>
        <vt:lpwstr>_Toc168638957</vt:lpwstr>
      </vt:variant>
      <vt:variant>
        <vt:i4>1703987</vt:i4>
      </vt:variant>
      <vt:variant>
        <vt:i4>548</vt:i4>
      </vt:variant>
      <vt:variant>
        <vt:i4>0</vt:i4>
      </vt:variant>
      <vt:variant>
        <vt:i4>5</vt:i4>
      </vt:variant>
      <vt:variant>
        <vt:lpwstr/>
      </vt:variant>
      <vt:variant>
        <vt:lpwstr>_Toc168638956</vt:lpwstr>
      </vt:variant>
      <vt:variant>
        <vt:i4>1703987</vt:i4>
      </vt:variant>
      <vt:variant>
        <vt:i4>542</vt:i4>
      </vt:variant>
      <vt:variant>
        <vt:i4>0</vt:i4>
      </vt:variant>
      <vt:variant>
        <vt:i4>5</vt:i4>
      </vt:variant>
      <vt:variant>
        <vt:lpwstr/>
      </vt:variant>
      <vt:variant>
        <vt:lpwstr>_Toc168638955</vt:lpwstr>
      </vt:variant>
      <vt:variant>
        <vt:i4>1703987</vt:i4>
      </vt:variant>
      <vt:variant>
        <vt:i4>536</vt:i4>
      </vt:variant>
      <vt:variant>
        <vt:i4>0</vt:i4>
      </vt:variant>
      <vt:variant>
        <vt:i4>5</vt:i4>
      </vt:variant>
      <vt:variant>
        <vt:lpwstr/>
      </vt:variant>
      <vt:variant>
        <vt:lpwstr>_Toc168638954</vt:lpwstr>
      </vt:variant>
      <vt:variant>
        <vt:i4>1703987</vt:i4>
      </vt:variant>
      <vt:variant>
        <vt:i4>530</vt:i4>
      </vt:variant>
      <vt:variant>
        <vt:i4>0</vt:i4>
      </vt:variant>
      <vt:variant>
        <vt:i4>5</vt:i4>
      </vt:variant>
      <vt:variant>
        <vt:lpwstr/>
      </vt:variant>
      <vt:variant>
        <vt:lpwstr>_Toc168638953</vt:lpwstr>
      </vt:variant>
      <vt:variant>
        <vt:i4>1703987</vt:i4>
      </vt:variant>
      <vt:variant>
        <vt:i4>524</vt:i4>
      </vt:variant>
      <vt:variant>
        <vt:i4>0</vt:i4>
      </vt:variant>
      <vt:variant>
        <vt:i4>5</vt:i4>
      </vt:variant>
      <vt:variant>
        <vt:lpwstr/>
      </vt:variant>
      <vt:variant>
        <vt:lpwstr>_Toc168638952</vt:lpwstr>
      </vt:variant>
      <vt:variant>
        <vt:i4>1703987</vt:i4>
      </vt:variant>
      <vt:variant>
        <vt:i4>518</vt:i4>
      </vt:variant>
      <vt:variant>
        <vt:i4>0</vt:i4>
      </vt:variant>
      <vt:variant>
        <vt:i4>5</vt:i4>
      </vt:variant>
      <vt:variant>
        <vt:lpwstr/>
      </vt:variant>
      <vt:variant>
        <vt:lpwstr>_Toc168638951</vt:lpwstr>
      </vt:variant>
      <vt:variant>
        <vt:i4>1703987</vt:i4>
      </vt:variant>
      <vt:variant>
        <vt:i4>512</vt:i4>
      </vt:variant>
      <vt:variant>
        <vt:i4>0</vt:i4>
      </vt:variant>
      <vt:variant>
        <vt:i4>5</vt:i4>
      </vt:variant>
      <vt:variant>
        <vt:lpwstr/>
      </vt:variant>
      <vt:variant>
        <vt:lpwstr>_Toc168638950</vt:lpwstr>
      </vt:variant>
      <vt:variant>
        <vt:i4>1769523</vt:i4>
      </vt:variant>
      <vt:variant>
        <vt:i4>506</vt:i4>
      </vt:variant>
      <vt:variant>
        <vt:i4>0</vt:i4>
      </vt:variant>
      <vt:variant>
        <vt:i4>5</vt:i4>
      </vt:variant>
      <vt:variant>
        <vt:lpwstr/>
      </vt:variant>
      <vt:variant>
        <vt:lpwstr>_Toc168638949</vt:lpwstr>
      </vt:variant>
      <vt:variant>
        <vt:i4>1769523</vt:i4>
      </vt:variant>
      <vt:variant>
        <vt:i4>500</vt:i4>
      </vt:variant>
      <vt:variant>
        <vt:i4>0</vt:i4>
      </vt:variant>
      <vt:variant>
        <vt:i4>5</vt:i4>
      </vt:variant>
      <vt:variant>
        <vt:lpwstr/>
      </vt:variant>
      <vt:variant>
        <vt:lpwstr>_Toc168638948</vt:lpwstr>
      </vt:variant>
      <vt:variant>
        <vt:i4>1769523</vt:i4>
      </vt:variant>
      <vt:variant>
        <vt:i4>494</vt:i4>
      </vt:variant>
      <vt:variant>
        <vt:i4>0</vt:i4>
      </vt:variant>
      <vt:variant>
        <vt:i4>5</vt:i4>
      </vt:variant>
      <vt:variant>
        <vt:lpwstr/>
      </vt:variant>
      <vt:variant>
        <vt:lpwstr>_Toc168638947</vt:lpwstr>
      </vt:variant>
      <vt:variant>
        <vt:i4>1769523</vt:i4>
      </vt:variant>
      <vt:variant>
        <vt:i4>488</vt:i4>
      </vt:variant>
      <vt:variant>
        <vt:i4>0</vt:i4>
      </vt:variant>
      <vt:variant>
        <vt:i4>5</vt:i4>
      </vt:variant>
      <vt:variant>
        <vt:lpwstr/>
      </vt:variant>
      <vt:variant>
        <vt:lpwstr>_Toc168638946</vt:lpwstr>
      </vt:variant>
      <vt:variant>
        <vt:i4>1769523</vt:i4>
      </vt:variant>
      <vt:variant>
        <vt:i4>482</vt:i4>
      </vt:variant>
      <vt:variant>
        <vt:i4>0</vt:i4>
      </vt:variant>
      <vt:variant>
        <vt:i4>5</vt:i4>
      </vt:variant>
      <vt:variant>
        <vt:lpwstr/>
      </vt:variant>
      <vt:variant>
        <vt:lpwstr>_Toc168638945</vt:lpwstr>
      </vt:variant>
      <vt:variant>
        <vt:i4>1769523</vt:i4>
      </vt:variant>
      <vt:variant>
        <vt:i4>476</vt:i4>
      </vt:variant>
      <vt:variant>
        <vt:i4>0</vt:i4>
      </vt:variant>
      <vt:variant>
        <vt:i4>5</vt:i4>
      </vt:variant>
      <vt:variant>
        <vt:lpwstr/>
      </vt:variant>
      <vt:variant>
        <vt:lpwstr>_Toc168638944</vt:lpwstr>
      </vt:variant>
      <vt:variant>
        <vt:i4>1769523</vt:i4>
      </vt:variant>
      <vt:variant>
        <vt:i4>470</vt:i4>
      </vt:variant>
      <vt:variant>
        <vt:i4>0</vt:i4>
      </vt:variant>
      <vt:variant>
        <vt:i4>5</vt:i4>
      </vt:variant>
      <vt:variant>
        <vt:lpwstr/>
      </vt:variant>
      <vt:variant>
        <vt:lpwstr>_Toc168638943</vt:lpwstr>
      </vt:variant>
      <vt:variant>
        <vt:i4>1769523</vt:i4>
      </vt:variant>
      <vt:variant>
        <vt:i4>464</vt:i4>
      </vt:variant>
      <vt:variant>
        <vt:i4>0</vt:i4>
      </vt:variant>
      <vt:variant>
        <vt:i4>5</vt:i4>
      </vt:variant>
      <vt:variant>
        <vt:lpwstr/>
      </vt:variant>
      <vt:variant>
        <vt:lpwstr>_Toc168638942</vt:lpwstr>
      </vt:variant>
      <vt:variant>
        <vt:i4>1769523</vt:i4>
      </vt:variant>
      <vt:variant>
        <vt:i4>458</vt:i4>
      </vt:variant>
      <vt:variant>
        <vt:i4>0</vt:i4>
      </vt:variant>
      <vt:variant>
        <vt:i4>5</vt:i4>
      </vt:variant>
      <vt:variant>
        <vt:lpwstr/>
      </vt:variant>
      <vt:variant>
        <vt:lpwstr>_Toc168638941</vt:lpwstr>
      </vt:variant>
      <vt:variant>
        <vt:i4>1769523</vt:i4>
      </vt:variant>
      <vt:variant>
        <vt:i4>452</vt:i4>
      </vt:variant>
      <vt:variant>
        <vt:i4>0</vt:i4>
      </vt:variant>
      <vt:variant>
        <vt:i4>5</vt:i4>
      </vt:variant>
      <vt:variant>
        <vt:lpwstr/>
      </vt:variant>
      <vt:variant>
        <vt:lpwstr>_Toc168638940</vt:lpwstr>
      </vt:variant>
      <vt:variant>
        <vt:i4>1835059</vt:i4>
      </vt:variant>
      <vt:variant>
        <vt:i4>446</vt:i4>
      </vt:variant>
      <vt:variant>
        <vt:i4>0</vt:i4>
      </vt:variant>
      <vt:variant>
        <vt:i4>5</vt:i4>
      </vt:variant>
      <vt:variant>
        <vt:lpwstr/>
      </vt:variant>
      <vt:variant>
        <vt:lpwstr>_Toc168638939</vt:lpwstr>
      </vt:variant>
      <vt:variant>
        <vt:i4>1835059</vt:i4>
      </vt:variant>
      <vt:variant>
        <vt:i4>440</vt:i4>
      </vt:variant>
      <vt:variant>
        <vt:i4>0</vt:i4>
      </vt:variant>
      <vt:variant>
        <vt:i4>5</vt:i4>
      </vt:variant>
      <vt:variant>
        <vt:lpwstr/>
      </vt:variant>
      <vt:variant>
        <vt:lpwstr>_Toc168638938</vt:lpwstr>
      </vt:variant>
      <vt:variant>
        <vt:i4>1835059</vt:i4>
      </vt:variant>
      <vt:variant>
        <vt:i4>434</vt:i4>
      </vt:variant>
      <vt:variant>
        <vt:i4>0</vt:i4>
      </vt:variant>
      <vt:variant>
        <vt:i4>5</vt:i4>
      </vt:variant>
      <vt:variant>
        <vt:lpwstr/>
      </vt:variant>
      <vt:variant>
        <vt:lpwstr>_Toc168638937</vt:lpwstr>
      </vt:variant>
      <vt:variant>
        <vt:i4>1835059</vt:i4>
      </vt:variant>
      <vt:variant>
        <vt:i4>428</vt:i4>
      </vt:variant>
      <vt:variant>
        <vt:i4>0</vt:i4>
      </vt:variant>
      <vt:variant>
        <vt:i4>5</vt:i4>
      </vt:variant>
      <vt:variant>
        <vt:lpwstr/>
      </vt:variant>
      <vt:variant>
        <vt:lpwstr>_Toc168638936</vt:lpwstr>
      </vt:variant>
      <vt:variant>
        <vt:i4>1835059</vt:i4>
      </vt:variant>
      <vt:variant>
        <vt:i4>422</vt:i4>
      </vt:variant>
      <vt:variant>
        <vt:i4>0</vt:i4>
      </vt:variant>
      <vt:variant>
        <vt:i4>5</vt:i4>
      </vt:variant>
      <vt:variant>
        <vt:lpwstr/>
      </vt:variant>
      <vt:variant>
        <vt:lpwstr>_Toc168638935</vt:lpwstr>
      </vt:variant>
      <vt:variant>
        <vt:i4>1835059</vt:i4>
      </vt:variant>
      <vt:variant>
        <vt:i4>416</vt:i4>
      </vt:variant>
      <vt:variant>
        <vt:i4>0</vt:i4>
      </vt:variant>
      <vt:variant>
        <vt:i4>5</vt:i4>
      </vt:variant>
      <vt:variant>
        <vt:lpwstr/>
      </vt:variant>
      <vt:variant>
        <vt:lpwstr>_Toc168638934</vt:lpwstr>
      </vt:variant>
      <vt:variant>
        <vt:i4>1835059</vt:i4>
      </vt:variant>
      <vt:variant>
        <vt:i4>410</vt:i4>
      </vt:variant>
      <vt:variant>
        <vt:i4>0</vt:i4>
      </vt:variant>
      <vt:variant>
        <vt:i4>5</vt:i4>
      </vt:variant>
      <vt:variant>
        <vt:lpwstr/>
      </vt:variant>
      <vt:variant>
        <vt:lpwstr>_Toc168638933</vt:lpwstr>
      </vt:variant>
      <vt:variant>
        <vt:i4>1835059</vt:i4>
      </vt:variant>
      <vt:variant>
        <vt:i4>404</vt:i4>
      </vt:variant>
      <vt:variant>
        <vt:i4>0</vt:i4>
      </vt:variant>
      <vt:variant>
        <vt:i4>5</vt:i4>
      </vt:variant>
      <vt:variant>
        <vt:lpwstr/>
      </vt:variant>
      <vt:variant>
        <vt:lpwstr>_Toc168638932</vt:lpwstr>
      </vt:variant>
      <vt:variant>
        <vt:i4>1835059</vt:i4>
      </vt:variant>
      <vt:variant>
        <vt:i4>398</vt:i4>
      </vt:variant>
      <vt:variant>
        <vt:i4>0</vt:i4>
      </vt:variant>
      <vt:variant>
        <vt:i4>5</vt:i4>
      </vt:variant>
      <vt:variant>
        <vt:lpwstr/>
      </vt:variant>
      <vt:variant>
        <vt:lpwstr>_Toc168638931</vt:lpwstr>
      </vt:variant>
      <vt:variant>
        <vt:i4>1835059</vt:i4>
      </vt:variant>
      <vt:variant>
        <vt:i4>392</vt:i4>
      </vt:variant>
      <vt:variant>
        <vt:i4>0</vt:i4>
      </vt:variant>
      <vt:variant>
        <vt:i4>5</vt:i4>
      </vt:variant>
      <vt:variant>
        <vt:lpwstr/>
      </vt:variant>
      <vt:variant>
        <vt:lpwstr>_Toc168638930</vt:lpwstr>
      </vt:variant>
      <vt:variant>
        <vt:i4>1900595</vt:i4>
      </vt:variant>
      <vt:variant>
        <vt:i4>386</vt:i4>
      </vt:variant>
      <vt:variant>
        <vt:i4>0</vt:i4>
      </vt:variant>
      <vt:variant>
        <vt:i4>5</vt:i4>
      </vt:variant>
      <vt:variant>
        <vt:lpwstr/>
      </vt:variant>
      <vt:variant>
        <vt:lpwstr>_Toc168638929</vt:lpwstr>
      </vt:variant>
      <vt:variant>
        <vt:i4>1900595</vt:i4>
      </vt:variant>
      <vt:variant>
        <vt:i4>380</vt:i4>
      </vt:variant>
      <vt:variant>
        <vt:i4>0</vt:i4>
      </vt:variant>
      <vt:variant>
        <vt:i4>5</vt:i4>
      </vt:variant>
      <vt:variant>
        <vt:lpwstr/>
      </vt:variant>
      <vt:variant>
        <vt:lpwstr>_Toc168638928</vt:lpwstr>
      </vt:variant>
      <vt:variant>
        <vt:i4>1900595</vt:i4>
      </vt:variant>
      <vt:variant>
        <vt:i4>374</vt:i4>
      </vt:variant>
      <vt:variant>
        <vt:i4>0</vt:i4>
      </vt:variant>
      <vt:variant>
        <vt:i4>5</vt:i4>
      </vt:variant>
      <vt:variant>
        <vt:lpwstr/>
      </vt:variant>
      <vt:variant>
        <vt:lpwstr>_Toc168638927</vt:lpwstr>
      </vt:variant>
      <vt:variant>
        <vt:i4>1900595</vt:i4>
      </vt:variant>
      <vt:variant>
        <vt:i4>368</vt:i4>
      </vt:variant>
      <vt:variant>
        <vt:i4>0</vt:i4>
      </vt:variant>
      <vt:variant>
        <vt:i4>5</vt:i4>
      </vt:variant>
      <vt:variant>
        <vt:lpwstr/>
      </vt:variant>
      <vt:variant>
        <vt:lpwstr>_Toc168638926</vt:lpwstr>
      </vt:variant>
      <vt:variant>
        <vt:i4>1900595</vt:i4>
      </vt:variant>
      <vt:variant>
        <vt:i4>362</vt:i4>
      </vt:variant>
      <vt:variant>
        <vt:i4>0</vt:i4>
      </vt:variant>
      <vt:variant>
        <vt:i4>5</vt:i4>
      </vt:variant>
      <vt:variant>
        <vt:lpwstr/>
      </vt:variant>
      <vt:variant>
        <vt:lpwstr>_Toc168638925</vt:lpwstr>
      </vt:variant>
      <vt:variant>
        <vt:i4>1900595</vt:i4>
      </vt:variant>
      <vt:variant>
        <vt:i4>356</vt:i4>
      </vt:variant>
      <vt:variant>
        <vt:i4>0</vt:i4>
      </vt:variant>
      <vt:variant>
        <vt:i4>5</vt:i4>
      </vt:variant>
      <vt:variant>
        <vt:lpwstr/>
      </vt:variant>
      <vt:variant>
        <vt:lpwstr>_Toc168638924</vt:lpwstr>
      </vt:variant>
      <vt:variant>
        <vt:i4>1900595</vt:i4>
      </vt:variant>
      <vt:variant>
        <vt:i4>350</vt:i4>
      </vt:variant>
      <vt:variant>
        <vt:i4>0</vt:i4>
      </vt:variant>
      <vt:variant>
        <vt:i4>5</vt:i4>
      </vt:variant>
      <vt:variant>
        <vt:lpwstr/>
      </vt:variant>
      <vt:variant>
        <vt:lpwstr>_Toc168638923</vt:lpwstr>
      </vt:variant>
      <vt:variant>
        <vt:i4>1900595</vt:i4>
      </vt:variant>
      <vt:variant>
        <vt:i4>344</vt:i4>
      </vt:variant>
      <vt:variant>
        <vt:i4>0</vt:i4>
      </vt:variant>
      <vt:variant>
        <vt:i4>5</vt:i4>
      </vt:variant>
      <vt:variant>
        <vt:lpwstr/>
      </vt:variant>
      <vt:variant>
        <vt:lpwstr>_Toc168638922</vt:lpwstr>
      </vt:variant>
      <vt:variant>
        <vt:i4>1900595</vt:i4>
      </vt:variant>
      <vt:variant>
        <vt:i4>338</vt:i4>
      </vt:variant>
      <vt:variant>
        <vt:i4>0</vt:i4>
      </vt:variant>
      <vt:variant>
        <vt:i4>5</vt:i4>
      </vt:variant>
      <vt:variant>
        <vt:lpwstr/>
      </vt:variant>
      <vt:variant>
        <vt:lpwstr>_Toc168638921</vt:lpwstr>
      </vt:variant>
      <vt:variant>
        <vt:i4>1900595</vt:i4>
      </vt:variant>
      <vt:variant>
        <vt:i4>332</vt:i4>
      </vt:variant>
      <vt:variant>
        <vt:i4>0</vt:i4>
      </vt:variant>
      <vt:variant>
        <vt:i4>5</vt:i4>
      </vt:variant>
      <vt:variant>
        <vt:lpwstr/>
      </vt:variant>
      <vt:variant>
        <vt:lpwstr>_Toc168638920</vt:lpwstr>
      </vt:variant>
      <vt:variant>
        <vt:i4>1966131</vt:i4>
      </vt:variant>
      <vt:variant>
        <vt:i4>326</vt:i4>
      </vt:variant>
      <vt:variant>
        <vt:i4>0</vt:i4>
      </vt:variant>
      <vt:variant>
        <vt:i4>5</vt:i4>
      </vt:variant>
      <vt:variant>
        <vt:lpwstr/>
      </vt:variant>
      <vt:variant>
        <vt:lpwstr>_Toc168638919</vt:lpwstr>
      </vt:variant>
      <vt:variant>
        <vt:i4>1966131</vt:i4>
      </vt:variant>
      <vt:variant>
        <vt:i4>320</vt:i4>
      </vt:variant>
      <vt:variant>
        <vt:i4>0</vt:i4>
      </vt:variant>
      <vt:variant>
        <vt:i4>5</vt:i4>
      </vt:variant>
      <vt:variant>
        <vt:lpwstr/>
      </vt:variant>
      <vt:variant>
        <vt:lpwstr>_Toc168638918</vt:lpwstr>
      </vt:variant>
      <vt:variant>
        <vt:i4>1966131</vt:i4>
      </vt:variant>
      <vt:variant>
        <vt:i4>314</vt:i4>
      </vt:variant>
      <vt:variant>
        <vt:i4>0</vt:i4>
      </vt:variant>
      <vt:variant>
        <vt:i4>5</vt:i4>
      </vt:variant>
      <vt:variant>
        <vt:lpwstr/>
      </vt:variant>
      <vt:variant>
        <vt:lpwstr>_Toc168638917</vt:lpwstr>
      </vt:variant>
      <vt:variant>
        <vt:i4>1966131</vt:i4>
      </vt:variant>
      <vt:variant>
        <vt:i4>308</vt:i4>
      </vt:variant>
      <vt:variant>
        <vt:i4>0</vt:i4>
      </vt:variant>
      <vt:variant>
        <vt:i4>5</vt:i4>
      </vt:variant>
      <vt:variant>
        <vt:lpwstr/>
      </vt:variant>
      <vt:variant>
        <vt:lpwstr>_Toc168638916</vt:lpwstr>
      </vt:variant>
      <vt:variant>
        <vt:i4>1966131</vt:i4>
      </vt:variant>
      <vt:variant>
        <vt:i4>302</vt:i4>
      </vt:variant>
      <vt:variant>
        <vt:i4>0</vt:i4>
      </vt:variant>
      <vt:variant>
        <vt:i4>5</vt:i4>
      </vt:variant>
      <vt:variant>
        <vt:lpwstr/>
      </vt:variant>
      <vt:variant>
        <vt:lpwstr>_Toc168638915</vt:lpwstr>
      </vt:variant>
      <vt:variant>
        <vt:i4>1966131</vt:i4>
      </vt:variant>
      <vt:variant>
        <vt:i4>296</vt:i4>
      </vt:variant>
      <vt:variant>
        <vt:i4>0</vt:i4>
      </vt:variant>
      <vt:variant>
        <vt:i4>5</vt:i4>
      </vt:variant>
      <vt:variant>
        <vt:lpwstr/>
      </vt:variant>
      <vt:variant>
        <vt:lpwstr>_Toc168638914</vt:lpwstr>
      </vt:variant>
      <vt:variant>
        <vt:i4>1966131</vt:i4>
      </vt:variant>
      <vt:variant>
        <vt:i4>290</vt:i4>
      </vt:variant>
      <vt:variant>
        <vt:i4>0</vt:i4>
      </vt:variant>
      <vt:variant>
        <vt:i4>5</vt:i4>
      </vt:variant>
      <vt:variant>
        <vt:lpwstr/>
      </vt:variant>
      <vt:variant>
        <vt:lpwstr>_Toc168638913</vt:lpwstr>
      </vt:variant>
      <vt:variant>
        <vt:i4>1966131</vt:i4>
      </vt:variant>
      <vt:variant>
        <vt:i4>284</vt:i4>
      </vt:variant>
      <vt:variant>
        <vt:i4>0</vt:i4>
      </vt:variant>
      <vt:variant>
        <vt:i4>5</vt:i4>
      </vt:variant>
      <vt:variant>
        <vt:lpwstr/>
      </vt:variant>
      <vt:variant>
        <vt:lpwstr>_Toc168638912</vt:lpwstr>
      </vt:variant>
      <vt:variant>
        <vt:i4>1966131</vt:i4>
      </vt:variant>
      <vt:variant>
        <vt:i4>278</vt:i4>
      </vt:variant>
      <vt:variant>
        <vt:i4>0</vt:i4>
      </vt:variant>
      <vt:variant>
        <vt:i4>5</vt:i4>
      </vt:variant>
      <vt:variant>
        <vt:lpwstr/>
      </vt:variant>
      <vt:variant>
        <vt:lpwstr>_Toc168638911</vt:lpwstr>
      </vt:variant>
      <vt:variant>
        <vt:i4>1966131</vt:i4>
      </vt:variant>
      <vt:variant>
        <vt:i4>272</vt:i4>
      </vt:variant>
      <vt:variant>
        <vt:i4>0</vt:i4>
      </vt:variant>
      <vt:variant>
        <vt:i4>5</vt:i4>
      </vt:variant>
      <vt:variant>
        <vt:lpwstr/>
      </vt:variant>
      <vt:variant>
        <vt:lpwstr>_Toc168638910</vt:lpwstr>
      </vt:variant>
      <vt:variant>
        <vt:i4>2031667</vt:i4>
      </vt:variant>
      <vt:variant>
        <vt:i4>266</vt:i4>
      </vt:variant>
      <vt:variant>
        <vt:i4>0</vt:i4>
      </vt:variant>
      <vt:variant>
        <vt:i4>5</vt:i4>
      </vt:variant>
      <vt:variant>
        <vt:lpwstr/>
      </vt:variant>
      <vt:variant>
        <vt:lpwstr>_Toc168638909</vt:lpwstr>
      </vt:variant>
      <vt:variant>
        <vt:i4>2031667</vt:i4>
      </vt:variant>
      <vt:variant>
        <vt:i4>260</vt:i4>
      </vt:variant>
      <vt:variant>
        <vt:i4>0</vt:i4>
      </vt:variant>
      <vt:variant>
        <vt:i4>5</vt:i4>
      </vt:variant>
      <vt:variant>
        <vt:lpwstr/>
      </vt:variant>
      <vt:variant>
        <vt:lpwstr>_Toc168638908</vt:lpwstr>
      </vt:variant>
      <vt:variant>
        <vt:i4>2031667</vt:i4>
      </vt:variant>
      <vt:variant>
        <vt:i4>254</vt:i4>
      </vt:variant>
      <vt:variant>
        <vt:i4>0</vt:i4>
      </vt:variant>
      <vt:variant>
        <vt:i4>5</vt:i4>
      </vt:variant>
      <vt:variant>
        <vt:lpwstr/>
      </vt:variant>
      <vt:variant>
        <vt:lpwstr>_Toc168638907</vt:lpwstr>
      </vt:variant>
      <vt:variant>
        <vt:i4>2031667</vt:i4>
      </vt:variant>
      <vt:variant>
        <vt:i4>248</vt:i4>
      </vt:variant>
      <vt:variant>
        <vt:i4>0</vt:i4>
      </vt:variant>
      <vt:variant>
        <vt:i4>5</vt:i4>
      </vt:variant>
      <vt:variant>
        <vt:lpwstr/>
      </vt:variant>
      <vt:variant>
        <vt:lpwstr>_Toc168638906</vt:lpwstr>
      </vt:variant>
      <vt:variant>
        <vt:i4>2031667</vt:i4>
      </vt:variant>
      <vt:variant>
        <vt:i4>242</vt:i4>
      </vt:variant>
      <vt:variant>
        <vt:i4>0</vt:i4>
      </vt:variant>
      <vt:variant>
        <vt:i4>5</vt:i4>
      </vt:variant>
      <vt:variant>
        <vt:lpwstr/>
      </vt:variant>
      <vt:variant>
        <vt:lpwstr>_Toc168638905</vt:lpwstr>
      </vt:variant>
      <vt:variant>
        <vt:i4>2031667</vt:i4>
      </vt:variant>
      <vt:variant>
        <vt:i4>236</vt:i4>
      </vt:variant>
      <vt:variant>
        <vt:i4>0</vt:i4>
      </vt:variant>
      <vt:variant>
        <vt:i4>5</vt:i4>
      </vt:variant>
      <vt:variant>
        <vt:lpwstr/>
      </vt:variant>
      <vt:variant>
        <vt:lpwstr>_Toc168638904</vt:lpwstr>
      </vt:variant>
      <vt:variant>
        <vt:i4>2031667</vt:i4>
      </vt:variant>
      <vt:variant>
        <vt:i4>230</vt:i4>
      </vt:variant>
      <vt:variant>
        <vt:i4>0</vt:i4>
      </vt:variant>
      <vt:variant>
        <vt:i4>5</vt:i4>
      </vt:variant>
      <vt:variant>
        <vt:lpwstr/>
      </vt:variant>
      <vt:variant>
        <vt:lpwstr>_Toc168638903</vt:lpwstr>
      </vt:variant>
      <vt:variant>
        <vt:i4>2031667</vt:i4>
      </vt:variant>
      <vt:variant>
        <vt:i4>224</vt:i4>
      </vt:variant>
      <vt:variant>
        <vt:i4>0</vt:i4>
      </vt:variant>
      <vt:variant>
        <vt:i4>5</vt:i4>
      </vt:variant>
      <vt:variant>
        <vt:lpwstr/>
      </vt:variant>
      <vt:variant>
        <vt:lpwstr>_Toc168638902</vt:lpwstr>
      </vt:variant>
      <vt:variant>
        <vt:i4>2031667</vt:i4>
      </vt:variant>
      <vt:variant>
        <vt:i4>218</vt:i4>
      </vt:variant>
      <vt:variant>
        <vt:i4>0</vt:i4>
      </vt:variant>
      <vt:variant>
        <vt:i4>5</vt:i4>
      </vt:variant>
      <vt:variant>
        <vt:lpwstr/>
      </vt:variant>
      <vt:variant>
        <vt:lpwstr>_Toc168638901</vt:lpwstr>
      </vt:variant>
      <vt:variant>
        <vt:i4>2031667</vt:i4>
      </vt:variant>
      <vt:variant>
        <vt:i4>212</vt:i4>
      </vt:variant>
      <vt:variant>
        <vt:i4>0</vt:i4>
      </vt:variant>
      <vt:variant>
        <vt:i4>5</vt:i4>
      </vt:variant>
      <vt:variant>
        <vt:lpwstr/>
      </vt:variant>
      <vt:variant>
        <vt:lpwstr>_Toc168638900</vt:lpwstr>
      </vt:variant>
      <vt:variant>
        <vt:i4>1441842</vt:i4>
      </vt:variant>
      <vt:variant>
        <vt:i4>206</vt:i4>
      </vt:variant>
      <vt:variant>
        <vt:i4>0</vt:i4>
      </vt:variant>
      <vt:variant>
        <vt:i4>5</vt:i4>
      </vt:variant>
      <vt:variant>
        <vt:lpwstr/>
      </vt:variant>
      <vt:variant>
        <vt:lpwstr>_Toc168638899</vt:lpwstr>
      </vt:variant>
      <vt:variant>
        <vt:i4>1441842</vt:i4>
      </vt:variant>
      <vt:variant>
        <vt:i4>200</vt:i4>
      </vt:variant>
      <vt:variant>
        <vt:i4>0</vt:i4>
      </vt:variant>
      <vt:variant>
        <vt:i4>5</vt:i4>
      </vt:variant>
      <vt:variant>
        <vt:lpwstr/>
      </vt:variant>
      <vt:variant>
        <vt:lpwstr>_Toc168638898</vt:lpwstr>
      </vt:variant>
      <vt:variant>
        <vt:i4>1441842</vt:i4>
      </vt:variant>
      <vt:variant>
        <vt:i4>194</vt:i4>
      </vt:variant>
      <vt:variant>
        <vt:i4>0</vt:i4>
      </vt:variant>
      <vt:variant>
        <vt:i4>5</vt:i4>
      </vt:variant>
      <vt:variant>
        <vt:lpwstr/>
      </vt:variant>
      <vt:variant>
        <vt:lpwstr>_Toc168638897</vt:lpwstr>
      </vt:variant>
      <vt:variant>
        <vt:i4>1441842</vt:i4>
      </vt:variant>
      <vt:variant>
        <vt:i4>188</vt:i4>
      </vt:variant>
      <vt:variant>
        <vt:i4>0</vt:i4>
      </vt:variant>
      <vt:variant>
        <vt:i4>5</vt:i4>
      </vt:variant>
      <vt:variant>
        <vt:lpwstr/>
      </vt:variant>
      <vt:variant>
        <vt:lpwstr>_Toc168638896</vt:lpwstr>
      </vt:variant>
      <vt:variant>
        <vt:i4>1441842</vt:i4>
      </vt:variant>
      <vt:variant>
        <vt:i4>182</vt:i4>
      </vt:variant>
      <vt:variant>
        <vt:i4>0</vt:i4>
      </vt:variant>
      <vt:variant>
        <vt:i4>5</vt:i4>
      </vt:variant>
      <vt:variant>
        <vt:lpwstr/>
      </vt:variant>
      <vt:variant>
        <vt:lpwstr>_Toc168638895</vt:lpwstr>
      </vt:variant>
      <vt:variant>
        <vt:i4>1441842</vt:i4>
      </vt:variant>
      <vt:variant>
        <vt:i4>176</vt:i4>
      </vt:variant>
      <vt:variant>
        <vt:i4>0</vt:i4>
      </vt:variant>
      <vt:variant>
        <vt:i4>5</vt:i4>
      </vt:variant>
      <vt:variant>
        <vt:lpwstr/>
      </vt:variant>
      <vt:variant>
        <vt:lpwstr>_Toc168638894</vt:lpwstr>
      </vt:variant>
      <vt:variant>
        <vt:i4>1441842</vt:i4>
      </vt:variant>
      <vt:variant>
        <vt:i4>170</vt:i4>
      </vt:variant>
      <vt:variant>
        <vt:i4>0</vt:i4>
      </vt:variant>
      <vt:variant>
        <vt:i4>5</vt:i4>
      </vt:variant>
      <vt:variant>
        <vt:lpwstr/>
      </vt:variant>
      <vt:variant>
        <vt:lpwstr>_Toc168638893</vt:lpwstr>
      </vt:variant>
      <vt:variant>
        <vt:i4>1441842</vt:i4>
      </vt:variant>
      <vt:variant>
        <vt:i4>164</vt:i4>
      </vt:variant>
      <vt:variant>
        <vt:i4>0</vt:i4>
      </vt:variant>
      <vt:variant>
        <vt:i4>5</vt:i4>
      </vt:variant>
      <vt:variant>
        <vt:lpwstr/>
      </vt:variant>
      <vt:variant>
        <vt:lpwstr>_Toc168638892</vt:lpwstr>
      </vt:variant>
      <vt:variant>
        <vt:i4>1441842</vt:i4>
      </vt:variant>
      <vt:variant>
        <vt:i4>158</vt:i4>
      </vt:variant>
      <vt:variant>
        <vt:i4>0</vt:i4>
      </vt:variant>
      <vt:variant>
        <vt:i4>5</vt:i4>
      </vt:variant>
      <vt:variant>
        <vt:lpwstr/>
      </vt:variant>
      <vt:variant>
        <vt:lpwstr>_Toc168638891</vt:lpwstr>
      </vt:variant>
      <vt:variant>
        <vt:i4>1441842</vt:i4>
      </vt:variant>
      <vt:variant>
        <vt:i4>152</vt:i4>
      </vt:variant>
      <vt:variant>
        <vt:i4>0</vt:i4>
      </vt:variant>
      <vt:variant>
        <vt:i4>5</vt:i4>
      </vt:variant>
      <vt:variant>
        <vt:lpwstr/>
      </vt:variant>
      <vt:variant>
        <vt:lpwstr>_Toc168638890</vt:lpwstr>
      </vt:variant>
      <vt:variant>
        <vt:i4>1507378</vt:i4>
      </vt:variant>
      <vt:variant>
        <vt:i4>146</vt:i4>
      </vt:variant>
      <vt:variant>
        <vt:i4>0</vt:i4>
      </vt:variant>
      <vt:variant>
        <vt:i4>5</vt:i4>
      </vt:variant>
      <vt:variant>
        <vt:lpwstr/>
      </vt:variant>
      <vt:variant>
        <vt:lpwstr>_Toc168638889</vt:lpwstr>
      </vt:variant>
      <vt:variant>
        <vt:i4>1507378</vt:i4>
      </vt:variant>
      <vt:variant>
        <vt:i4>140</vt:i4>
      </vt:variant>
      <vt:variant>
        <vt:i4>0</vt:i4>
      </vt:variant>
      <vt:variant>
        <vt:i4>5</vt:i4>
      </vt:variant>
      <vt:variant>
        <vt:lpwstr/>
      </vt:variant>
      <vt:variant>
        <vt:lpwstr>_Toc168638888</vt:lpwstr>
      </vt:variant>
      <vt:variant>
        <vt:i4>1507378</vt:i4>
      </vt:variant>
      <vt:variant>
        <vt:i4>134</vt:i4>
      </vt:variant>
      <vt:variant>
        <vt:i4>0</vt:i4>
      </vt:variant>
      <vt:variant>
        <vt:i4>5</vt:i4>
      </vt:variant>
      <vt:variant>
        <vt:lpwstr/>
      </vt:variant>
      <vt:variant>
        <vt:lpwstr>_Toc168638887</vt:lpwstr>
      </vt:variant>
      <vt:variant>
        <vt:i4>1507378</vt:i4>
      </vt:variant>
      <vt:variant>
        <vt:i4>128</vt:i4>
      </vt:variant>
      <vt:variant>
        <vt:i4>0</vt:i4>
      </vt:variant>
      <vt:variant>
        <vt:i4>5</vt:i4>
      </vt:variant>
      <vt:variant>
        <vt:lpwstr/>
      </vt:variant>
      <vt:variant>
        <vt:lpwstr>_Toc168638886</vt:lpwstr>
      </vt:variant>
      <vt:variant>
        <vt:i4>1507378</vt:i4>
      </vt:variant>
      <vt:variant>
        <vt:i4>122</vt:i4>
      </vt:variant>
      <vt:variant>
        <vt:i4>0</vt:i4>
      </vt:variant>
      <vt:variant>
        <vt:i4>5</vt:i4>
      </vt:variant>
      <vt:variant>
        <vt:lpwstr/>
      </vt:variant>
      <vt:variant>
        <vt:lpwstr>_Toc168638885</vt:lpwstr>
      </vt:variant>
      <vt:variant>
        <vt:i4>1507378</vt:i4>
      </vt:variant>
      <vt:variant>
        <vt:i4>116</vt:i4>
      </vt:variant>
      <vt:variant>
        <vt:i4>0</vt:i4>
      </vt:variant>
      <vt:variant>
        <vt:i4>5</vt:i4>
      </vt:variant>
      <vt:variant>
        <vt:lpwstr/>
      </vt:variant>
      <vt:variant>
        <vt:lpwstr>_Toc168638884</vt:lpwstr>
      </vt:variant>
      <vt:variant>
        <vt:i4>1507378</vt:i4>
      </vt:variant>
      <vt:variant>
        <vt:i4>110</vt:i4>
      </vt:variant>
      <vt:variant>
        <vt:i4>0</vt:i4>
      </vt:variant>
      <vt:variant>
        <vt:i4>5</vt:i4>
      </vt:variant>
      <vt:variant>
        <vt:lpwstr/>
      </vt:variant>
      <vt:variant>
        <vt:lpwstr>_Toc168638883</vt:lpwstr>
      </vt:variant>
      <vt:variant>
        <vt:i4>1507378</vt:i4>
      </vt:variant>
      <vt:variant>
        <vt:i4>104</vt:i4>
      </vt:variant>
      <vt:variant>
        <vt:i4>0</vt:i4>
      </vt:variant>
      <vt:variant>
        <vt:i4>5</vt:i4>
      </vt:variant>
      <vt:variant>
        <vt:lpwstr/>
      </vt:variant>
      <vt:variant>
        <vt:lpwstr>_Toc168638882</vt:lpwstr>
      </vt:variant>
      <vt:variant>
        <vt:i4>1507378</vt:i4>
      </vt:variant>
      <vt:variant>
        <vt:i4>98</vt:i4>
      </vt:variant>
      <vt:variant>
        <vt:i4>0</vt:i4>
      </vt:variant>
      <vt:variant>
        <vt:i4>5</vt:i4>
      </vt:variant>
      <vt:variant>
        <vt:lpwstr/>
      </vt:variant>
      <vt:variant>
        <vt:lpwstr>_Toc168638881</vt:lpwstr>
      </vt:variant>
      <vt:variant>
        <vt:i4>1507378</vt:i4>
      </vt:variant>
      <vt:variant>
        <vt:i4>92</vt:i4>
      </vt:variant>
      <vt:variant>
        <vt:i4>0</vt:i4>
      </vt:variant>
      <vt:variant>
        <vt:i4>5</vt:i4>
      </vt:variant>
      <vt:variant>
        <vt:lpwstr/>
      </vt:variant>
      <vt:variant>
        <vt:lpwstr>_Toc168638880</vt:lpwstr>
      </vt:variant>
      <vt:variant>
        <vt:i4>1572914</vt:i4>
      </vt:variant>
      <vt:variant>
        <vt:i4>86</vt:i4>
      </vt:variant>
      <vt:variant>
        <vt:i4>0</vt:i4>
      </vt:variant>
      <vt:variant>
        <vt:i4>5</vt:i4>
      </vt:variant>
      <vt:variant>
        <vt:lpwstr/>
      </vt:variant>
      <vt:variant>
        <vt:lpwstr>_Toc168638879</vt:lpwstr>
      </vt:variant>
      <vt:variant>
        <vt:i4>1572914</vt:i4>
      </vt:variant>
      <vt:variant>
        <vt:i4>80</vt:i4>
      </vt:variant>
      <vt:variant>
        <vt:i4>0</vt:i4>
      </vt:variant>
      <vt:variant>
        <vt:i4>5</vt:i4>
      </vt:variant>
      <vt:variant>
        <vt:lpwstr/>
      </vt:variant>
      <vt:variant>
        <vt:lpwstr>_Toc168638878</vt:lpwstr>
      </vt:variant>
      <vt:variant>
        <vt:i4>1572914</vt:i4>
      </vt:variant>
      <vt:variant>
        <vt:i4>74</vt:i4>
      </vt:variant>
      <vt:variant>
        <vt:i4>0</vt:i4>
      </vt:variant>
      <vt:variant>
        <vt:i4>5</vt:i4>
      </vt:variant>
      <vt:variant>
        <vt:lpwstr/>
      </vt:variant>
      <vt:variant>
        <vt:lpwstr>_Toc168638877</vt:lpwstr>
      </vt:variant>
      <vt:variant>
        <vt:i4>1572914</vt:i4>
      </vt:variant>
      <vt:variant>
        <vt:i4>68</vt:i4>
      </vt:variant>
      <vt:variant>
        <vt:i4>0</vt:i4>
      </vt:variant>
      <vt:variant>
        <vt:i4>5</vt:i4>
      </vt:variant>
      <vt:variant>
        <vt:lpwstr/>
      </vt:variant>
      <vt:variant>
        <vt:lpwstr>_Toc168638876</vt:lpwstr>
      </vt:variant>
      <vt:variant>
        <vt:i4>1572914</vt:i4>
      </vt:variant>
      <vt:variant>
        <vt:i4>62</vt:i4>
      </vt:variant>
      <vt:variant>
        <vt:i4>0</vt:i4>
      </vt:variant>
      <vt:variant>
        <vt:i4>5</vt:i4>
      </vt:variant>
      <vt:variant>
        <vt:lpwstr/>
      </vt:variant>
      <vt:variant>
        <vt:lpwstr>_Toc168638875</vt:lpwstr>
      </vt:variant>
      <vt:variant>
        <vt:i4>1572914</vt:i4>
      </vt:variant>
      <vt:variant>
        <vt:i4>56</vt:i4>
      </vt:variant>
      <vt:variant>
        <vt:i4>0</vt:i4>
      </vt:variant>
      <vt:variant>
        <vt:i4>5</vt:i4>
      </vt:variant>
      <vt:variant>
        <vt:lpwstr/>
      </vt:variant>
      <vt:variant>
        <vt:lpwstr>_Toc168638874</vt:lpwstr>
      </vt:variant>
      <vt:variant>
        <vt:i4>1572914</vt:i4>
      </vt:variant>
      <vt:variant>
        <vt:i4>50</vt:i4>
      </vt:variant>
      <vt:variant>
        <vt:i4>0</vt:i4>
      </vt:variant>
      <vt:variant>
        <vt:i4>5</vt:i4>
      </vt:variant>
      <vt:variant>
        <vt:lpwstr/>
      </vt:variant>
      <vt:variant>
        <vt:lpwstr>_Toc168638873</vt:lpwstr>
      </vt:variant>
      <vt:variant>
        <vt:i4>1572914</vt:i4>
      </vt:variant>
      <vt:variant>
        <vt:i4>44</vt:i4>
      </vt:variant>
      <vt:variant>
        <vt:i4>0</vt:i4>
      </vt:variant>
      <vt:variant>
        <vt:i4>5</vt:i4>
      </vt:variant>
      <vt:variant>
        <vt:lpwstr/>
      </vt:variant>
      <vt:variant>
        <vt:lpwstr>_Toc168638872</vt:lpwstr>
      </vt:variant>
      <vt:variant>
        <vt:i4>1572914</vt:i4>
      </vt:variant>
      <vt:variant>
        <vt:i4>38</vt:i4>
      </vt:variant>
      <vt:variant>
        <vt:i4>0</vt:i4>
      </vt:variant>
      <vt:variant>
        <vt:i4>5</vt:i4>
      </vt:variant>
      <vt:variant>
        <vt:lpwstr/>
      </vt:variant>
      <vt:variant>
        <vt:lpwstr>_Toc168638871</vt:lpwstr>
      </vt:variant>
      <vt:variant>
        <vt:i4>1572914</vt:i4>
      </vt:variant>
      <vt:variant>
        <vt:i4>32</vt:i4>
      </vt:variant>
      <vt:variant>
        <vt:i4>0</vt:i4>
      </vt:variant>
      <vt:variant>
        <vt:i4>5</vt:i4>
      </vt:variant>
      <vt:variant>
        <vt:lpwstr/>
      </vt:variant>
      <vt:variant>
        <vt:lpwstr>_Toc168638870</vt:lpwstr>
      </vt:variant>
      <vt:variant>
        <vt:i4>1638450</vt:i4>
      </vt:variant>
      <vt:variant>
        <vt:i4>26</vt:i4>
      </vt:variant>
      <vt:variant>
        <vt:i4>0</vt:i4>
      </vt:variant>
      <vt:variant>
        <vt:i4>5</vt:i4>
      </vt:variant>
      <vt:variant>
        <vt:lpwstr/>
      </vt:variant>
      <vt:variant>
        <vt:lpwstr>_Toc168638869</vt:lpwstr>
      </vt:variant>
      <vt:variant>
        <vt:i4>1638450</vt:i4>
      </vt:variant>
      <vt:variant>
        <vt:i4>20</vt:i4>
      </vt:variant>
      <vt:variant>
        <vt:i4>0</vt:i4>
      </vt:variant>
      <vt:variant>
        <vt:i4>5</vt:i4>
      </vt:variant>
      <vt:variant>
        <vt:lpwstr/>
      </vt:variant>
      <vt:variant>
        <vt:lpwstr>_Toc168638868</vt:lpwstr>
      </vt:variant>
      <vt:variant>
        <vt:i4>1638450</vt:i4>
      </vt:variant>
      <vt:variant>
        <vt:i4>14</vt:i4>
      </vt:variant>
      <vt:variant>
        <vt:i4>0</vt:i4>
      </vt:variant>
      <vt:variant>
        <vt:i4>5</vt:i4>
      </vt:variant>
      <vt:variant>
        <vt:lpwstr/>
      </vt:variant>
      <vt:variant>
        <vt:lpwstr>_Toc168638867</vt:lpwstr>
      </vt:variant>
      <vt:variant>
        <vt:i4>1638450</vt:i4>
      </vt:variant>
      <vt:variant>
        <vt:i4>8</vt:i4>
      </vt:variant>
      <vt:variant>
        <vt:i4>0</vt:i4>
      </vt:variant>
      <vt:variant>
        <vt:i4>5</vt:i4>
      </vt:variant>
      <vt:variant>
        <vt:lpwstr/>
      </vt:variant>
      <vt:variant>
        <vt:lpwstr>_Toc168638866</vt:lpwstr>
      </vt:variant>
      <vt:variant>
        <vt:i4>1638450</vt:i4>
      </vt:variant>
      <vt:variant>
        <vt:i4>2</vt:i4>
      </vt:variant>
      <vt:variant>
        <vt:i4>0</vt:i4>
      </vt:variant>
      <vt:variant>
        <vt:i4>5</vt:i4>
      </vt:variant>
      <vt:variant>
        <vt:lpwstr/>
      </vt:variant>
      <vt:variant>
        <vt:lpwstr>_Toc168638865</vt:lpwstr>
      </vt:variant>
      <vt:variant>
        <vt:i4>7602291</vt:i4>
      </vt:variant>
      <vt:variant>
        <vt:i4>372</vt:i4>
      </vt:variant>
      <vt:variant>
        <vt:i4>0</vt:i4>
      </vt:variant>
      <vt:variant>
        <vt:i4>5</vt:i4>
      </vt:variant>
      <vt:variant>
        <vt:lpwstr>https://teara.govt.nz/en/maori-education-matauranga/page-4</vt:lpwstr>
      </vt:variant>
      <vt:variant>
        <vt:lpwstr/>
      </vt:variant>
      <vt:variant>
        <vt:i4>5046353</vt:i4>
      </vt:variant>
      <vt:variant>
        <vt:i4>369</vt:i4>
      </vt:variant>
      <vt:variant>
        <vt:i4>0</vt:i4>
      </vt:variant>
      <vt:variant>
        <vt:i4>5</vt:i4>
      </vt:variant>
      <vt:variant>
        <vt:lpwstr>https://teara.govt.nz/en/private-education/page-3</vt:lpwstr>
      </vt:variant>
      <vt:variant>
        <vt:lpwstr/>
      </vt:variant>
      <vt:variant>
        <vt:i4>4784204</vt:i4>
      </vt:variant>
      <vt:variant>
        <vt:i4>366</vt:i4>
      </vt:variant>
      <vt:variant>
        <vt:i4>0</vt:i4>
      </vt:variant>
      <vt:variant>
        <vt:i4>5</vt:i4>
      </vt:variant>
      <vt:variant>
        <vt:lpwstr>https://www.education.govt.nz/school/new-zealands-network-of-schools/about/types-of-schools-and-year-levels/</vt:lpwstr>
      </vt:variant>
      <vt:variant>
        <vt:lpwstr/>
      </vt:variant>
      <vt:variant>
        <vt:i4>7077929</vt:i4>
      </vt:variant>
      <vt:variant>
        <vt:i4>363</vt:i4>
      </vt:variant>
      <vt:variant>
        <vt:i4>0</vt:i4>
      </vt:variant>
      <vt:variant>
        <vt:i4>5</vt:i4>
      </vt:variant>
      <vt:variant>
        <vt:lpwstr>https://ahi.auckland.ac.nz/2021/08/05/help-where-help-was-needed-single-mothers-and-the-salvation-army-bethany-home-in-1960s-70s-auckland/</vt:lpwstr>
      </vt:variant>
      <vt:variant>
        <vt:lpwstr/>
      </vt:variant>
      <vt:variant>
        <vt:i4>196673</vt:i4>
      </vt:variant>
      <vt:variant>
        <vt:i4>360</vt:i4>
      </vt:variant>
      <vt:variant>
        <vt:i4>0</vt:i4>
      </vt:variant>
      <vt:variant>
        <vt:i4>5</vt:i4>
      </vt:variant>
      <vt:variant>
        <vt:lpwstr>https://hbcht.org.nz/our-history/</vt:lpwstr>
      </vt:variant>
      <vt:variant>
        <vt:lpwstr/>
      </vt:variant>
      <vt:variant>
        <vt:i4>7143484</vt:i4>
      </vt:variant>
      <vt:variant>
        <vt:i4>357</vt:i4>
      </vt:variant>
      <vt:variant>
        <vt:i4>0</vt:i4>
      </vt:variant>
      <vt:variant>
        <vt:i4>5</vt:i4>
      </vt:variant>
      <vt:variant>
        <vt:lpwstr>https://register.charities.govt.nz/Charity/CC29352</vt:lpwstr>
      </vt:variant>
      <vt:variant>
        <vt:lpwstr/>
      </vt:variant>
      <vt:variant>
        <vt:i4>3866677</vt:i4>
      </vt:variant>
      <vt:variant>
        <vt:i4>354</vt:i4>
      </vt:variant>
      <vt:variant>
        <vt:i4>0</vt:i4>
      </vt:variant>
      <vt:variant>
        <vt:i4>5</vt:i4>
      </vt:variant>
      <vt:variant>
        <vt:lpwstr>https://register.charities.govt.nz/CharitiesRegister/Search accessed 24 April 2024</vt:lpwstr>
      </vt:variant>
      <vt:variant>
        <vt:lpwstr/>
      </vt:variant>
      <vt:variant>
        <vt:i4>6422571</vt:i4>
      </vt:variant>
      <vt:variant>
        <vt:i4>351</vt:i4>
      </vt:variant>
      <vt:variant>
        <vt:i4>0</vt:i4>
      </vt:variant>
      <vt:variant>
        <vt:i4>5</vt:i4>
      </vt:variant>
      <vt:variant>
        <vt:lpwstr>https://www.jw.org/en/news/region/new-zealand/Seventy-Five-Years-of-Legally-Establishing-the-Good-News-in-New-Zealand/</vt:lpwstr>
      </vt:variant>
      <vt:variant>
        <vt:lpwstr/>
      </vt:variant>
      <vt:variant>
        <vt:i4>5374022</vt:i4>
      </vt:variant>
      <vt:variant>
        <vt:i4>348</vt:i4>
      </vt:variant>
      <vt:variant>
        <vt:i4>0</vt:i4>
      </vt:variant>
      <vt:variant>
        <vt:i4>5</vt:i4>
      </vt:variant>
      <vt:variant>
        <vt:lpwstr>https://www.jw.org/en/jehovahs-witnesses/faq/how-many-jw/</vt:lpwstr>
      </vt:variant>
      <vt:variant>
        <vt:lpwstr/>
      </vt:variant>
      <vt:variant>
        <vt:i4>7471164</vt:i4>
      </vt:variant>
      <vt:variant>
        <vt:i4>345</vt:i4>
      </vt:variant>
      <vt:variant>
        <vt:i4>0</vt:i4>
      </vt:variant>
      <vt:variant>
        <vt:i4>5</vt:i4>
      </vt:variant>
      <vt:variant>
        <vt:lpwstr>https://www.rbnz.govt.nz/monetary-policy/about-monetary-policy/inflation-calculator</vt:lpwstr>
      </vt:variant>
      <vt:variant>
        <vt:lpwstr/>
      </vt:variant>
      <vt:variant>
        <vt:i4>7471164</vt:i4>
      </vt:variant>
      <vt:variant>
        <vt:i4>342</vt:i4>
      </vt:variant>
      <vt:variant>
        <vt:i4>0</vt:i4>
      </vt:variant>
      <vt:variant>
        <vt:i4>5</vt:i4>
      </vt:variant>
      <vt:variant>
        <vt:lpwstr>https://www.rbnz.govt.nz/monetary-policy/about-monetary-policy/inflation-calculator</vt:lpwstr>
      </vt:variant>
      <vt:variant>
        <vt:lpwstr/>
      </vt:variant>
      <vt:variant>
        <vt:i4>7471164</vt:i4>
      </vt:variant>
      <vt:variant>
        <vt:i4>339</vt:i4>
      </vt:variant>
      <vt:variant>
        <vt:i4>0</vt:i4>
      </vt:variant>
      <vt:variant>
        <vt:i4>5</vt:i4>
      </vt:variant>
      <vt:variant>
        <vt:lpwstr>https://www.rbnz.govt.nz/monetary-policy/about-monetary-policy/inflation-calculator</vt:lpwstr>
      </vt:variant>
      <vt:variant>
        <vt:lpwstr/>
      </vt:variant>
      <vt:variant>
        <vt:i4>3407988</vt:i4>
      </vt:variant>
      <vt:variant>
        <vt:i4>336</vt:i4>
      </vt:variant>
      <vt:variant>
        <vt:i4>0</vt:i4>
      </vt:variant>
      <vt:variant>
        <vt:i4>5</vt:i4>
      </vt:variant>
      <vt:variant>
        <vt:lpwstr>https://www.blennz.school.nz/about-blennz/our-history/</vt:lpwstr>
      </vt:variant>
      <vt:variant>
        <vt:lpwstr/>
      </vt:variant>
      <vt:variant>
        <vt:i4>1245203</vt:i4>
      </vt:variant>
      <vt:variant>
        <vt:i4>333</vt:i4>
      </vt:variant>
      <vt:variant>
        <vt:i4>0</vt:i4>
      </vt:variant>
      <vt:variant>
        <vt:i4>5</vt:i4>
      </vt:variant>
      <vt:variant>
        <vt:lpwstr>https://teara.govt.nz/en/disability-and-disability-organisations</vt:lpwstr>
      </vt:variant>
      <vt:variant>
        <vt:lpwstr/>
      </vt:variant>
      <vt:variant>
        <vt:i4>2621537</vt:i4>
      </vt:variant>
      <vt:variant>
        <vt:i4>330</vt:i4>
      </vt:variant>
      <vt:variant>
        <vt:i4>0</vt:i4>
      </vt:variant>
      <vt:variant>
        <vt:i4>5</vt:i4>
      </vt:variant>
      <vt:variant>
        <vt:lpwstr>https://teara.govt.nz/en/voluntary-welfare-organisations/page-4</vt:lpwstr>
      </vt:variant>
      <vt:variant>
        <vt:lpwstr/>
      </vt:variant>
      <vt:variant>
        <vt:i4>3014770</vt:i4>
      </vt:variant>
      <vt:variant>
        <vt:i4>327</vt:i4>
      </vt:variant>
      <vt:variant>
        <vt:i4>0</vt:i4>
      </vt:variant>
      <vt:variant>
        <vt:i4>5</vt:i4>
      </vt:variant>
      <vt:variant>
        <vt:lpwstr>https://teara.govt.nz/en/care-and-carers/page-4</vt:lpwstr>
      </vt:variant>
      <vt:variant>
        <vt:lpwstr/>
      </vt:variant>
      <vt:variant>
        <vt:i4>2555951</vt:i4>
      </vt:variant>
      <vt:variant>
        <vt:i4>324</vt:i4>
      </vt:variant>
      <vt:variant>
        <vt:i4>0</vt:i4>
      </vt:variant>
      <vt:variant>
        <vt:i4>5</vt:i4>
      </vt:variant>
      <vt:variant>
        <vt:lpwstr>https://teara.govt.nz/en/mental-health-services/page-3</vt:lpwstr>
      </vt:variant>
      <vt:variant>
        <vt:lpwstr/>
      </vt:variant>
      <vt:variant>
        <vt:i4>3342387</vt:i4>
      </vt:variant>
      <vt:variant>
        <vt:i4>321</vt:i4>
      </vt:variant>
      <vt:variant>
        <vt:i4>0</vt:i4>
      </vt:variant>
      <vt:variant>
        <vt:i4>5</vt:i4>
      </vt:variant>
      <vt:variant>
        <vt:lpwstr>https://teara.govt.nz/en/youth-offenders/page-3</vt:lpwstr>
      </vt:variant>
      <vt:variant>
        <vt:lpwstr/>
      </vt:variant>
      <vt:variant>
        <vt:i4>7798817</vt:i4>
      </vt:variant>
      <vt:variant>
        <vt:i4>318</vt:i4>
      </vt:variant>
      <vt:variant>
        <vt:i4>0</vt:i4>
      </vt:variant>
      <vt:variant>
        <vt:i4>5</vt:i4>
      </vt:variant>
      <vt:variant>
        <vt:lpwstr>https://paperspast.natlib.govt.nz/newspapers/CHP19660729.2.36?phrase=2&amp;query=New+Law+Reduces+Adoptions&amp;snippet=true</vt:lpwstr>
      </vt:variant>
      <vt:variant>
        <vt:lpwstr/>
      </vt:variant>
      <vt:variant>
        <vt:i4>1048594</vt:i4>
      </vt:variant>
      <vt:variant>
        <vt:i4>315</vt:i4>
      </vt:variant>
      <vt:variant>
        <vt:i4>0</vt:i4>
      </vt:variant>
      <vt:variant>
        <vt:i4>5</vt:i4>
      </vt:variant>
      <vt:variant>
        <vt:lpwstr>https://teara.govt.nz/en/adoption/page-2</vt:lpwstr>
      </vt:variant>
      <vt:variant>
        <vt:lpwstr/>
      </vt:variant>
      <vt:variant>
        <vt:i4>3866665</vt:i4>
      </vt:variant>
      <vt:variant>
        <vt:i4>312</vt:i4>
      </vt:variant>
      <vt:variant>
        <vt:i4>0</vt:i4>
      </vt:variant>
      <vt:variant>
        <vt:i4>5</vt:i4>
      </vt:variant>
      <vt:variant>
        <vt:lpwstr>https://www.ombudsman.parliament.nz/about-ombudsman/past-present-and-future</vt:lpwstr>
      </vt:variant>
      <vt:variant>
        <vt:lpwstr/>
      </vt:variant>
      <vt:variant>
        <vt:i4>4718610</vt:i4>
      </vt:variant>
      <vt:variant>
        <vt:i4>309</vt:i4>
      </vt:variant>
      <vt:variant>
        <vt:i4>0</vt:i4>
      </vt:variant>
      <vt:variant>
        <vt:i4>5</vt:i4>
      </vt:variant>
      <vt:variant>
        <vt:lpwstr>https://www.oag.parliament.nz/about-us/what-we-do</vt:lpwstr>
      </vt:variant>
      <vt:variant>
        <vt:lpwstr/>
      </vt:variant>
      <vt:variant>
        <vt:i4>3801185</vt:i4>
      </vt:variant>
      <vt:variant>
        <vt:i4>306</vt:i4>
      </vt:variant>
      <vt:variant>
        <vt:i4>0</vt:i4>
      </vt:variant>
      <vt:variant>
        <vt:i4>5</vt:i4>
      </vt:variant>
      <vt:variant>
        <vt:lpwstr>https://www.publicservice.govt.nz/news/how-the-public-service-has-changed-over-time</vt:lpwstr>
      </vt:variant>
      <vt:variant>
        <vt:lpwstr/>
      </vt:variant>
      <vt:variant>
        <vt:i4>7602237</vt:i4>
      </vt:variant>
      <vt:variant>
        <vt:i4>303</vt:i4>
      </vt:variant>
      <vt:variant>
        <vt:i4>0</vt:i4>
      </vt:variant>
      <vt:variant>
        <vt:i4>5</vt:i4>
      </vt:variant>
      <vt:variant>
        <vt:lpwstr>https://www.publicservice.govt.nz/system/system-architecture-and-design/how-the-public-sector-is-organised</vt:lpwstr>
      </vt:variant>
      <vt:variant>
        <vt:lpwstr/>
      </vt:variant>
      <vt:variant>
        <vt:i4>1376333</vt:i4>
      </vt:variant>
      <vt:variant>
        <vt:i4>300</vt:i4>
      </vt:variant>
      <vt:variant>
        <vt:i4>0</vt:i4>
      </vt:variant>
      <vt:variant>
        <vt:i4>5</vt:i4>
      </vt:variant>
      <vt:variant>
        <vt:lpwstr>https://teara.govt.nz/en/interactive/28422/religious-adherence-1878-2013</vt:lpwstr>
      </vt:variant>
      <vt:variant>
        <vt:lpwstr/>
      </vt:variant>
      <vt:variant>
        <vt:i4>2752638</vt:i4>
      </vt:variant>
      <vt:variant>
        <vt:i4>297</vt:i4>
      </vt:variant>
      <vt:variant>
        <vt:i4>0</vt:i4>
      </vt:variant>
      <vt:variant>
        <vt:i4>5</vt:i4>
      </vt:variant>
      <vt:variant>
        <vt:lpwstr>https://advocacy.org.nz/about-the-advocacy-service/</vt:lpwstr>
      </vt:variant>
      <vt:variant>
        <vt:lpwstr/>
      </vt:variant>
      <vt:variant>
        <vt:i4>1245203</vt:i4>
      </vt:variant>
      <vt:variant>
        <vt:i4>294</vt:i4>
      </vt:variant>
      <vt:variant>
        <vt:i4>0</vt:i4>
      </vt:variant>
      <vt:variant>
        <vt:i4>5</vt:i4>
      </vt:variant>
      <vt:variant>
        <vt:lpwstr>https://teara.govt.nz/en/disability-and-disability-organisations.</vt:lpwstr>
      </vt:variant>
      <vt:variant>
        <vt:lpwstr/>
      </vt:variant>
      <vt:variant>
        <vt:i4>7995450</vt:i4>
      </vt:variant>
      <vt:variant>
        <vt:i4>291</vt:i4>
      </vt:variant>
      <vt:variant>
        <vt:i4>0</vt:i4>
      </vt:variant>
      <vt:variant>
        <vt:i4>5</vt:i4>
      </vt:variant>
      <vt:variant>
        <vt:lpwstr>https://www.deaf.org.nz/about/history/</vt:lpwstr>
      </vt:variant>
      <vt:variant>
        <vt:lpwstr/>
      </vt:variant>
      <vt:variant>
        <vt:i4>8192127</vt:i4>
      </vt:variant>
      <vt:variant>
        <vt:i4>288</vt:i4>
      </vt:variant>
      <vt:variant>
        <vt:i4>0</vt:i4>
      </vt:variant>
      <vt:variant>
        <vt:i4>5</vt:i4>
      </vt:variant>
      <vt:variant>
        <vt:lpwstr>https://teara.govt.nz/en/te-tai/te-mana-o-te-reo-maori-nga-tamatoa</vt:lpwstr>
      </vt:variant>
      <vt:variant>
        <vt:lpwstr/>
      </vt:variant>
      <vt:variant>
        <vt:i4>7012401</vt:i4>
      </vt:variant>
      <vt:variant>
        <vt:i4>285</vt:i4>
      </vt:variant>
      <vt:variant>
        <vt:i4>0</vt:i4>
      </vt:variant>
      <vt:variant>
        <vt:i4>5</vt:i4>
      </vt:variant>
      <vt:variant>
        <vt:lpwstr>https://teara.govt.nz/en/anti-racism-and-treaty-of-waitangi-activism/page-5</vt:lpwstr>
      </vt:variant>
      <vt:variant>
        <vt:lpwstr/>
      </vt:variant>
      <vt:variant>
        <vt:i4>7012401</vt:i4>
      </vt:variant>
      <vt:variant>
        <vt:i4>282</vt:i4>
      </vt:variant>
      <vt:variant>
        <vt:i4>0</vt:i4>
      </vt:variant>
      <vt:variant>
        <vt:i4>5</vt:i4>
      </vt:variant>
      <vt:variant>
        <vt:lpwstr>https://teara.govt.nz/en/anti-racism-and-treaty-of-waitangi-activism/page-5</vt:lpwstr>
      </vt:variant>
      <vt:variant>
        <vt:lpwstr/>
      </vt:variant>
      <vt:variant>
        <vt:i4>4849706</vt:i4>
      </vt:variant>
      <vt:variant>
        <vt:i4>279</vt:i4>
      </vt:variant>
      <vt:variant>
        <vt:i4>0</vt:i4>
      </vt:variant>
      <vt:variant>
        <vt:i4>5</vt:i4>
      </vt:variant>
      <vt:variant>
        <vt:lpwstr>https://www.ptsd.va.gov/professional/treat/essentials/history_ptsd.asp</vt:lpwstr>
      </vt:variant>
      <vt:variant>
        <vt:lpwstr/>
      </vt:variant>
      <vt:variant>
        <vt:i4>196611</vt:i4>
      </vt:variant>
      <vt:variant>
        <vt:i4>276</vt:i4>
      </vt:variant>
      <vt:variant>
        <vt:i4>0</vt:i4>
      </vt:variant>
      <vt:variant>
        <vt:i4>5</vt:i4>
      </vt:variant>
      <vt:variant>
        <vt:lpwstr>https://teara.govt.nz/en/child-abuse</vt:lpwstr>
      </vt:variant>
      <vt:variant>
        <vt:lpwstr/>
      </vt:variant>
      <vt:variant>
        <vt:i4>1179728</vt:i4>
      </vt:variant>
      <vt:variant>
        <vt:i4>273</vt:i4>
      </vt:variant>
      <vt:variant>
        <vt:i4>0</vt:i4>
      </vt:variant>
      <vt:variant>
        <vt:i4>5</vt:i4>
      </vt:variant>
      <vt:variant>
        <vt:lpwstr>https://teara.govt.nz/en/photograph/26348/jane-and-james-ritchie</vt:lpwstr>
      </vt:variant>
      <vt:variant>
        <vt:lpwstr/>
      </vt:variant>
      <vt:variant>
        <vt:i4>5242888</vt:i4>
      </vt:variant>
      <vt:variant>
        <vt:i4>270</vt:i4>
      </vt:variant>
      <vt:variant>
        <vt:i4>0</vt:i4>
      </vt:variant>
      <vt:variant>
        <vt:i4>5</vt:i4>
      </vt:variant>
      <vt:variant>
        <vt:lpwstr>https://www.acc.co.nz/about-us/who-we-are/our-history/</vt:lpwstr>
      </vt:variant>
      <vt:variant>
        <vt:lpwstr>1972--the-accident-compensation-act</vt:lpwstr>
      </vt:variant>
      <vt:variant>
        <vt:i4>7471164</vt:i4>
      </vt:variant>
      <vt:variant>
        <vt:i4>267</vt:i4>
      </vt:variant>
      <vt:variant>
        <vt:i4>0</vt:i4>
      </vt:variant>
      <vt:variant>
        <vt:i4>5</vt:i4>
      </vt:variant>
      <vt:variant>
        <vt:lpwstr>https://www.rbnz.govt.nz/monetary-policy/about-monetary-policy/inflation-calculator</vt:lpwstr>
      </vt:variant>
      <vt:variant>
        <vt:lpwstr/>
      </vt:variant>
      <vt:variant>
        <vt:i4>6553654</vt:i4>
      </vt:variant>
      <vt:variant>
        <vt:i4>264</vt:i4>
      </vt:variant>
      <vt:variant>
        <vt:i4>0</vt:i4>
      </vt:variant>
      <vt:variant>
        <vt:i4>5</vt:i4>
      </vt:variant>
      <vt:variant>
        <vt:lpwstr>https://teara.govt.nz/en/pacific-churches-in-new-zealand/page-2</vt:lpwstr>
      </vt:variant>
      <vt:variant>
        <vt:lpwstr/>
      </vt:variant>
      <vt:variant>
        <vt:i4>7864378</vt:i4>
      </vt:variant>
      <vt:variant>
        <vt:i4>261</vt:i4>
      </vt:variant>
      <vt:variant>
        <vt:i4>0</vt:i4>
      </vt:variant>
      <vt:variant>
        <vt:i4>5</vt:i4>
      </vt:variant>
      <vt:variant>
        <vt:lpwstr>https://nzetc.victoria.ac.nz/tm/scholarly/name-036430.html</vt:lpwstr>
      </vt:variant>
      <vt:variant>
        <vt:lpwstr/>
      </vt:variant>
      <vt:variant>
        <vt:i4>8126514</vt:i4>
      </vt:variant>
      <vt:variant>
        <vt:i4>258</vt:i4>
      </vt:variant>
      <vt:variant>
        <vt:i4>0</vt:i4>
      </vt:variant>
      <vt:variant>
        <vt:i4>5</vt:i4>
      </vt:variant>
      <vt:variant>
        <vt:lpwstr>https://nzetc.victoria.ac.nz/tm/scholarly/name-463168.html</vt:lpwstr>
      </vt:variant>
      <vt:variant>
        <vt:lpwstr/>
      </vt:variant>
      <vt:variant>
        <vt:i4>7864378</vt:i4>
      </vt:variant>
      <vt:variant>
        <vt:i4>255</vt:i4>
      </vt:variant>
      <vt:variant>
        <vt:i4>0</vt:i4>
      </vt:variant>
      <vt:variant>
        <vt:i4>5</vt:i4>
      </vt:variant>
      <vt:variant>
        <vt:lpwstr>https://nzetc.victoria.ac.nz/tm/scholarly/name-036430.html</vt:lpwstr>
      </vt:variant>
      <vt:variant>
        <vt:lpwstr/>
      </vt:variant>
      <vt:variant>
        <vt:i4>8126514</vt:i4>
      </vt:variant>
      <vt:variant>
        <vt:i4>252</vt:i4>
      </vt:variant>
      <vt:variant>
        <vt:i4>0</vt:i4>
      </vt:variant>
      <vt:variant>
        <vt:i4>5</vt:i4>
      </vt:variant>
      <vt:variant>
        <vt:lpwstr>https://nzetc.victoria.ac.nz/tm/scholarly/name-463168.html</vt:lpwstr>
      </vt:variant>
      <vt:variant>
        <vt:lpwstr/>
      </vt:variant>
      <vt:variant>
        <vt:i4>7864378</vt:i4>
      </vt:variant>
      <vt:variant>
        <vt:i4>249</vt:i4>
      </vt:variant>
      <vt:variant>
        <vt:i4>0</vt:i4>
      </vt:variant>
      <vt:variant>
        <vt:i4>5</vt:i4>
      </vt:variant>
      <vt:variant>
        <vt:lpwstr>https://nzetc.victoria.ac.nz/tm/scholarly/name-036430.html</vt:lpwstr>
      </vt:variant>
      <vt:variant>
        <vt:lpwstr/>
      </vt:variant>
      <vt:variant>
        <vt:i4>8126514</vt:i4>
      </vt:variant>
      <vt:variant>
        <vt:i4>246</vt:i4>
      </vt:variant>
      <vt:variant>
        <vt:i4>0</vt:i4>
      </vt:variant>
      <vt:variant>
        <vt:i4>5</vt:i4>
      </vt:variant>
      <vt:variant>
        <vt:lpwstr>https://nzetc.victoria.ac.nz/tm/scholarly/name-463168.html</vt:lpwstr>
      </vt:variant>
      <vt:variant>
        <vt:lpwstr/>
      </vt:variant>
      <vt:variant>
        <vt:i4>7864378</vt:i4>
      </vt:variant>
      <vt:variant>
        <vt:i4>243</vt:i4>
      </vt:variant>
      <vt:variant>
        <vt:i4>0</vt:i4>
      </vt:variant>
      <vt:variant>
        <vt:i4>5</vt:i4>
      </vt:variant>
      <vt:variant>
        <vt:lpwstr>https://nzetc.victoria.ac.nz/tm/scholarly/name-036430.html</vt:lpwstr>
      </vt:variant>
      <vt:variant>
        <vt:lpwstr/>
      </vt:variant>
      <vt:variant>
        <vt:i4>8126514</vt:i4>
      </vt:variant>
      <vt:variant>
        <vt:i4>240</vt:i4>
      </vt:variant>
      <vt:variant>
        <vt:i4>0</vt:i4>
      </vt:variant>
      <vt:variant>
        <vt:i4>5</vt:i4>
      </vt:variant>
      <vt:variant>
        <vt:lpwstr>https://nzetc.victoria.ac.nz/tm/scholarly/name-463168.html</vt:lpwstr>
      </vt:variant>
      <vt:variant>
        <vt:lpwstr/>
      </vt:variant>
      <vt:variant>
        <vt:i4>7864378</vt:i4>
      </vt:variant>
      <vt:variant>
        <vt:i4>237</vt:i4>
      </vt:variant>
      <vt:variant>
        <vt:i4>0</vt:i4>
      </vt:variant>
      <vt:variant>
        <vt:i4>5</vt:i4>
      </vt:variant>
      <vt:variant>
        <vt:lpwstr>https://nzetc.victoria.ac.nz/tm/scholarly/name-036430.html</vt:lpwstr>
      </vt:variant>
      <vt:variant>
        <vt:lpwstr/>
      </vt:variant>
      <vt:variant>
        <vt:i4>8126514</vt:i4>
      </vt:variant>
      <vt:variant>
        <vt:i4>234</vt:i4>
      </vt:variant>
      <vt:variant>
        <vt:i4>0</vt:i4>
      </vt:variant>
      <vt:variant>
        <vt:i4>5</vt:i4>
      </vt:variant>
      <vt:variant>
        <vt:lpwstr>https://nzetc.victoria.ac.nz/tm/scholarly/name-463168.html</vt:lpwstr>
      </vt:variant>
      <vt:variant>
        <vt:lpwstr/>
      </vt:variant>
      <vt:variant>
        <vt:i4>7864378</vt:i4>
      </vt:variant>
      <vt:variant>
        <vt:i4>231</vt:i4>
      </vt:variant>
      <vt:variant>
        <vt:i4>0</vt:i4>
      </vt:variant>
      <vt:variant>
        <vt:i4>5</vt:i4>
      </vt:variant>
      <vt:variant>
        <vt:lpwstr>https://nzetc.victoria.ac.nz/tm/scholarly/name-036430.html</vt:lpwstr>
      </vt:variant>
      <vt:variant>
        <vt:lpwstr/>
      </vt:variant>
      <vt:variant>
        <vt:i4>8126514</vt:i4>
      </vt:variant>
      <vt:variant>
        <vt:i4>228</vt:i4>
      </vt:variant>
      <vt:variant>
        <vt:i4>0</vt:i4>
      </vt:variant>
      <vt:variant>
        <vt:i4>5</vt:i4>
      </vt:variant>
      <vt:variant>
        <vt:lpwstr>https://nzetc.victoria.ac.nz/tm/scholarly/name-463168.html</vt:lpwstr>
      </vt:variant>
      <vt:variant>
        <vt:lpwstr/>
      </vt:variant>
      <vt:variant>
        <vt:i4>7864378</vt:i4>
      </vt:variant>
      <vt:variant>
        <vt:i4>225</vt:i4>
      </vt:variant>
      <vt:variant>
        <vt:i4>0</vt:i4>
      </vt:variant>
      <vt:variant>
        <vt:i4>5</vt:i4>
      </vt:variant>
      <vt:variant>
        <vt:lpwstr>https://nzetc.victoria.ac.nz/tm/scholarly/name-036430.html</vt:lpwstr>
      </vt:variant>
      <vt:variant>
        <vt:lpwstr/>
      </vt:variant>
      <vt:variant>
        <vt:i4>8126514</vt:i4>
      </vt:variant>
      <vt:variant>
        <vt:i4>222</vt:i4>
      </vt:variant>
      <vt:variant>
        <vt:i4>0</vt:i4>
      </vt:variant>
      <vt:variant>
        <vt:i4>5</vt:i4>
      </vt:variant>
      <vt:variant>
        <vt:lpwstr>https://nzetc.victoria.ac.nz/tm/scholarly/name-463168.html</vt:lpwstr>
      </vt:variant>
      <vt:variant>
        <vt:lpwstr/>
      </vt:variant>
      <vt:variant>
        <vt:i4>7864378</vt:i4>
      </vt:variant>
      <vt:variant>
        <vt:i4>219</vt:i4>
      </vt:variant>
      <vt:variant>
        <vt:i4>0</vt:i4>
      </vt:variant>
      <vt:variant>
        <vt:i4>5</vt:i4>
      </vt:variant>
      <vt:variant>
        <vt:lpwstr>https://nzetc.victoria.ac.nz/tm/scholarly/name-036430.html</vt:lpwstr>
      </vt:variant>
      <vt:variant>
        <vt:lpwstr/>
      </vt:variant>
      <vt:variant>
        <vt:i4>8126514</vt:i4>
      </vt:variant>
      <vt:variant>
        <vt:i4>216</vt:i4>
      </vt:variant>
      <vt:variant>
        <vt:i4>0</vt:i4>
      </vt:variant>
      <vt:variant>
        <vt:i4>5</vt:i4>
      </vt:variant>
      <vt:variant>
        <vt:lpwstr>https://nzetc.victoria.ac.nz/tm/scholarly/name-463168.html</vt:lpwstr>
      </vt:variant>
      <vt:variant>
        <vt:lpwstr/>
      </vt:variant>
      <vt:variant>
        <vt:i4>7012401</vt:i4>
      </vt:variant>
      <vt:variant>
        <vt:i4>213</vt:i4>
      </vt:variant>
      <vt:variant>
        <vt:i4>0</vt:i4>
      </vt:variant>
      <vt:variant>
        <vt:i4>5</vt:i4>
      </vt:variant>
      <vt:variant>
        <vt:lpwstr>https://teara.govt.nz/en/anti-racism-and-treaty-of-waitangi-activism/page-5</vt:lpwstr>
      </vt:variant>
      <vt:variant>
        <vt:lpwstr/>
      </vt:variant>
      <vt:variant>
        <vt:i4>6553654</vt:i4>
      </vt:variant>
      <vt:variant>
        <vt:i4>210</vt:i4>
      </vt:variant>
      <vt:variant>
        <vt:i4>0</vt:i4>
      </vt:variant>
      <vt:variant>
        <vt:i4>5</vt:i4>
      </vt:variant>
      <vt:variant>
        <vt:lpwstr>https://teara.govt.nz/en/pacific-churches-in-new-zealand/page-2</vt:lpwstr>
      </vt:variant>
      <vt:variant>
        <vt:lpwstr/>
      </vt:variant>
      <vt:variant>
        <vt:i4>1245203</vt:i4>
      </vt:variant>
      <vt:variant>
        <vt:i4>207</vt:i4>
      </vt:variant>
      <vt:variant>
        <vt:i4>0</vt:i4>
      </vt:variant>
      <vt:variant>
        <vt:i4>5</vt:i4>
      </vt:variant>
      <vt:variant>
        <vt:lpwstr>https://teara.govt.nz/en/disability-and-disability-organisations</vt:lpwstr>
      </vt:variant>
      <vt:variant>
        <vt:lpwstr/>
      </vt:variant>
      <vt:variant>
        <vt:i4>2031646</vt:i4>
      </vt:variant>
      <vt:variant>
        <vt:i4>204</vt:i4>
      </vt:variant>
      <vt:variant>
        <vt:i4>0</vt:i4>
      </vt:variant>
      <vt:variant>
        <vt:i4>5</vt:i4>
      </vt:variant>
      <vt:variant>
        <vt:lpwstr>https://teara.govt.nz/en/biographies/4m17/mackenzie-clutha-nantes</vt:lpwstr>
      </vt:variant>
      <vt:variant>
        <vt:lpwstr/>
      </vt:variant>
      <vt:variant>
        <vt:i4>196611</vt:i4>
      </vt:variant>
      <vt:variant>
        <vt:i4>201</vt:i4>
      </vt:variant>
      <vt:variant>
        <vt:i4>0</vt:i4>
      </vt:variant>
      <vt:variant>
        <vt:i4>5</vt:i4>
      </vt:variant>
      <vt:variant>
        <vt:lpwstr>https://teara.govt.nz/en/child-abuse</vt:lpwstr>
      </vt:variant>
      <vt:variant>
        <vt:lpwstr/>
      </vt:variant>
      <vt:variant>
        <vt:i4>2490415</vt:i4>
      </vt:variant>
      <vt:variant>
        <vt:i4>198</vt:i4>
      </vt:variant>
      <vt:variant>
        <vt:i4>0</vt:i4>
      </vt:variant>
      <vt:variant>
        <vt:i4>5</vt:i4>
      </vt:variant>
      <vt:variant>
        <vt:lpwstr>https://teara.govt.nz/en/mental-health-services/page-2</vt:lpwstr>
      </vt:variant>
      <vt:variant>
        <vt:lpwstr/>
      </vt:variant>
      <vt:variant>
        <vt:i4>5242888</vt:i4>
      </vt:variant>
      <vt:variant>
        <vt:i4>195</vt:i4>
      </vt:variant>
      <vt:variant>
        <vt:i4>0</vt:i4>
      </vt:variant>
      <vt:variant>
        <vt:i4>5</vt:i4>
      </vt:variant>
      <vt:variant>
        <vt:lpwstr>https://www.acc.co.nz/about-us/who-we-are/our-history/</vt:lpwstr>
      </vt:variant>
      <vt:variant>
        <vt:lpwstr>1972--the-accident-compensation-act</vt:lpwstr>
      </vt:variant>
      <vt:variant>
        <vt:i4>7864378</vt:i4>
      </vt:variant>
      <vt:variant>
        <vt:i4>192</vt:i4>
      </vt:variant>
      <vt:variant>
        <vt:i4>0</vt:i4>
      </vt:variant>
      <vt:variant>
        <vt:i4>5</vt:i4>
      </vt:variant>
      <vt:variant>
        <vt:lpwstr>https://nzetc.victoria.ac.nz/tm/scholarly/name-036430.html</vt:lpwstr>
      </vt:variant>
      <vt:variant>
        <vt:lpwstr/>
      </vt:variant>
      <vt:variant>
        <vt:i4>8126514</vt:i4>
      </vt:variant>
      <vt:variant>
        <vt:i4>189</vt:i4>
      </vt:variant>
      <vt:variant>
        <vt:i4>0</vt:i4>
      </vt:variant>
      <vt:variant>
        <vt:i4>5</vt:i4>
      </vt:variant>
      <vt:variant>
        <vt:lpwstr>https://nzetc.victoria.ac.nz/tm/scholarly/name-463168.html</vt:lpwstr>
      </vt:variant>
      <vt:variant>
        <vt:lpwstr/>
      </vt:variant>
      <vt:variant>
        <vt:i4>8060984</vt:i4>
      </vt:variant>
      <vt:variant>
        <vt:i4>186</vt:i4>
      </vt:variant>
      <vt:variant>
        <vt:i4>0</vt:i4>
      </vt:variant>
      <vt:variant>
        <vt:i4>5</vt:i4>
      </vt:variant>
      <vt:variant>
        <vt:lpwstr>https://nzetc.victoria.ac.nz/tm/scholarly/name-411034.html</vt:lpwstr>
      </vt:variant>
      <vt:variant>
        <vt:lpwstr/>
      </vt:variant>
      <vt:variant>
        <vt:i4>7864378</vt:i4>
      </vt:variant>
      <vt:variant>
        <vt:i4>183</vt:i4>
      </vt:variant>
      <vt:variant>
        <vt:i4>0</vt:i4>
      </vt:variant>
      <vt:variant>
        <vt:i4>5</vt:i4>
      </vt:variant>
      <vt:variant>
        <vt:lpwstr>https://nzetc.victoria.ac.nz/tm/scholarly/name-036430.html</vt:lpwstr>
      </vt:variant>
      <vt:variant>
        <vt:lpwstr/>
      </vt:variant>
      <vt:variant>
        <vt:i4>8126514</vt:i4>
      </vt:variant>
      <vt:variant>
        <vt:i4>180</vt:i4>
      </vt:variant>
      <vt:variant>
        <vt:i4>0</vt:i4>
      </vt:variant>
      <vt:variant>
        <vt:i4>5</vt:i4>
      </vt:variant>
      <vt:variant>
        <vt:lpwstr>https://nzetc.victoria.ac.nz/tm/scholarly/name-463168.html</vt:lpwstr>
      </vt:variant>
      <vt:variant>
        <vt:lpwstr/>
      </vt:variant>
      <vt:variant>
        <vt:i4>8060984</vt:i4>
      </vt:variant>
      <vt:variant>
        <vt:i4>177</vt:i4>
      </vt:variant>
      <vt:variant>
        <vt:i4>0</vt:i4>
      </vt:variant>
      <vt:variant>
        <vt:i4>5</vt:i4>
      </vt:variant>
      <vt:variant>
        <vt:lpwstr>https://nzetc.victoria.ac.nz/tm/scholarly/name-411034.html</vt:lpwstr>
      </vt:variant>
      <vt:variant>
        <vt:lpwstr/>
      </vt:variant>
      <vt:variant>
        <vt:i4>7864378</vt:i4>
      </vt:variant>
      <vt:variant>
        <vt:i4>174</vt:i4>
      </vt:variant>
      <vt:variant>
        <vt:i4>0</vt:i4>
      </vt:variant>
      <vt:variant>
        <vt:i4>5</vt:i4>
      </vt:variant>
      <vt:variant>
        <vt:lpwstr>https://nzetc.victoria.ac.nz/tm/scholarly/name-036430.html</vt:lpwstr>
      </vt:variant>
      <vt:variant>
        <vt:lpwstr/>
      </vt:variant>
      <vt:variant>
        <vt:i4>8126514</vt:i4>
      </vt:variant>
      <vt:variant>
        <vt:i4>171</vt:i4>
      </vt:variant>
      <vt:variant>
        <vt:i4>0</vt:i4>
      </vt:variant>
      <vt:variant>
        <vt:i4>5</vt:i4>
      </vt:variant>
      <vt:variant>
        <vt:lpwstr>https://nzetc.victoria.ac.nz/tm/scholarly/name-463168.html</vt:lpwstr>
      </vt:variant>
      <vt:variant>
        <vt:lpwstr/>
      </vt:variant>
      <vt:variant>
        <vt:i4>8060984</vt:i4>
      </vt:variant>
      <vt:variant>
        <vt:i4>168</vt:i4>
      </vt:variant>
      <vt:variant>
        <vt:i4>0</vt:i4>
      </vt:variant>
      <vt:variant>
        <vt:i4>5</vt:i4>
      </vt:variant>
      <vt:variant>
        <vt:lpwstr>https://nzetc.victoria.ac.nz/tm/scholarly/name-411034.html</vt:lpwstr>
      </vt:variant>
      <vt:variant>
        <vt:lpwstr/>
      </vt:variant>
      <vt:variant>
        <vt:i4>7864378</vt:i4>
      </vt:variant>
      <vt:variant>
        <vt:i4>165</vt:i4>
      </vt:variant>
      <vt:variant>
        <vt:i4>0</vt:i4>
      </vt:variant>
      <vt:variant>
        <vt:i4>5</vt:i4>
      </vt:variant>
      <vt:variant>
        <vt:lpwstr>https://nzetc.victoria.ac.nz/tm/scholarly/name-036430.html</vt:lpwstr>
      </vt:variant>
      <vt:variant>
        <vt:lpwstr/>
      </vt:variant>
      <vt:variant>
        <vt:i4>8126514</vt:i4>
      </vt:variant>
      <vt:variant>
        <vt:i4>162</vt:i4>
      </vt:variant>
      <vt:variant>
        <vt:i4>0</vt:i4>
      </vt:variant>
      <vt:variant>
        <vt:i4>5</vt:i4>
      </vt:variant>
      <vt:variant>
        <vt:lpwstr>https://nzetc.victoria.ac.nz/tm/scholarly/name-463168.html</vt:lpwstr>
      </vt:variant>
      <vt:variant>
        <vt:lpwstr/>
      </vt:variant>
      <vt:variant>
        <vt:i4>8060984</vt:i4>
      </vt:variant>
      <vt:variant>
        <vt:i4>159</vt:i4>
      </vt:variant>
      <vt:variant>
        <vt:i4>0</vt:i4>
      </vt:variant>
      <vt:variant>
        <vt:i4>5</vt:i4>
      </vt:variant>
      <vt:variant>
        <vt:lpwstr>https://nzetc.victoria.ac.nz/tm/scholarly/name-411034.html</vt:lpwstr>
      </vt:variant>
      <vt:variant>
        <vt:lpwstr/>
      </vt:variant>
      <vt:variant>
        <vt:i4>7864378</vt:i4>
      </vt:variant>
      <vt:variant>
        <vt:i4>156</vt:i4>
      </vt:variant>
      <vt:variant>
        <vt:i4>0</vt:i4>
      </vt:variant>
      <vt:variant>
        <vt:i4>5</vt:i4>
      </vt:variant>
      <vt:variant>
        <vt:lpwstr>https://nzetc.victoria.ac.nz/tm/scholarly/name-036430.html</vt:lpwstr>
      </vt:variant>
      <vt:variant>
        <vt:lpwstr/>
      </vt:variant>
      <vt:variant>
        <vt:i4>8126514</vt:i4>
      </vt:variant>
      <vt:variant>
        <vt:i4>153</vt:i4>
      </vt:variant>
      <vt:variant>
        <vt:i4>0</vt:i4>
      </vt:variant>
      <vt:variant>
        <vt:i4>5</vt:i4>
      </vt:variant>
      <vt:variant>
        <vt:lpwstr>https://nzetc.victoria.ac.nz/tm/scholarly/name-463168.html</vt:lpwstr>
      </vt:variant>
      <vt:variant>
        <vt:lpwstr/>
      </vt:variant>
      <vt:variant>
        <vt:i4>8060984</vt:i4>
      </vt:variant>
      <vt:variant>
        <vt:i4>150</vt:i4>
      </vt:variant>
      <vt:variant>
        <vt:i4>0</vt:i4>
      </vt:variant>
      <vt:variant>
        <vt:i4>5</vt:i4>
      </vt:variant>
      <vt:variant>
        <vt:lpwstr>https://nzetc.victoria.ac.nz/tm/scholarly/name-411034.html</vt:lpwstr>
      </vt:variant>
      <vt:variant>
        <vt:lpwstr/>
      </vt:variant>
      <vt:variant>
        <vt:i4>7864378</vt:i4>
      </vt:variant>
      <vt:variant>
        <vt:i4>147</vt:i4>
      </vt:variant>
      <vt:variant>
        <vt:i4>0</vt:i4>
      </vt:variant>
      <vt:variant>
        <vt:i4>5</vt:i4>
      </vt:variant>
      <vt:variant>
        <vt:lpwstr>https://nzetc.victoria.ac.nz/tm/scholarly/name-036430.html</vt:lpwstr>
      </vt:variant>
      <vt:variant>
        <vt:lpwstr/>
      </vt:variant>
      <vt:variant>
        <vt:i4>8126514</vt:i4>
      </vt:variant>
      <vt:variant>
        <vt:i4>144</vt:i4>
      </vt:variant>
      <vt:variant>
        <vt:i4>0</vt:i4>
      </vt:variant>
      <vt:variant>
        <vt:i4>5</vt:i4>
      </vt:variant>
      <vt:variant>
        <vt:lpwstr>https://nzetc.victoria.ac.nz/tm/scholarly/name-463168.html</vt:lpwstr>
      </vt:variant>
      <vt:variant>
        <vt:lpwstr/>
      </vt:variant>
      <vt:variant>
        <vt:i4>8060984</vt:i4>
      </vt:variant>
      <vt:variant>
        <vt:i4>141</vt:i4>
      </vt:variant>
      <vt:variant>
        <vt:i4>0</vt:i4>
      </vt:variant>
      <vt:variant>
        <vt:i4>5</vt:i4>
      </vt:variant>
      <vt:variant>
        <vt:lpwstr>https://nzetc.victoria.ac.nz/tm/scholarly/name-411034.html</vt:lpwstr>
      </vt:variant>
      <vt:variant>
        <vt:lpwstr/>
      </vt:variant>
      <vt:variant>
        <vt:i4>7864378</vt:i4>
      </vt:variant>
      <vt:variant>
        <vt:i4>138</vt:i4>
      </vt:variant>
      <vt:variant>
        <vt:i4>0</vt:i4>
      </vt:variant>
      <vt:variant>
        <vt:i4>5</vt:i4>
      </vt:variant>
      <vt:variant>
        <vt:lpwstr>https://nzetc.victoria.ac.nz/tm/scholarly/name-036430.html</vt:lpwstr>
      </vt:variant>
      <vt:variant>
        <vt:lpwstr/>
      </vt:variant>
      <vt:variant>
        <vt:i4>8126514</vt:i4>
      </vt:variant>
      <vt:variant>
        <vt:i4>135</vt:i4>
      </vt:variant>
      <vt:variant>
        <vt:i4>0</vt:i4>
      </vt:variant>
      <vt:variant>
        <vt:i4>5</vt:i4>
      </vt:variant>
      <vt:variant>
        <vt:lpwstr>https://nzetc.victoria.ac.nz/tm/scholarly/name-463168.html</vt:lpwstr>
      </vt:variant>
      <vt:variant>
        <vt:lpwstr/>
      </vt:variant>
      <vt:variant>
        <vt:i4>8060984</vt:i4>
      </vt:variant>
      <vt:variant>
        <vt:i4>132</vt:i4>
      </vt:variant>
      <vt:variant>
        <vt:i4>0</vt:i4>
      </vt:variant>
      <vt:variant>
        <vt:i4>5</vt:i4>
      </vt:variant>
      <vt:variant>
        <vt:lpwstr>https://nzetc.victoria.ac.nz/tm/scholarly/name-411034.html</vt:lpwstr>
      </vt:variant>
      <vt:variant>
        <vt:lpwstr/>
      </vt:variant>
      <vt:variant>
        <vt:i4>7864378</vt:i4>
      </vt:variant>
      <vt:variant>
        <vt:i4>129</vt:i4>
      </vt:variant>
      <vt:variant>
        <vt:i4>0</vt:i4>
      </vt:variant>
      <vt:variant>
        <vt:i4>5</vt:i4>
      </vt:variant>
      <vt:variant>
        <vt:lpwstr>https://nzetc.victoria.ac.nz/tm/scholarly/name-036430.html</vt:lpwstr>
      </vt:variant>
      <vt:variant>
        <vt:lpwstr/>
      </vt:variant>
      <vt:variant>
        <vt:i4>8126514</vt:i4>
      </vt:variant>
      <vt:variant>
        <vt:i4>126</vt:i4>
      </vt:variant>
      <vt:variant>
        <vt:i4>0</vt:i4>
      </vt:variant>
      <vt:variant>
        <vt:i4>5</vt:i4>
      </vt:variant>
      <vt:variant>
        <vt:lpwstr>https://nzetc.victoria.ac.nz/tm/scholarly/name-463168.html</vt:lpwstr>
      </vt:variant>
      <vt:variant>
        <vt:lpwstr/>
      </vt:variant>
      <vt:variant>
        <vt:i4>8060984</vt:i4>
      </vt:variant>
      <vt:variant>
        <vt:i4>123</vt:i4>
      </vt:variant>
      <vt:variant>
        <vt:i4>0</vt:i4>
      </vt:variant>
      <vt:variant>
        <vt:i4>5</vt:i4>
      </vt:variant>
      <vt:variant>
        <vt:lpwstr>https://nzetc.victoria.ac.nz/tm/scholarly/name-411034.html</vt:lpwstr>
      </vt:variant>
      <vt:variant>
        <vt:lpwstr/>
      </vt:variant>
      <vt:variant>
        <vt:i4>7864378</vt:i4>
      </vt:variant>
      <vt:variant>
        <vt:i4>120</vt:i4>
      </vt:variant>
      <vt:variant>
        <vt:i4>0</vt:i4>
      </vt:variant>
      <vt:variant>
        <vt:i4>5</vt:i4>
      </vt:variant>
      <vt:variant>
        <vt:lpwstr>https://nzetc.victoria.ac.nz/tm/scholarly/name-036430.html</vt:lpwstr>
      </vt:variant>
      <vt:variant>
        <vt:lpwstr/>
      </vt:variant>
      <vt:variant>
        <vt:i4>8126514</vt:i4>
      </vt:variant>
      <vt:variant>
        <vt:i4>117</vt:i4>
      </vt:variant>
      <vt:variant>
        <vt:i4>0</vt:i4>
      </vt:variant>
      <vt:variant>
        <vt:i4>5</vt:i4>
      </vt:variant>
      <vt:variant>
        <vt:lpwstr>https://nzetc.victoria.ac.nz/tm/scholarly/name-463168.html</vt:lpwstr>
      </vt:variant>
      <vt:variant>
        <vt:lpwstr/>
      </vt:variant>
      <vt:variant>
        <vt:i4>8060984</vt:i4>
      </vt:variant>
      <vt:variant>
        <vt:i4>114</vt:i4>
      </vt:variant>
      <vt:variant>
        <vt:i4>0</vt:i4>
      </vt:variant>
      <vt:variant>
        <vt:i4>5</vt:i4>
      </vt:variant>
      <vt:variant>
        <vt:lpwstr>https://nzetc.victoria.ac.nz/tm/scholarly/name-411034.html</vt:lpwstr>
      </vt:variant>
      <vt:variant>
        <vt:lpwstr/>
      </vt:variant>
      <vt:variant>
        <vt:i4>7929912</vt:i4>
      </vt:variant>
      <vt:variant>
        <vt:i4>111</vt:i4>
      </vt:variant>
      <vt:variant>
        <vt:i4>0</vt:i4>
      </vt:variant>
      <vt:variant>
        <vt:i4>5</vt:i4>
      </vt:variant>
      <vt:variant>
        <vt:lpwstr>https://teara.govt.nz/en/childhood</vt:lpwstr>
      </vt:variant>
      <vt:variant>
        <vt:lpwstr/>
      </vt:variant>
      <vt:variant>
        <vt:i4>6422571</vt:i4>
      </vt:variant>
      <vt:variant>
        <vt:i4>108</vt:i4>
      </vt:variant>
      <vt:variant>
        <vt:i4>0</vt:i4>
      </vt:variant>
      <vt:variant>
        <vt:i4>5</vt:i4>
      </vt:variant>
      <vt:variant>
        <vt:lpwstr>https://www.mfat.govt.nz/en/about-us/mfat75/75-our-story/apia/</vt:lpwstr>
      </vt:variant>
      <vt:variant>
        <vt:lpwstr/>
      </vt:variant>
      <vt:variant>
        <vt:i4>2752619</vt:i4>
      </vt:variant>
      <vt:variant>
        <vt:i4>105</vt:i4>
      </vt:variant>
      <vt:variant>
        <vt:i4>0</vt:i4>
      </vt:variant>
      <vt:variant>
        <vt:i4>5</vt:i4>
      </vt:variant>
      <vt:variant>
        <vt:lpwstr>https://teara.govt.nz/en/pacific-islands-and-new-zealand/page-5</vt:lpwstr>
      </vt:variant>
      <vt:variant>
        <vt:lpwstr/>
      </vt:variant>
      <vt:variant>
        <vt:i4>5832719</vt:i4>
      </vt:variant>
      <vt:variant>
        <vt:i4>102</vt:i4>
      </vt:variant>
      <vt:variant>
        <vt:i4>0</vt:i4>
      </vt:variant>
      <vt:variant>
        <vt:i4>5</vt:i4>
      </vt:variant>
      <vt:variant>
        <vt:lpwstr>https://gg.govt.nz/office-governor-general/roles-and-functions-governor-general/constitutional-role/constitution/constitution</vt:lpwstr>
      </vt:variant>
      <vt:variant>
        <vt:lpwstr/>
      </vt:variant>
      <vt:variant>
        <vt:i4>7340129</vt:i4>
      </vt:variant>
      <vt:variant>
        <vt:i4>99</vt:i4>
      </vt:variant>
      <vt:variant>
        <vt:i4>0</vt:i4>
      </vt:variant>
      <vt:variant>
        <vt:i4>5</vt:i4>
      </vt:variant>
      <vt:variant>
        <vt:lpwstr>https://teara.govt.nz/en/veterans-assistance/page-2</vt:lpwstr>
      </vt:variant>
      <vt:variant>
        <vt:lpwstr/>
      </vt:variant>
      <vt:variant>
        <vt:i4>852060</vt:i4>
      </vt:variant>
      <vt:variant>
        <vt:i4>96</vt:i4>
      </vt:variant>
      <vt:variant>
        <vt:i4>0</vt:i4>
      </vt:variant>
      <vt:variant>
        <vt:i4>5</vt:i4>
      </vt:variant>
      <vt:variant>
        <vt:lpwstr>https://www.mwwl.org.nz/about</vt:lpwstr>
      </vt:variant>
      <vt:variant>
        <vt:lpwstr/>
      </vt:variant>
      <vt:variant>
        <vt:i4>7864378</vt:i4>
      </vt:variant>
      <vt:variant>
        <vt:i4>93</vt:i4>
      </vt:variant>
      <vt:variant>
        <vt:i4>0</vt:i4>
      </vt:variant>
      <vt:variant>
        <vt:i4>5</vt:i4>
      </vt:variant>
      <vt:variant>
        <vt:lpwstr>https://nzetc.victoria.ac.nz/tm/scholarly/name-036430.html</vt:lpwstr>
      </vt:variant>
      <vt:variant>
        <vt:lpwstr/>
      </vt:variant>
      <vt:variant>
        <vt:i4>8126514</vt:i4>
      </vt:variant>
      <vt:variant>
        <vt:i4>90</vt:i4>
      </vt:variant>
      <vt:variant>
        <vt:i4>0</vt:i4>
      </vt:variant>
      <vt:variant>
        <vt:i4>5</vt:i4>
      </vt:variant>
      <vt:variant>
        <vt:lpwstr>https://nzetc.victoria.ac.nz/tm/scholarly/name-463168.html</vt:lpwstr>
      </vt:variant>
      <vt:variant>
        <vt:lpwstr/>
      </vt:variant>
      <vt:variant>
        <vt:i4>8060984</vt:i4>
      </vt:variant>
      <vt:variant>
        <vt:i4>87</vt:i4>
      </vt:variant>
      <vt:variant>
        <vt:i4>0</vt:i4>
      </vt:variant>
      <vt:variant>
        <vt:i4>5</vt:i4>
      </vt:variant>
      <vt:variant>
        <vt:lpwstr>https://nzetc.victoria.ac.nz/tm/scholarly/name-411034.html</vt:lpwstr>
      </vt:variant>
      <vt:variant>
        <vt:lpwstr/>
      </vt:variant>
      <vt:variant>
        <vt:i4>7864378</vt:i4>
      </vt:variant>
      <vt:variant>
        <vt:i4>84</vt:i4>
      </vt:variant>
      <vt:variant>
        <vt:i4>0</vt:i4>
      </vt:variant>
      <vt:variant>
        <vt:i4>5</vt:i4>
      </vt:variant>
      <vt:variant>
        <vt:lpwstr>https://nzetc.victoria.ac.nz/tm/scholarly/name-036430.html</vt:lpwstr>
      </vt:variant>
      <vt:variant>
        <vt:lpwstr/>
      </vt:variant>
      <vt:variant>
        <vt:i4>8126514</vt:i4>
      </vt:variant>
      <vt:variant>
        <vt:i4>81</vt:i4>
      </vt:variant>
      <vt:variant>
        <vt:i4>0</vt:i4>
      </vt:variant>
      <vt:variant>
        <vt:i4>5</vt:i4>
      </vt:variant>
      <vt:variant>
        <vt:lpwstr>https://nzetc.victoria.ac.nz/tm/scholarly/name-463168.html</vt:lpwstr>
      </vt:variant>
      <vt:variant>
        <vt:lpwstr/>
      </vt:variant>
      <vt:variant>
        <vt:i4>8060984</vt:i4>
      </vt:variant>
      <vt:variant>
        <vt:i4>78</vt:i4>
      </vt:variant>
      <vt:variant>
        <vt:i4>0</vt:i4>
      </vt:variant>
      <vt:variant>
        <vt:i4>5</vt:i4>
      </vt:variant>
      <vt:variant>
        <vt:lpwstr>https://nzetc.victoria.ac.nz/tm/scholarly/name-411034.html</vt:lpwstr>
      </vt:variant>
      <vt:variant>
        <vt:lpwstr/>
      </vt:variant>
      <vt:variant>
        <vt:i4>7864378</vt:i4>
      </vt:variant>
      <vt:variant>
        <vt:i4>75</vt:i4>
      </vt:variant>
      <vt:variant>
        <vt:i4>0</vt:i4>
      </vt:variant>
      <vt:variant>
        <vt:i4>5</vt:i4>
      </vt:variant>
      <vt:variant>
        <vt:lpwstr>https://nzetc.victoria.ac.nz/tm/scholarly/name-036430.html</vt:lpwstr>
      </vt:variant>
      <vt:variant>
        <vt:lpwstr/>
      </vt:variant>
      <vt:variant>
        <vt:i4>8126514</vt:i4>
      </vt:variant>
      <vt:variant>
        <vt:i4>72</vt:i4>
      </vt:variant>
      <vt:variant>
        <vt:i4>0</vt:i4>
      </vt:variant>
      <vt:variant>
        <vt:i4>5</vt:i4>
      </vt:variant>
      <vt:variant>
        <vt:lpwstr>https://nzetc.victoria.ac.nz/tm/scholarly/name-463168.html</vt:lpwstr>
      </vt:variant>
      <vt:variant>
        <vt:lpwstr/>
      </vt:variant>
      <vt:variant>
        <vt:i4>8060984</vt:i4>
      </vt:variant>
      <vt:variant>
        <vt:i4>69</vt:i4>
      </vt:variant>
      <vt:variant>
        <vt:i4>0</vt:i4>
      </vt:variant>
      <vt:variant>
        <vt:i4>5</vt:i4>
      </vt:variant>
      <vt:variant>
        <vt:lpwstr>https://nzetc.victoria.ac.nz/tm/scholarly/name-411034.html</vt:lpwstr>
      </vt:variant>
      <vt:variant>
        <vt:lpwstr/>
      </vt:variant>
      <vt:variant>
        <vt:i4>7864378</vt:i4>
      </vt:variant>
      <vt:variant>
        <vt:i4>66</vt:i4>
      </vt:variant>
      <vt:variant>
        <vt:i4>0</vt:i4>
      </vt:variant>
      <vt:variant>
        <vt:i4>5</vt:i4>
      </vt:variant>
      <vt:variant>
        <vt:lpwstr>https://nzetc.victoria.ac.nz/tm/scholarly/name-036430.html</vt:lpwstr>
      </vt:variant>
      <vt:variant>
        <vt:lpwstr/>
      </vt:variant>
      <vt:variant>
        <vt:i4>8126514</vt:i4>
      </vt:variant>
      <vt:variant>
        <vt:i4>63</vt:i4>
      </vt:variant>
      <vt:variant>
        <vt:i4>0</vt:i4>
      </vt:variant>
      <vt:variant>
        <vt:i4>5</vt:i4>
      </vt:variant>
      <vt:variant>
        <vt:lpwstr>https://nzetc.victoria.ac.nz/tm/scholarly/name-463168.html</vt:lpwstr>
      </vt:variant>
      <vt:variant>
        <vt:lpwstr/>
      </vt:variant>
      <vt:variant>
        <vt:i4>8060984</vt:i4>
      </vt:variant>
      <vt:variant>
        <vt:i4>60</vt:i4>
      </vt:variant>
      <vt:variant>
        <vt:i4>0</vt:i4>
      </vt:variant>
      <vt:variant>
        <vt:i4>5</vt:i4>
      </vt:variant>
      <vt:variant>
        <vt:lpwstr>https://nzetc.victoria.ac.nz/tm/scholarly/name-411034.html</vt:lpwstr>
      </vt:variant>
      <vt:variant>
        <vt:lpwstr/>
      </vt:variant>
      <vt:variant>
        <vt:i4>7864378</vt:i4>
      </vt:variant>
      <vt:variant>
        <vt:i4>57</vt:i4>
      </vt:variant>
      <vt:variant>
        <vt:i4>0</vt:i4>
      </vt:variant>
      <vt:variant>
        <vt:i4>5</vt:i4>
      </vt:variant>
      <vt:variant>
        <vt:lpwstr>https://nzetc.victoria.ac.nz/tm/scholarly/name-036430.html</vt:lpwstr>
      </vt:variant>
      <vt:variant>
        <vt:lpwstr/>
      </vt:variant>
      <vt:variant>
        <vt:i4>8126514</vt:i4>
      </vt:variant>
      <vt:variant>
        <vt:i4>54</vt:i4>
      </vt:variant>
      <vt:variant>
        <vt:i4>0</vt:i4>
      </vt:variant>
      <vt:variant>
        <vt:i4>5</vt:i4>
      </vt:variant>
      <vt:variant>
        <vt:lpwstr>https://nzetc.victoria.ac.nz/tm/scholarly/name-463168.html</vt:lpwstr>
      </vt:variant>
      <vt:variant>
        <vt:lpwstr/>
      </vt:variant>
      <vt:variant>
        <vt:i4>8060984</vt:i4>
      </vt:variant>
      <vt:variant>
        <vt:i4>51</vt:i4>
      </vt:variant>
      <vt:variant>
        <vt:i4>0</vt:i4>
      </vt:variant>
      <vt:variant>
        <vt:i4>5</vt:i4>
      </vt:variant>
      <vt:variant>
        <vt:lpwstr>https://nzetc.victoria.ac.nz/tm/scholarly/name-411034.html</vt:lpwstr>
      </vt:variant>
      <vt:variant>
        <vt:lpwstr/>
      </vt:variant>
      <vt:variant>
        <vt:i4>7864378</vt:i4>
      </vt:variant>
      <vt:variant>
        <vt:i4>48</vt:i4>
      </vt:variant>
      <vt:variant>
        <vt:i4>0</vt:i4>
      </vt:variant>
      <vt:variant>
        <vt:i4>5</vt:i4>
      </vt:variant>
      <vt:variant>
        <vt:lpwstr>https://nzetc.victoria.ac.nz/tm/scholarly/name-036430.html</vt:lpwstr>
      </vt:variant>
      <vt:variant>
        <vt:lpwstr/>
      </vt:variant>
      <vt:variant>
        <vt:i4>8126514</vt:i4>
      </vt:variant>
      <vt:variant>
        <vt:i4>45</vt:i4>
      </vt:variant>
      <vt:variant>
        <vt:i4>0</vt:i4>
      </vt:variant>
      <vt:variant>
        <vt:i4>5</vt:i4>
      </vt:variant>
      <vt:variant>
        <vt:lpwstr>https://nzetc.victoria.ac.nz/tm/scholarly/name-463168.html</vt:lpwstr>
      </vt:variant>
      <vt:variant>
        <vt:lpwstr/>
      </vt:variant>
      <vt:variant>
        <vt:i4>8060984</vt:i4>
      </vt:variant>
      <vt:variant>
        <vt:i4>42</vt:i4>
      </vt:variant>
      <vt:variant>
        <vt:i4>0</vt:i4>
      </vt:variant>
      <vt:variant>
        <vt:i4>5</vt:i4>
      </vt:variant>
      <vt:variant>
        <vt:lpwstr>https://nzetc.victoria.ac.nz/tm/scholarly/name-411034.html</vt:lpwstr>
      </vt:variant>
      <vt:variant>
        <vt:lpwstr/>
      </vt:variant>
      <vt:variant>
        <vt:i4>917582</vt:i4>
      </vt:variant>
      <vt:variant>
        <vt:i4>39</vt:i4>
      </vt:variant>
      <vt:variant>
        <vt:i4>0</vt:i4>
      </vt:variant>
      <vt:variant>
        <vt:i4>5</vt:i4>
      </vt:variant>
      <vt:variant>
        <vt:lpwstr>https://teara.govt.nz/en/te-hauora-maori-i-mua-history-of-maori-health/page-3</vt:lpwstr>
      </vt:variant>
      <vt:variant>
        <vt:lpwstr/>
      </vt:variant>
      <vt:variant>
        <vt:i4>917582</vt:i4>
      </vt:variant>
      <vt:variant>
        <vt:i4>36</vt:i4>
      </vt:variant>
      <vt:variant>
        <vt:i4>0</vt:i4>
      </vt:variant>
      <vt:variant>
        <vt:i4>5</vt:i4>
      </vt:variant>
      <vt:variant>
        <vt:lpwstr>https://teara.govt.nz/en/te-hauora-maori-i-mua-history-of-maori-health/page-3</vt:lpwstr>
      </vt:variant>
      <vt:variant>
        <vt:lpwstr/>
      </vt:variant>
      <vt:variant>
        <vt:i4>6946930</vt:i4>
      </vt:variant>
      <vt:variant>
        <vt:i4>33</vt:i4>
      </vt:variant>
      <vt:variant>
        <vt:i4>0</vt:i4>
      </vt:variant>
      <vt:variant>
        <vt:i4>5</vt:i4>
      </vt:variant>
      <vt:variant>
        <vt:lpwstr>http://www.teara.govt.nz/en/youth-offenders/page-2</vt:lpwstr>
      </vt:variant>
      <vt:variant>
        <vt:lpwstr/>
      </vt:variant>
      <vt:variant>
        <vt:i4>2949231</vt:i4>
      </vt:variant>
      <vt:variant>
        <vt:i4>30</vt:i4>
      </vt:variant>
      <vt:variant>
        <vt:i4>0</vt:i4>
      </vt:variant>
      <vt:variant>
        <vt:i4>5</vt:i4>
      </vt:variant>
      <vt:variant>
        <vt:lpwstr>http://www.teara.govt.nz/en/care-and-carers/page-4</vt:lpwstr>
      </vt:variant>
      <vt:variant>
        <vt:lpwstr/>
      </vt:variant>
      <vt:variant>
        <vt:i4>983051</vt:i4>
      </vt:variant>
      <vt:variant>
        <vt:i4>27</vt:i4>
      </vt:variant>
      <vt:variant>
        <vt:i4>0</vt:i4>
      </vt:variant>
      <vt:variant>
        <vt:i4>5</vt:i4>
      </vt:variant>
      <vt:variant>
        <vt:lpwstr>https://www.sense.org.uk/information-and-advice/ableism-and-disablism</vt:lpwstr>
      </vt:variant>
      <vt:variant>
        <vt:lpwstr/>
      </vt:variant>
      <vt:variant>
        <vt:i4>3276847</vt:i4>
      </vt:variant>
      <vt:variant>
        <vt:i4>24</vt:i4>
      </vt:variant>
      <vt:variant>
        <vt:i4>0</vt:i4>
      </vt:variant>
      <vt:variant>
        <vt:i4>5</vt:i4>
      </vt:variant>
      <vt:variant>
        <vt:lpwstr>https://nmaahc.si.edu/learn/talking-about-race/topics/being-antiracist</vt:lpwstr>
      </vt:variant>
      <vt:variant>
        <vt:lpwstr/>
      </vt:variant>
      <vt:variant>
        <vt:i4>4980749</vt:i4>
      </vt:variant>
      <vt:variant>
        <vt:i4>21</vt:i4>
      </vt:variant>
      <vt:variant>
        <vt:i4>0</vt:i4>
      </vt:variant>
      <vt:variant>
        <vt:i4>5</vt:i4>
      </vt:variant>
      <vt:variant>
        <vt:lpwstr>http://www.teara.govt.nz/en/te-tango-whenua-maori-land-alienation</vt:lpwstr>
      </vt:variant>
      <vt:variant>
        <vt:lpwstr/>
      </vt:variant>
      <vt:variant>
        <vt:i4>4980749</vt:i4>
      </vt:variant>
      <vt:variant>
        <vt:i4>18</vt:i4>
      </vt:variant>
      <vt:variant>
        <vt:i4>0</vt:i4>
      </vt:variant>
      <vt:variant>
        <vt:i4>5</vt:i4>
      </vt:variant>
      <vt:variant>
        <vt:lpwstr>http://www.teara.govt.nz/en/te-tango-whenua-maori-land-alienation</vt:lpwstr>
      </vt:variant>
      <vt:variant>
        <vt:lpwstr/>
      </vt:variant>
      <vt:variant>
        <vt:i4>1179669</vt:i4>
      </vt:variant>
      <vt:variant>
        <vt:i4>15</vt:i4>
      </vt:variant>
      <vt:variant>
        <vt:i4>0</vt:i4>
      </vt:variant>
      <vt:variant>
        <vt:i4>5</vt:i4>
      </vt:variant>
      <vt:variant>
        <vt:lpwstr>https://www.parliament.uk/about/living-heritage/transformingsociety/livinglearning/19thcentury/overview/poorlaw/</vt:lpwstr>
      </vt:variant>
      <vt:variant>
        <vt:lpwstr/>
      </vt:variant>
      <vt:variant>
        <vt:i4>1245215</vt:i4>
      </vt:variant>
      <vt:variant>
        <vt:i4>12</vt:i4>
      </vt:variant>
      <vt:variant>
        <vt:i4>0</vt:i4>
      </vt:variant>
      <vt:variant>
        <vt:i4>5</vt:i4>
      </vt:variant>
      <vt:variant>
        <vt:lpwstr>https://www.ashburn.co.nz/about/</vt:lpwstr>
      </vt:variant>
      <vt:variant>
        <vt:lpwstr/>
      </vt:variant>
      <vt:variant>
        <vt:i4>1441803</vt:i4>
      </vt:variant>
      <vt:variant>
        <vt:i4>9</vt:i4>
      </vt:variant>
      <vt:variant>
        <vt:i4>0</vt:i4>
      </vt:variant>
      <vt:variant>
        <vt:i4>5</vt:i4>
      </vt:variant>
      <vt:variant>
        <vt:lpwstr>https://nzhistory.govt.nz/culture/immigration/home-away-from-home/summary</vt:lpwstr>
      </vt:variant>
      <vt:variant>
        <vt:lpwstr/>
      </vt:variant>
      <vt:variant>
        <vt:i4>7471161</vt:i4>
      </vt:variant>
      <vt:variant>
        <vt:i4>6</vt:i4>
      </vt:variant>
      <vt:variant>
        <vt:i4>0</vt:i4>
      </vt:variant>
      <vt:variant>
        <vt:i4>5</vt:i4>
      </vt:variant>
      <vt:variant>
        <vt:lpwstr>https://teara.govt.nz/en/biographies/1s11/shortland-edward</vt:lpwstr>
      </vt:variant>
      <vt:variant>
        <vt:lpwstr/>
      </vt:variant>
      <vt:variant>
        <vt:i4>7864440</vt:i4>
      </vt:variant>
      <vt:variant>
        <vt:i4>3</vt:i4>
      </vt:variant>
      <vt:variant>
        <vt:i4>0</vt:i4>
      </vt:variant>
      <vt:variant>
        <vt:i4>5</vt:i4>
      </vt:variant>
      <vt:variant>
        <vt:lpwstr>http://www.marsdenarchive.otago.ac.nz/MS_0176_001</vt:lpwstr>
      </vt:variant>
      <vt:variant>
        <vt:lpwstr/>
      </vt:variant>
      <vt:variant>
        <vt:i4>7274606</vt:i4>
      </vt:variant>
      <vt:variant>
        <vt:i4>0</vt:i4>
      </vt:variant>
      <vt:variant>
        <vt:i4>0</vt:i4>
      </vt:variant>
      <vt:variant>
        <vt:i4>5</vt:i4>
      </vt:variant>
      <vt:variant>
        <vt:lpwstr>http://www.teara.govt.nz/en/whakapapa-genealogy/page-1</vt:lpwstr>
      </vt:variant>
      <vt:variant>
        <vt:lpwstr/>
      </vt:variant>
      <vt:variant>
        <vt:i4>7536719</vt:i4>
      </vt:variant>
      <vt:variant>
        <vt:i4>39</vt:i4>
      </vt:variant>
      <vt:variant>
        <vt:i4>0</vt:i4>
      </vt:variant>
      <vt:variant>
        <vt:i4>5</vt:i4>
      </vt:variant>
      <vt:variant>
        <vt:lpwstr>mailto:Benesia.Smith@abuseincare.org.nz</vt:lpwstr>
      </vt:variant>
      <vt:variant>
        <vt:lpwstr/>
      </vt:variant>
      <vt:variant>
        <vt:i4>7798878</vt:i4>
      </vt:variant>
      <vt:variant>
        <vt:i4>36</vt:i4>
      </vt:variant>
      <vt:variant>
        <vt:i4>0</vt:i4>
      </vt:variant>
      <vt:variant>
        <vt:i4>5</vt:i4>
      </vt:variant>
      <vt:variant>
        <vt:lpwstr>mailto:Mae.Newey@abuseincare.org.nz</vt:lpwstr>
      </vt:variant>
      <vt:variant>
        <vt:lpwstr/>
      </vt:variant>
      <vt:variant>
        <vt:i4>1572924</vt:i4>
      </vt:variant>
      <vt:variant>
        <vt:i4>33</vt:i4>
      </vt:variant>
      <vt:variant>
        <vt:i4>0</vt:i4>
      </vt:variant>
      <vt:variant>
        <vt:i4>5</vt:i4>
      </vt:variant>
      <vt:variant>
        <vt:lpwstr>mailto:Healy.Jones@abuseincare.org.nz</vt:lpwstr>
      </vt:variant>
      <vt:variant>
        <vt:lpwstr/>
      </vt:variant>
      <vt:variant>
        <vt:i4>1572924</vt:i4>
      </vt:variant>
      <vt:variant>
        <vt:i4>30</vt:i4>
      </vt:variant>
      <vt:variant>
        <vt:i4>0</vt:i4>
      </vt:variant>
      <vt:variant>
        <vt:i4>5</vt:i4>
      </vt:variant>
      <vt:variant>
        <vt:lpwstr>mailto:Healy.Jones@abuseincare.org.nz</vt:lpwstr>
      </vt:variant>
      <vt:variant>
        <vt:lpwstr/>
      </vt:variant>
      <vt:variant>
        <vt:i4>1572924</vt:i4>
      </vt:variant>
      <vt:variant>
        <vt:i4>27</vt:i4>
      </vt:variant>
      <vt:variant>
        <vt:i4>0</vt:i4>
      </vt:variant>
      <vt:variant>
        <vt:i4>5</vt:i4>
      </vt:variant>
      <vt:variant>
        <vt:lpwstr>mailto:Healy.Jones@abuseincare.org.nz</vt:lpwstr>
      </vt:variant>
      <vt:variant>
        <vt:lpwstr/>
      </vt:variant>
      <vt:variant>
        <vt:i4>1572924</vt:i4>
      </vt:variant>
      <vt:variant>
        <vt:i4>24</vt:i4>
      </vt:variant>
      <vt:variant>
        <vt:i4>0</vt:i4>
      </vt:variant>
      <vt:variant>
        <vt:i4>5</vt:i4>
      </vt:variant>
      <vt:variant>
        <vt:lpwstr>mailto:Healy.Jones@abuseincare.org.nz</vt:lpwstr>
      </vt:variant>
      <vt:variant>
        <vt:lpwstr/>
      </vt:variant>
      <vt:variant>
        <vt:i4>1572924</vt:i4>
      </vt:variant>
      <vt:variant>
        <vt:i4>21</vt:i4>
      </vt:variant>
      <vt:variant>
        <vt:i4>0</vt:i4>
      </vt:variant>
      <vt:variant>
        <vt:i4>5</vt:i4>
      </vt:variant>
      <vt:variant>
        <vt:lpwstr>mailto:Healy.Jones@abuseincare.org.nz</vt:lpwstr>
      </vt:variant>
      <vt:variant>
        <vt:lpwstr/>
      </vt:variant>
      <vt:variant>
        <vt:i4>1572924</vt:i4>
      </vt:variant>
      <vt:variant>
        <vt:i4>18</vt:i4>
      </vt:variant>
      <vt:variant>
        <vt:i4>0</vt:i4>
      </vt:variant>
      <vt:variant>
        <vt:i4>5</vt:i4>
      </vt:variant>
      <vt:variant>
        <vt:lpwstr>mailto:Healy.Jones@abuseincare.org.nz</vt:lpwstr>
      </vt:variant>
      <vt:variant>
        <vt:lpwstr/>
      </vt:variant>
      <vt:variant>
        <vt:i4>1572924</vt:i4>
      </vt:variant>
      <vt:variant>
        <vt:i4>15</vt:i4>
      </vt:variant>
      <vt:variant>
        <vt:i4>0</vt:i4>
      </vt:variant>
      <vt:variant>
        <vt:i4>5</vt:i4>
      </vt:variant>
      <vt:variant>
        <vt:lpwstr>mailto:Healy.Jones@abuseincare.org.nz</vt:lpwstr>
      </vt:variant>
      <vt:variant>
        <vt:lpwstr/>
      </vt:variant>
      <vt:variant>
        <vt:i4>1572924</vt:i4>
      </vt:variant>
      <vt:variant>
        <vt:i4>12</vt:i4>
      </vt:variant>
      <vt:variant>
        <vt:i4>0</vt:i4>
      </vt:variant>
      <vt:variant>
        <vt:i4>5</vt:i4>
      </vt:variant>
      <vt:variant>
        <vt:lpwstr>mailto:Healy.Jones@abuseincare.org.nz</vt:lpwstr>
      </vt:variant>
      <vt:variant>
        <vt:lpwstr/>
      </vt:variant>
      <vt:variant>
        <vt:i4>1572924</vt:i4>
      </vt:variant>
      <vt:variant>
        <vt:i4>9</vt:i4>
      </vt:variant>
      <vt:variant>
        <vt:i4>0</vt:i4>
      </vt:variant>
      <vt:variant>
        <vt:i4>5</vt:i4>
      </vt:variant>
      <vt:variant>
        <vt:lpwstr>mailto:Healy.Jones@abuseincare.org.nz</vt:lpwstr>
      </vt:variant>
      <vt:variant>
        <vt:lpwstr/>
      </vt:variant>
      <vt:variant>
        <vt:i4>1572924</vt:i4>
      </vt:variant>
      <vt:variant>
        <vt:i4>6</vt:i4>
      </vt:variant>
      <vt:variant>
        <vt:i4>0</vt:i4>
      </vt:variant>
      <vt:variant>
        <vt:i4>5</vt:i4>
      </vt:variant>
      <vt:variant>
        <vt:lpwstr>mailto:Healy.Jones@abuseincare.org.nz</vt:lpwstr>
      </vt:variant>
      <vt:variant>
        <vt:lpwstr/>
      </vt:variant>
      <vt:variant>
        <vt:i4>1572924</vt:i4>
      </vt:variant>
      <vt:variant>
        <vt:i4>3</vt:i4>
      </vt:variant>
      <vt:variant>
        <vt:i4>0</vt:i4>
      </vt:variant>
      <vt:variant>
        <vt:i4>5</vt:i4>
      </vt:variant>
      <vt:variant>
        <vt:lpwstr>mailto:Healy.Jones@abuseincare.org.nz</vt:lpwstr>
      </vt:variant>
      <vt:variant>
        <vt:lpwstr/>
      </vt:variant>
      <vt:variant>
        <vt:i4>1572924</vt:i4>
      </vt:variant>
      <vt:variant>
        <vt:i4>0</vt:i4>
      </vt:variant>
      <vt:variant>
        <vt:i4>0</vt:i4>
      </vt:variant>
      <vt:variant>
        <vt:i4>5</vt:i4>
      </vt:variant>
      <vt:variant>
        <vt:lpwstr>mailto:Healy.Jones@abuseincare.org.nz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Coleman-Walker</dc:creator>
  <cp:keywords/>
  <dc:description/>
  <cp:lastModifiedBy>Benesia Smith</cp:lastModifiedBy>
  <cp:revision>257</cp:revision>
  <cp:lastPrinted>2023-12-14T13:47:00Z</cp:lastPrinted>
  <dcterms:created xsi:type="dcterms:W3CDTF">2024-10-03T02:20:00Z</dcterms:created>
  <dcterms:modified xsi:type="dcterms:W3CDTF">2024-10-28T19:49:00Z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y fmtid="{D5CDD505-2E9C-101B-9397-08002B2CF9AE}" pid="4" name="GrammarlyDocumentId">
    <vt:lpwstr>73772366cd657508b4878442907c9b06ee193a2fcab8d2a2c6a6ab8122f623d0</vt:lpwstr>
  </property>
</Properties>
</file>