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675EA" w14:textId="4190E459" w:rsidR="007965D3" w:rsidRPr="00120158" w:rsidRDefault="007965D3" w:rsidP="00120158">
      <w:pPr>
        <w:pStyle w:val="body"/>
        <w:rPr>
          <w:b/>
          <w:bCs/>
          <w:color w:val="538135" w:themeColor="accent6" w:themeShade="BF"/>
          <w:sz w:val="44"/>
          <w:szCs w:val="44"/>
        </w:rPr>
      </w:pPr>
      <w:bookmarkStart w:id="0" w:name="_Toc178855267"/>
      <w:bookmarkStart w:id="1" w:name="_Toc178855366"/>
      <w:bookmarkStart w:id="2" w:name="_Toc178855471"/>
      <w:bookmarkStart w:id="3" w:name="_Toc147850572"/>
      <w:r w:rsidRPr="00120158">
        <w:rPr>
          <w:b/>
          <w:bCs/>
          <w:color w:val="538135" w:themeColor="accent6" w:themeShade="BF"/>
          <w:sz w:val="44"/>
          <w:szCs w:val="44"/>
        </w:rPr>
        <w:t>Wāhanga 8: Tiritiria ki toi whenua</w:t>
      </w:r>
      <w:bookmarkEnd w:id="0"/>
      <w:bookmarkEnd w:id="1"/>
      <w:bookmarkEnd w:id="2"/>
    </w:p>
    <w:p w14:paraId="69F4A19C" w14:textId="7D5C2788" w:rsidR="00F54E52" w:rsidRPr="00120158" w:rsidRDefault="009A2448" w:rsidP="00120158">
      <w:pPr>
        <w:pStyle w:val="body"/>
        <w:rPr>
          <w:b/>
          <w:bCs/>
          <w:color w:val="538135" w:themeColor="accent6" w:themeShade="BF"/>
          <w:sz w:val="44"/>
          <w:szCs w:val="44"/>
        </w:rPr>
      </w:pPr>
      <w:bookmarkStart w:id="4" w:name="_Toc178855268"/>
      <w:bookmarkStart w:id="5" w:name="_Toc178855367"/>
      <w:bookmarkStart w:id="6" w:name="_Toc178855472"/>
      <w:r w:rsidRPr="00120158">
        <w:rPr>
          <w:b/>
          <w:bCs/>
          <w:color w:val="538135" w:themeColor="accent6" w:themeShade="BF"/>
          <w:sz w:val="44"/>
          <w:szCs w:val="44"/>
        </w:rPr>
        <w:t xml:space="preserve">Part </w:t>
      </w:r>
      <w:r w:rsidR="009D6351" w:rsidRPr="00120158">
        <w:rPr>
          <w:b/>
          <w:bCs/>
          <w:color w:val="538135" w:themeColor="accent6" w:themeShade="BF"/>
          <w:sz w:val="44"/>
          <w:szCs w:val="44"/>
        </w:rPr>
        <w:t>8</w:t>
      </w:r>
      <w:r w:rsidRPr="00120158">
        <w:rPr>
          <w:b/>
          <w:bCs/>
          <w:color w:val="538135" w:themeColor="accent6" w:themeShade="BF"/>
          <w:sz w:val="44"/>
          <w:szCs w:val="44"/>
        </w:rPr>
        <w:t xml:space="preserve">: </w:t>
      </w:r>
      <w:bookmarkEnd w:id="3"/>
      <w:r w:rsidR="00553329" w:rsidRPr="00120158">
        <w:rPr>
          <w:b/>
          <w:bCs/>
          <w:color w:val="538135" w:themeColor="accent6" w:themeShade="BF"/>
          <w:sz w:val="44"/>
          <w:szCs w:val="44"/>
        </w:rPr>
        <w:t>Puretumu Torowh</w:t>
      </w:r>
      <w:r w:rsidR="001B6395" w:rsidRPr="00120158">
        <w:rPr>
          <w:b/>
          <w:bCs/>
          <w:color w:val="538135" w:themeColor="accent6" w:themeShade="BF"/>
          <w:sz w:val="44"/>
          <w:szCs w:val="44"/>
        </w:rPr>
        <w:t>ā</w:t>
      </w:r>
      <w:r w:rsidR="00553329" w:rsidRPr="00120158">
        <w:rPr>
          <w:b/>
          <w:bCs/>
          <w:color w:val="538135" w:themeColor="accent6" w:themeShade="BF"/>
          <w:sz w:val="44"/>
          <w:szCs w:val="44"/>
        </w:rPr>
        <w:t>nui</w:t>
      </w:r>
      <w:r w:rsidR="00493746" w:rsidRPr="00120158">
        <w:rPr>
          <w:b/>
          <w:bCs/>
          <w:color w:val="538135" w:themeColor="accent6" w:themeShade="BF"/>
          <w:sz w:val="44"/>
          <w:szCs w:val="44"/>
        </w:rPr>
        <w:t xml:space="preserve">, Holistic </w:t>
      </w:r>
      <w:r w:rsidR="00A163C2" w:rsidRPr="00120158">
        <w:rPr>
          <w:b/>
          <w:bCs/>
          <w:color w:val="538135" w:themeColor="accent6" w:themeShade="BF"/>
          <w:sz w:val="44"/>
          <w:szCs w:val="44"/>
        </w:rPr>
        <w:t>R</w:t>
      </w:r>
      <w:r w:rsidR="00493746" w:rsidRPr="00120158">
        <w:rPr>
          <w:b/>
          <w:bCs/>
          <w:color w:val="538135" w:themeColor="accent6" w:themeShade="BF"/>
          <w:sz w:val="44"/>
          <w:szCs w:val="44"/>
        </w:rPr>
        <w:t>edress</w:t>
      </w:r>
      <w:bookmarkEnd w:id="4"/>
      <w:bookmarkEnd w:id="5"/>
      <w:bookmarkEnd w:id="6"/>
    </w:p>
    <w:p w14:paraId="5B241E49" w14:textId="77777777" w:rsidR="009778AC" w:rsidRPr="00195D95" w:rsidRDefault="009778AC" w:rsidP="00F54E52">
      <w:pPr>
        <w:spacing w:after="200"/>
        <w:rPr>
          <w:rFonts w:ascii="Helvetica" w:hAnsi="Helvetica"/>
          <w:color w:val="4F7D29"/>
          <w:sz w:val="24"/>
        </w:rPr>
      </w:pPr>
    </w:p>
    <w:p w14:paraId="1376AAC2" w14:textId="77777777" w:rsidR="00BD2C84" w:rsidRDefault="00BD2C84" w:rsidP="00F54E52">
      <w:pPr>
        <w:spacing w:after="200"/>
        <w:rPr>
          <w:rFonts w:ascii="Helvetica" w:hAnsi="Helvetica"/>
          <w:color w:val="4F7D29"/>
          <w:sz w:val="24"/>
        </w:rPr>
      </w:pPr>
    </w:p>
    <w:p w14:paraId="68A5D93D" w14:textId="77777777" w:rsidR="00BD2C84" w:rsidRDefault="00BD2C84" w:rsidP="00F54E52">
      <w:pPr>
        <w:spacing w:after="200"/>
        <w:rPr>
          <w:rFonts w:ascii="Helvetica" w:hAnsi="Helvetica"/>
          <w:color w:val="4F7D29"/>
          <w:sz w:val="24"/>
        </w:rPr>
      </w:pPr>
    </w:p>
    <w:p w14:paraId="449E101F" w14:textId="77777777" w:rsidR="00BD2C84" w:rsidRDefault="00BD2C84" w:rsidP="00F54E52">
      <w:pPr>
        <w:spacing w:after="200"/>
        <w:rPr>
          <w:rFonts w:ascii="Helvetica" w:hAnsi="Helvetica"/>
          <w:color w:val="4F7D29"/>
          <w:sz w:val="24"/>
        </w:rPr>
      </w:pPr>
    </w:p>
    <w:p w14:paraId="3FE4FA6F" w14:textId="77777777" w:rsidR="00BD2C84" w:rsidRDefault="00BD2C84" w:rsidP="00F54E52">
      <w:pPr>
        <w:spacing w:after="200"/>
        <w:rPr>
          <w:rFonts w:ascii="Helvetica" w:hAnsi="Helvetica"/>
          <w:color w:val="4F7D29"/>
          <w:sz w:val="24"/>
        </w:rPr>
      </w:pPr>
    </w:p>
    <w:p w14:paraId="43E3DC2D" w14:textId="0A000BEB" w:rsidR="00BD2C84" w:rsidRDefault="00914DA1" w:rsidP="00F54E52">
      <w:pPr>
        <w:spacing w:after="200"/>
        <w:rPr>
          <w:rFonts w:ascii="Helvetica" w:hAnsi="Helvetica"/>
          <w:color w:val="4F7D29"/>
          <w:sz w:val="24"/>
        </w:rPr>
      </w:pPr>
      <w:r>
        <w:rPr>
          <w:rFonts w:ascii="Helvetica" w:hAnsi="Helvetica"/>
          <w:color w:val="4F7D29"/>
          <w:sz w:val="24"/>
        </w:rPr>
        <w:t xml:space="preserve">[image: a New Zealand bellbird / </w:t>
      </w:r>
      <w:r w:rsidR="000A0B3A">
        <w:rPr>
          <w:rFonts w:ascii="Helvetica" w:hAnsi="Helvetica"/>
          <w:color w:val="4F7D29"/>
          <w:sz w:val="24"/>
        </w:rPr>
        <w:t>korimako</w:t>
      </w:r>
      <w:r w:rsidR="00096036">
        <w:rPr>
          <w:rFonts w:ascii="Helvetica" w:hAnsi="Helvetica"/>
          <w:color w:val="4F7D29"/>
          <w:sz w:val="24"/>
        </w:rPr>
        <w:t xml:space="preserve"> is standing on a </w:t>
      </w:r>
      <w:r w:rsidR="00AD294F">
        <w:rPr>
          <w:rFonts w:ascii="Helvetica" w:hAnsi="Helvetica"/>
          <w:color w:val="4F7D29"/>
          <w:sz w:val="24"/>
        </w:rPr>
        <w:t xml:space="preserve">branch of a </w:t>
      </w:r>
      <w:r w:rsidR="005B338E">
        <w:rPr>
          <w:rFonts w:ascii="Helvetica" w:hAnsi="Helvetica"/>
          <w:color w:val="4F7D29"/>
          <w:sz w:val="24"/>
        </w:rPr>
        <w:t>flowering New Zealand f</w:t>
      </w:r>
      <w:r w:rsidR="00AD294F">
        <w:rPr>
          <w:rFonts w:ascii="Helvetica" w:hAnsi="Helvetica"/>
          <w:color w:val="4F7D29"/>
          <w:sz w:val="24"/>
        </w:rPr>
        <w:t>l</w:t>
      </w:r>
      <w:r w:rsidR="005B338E">
        <w:rPr>
          <w:rFonts w:ascii="Helvetica" w:hAnsi="Helvetica"/>
          <w:color w:val="4F7D29"/>
          <w:sz w:val="24"/>
        </w:rPr>
        <w:t>ax</w:t>
      </w:r>
      <w:r w:rsidR="00AD294F">
        <w:rPr>
          <w:rFonts w:ascii="Helvetica" w:hAnsi="Helvetica"/>
          <w:color w:val="4F7D29"/>
          <w:sz w:val="24"/>
        </w:rPr>
        <w:t xml:space="preserve"> bush / harakeke].  </w:t>
      </w:r>
      <w:r>
        <w:rPr>
          <w:rFonts w:ascii="Helvetica" w:hAnsi="Helvetica"/>
          <w:color w:val="4F7D29"/>
          <w:sz w:val="24"/>
        </w:rPr>
        <w:t xml:space="preserve"> </w:t>
      </w:r>
    </w:p>
    <w:p w14:paraId="7ABA387B" w14:textId="77777777" w:rsidR="00BD2C84" w:rsidRPr="00195D95" w:rsidRDefault="00BD2C84" w:rsidP="00F54E52">
      <w:pPr>
        <w:spacing w:after="200"/>
        <w:rPr>
          <w:rFonts w:ascii="Helvetica" w:hAnsi="Helvetica"/>
          <w:color w:val="4F7D29"/>
          <w:sz w:val="24"/>
        </w:rPr>
      </w:pPr>
    </w:p>
    <w:p w14:paraId="68E8C31F" w14:textId="00767449" w:rsidR="00B723F2" w:rsidRPr="00195D95" w:rsidRDefault="00F54E52" w:rsidP="00F54E52">
      <w:pPr>
        <w:spacing w:after="200"/>
        <w:rPr>
          <w:rFonts w:ascii="Helvetica" w:hAnsi="Helvetica"/>
          <w:color w:val="4F7D29"/>
          <w:sz w:val="24"/>
        </w:rPr>
      </w:pPr>
      <w:r w:rsidRPr="00195D95">
        <w:rPr>
          <w:rFonts w:ascii="Helvetica" w:hAnsi="Helvetica"/>
          <w:color w:val="4F7D29"/>
          <w:sz w:val="24"/>
        </w:rPr>
        <w:t>THROUGH PAIN AND TRAUMA, FROM DARKNESS TO LIGHT</w:t>
      </w:r>
    </w:p>
    <w:p w14:paraId="1829407F" w14:textId="77777777" w:rsidR="00983F67" w:rsidRDefault="00983F67" w:rsidP="00983F67">
      <w:pPr>
        <w:pStyle w:val="BodyText"/>
        <w:rPr>
          <w:rFonts w:ascii="Arial" w:hAnsi="Arial" w:cs="Arial"/>
        </w:rPr>
      </w:pPr>
    </w:p>
    <w:p w14:paraId="5907BC95" w14:textId="77777777" w:rsidR="00983F67" w:rsidRDefault="00983F67" w:rsidP="00983F67">
      <w:pPr>
        <w:pStyle w:val="BodyText"/>
        <w:rPr>
          <w:rFonts w:ascii="Arial" w:hAnsi="Arial" w:cs="Arial"/>
        </w:rPr>
      </w:pPr>
    </w:p>
    <w:p w14:paraId="14D5CA92" w14:textId="77777777" w:rsidR="00983F67" w:rsidRDefault="00983F67" w:rsidP="00983F67">
      <w:pPr>
        <w:pStyle w:val="BodyText"/>
        <w:rPr>
          <w:rFonts w:ascii="Arial" w:hAnsi="Arial" w:cs="Arial"/>
        </w:rPr>
      </w:pPr>
    </w:p>
    <w:p w14:paraId="03B0F495" w14:textId="77777777" w:rsidR="00983F67" w:rsidRDefault="00983F67" w:rsidP="00983F67">
      <w:pPr>
        <w:pStyle w:val="BodyText"/>
        <w:rPr>
          <w:rFonts w:ascii="Arial" w:hAnsi="Arial" w:cs="Arial"/>
        </w:rPr>
      </w:pPr>
    </w:p>
    <w:p w14:paraId="3F461321" w14:textId="77777777" w:rsidR="00983F67" w:rsidRDefault="00983F67" w:rsidP="00983F67">
      <w:pPr>
        <w:pStyle w:val="BodyText"/>
        <w:rPr>
          <w:rFonts w:ascii="Arial" w:hAnsi="Arial" w:cs="Arial"/>
        </w:rPr>
      </w:pPr>
    </w:p>
    <w:p w14:paraId="2A69F0DB" w14:textId="77777777" w:rsidR="00983F67" w:rsidRDefault="00983F67" w:rsidP="00983F67">
      <w:pPr>
        <w:pStyle w:val="BodyText"/>
        <w:rPr>
          <w:rFonts w:ascii="Arial" w:hAnsi="Arial" w:cs="Arial"/>
        </w:rPr>
      </w:pPr>
    </w:p>
    <w:p w14:paraId="521A1044" w14:textId="77777777" w:rsidR="00983F67" w:rsidRDefault="00983F67" w:rsidP="00983F67">
      <w:pPr>
        <w:pStyle w:val="BodyText"/>
        <w:rPr>
          <w:rFonts w:ascii="Arial" w:hAnsi="Arial" w:cs="Arial"/>
        </w:rPr>
      </w:pPr>
    </w:p>
    <w:p w14:paraId="0242D82C" w14:textId="77777777" w:rsidR="00983F67" w:rsidRDefault="00983F67" w:rsidP="00983F67">
      <w:pPr>
        <w:pStyle w:val="BodyText"/>
        <w:rPr>
          <w:rFonts w:ascii="Arial" w:hAnsi="Arial" w:cs="Arial"/>
        </w:rPr>
      </w:pPr>
    </w:p>
    <w:p w14:paraId="16251852" w14:textId="77777777" w:rsidR="00983F67" w:rsidRDefault="00983F67" w:rsidP="00983F67">
      <w:pPr>
        <w:pStyle w:val="BodyText"/>
        <w:rPr>
          <w:rFonts w:ascii="Arial" w:hAnsi="Arial" w:cs="Arial"/>
        </w:rPr>
      </w:pPr>
    </w:p>
    <w:p w14:paraId="57E6D3FC" w14:textId="77777777" w:rsidR="00983F67" w:rsidRDefault="00983F67" w:rsidP="00983F67">
      <w:pPr>
        <w:pStyle w:val="BodyText"/>
        <w:rPr>
          <w:rFonts w:ascii="Arial" w:hAnsi="Arial" w:cs="Arial"/>
        </w:rPr>
      </w:pPr>
    </w:p>
    <w:p w14:paraId="5BFD2E0E" w14:textId="77777777" w:rsidR="00983F67" w:rsidRDefault="00983F67" w:rsidP="00983F67">
      <w:pPr>
        <w:pStyle w:val="BodyText"/>
        <w:rPr>
          <w:rFonts w:ascii="Arial" w:hAnsi="Arial" w:cs="Arial"/>
        </w:rPr>
      </w:pPr>
    </w:p>
    <w:p w14:paraId="225CCED4" w14:textId="77777777" w:rsidR="00983F67" w:rsidRDefault="00983F67" w:rsidP="00983F67">
      <w:pPr>
        <w:pStyle w:val="BodyText"/>
        <w:rPr>
          <w:rFonts w:ascii="Arial" w:hAnsi="Arial" w:cs="Arial"/>
        </w:rPr>
      </w:pPr>
    </w:p>
    <w:p w14:paraId="450269D5" w14:textId="77777777" w:rsidR="00983F67" w:rsidRDefault="00983F67" w:rsidP="00983F67">
      <w:pPr>
        <w:pStyle w:val="BodyText"/>
        <w:rPr>
          <w:rFonts w:ascii="Arial" w:hAnsi="Arial" w:cs="Arial"/>
        </w:rPr>
      </w:pPr>
    </w:p>
    <w:p w14:paraId="6EC94373" w14:textId="77777777" w:rsidR="00983F67" w:rsidRDefault="00983F67" w:rsidP="00983F67">
      <w:pPr>
        <w:pStyle w:val="BodyText"/>
        <w:rPr>
          <w:rFonts w:ascii="Arial" w:hAnsi="Arial" w:cs="Arial"/>
        </w:rPr>
      </w:pPr>
    </w:p>
    <w:p w14:paraId="52374AAA" w14:textId="77777777" w:rsidR="00550862" w:rsidRDefault="00550862">
      <w:pPr>
        <w:spacing w:after="160"/>
        <w:rPr>
          <w:rFonts w:ascii="Arial" w:hAnsi="Arial" w:cs="Arial"/>
        </w:rPr>
      </w:pPr>
      <w:r>
        <w:rPr>
          <w:rFonts w:ascii="Arial" w:hAnsi="Arial" w:cs="Arial"/>
        </w:rPr>
        <w:br w:type="page"/>
      </w:r>
    </w:p>
    <w:p w14:paraId="534DEDBC" w14:textId="77777777" w:rsidR="00866671" w:rsidRDefault="00866671" w:rsidP="00983F67">
      <w:pPr>
        <w:pStyle w:val="BodyText"/>
        <w:rPr>
          <w:rFonts w:ascii="Arial" w:hAnsi="Arial" w:cs="Arial"/>
        </w:rPr>
      </w:pPr>
    </w:p>
    <w:p w14:paraId="617A408A" w14:textId="77777777" w:rsidR="00866671" w:rsidRDefault="00866671" w:rsidP="00983F67">
      <w:pPr>
        <w:pStyle w:val="BodyText"/>
        <w:rPr>
          <w:rFonts w:ascii="Arial" w:hAnsi="Arial" w:cs="Arial"/>
        </w:rPr>
      </w:pPr>
    </w:p>
    <w:p w14:paraId="7FBC928A" w14:textId="77777777" w:rsidR="00866671" w:rsidRDefault="00866671" w:rsidP="00983F67">
      <w:pPr>
        <w:pStyle w:val="BodyText"/>
        <w:rPr>
          <w:rFonts w:ascii="Arial" w:hAnsi="Arial" w:cs="Arial"/>
        </w:rPr>
      </w:pPr>
    </w:p>
    <w:p w14:paraId="68E29777" w14:textId="77777777" w:rsidR="00866671" w:rsidRDefault="00866671" w:rsidP="00983F67">
      <w:pPr>
        <w:pStyle w:val="BodyText"/>
        <w:rPr>
          <w:rFonts w:ascii="Arial" w:hAnsi="Arial" w:cs="Arial"/>
        </w:rPr>
      </w:pPr>
    </w:p>
    <w:p w14:paraId="51F1394F" w14:textId="77777777" w:rsidR="00866671" w:rsidRDefault="00866671" w:rsidP="00983F67">
      <w:pPr>
        <w:pStyle w:val="BodyText"/>
        <w:rPr>
          <w:rFonts w:ascii="Arial" w:hAnsi="Arial" w:cs="Arial"/>
        </w:rPr>
      </w:pPr>
    </w:p>
    <w:p w14:paraId="12D683BF" w14:textId="77777777" w:rsidR="00866671" w:rsidRDefault="00866671" w:rsidP="00983F67">
      <w:pPr>
        <w:pStyle w:val="BodyText"/>
        <w:rPr>
          <w:rFonts w:ascii="Arial" w:hAnsi="Arial" w:cs="Arial"/>
        </w:rPr>
      </w:pPr>
    </w:p>
    <w:p w14:paraId="024CABC7" w14:textId="77777777" w:rsidR="00866671" w:rsidRDefault="00866671" w:rsidP="00983F67">
      <w:pPr>
        <w:pStyle w:val="BodyText"/>
        <w:rPr>
          <w:rFonts w:ascii="Arial" w:hAnsi="Arial" w:cs="Arial"/>
        </w:rPr>
      </w:pPr>
    </w:p>
    <w:p w14:paraId="48DFB351" w14:textId="77777777" w:rsidR="00866671" w:rsidRDefault="00866671" w:rsidP="00983F67">
      <w:pPr>
        <w:pStyle w:val="BodyText"/>
        <w:rPr>
          <w:rFonts w:ascii="Arial" w:hAnsi="Arial" w:cs="Arial"/>
        </w:rPr>
      </w:pPr>
    </w:p>
    <w:p w14:paraId="12DFC942" w14:textId="77777777" w:rsidR="00866671" w:rsidRDefault="00866671" w:rsidP="00983F67">
      <w:pPr>
        <w:pStyle w:val="BodyText"/>
        <w:rPr>
          <w:rFonts w:ascii="Arial" w:hAnsi="Arial" w:cs="Arial"/>
        </w:rPr>
      </w:pPr>
    </w:p>
    <w:p w14:paraId="50B3B353" w14:textId="77777777" w:rsidR="00866671" w:rsidRDefault="00866671" w:rsidP="00983F67">
      <w:pPr>
        <w:pStyle w:val="BodyText"/>
        <w:rPr>
          <w:rFonts w:ascii="Arial" w:hAnsi="Arial" w:cs="Arial"/>
        </w:rPr>
      </w:pPr>
    </w:p>
    <w:p w14:paraId="49AAAF9E" w14:textId="77777777" w:rsidR="00866671" w:rsidRDefault="00866671" w:rsidP="00983F67">
      <w:pPr>
        <w:pStyle w:val="BodyText"/>
        <w:rPr>
          <w:rFonts w:ascii="Arial" w:hAnsi="Arial" w:cs="Arial"/>
        </w:rPr>
      </w:pPr>
    </w:p>
    <w:p w14:paraId="4EEBE436" w14:textId="77777777" w:rsidR="00866671" w:rsidRDefault="00866671" w:rsidP="00983F67">
      <w:pPr>
        <w:pStyle w:val="BodyText"/>
        <w:rPr>
          <w:rFonts w:ascii="Arial" w:hAnsi="Arial" w:cs="Arial"/>
        </w:rPr>
      </w:pPr>
    </w:p>
    <w:p w14:paraId="47ED2C78" w14:textId="77777777" w:rsidR="00866671" w:rsidRDefault="00866671" w:rsidP="00983F67">
      <w:pPr>
        <w:pStyle w:val="BodyText"/>
        <w:rPr>
          <w:rFonts w:ascii="Arial" w:hAnsi="Arial" w:cs="Arial"/>
        </w:rPr>
      </w:pPr>
    </w:p>
    <w:p w14:paraId="6FFE5CDB" w14:textId="77777777" w:rsidR="00866671" w:rsidRDefault="00866671" w:rsidP="00983F67">
      <w:pPr>
        <w:pStyle w:val="BodyText"/>
        <w:rPr>
          <w:rFonts w:ascii="Arial" w:hAnsi="Arial" w:cs="Arial"/>
        </w:rPr>
      </w:pPr>
    </w:p>
    <w:p w14:paraId="21E7D113" w14:textId="77777777" w:rsidR="00866671" w:rsidRDefault="00866671" w:rsidP="00983F67">
      <w:pPr>
        <w:pStyle w:val="BodyText"/>
        <w:rPr>
          <w:rFonts w:ascii="Arial" w:hAnsi="Arial" w:cs="Arial"/>
        </w:rPr>
      </w:pPr>
    </w:p>
    <w:p w14:paraId="75A7C411" w14:textId="77777777" w:rsidR="00866671" w:rsidRDefault="00866671" w:rsidP="00983F67">
      <w:pPr>
        <w:pStyle w:val="BodyText"/>
        <w:rPr>
          <w:rFonts w:ascii="Arial" w:hAnsi="Arial" w:cs="Arial"/>
        </w:rPr>
      </w:pPr>
    </w:p>
    <w:p w14:paraId="3480973C" w14:textId="77777777" w:rsidR="00866671" w:rsidRDefault="00866671" w:rsidP="00983F67">
      <w:pPr>
        <w:pStyle w:val="BodyText"/>
        <w:rPr>
          <w:rFonts w:ascii="Arial" w:hAnsi="Arial" w:cs="Arial"/>
        </w:rPr>
      </w:pPr>
    </w:p>
    <w:p w14:paraId="7EA42916" w14:textId="77777777" w:rsidR="00866671" w:rsidRDefault="00866671" w:rsidP="00983F67">
      <w:pPr>
        <w:pStyle w:val="BodyText"/>
        <w:rPr>
          <w:rFonts w:ascii="Arial" w:hAnsi="Arial" w:cs="Arial"/>
        </w:rPr>
      </w:pPr>
    </w:p>
    <w:p w14:paraId="11ED0E4C" w14:textId="77777777" w:rsidR="00866671" w:rsidRDefault="00866671" w:rsidP="00983F67">
      <w:pPr>
        <w:pStyle w:val="BodyText"/>
        <w:rPr>
          <w:rFonts w:ascii="Arial" w:hAnsi="Arial" w:cs="Arial"/>
        </w:rPr>
      </w:pPr>
    </w:p>
    <w:p w14:paraId="1184D614" w14:textId="77777777" w:rsidR="00866671" w:rsidRDefault="00866671" w:rsidP="00983F67">
      <w:pPr>
        <w:pStyle w:val="BodyText"/>
        <w:rPr>
          <w:rFonts w:ascii="Arial" w:hAnsi="Arial" w:cs="Arial"/>
        </w:rPr>
      </w:pPr>
    </w:p>
    <w:p w14:paraId="7F80D874" w14:textId="77777777" w:rsidR="00866671" w:rsidRDefault="00866671" w:rsidP="00983F67">
      <w:pPr>
        <w:pStyle w:val="BodyText"/>
        <w:rPr>
          <w:rFonts w:ascii="Arial" w:hAnsi="Arial" w:cs="Arial"/>
        </w:rPr>
      </w:pPr>
    </w:p>
    <w:p w14:paraId="6EC5C98E" w14:textId="77777777" w:rsidR="00866671" w:rsidRDefault="00866671" w:rsidP="00983F67">
      <w:pPr>
        <w:pStyle w:val="BodyText"/>
        <w:rPr>
          <w:rFonts w:ascii="Arial" w:hAnsi="Arial" w:cs="Arial"/>
        </w:rPr>
      </w:pPr>
    </w:p>
    <w:p w14:paraId="289AFEC2" w14:textId="77777777" w:rsidR="00866671" w:rsidRDefault="00866671" w:rsidP="00983F67">
      <w:pPr>
        <w:pStyle w:val="BodyText"/>
        <w:rPr>
          <w:rFonts w:ascii="Arial" w:hAnsi="Arial" w:cs="Arial"/>
        </w:rPr>
      </w:pPr>
    </w:p>
    <w:p w14:paraId="22C4F7D4" w14:textId="77777777" w:rsidR="00866671" w:rsidRDefault="00866671" w:rsidP="00983F67">
      <w:pPr>
        <w:pStyle w:val="BodyText"/>
        <w:rPr>
          <w:rFonts w:ascii="Arial" w:hAnsi="Arial" w:cs="Arial"/>
        </w:rPr>
      </w:pPr>
    </w:p>
    <w:p w14:paraId="1C19E765" w14:textId="77777777" w:rsidR="00866671" w:rsidRDefault="00866671" w:rsidP="00983F67">
      <w:pPr>
        <w:pStyle w:val="BodyText"/>
        <w:rPr>
          <w:rFonts w:ascii="Arial" w:hAnsi="Arial" w:cs="Arial"/>
        </w:rPr>
      </w:pPr>
    </w:p>
    <w:p w14:paraId="779694D9" w14:textId="77777777" w:rsidR="00866671" w:rsidRDefault="00866671" w:rsidP="00983F67">
      <w:pPr>
        <w:pStyle w:val="BodyText"/>
        <w:rPr>
          <w:rFonts w:ascii="Arial" w:hAnsi="Arial" w:cs="Arial"/>
        </w:rPr>
      </w:pPr>
    </w:p>
    <w:p w14:paraId="31F4AA62" w14:textId="77777777" w:rsidR="00866671" w:rsidRDefault="00866671" w:rsidP="00983F67">
      <w:pPr>
        <w:pStyle w:val="BodyText"/>
        <w:rPr>
          <w:rFonts w:ascii="Arial" w:hAnsi="Arial" w:cs="Arial"/>
        </w:rPr>
      </w:pPr>
    </w:p>
    <w:p w14:paraId="037D1D5E" w14:textId="77777777" w:rsidR="00866671" w:rsidRDefault="00866671" w:rsidP="00983F67">
      <w:pPr>
        <w:pStyle w:val="BodyText"/>
        <w:rPr>
          <w:rFonts w:ascii="Arial" w:hAnsi="Arial" w:cs="Arial"/>
        </w:rPr>
      </w:pPr>
    </w:p>
    <w:p w14:paraId="17985281" w14:textId="16A5291C" w:rsidR="00983F67" w:rsidRPr="00D765EE" w:rsidRDefault="00983F67" w:rsidP="00983F67">
      <w:pPr>
        <w:pStyle w:val="BodyText"/>
        <w:rPr>
          <w:rFonts w:ascii="Arial" w:hAnsi="Arial" w:cs="Arial"/>
        </w:rPr>
      </w:pPr>
      <w:r w:rsidRPr="00D765EE">
        <w:rPr>
          <w:rFonts w:ascii="Arial" w:hAnsi="Arial" w:cs="Arial"/>
        </w:rPr>
        <w:t>Presented to the Governor-General by the Royal Commission of Inquiry into Historical Abuse in State Care and in the Care of Faith-based Institutions</w:t>
      </w:r>
      <w:r w:rsidR="0044637C">
        <w:rPr>
          <w:rFonts w:ascii="Arial" w:hAnsi="Arial" w:cs="Arial"/>
        </w:rPr>
        <w:t xml:space="preserve"> on 25 June 2024</w:t>
      </w:r>
    </w:p>
    <w:p w14:paraId="49A1CD8B" w14:textId="77777777" w:rsidR="00983F67" w:rsidRPr="00D765EE" w:rsidRDefault="00983F67" w:rsidP="00983F67">
      <w:pPr>
        <w:pStyle w:val="BodyText"/>
        <w:rPr>
          <w:rFonts w:ascii="Arial" w:hAnsi="Arial" w:cs="Arial"/>
        </w:rPr>
      </w:pPr>
      <w:r w:rsidRPr="00D765EE">
        <w:rPr>
          <w:rFonts w:ascii="Arial" w:hAnsi="Arial" w:cs="Arial"/>
        </w:rPr>
        <w:t xml:space="preserve">ISBN 978-0-473-71009-5 (print) </w:t>
      </w:r>
    </w:p>
    <w:p w14:paraId="5F572D8D" w14:textId="77777777" w:rsidR="00983F67" w:rsidRPr="00D765EE" w:rsidRDefault="00983F67" w:rsidP="00983F67">
      <w:pPr>
        <w:pStyle w:val="BodyText"/>
        <w:rPr>
          <w:rFonts w:ascii="Arial" w:hAnsi="Arial" w:cs="Arial"/>
        </w:rPr>
      </w:pPr>
      <w:r w:rsidRPr="00D765EE">
        <w:rPr>
          <w:rFonts w:ascii="Arial" w:hAnsi="Arial" w:cs="Arial"/>
        </w:rPr>
        <w:t>ISBN 978-0-473-71010-1 (online)</w:t>
      </w:r>
    </w:p>
    <w:p w14:paraId="5B57C48C" w14:textId="2E7B752E" w:rsidR="00B723F2" w:rsidRDefault="00983F67" w:rsidP="00983F67">
      <w:pPr>
        <w:spacing w:after="160"/>
        <w:rPr>
          <w:rFonts w:ascii="Helvetica" w:hAnsi="Helvetica"/>
          <w:color w:val="4F7D29"/>
          <w:sz w:val="24"/>
        </w:rPr>
      </w:pPr>
      <w:r w:rsidRPr="00D765EE">
        <w:rPr>
          <w:rFonts w:ascii="Arial" w:hAnsi="Arial" w:cs="Arial"/>
        </w:rPr>
        <w:t>Crown Copyright New Zealand 2024</w:t>
      </w:r>
      <w:r w:rsidR="00B723F2">
        <w:rPr>
          <w:rFonts w:ascii="Helvetica" w:hAnsi="Helvetica"/>
          <w:color w:val="4F7D29"/>
          <w:sz w:val="24"/>
        </w:rPr>
        <w:br w:type="page"/>
      </w:r>
    </w:p>
    <w:p w14:paraId="4007A5F5" w14:textId="040ED348" w:rsidR="00F54E52" w:rsidRDefault="00F54E52" w:rsidP="00F54E52">
      <w:pPr>
        <w:spacing w:after="200"/>
        <w:rPr>
          <w:rFonts w:ascii="Helvetica" w:hAnsi="Helvetica"/>
          <w:color w:val="4F7D29"/>
          <w:sz w:val="24"/>
        </w:rPr>
      </w:pPr>
    </w:p>
    <w:p w14:paraId="47CC28AE" w14:textId="3CCD01E9" w:rsidR="001B6426" w:rsidRPr="00517C67" w:rsidRDefault="00B723F2" w:rsidP="00517C67">
      <w:pPr>
        <w:pStyle w:val="body"/>
        <w:rPr>
          <w:b/>
          <w:bCs/>
          <w:color w:val="538135" w:themeColor="accent6" w:themeShade="BF"/>
          <w:sz w:val="44"/>
          <w:szCs w:val="44"/>
        </w:rPr>
      </w:pPr>
      <w:bookmarkStart w:id="7" w:name="_Toc178855269"/>
      <w:bookmarkStart w:id="8" w:name="_Toc178855368"/>
      <w:bookmarkStart w:id="9" w:name="_Toc178855473"/>
      <w:r w:rsidRPr="00517C67">
        <w:rPr>
          <w:b/>
          <w:bCs/>
          <w:color w:val="538135" w:themeColor="accent6" w:themeShade="BF"/>
          <w:sz w:val="44"/>
          <w:szCs w:val="44"/>
        </w:rPr>
        <w:t>Whakairihia ki te tihi o Maungārongo</w:t>
      </w:r>
      <w:bookmarkEnd w:id="7"/>
      <w:bookmarkEnd w:id="8"/>
      <w:bookmarkEnd w:id="9"/>
    </w:p>
    <w:p w14:paraId="1FCF2ADA" w14:textId="77777777" w:rsidR="001B6426" w:rsidRDefault="001B6426">
      <w:pPr>
        <w:spacing w:after="160"/>
        <w:rPr>
          <w:rFonts w:ascii="Arial" w:hAnsi="Arial" w:cs="Arial"/>
          <w:b/>
          <w:color w:val="4F7D29"/>
          <w:sz w:val="36"/>
        </w:rPr>
      </w:pPr>
      <w:r>
        <w:rPr>
          <w:rFonts w:ascii="Arial" w:hAnsi="Arial" w:cs="Arial"/>
          <w:b/>
          <w:color w:val="4F7D29"/>
          <w:sz w:val="36"/>
        </w:rPr>
        <w:br w:type="page"/>
      </w:r>
    </w:p>
    <w:p w14:paraId="69ABB38D" w14:textId="77777777" w:rsidR="001B6426" w:rsidRPr="00CB0F60" w:rsidRDefault="001B6426" w:rsidP="009F6423">
      <w:pPr>
        <w:pStyle w:val="Heading1"/>
        <w:rPr>
          <w:color w:val="4F7D29"/>
          <w:sz w:val="36"/>
          <w:szCs w:val="36"/>
          <w:lang w:eastAsia="en-NZ"/>
        </w:rPr>
      </w:pPr>
      <w:bookmarkStart w:id="10" w:name="_Toc168638867"/>
      <w:bookmarkStart w:id="11" w:name="_Toc168926779"/>
      <w:bookmarkStart w:id="12" w:name="_Toc178855270"/>
      <w:bookmarkStart w:id="13" w:name="_Toc178855369"/>
      <w:bookmarkStart w:id="14" w:name="_Toc178855474"/>
      <w:bookmarkStart w:id="15" w:name="_Toc181080909"/>
      <w:r w:rsidRPr="009F6423">
        <w:rPr>
          <w:color w:val="4F7D29"/>
        </w:rPr>
        <w:lastRenderedPageBreak/>
        <w:t>He karakia</w:t>
      </w:r>
      <w:bookmarkEnd w:id="10"/>
      <w:bookmarkEnd w:id="11"/>
      <w:bookmarkEnd w:id="12"/>
      <w:bookmarkEnd w:id="13"/>
      <w:bookmarkEnd w:id="14"/>
      <w:bookmarkEnd w:id="15"/>
    </w:p>
    <w:p w14:paraId="7B141790"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E tāmara mā, koutou te pūtake o ēnei kōwhiringa, kua horaina nei</w:t>
      </w:r>
    </w:p>
    <w:p w14:paraId="4CD8EC5E"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E tohe tonu nei i te ara o te tika</w:t>
      </w:r>
    </w:p>
    <w:p w14:paraId="38F0B222"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E ngaki tonu ana i te māra tipu</w:t>
      </w:r>
    </w:p>
    <w:p w14:paraId="04EE8FFB"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Anei koutou te whakairihia ki te tihi o</w:t>
      </w:r>
    </w:p>
    <w:p w14:paraId="4F164A8D"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Maungārongo, kia tau te mauri.</w:t>
      </w:r>
    </w:p>
    <w:p w14:paraId="2536F02C"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Rukuhia te pū o te hinengaro</w:t>
      </w:r>
    </w:p>
    <w:p w14:paraId="47A87F82"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kia tāea ko te kukunitanga mai o te whakaaro nui.</w:t>
      </w:r>
    </w:p>
    <w:p w14:paraId="2630688F"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Kia piere ko te ngākau mahora</w:t>
      </w:r>
    </w:p>
    <w:p w14:paraId="2A27F09F"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kia tūwhera mai he wairua tau.</w:t>
      </w:r>
    </w:p>
    <w:p w14:paraId="5946BFDA"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Koinei ngā pou whakairinga i te tāhuhu</w:t>
      </w:r>
    </w:p>
    <w:p w14:paraId="0A3B01F7"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o te Whare o Tū Te Mauriora.</w:t>
      </w:r>
    </w:p>
    <w:p w14:paraId="14C70633"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Te āhuru mōwai o Te Pae o Rehua,</w:t>
      </w:r>
    </w:p>
    <w:p w14:paraId="32457F1C"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kaimuru i te hinapōuri,</w:t>
      </w:r>
    </w:p>
    <w:p w14:paraId="2F2A31EF"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kaitohu i te manawa hā ora,</w:t>
      </w:r>
    </w:p>
    <w:p w14:paraId="00CA72B9"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kaihohou i te pai.</w:t>
      </w:r>
    </w:p>
    <w:p w14:paraId="719FCEF6"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Nau mai e koutou kua uhia e ngā haukino</w:t>
      </w:r>
    </w:p>
    <w:p w14:paraId="1AD3B692"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o te wā, kua pēhia e ngā whakawai a ngā tipua nei,</w:t>
      </w:r>
    </w:p>
    <w:p w14:paraId="470FC027"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a te Ringatūkino rāua ko te Kanohihuna.</w:t>
      </w:r>
    </w:p>
    <w:p w14:paraId="424B6C16"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Koutou i whītiki i te tātua o te toa,</w:t>
      </w:r>
    </w:p>
    <w:p w14:paraId="627E729D"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i kākahu i te korowai o te pono,</w:t>
      </w:r>
    </w:p>
    <w:p w14:paraId="27FFDD15"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i whakamau i te tīpare o tō mana motuhake,</w:t>
      </w:r>
    </w:p>
    <w:p w14:paraId="1DD145A0"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toko ake ki te pūaotanga o te āpōpō e tatari mai nei i tua o te pae,</w:t>
      </w:r>
    </w:p>
    <w:p w14:paraId="0068BA2F"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nōu te ao e whakaata mai nei.</w:t>
      </w:r>
    </w:p>
    <w:p w14:paraId="4CBB533F"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Kāti rā, ā te tākiritanga mai o te ata,</w:t>
      </w:r>
    </w:p>
    <w:p w14:paraId="49757E3D"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ā te huanga ake o te awatea,</w:t>
      </w:r>
    </w:p>
    <w:p w14:paraId="3B78D708"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kia tau he māramatanga,</w:t>
      </w:r>
    </w:p>
    <w:p w14:paraId="25DE24D3"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kia ū ko te pai, kia mau ko te tika.</w:t>
      </w:r>
    </w:p>
    <w:p w14:paraId="5637811A"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Koinei ko te tangi a te ngākau e Rongo,</w:t>
      </w:r>
    </w:p>
    <w:p w14:paraId="2A60A31B"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tūturu ōwhiti whakamaua</w:t>
      </w:r>
    </w:p>
    <w:p w14:paraId="585E026C"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kia tina, tina!</w:t>
      </w:r>
    </w:p>
    <w:p w14:paraId="298FCB3E"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Hui e, tāiki e!</w:t>
      </w:r>
    </w:p>
    <w:p w14:paraId="0C74D37B" w14:textId="77777777" w:rsidR="001B6426" w:rsidRPr="0068578C" w:rsidRDefault="001B6426" w:rsidP="009F6423">
      <w:pPr>
        <w:spacing w:after="120" w:line="276" w:lineRule="auto"/>
        <w:jc w:val="right"/>
        <w:rPr>
          <w:rFonts w:ascii="Arial" w:hAnsi="Arial" w:cs="Arial"/>
          <w:color w:val="404040" w:themeColor="text1" w:themeTint="BF"/>
        </w:rPr>
      </w:pPr>
      <w:r w:rsidRPr="0068578C">
        <w:rPr>
          <w:rFonts w:ascii="Arial" w:hAnsi="Arial" w:cs="Arial"/>
          <w:color w:val="404040" w:themeColor="text1" w:themeTint="BF"/>
        </w:rPr>
        <w:t>– Waihoroi Paraone Hōterene</w:t>
      </w:r>
    </w:p>
    <w:p w14:paraId="282CDE45"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lastRenderedPageBreak/>
        <w:t>To you upon whom this inquiry has been centered</w:t>
      </w:r>
    </w:p>
    <w:p w14:paraId="5C57BFD3"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Resolute in your pursuit of justice</w:t>
      </w:r>
    </w:p>
    <w:p w14:paraId="2D66FBC9"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Relentless in your belief for life</w:t>
      </w:r>
    </w:p>
    <w:p w14:paraId="62D62AB4"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You have only our highest regard and respect,</w:t>
      </w:r>
    </w:p>
    <w:p w14:paraId="4D312FAE"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may your peace of mind be assured.</w:t>
      </w:r>
    </w:p>
    <w:p w14:paraId="72FEFC73"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Look into the deepest recesses of your being</w:t>
      </w:r>
    </w:p>
    <w:p w14:paraId="3B27CA9A"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and discover the seeds of new hope,</w:t>
      </w:r>
    </w:p>
    <w:p w14:paraId="0094557C"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where the temperate heart might find solace,</w:t>
      </w:r>
    </w:p>
    <w:p w14:paraId="55A019DD"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and the blithe spirit might rise again.</w:t>
      </w:r>
    </w:p>
    <w:p w14:paraId="7A0D0661"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Let these be the pillars on which the House of Self,</w:t>
      </w:r>
    </w:p>
    <w:p w14:paraId="60BAAD66"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reconciliation can stand.</w:t>
      </w:r>
    </w:p>
    <w:p w14:paraId="749B0D20"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Safe haven of Rehua,</w:t>
      </w:r>
    </w:p>
    <w:p w14:paraId="7B53741D"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dispatcher of sorrow,</w:t>
      </w:r>
    </w:p>
    <w:p w14:paraId="4B9A8787"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restorer of the breath of life,</w:t>
      </w:r>
    </w:p>
    <w:p w14:paraId="024E1DCA"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purveyor of kindness.</w:t>
      </w:r>
    </w:p>
    <w:p w14:paraId="09D97666"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Those of you who have faced the ill winds</w:t>
      </w:r>
    </w:p>
    <w:p w14:paraId="769FDA61"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of time and made to suffer,</w:t>
      </w:r>
    </w:p>
    <w:p w14:paraId="6D89BC54"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at the hands of abusers and the hidden faces of persecutors, draw near.</w:t>
      </w:r>
    </w:p>
    <w:p w14:paraId="580AD23C"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You who found courage,</w:t>
      </w:r>
    </w:p>
    <w:p w14:paraId="32301B0B"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cloaked yourselves with your truth,</w:t>
      </w:r>
    </w:p>
    <w:p w14:paraId="7A8A4744"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who crowned yourself with dignity,</w:t>
      </w:r>
    </w:p>
    <w:p w14:paraId="25DCE67A"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a new tomorrow awaits beyond the horizon,</w:t>
      </w:r>
    </w:p>
    <w:p w14:paraId="2682AA04"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your future beckons.</w:t>
      </w:r>
    </w:p>
    <w:p w14:paraId="7DC1312B"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And so, as dawn rises, and a new day begins,</w:t>
      </w:r>
    </w:p>
    <w:p w14:paraId="77883707"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let clarity and understanding reign,</w:t>
      </w:r>
    </w:p>
    <w:p w14:paraId="3FB403D9"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goodness surrounds you and</w:t>
      </w:r>
    </w:p>
    <w:p w14:paraId="780482DB"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justice prevails.</w:t>
      </w:r>
    </w:p>
    <w:p w14:paraId="601D0265"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Rongo god of peace, this the heart desires,</w:t>
      </w:r>
    </w:p>
    <w:p w14:paraId="53F1B9D4"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we beseech you,</w:t>
      </w:r>
    </w:p>
    <w:p w14:paraId="7B72CB62"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let it be,</w:t>
      </w:r>
    </w:p>
    <w:p w14:paraId="7DF178D7" w14:textId="77777777" w:rsidR="001B6426" w:rsidRPr="0068578C" w:rsidRDefault="001B6426" w:rsidP="00E94C8C">
      <w:pPr>
        <w:spacing w:after="120" w:line="276" w:lineRule="auto"/>
        <w:rPr>
          <w:rFonts w:ascii="Arial" w:hAnsi="Arial" w:cs="Arial"/>
          <w:color w:val="404040" w:themeColor="text1" w:themeTint="BF"/>
        </w:rPr>
      </w:pPr>
      <w:r w:rsidRPr="0068578C">
        <w:rPr>
          <w:rFonts w:ascii="Arial" w:hAnsi="Arial" w:cs="Arial"/>
          <w:color w:val="404040" w:themeColor="text1" w:themeTint="BF"/>
        </w:rPr>
        <w:t>it is done.</w:t>
      </w:r>
    </w:p>
    <w:p w14:paraId="61A61DAB" w14:textId="33B5D541" w:rsidR="00B723F2" w:rsidRPr="0068578C" w:rsidRDefault="001B6426" w:rsidP="009F6423">
      <w:pPr>
        <w:spacing w:after="120" w:line="276" w:lineRule="auto"/>
        <w:jc w:val="right"/>
        <w:rPr>
          <w:rFonts w:ascii="Arial" w:hAnsi="Arial" w:cs="Arial"/>
          <w:b/>
          <w:color w:val="4F7D29"/>
        </w:rPr>
      </w:pPr>
      <w:r w:rsidRPr="0068578C">
        <w:rPr>
          <w:rFonts w:ascii="Arial" w:hAnsi="Arial" w:cs="Arial"/>
          <w:color w:val="404040" w:themeColor="text1" w:themeTint="BF"/>
        </w:rPr>
        <w:t>– Waihoroi Paraone Hōterene</w:t>
      </w:r>
    </w:p>
    <w:p w14:paraId="225DD05A" w14:textId="77777777" w:rsidR="00B723F2" w:rsidRPr="00A271CE" w:rsidRDefault="00B723F2" w:rsidP="00F54E52">
      <w:pPr>
        <w:spacing w:after="200"/>
        <w:rPr>
          <w:rFonts w:ascii="Helvetica" w:hAnsi="Helvetica"/>
          <w:color w:val="4F7D29"/>
          <w:sz w:val="24"/>
        </w:rPr>
      </w:pPr>
    </w:p>
    <w:p w14:paraId="0BBDE020" w14:textId="77777777" w:rsidR="00D92873" w:rsidRPr="00CB0F60" w:rsidRDefault="00D92873" w:rsidP="009F6423">
      <w:pPr>
        <w:pStyle w:val="Heading1"/>
        <w:rPr>
          <w:color w:val="4F7D29"/>
          <w:sz w:val="36"/>
          <w:szCs w:val="36"/>
        </w:rPr>
      </w:pPr>
      <w:bookmarkStart w:id="16" w:name="_Toc178855271"/>
      <w:bookmarkStart w:id="17" w:name="_Toc178855370"/>
      <w:bookmarkStart w:id="18" w:name="_Toc178855475"/>
      <w:bookmarkStart w:id="19" w:name="_Toc181080910"/>
      <w:r w:rsidRPr="009F6423">
        <w:rPr>
          <w:color w:val="4F7D29"/>
        </w:rPr>
        <w:lastRenderedPageBreak/>
        <w:t>Tiritiria ki toi whenua</w:t>
      </w:r>
      <w:bookmarkEnd w:id="16"/>
      <w:bookmarkEnd w:id="17"/>
      <w:bookmarkEnd w:id="18"/>
      <w:bookmarkEnd w:id="19"/>
      <w:r w:rsidRPr="009F6423">
        <w:rPr>
          <w:color w:val="4F7D29"/>
        </w:rPr>
        <w:t xml:space="preserve"> </w:t>
      </w:r>
    </w:p>
    <w:p w14:paraId="32BE9DE5" w14:textId="65888CEA" w:rsidR="009A2448" w:rsidRDefault="007F076D" w:rsidP="00201B0F">
      <w:pPr>
        <w:pStyle w:val="body"/>
        <w:spacing w:line="360" w:lineRule="auto"/>
      </w:pPr>
      <w:r>
        <w:t>The name of this Part comes</w:t>
      </w:r>
      <w:r w:rsidR="00D92873" w:rsidRPr="00C41D40">
        <w:t xml:space="preserve"> from the line in the waiata that refers to the nurturing of the potential of survivors and their opportunities for the future. It is used here to highlight the critical importance of a correct, just and enduring implementation of holistic redress for survivors and their whānau and for all those in care in times to come where this is needed.</w:t>
      </w:r>
    </w:p>
    <w:p w14:paraId="73B78FFA" w14:textId="77777777" w:rsidR="00E4205A" w:rsidRDefault="00E4205A">
      <w:pPr>
        <w:spacing w:after="160"/>
        <w:rPr>
          <w:rFonts w:ascii="Arial" w:eastAsiaTheme="majorEastAsia" w:hAnsi="Arial" w:cstheme="majorBidi"/>
        </w:rPr>
      </w:pPr>
      <w:r>
        <w:rPr>
          <w:b/>
        </w:rPr>
        <w:br w:type="page"/>
      </w:r>
    </w:p>
    <w:p w14:paraId="028C1312" w14:textId="77777777" w:rsidR="001D4AC9" w:rsidRPr="00CB0F60" w:rsidRDefault="001D4AC9" w:rsidP="009F6423">
      <w:pPr>
        <w:pStyle w:val="Heading1"/>
        <w:rPr>
          <w:color w:val="4F7D29"/>
          <w:sz w:val="36"/>
          <w:szCs w:val="36"/>
          <w:lang w:eastAsia="en-NZ"/>
        </w:rPr>
      </w:pPr>
      <w:bookmarkStart w:id="20" w:name="_Toc168638868"/>
      <w:bookmarkStart w:id="21" w:name="_Toc168926780"/>
      <w:bookmarkStart w:id="22" w:name="_Toc178855272"/>
      <w:bookmarkStart w:id="23" w:name="_Toc178855371"/>
      <w:bookmarkStart w:id="24" w:name="_Toc178855476"/>
      <w:bookmarkStart w:id="25" w:name="_Toc181080911"/>
      <w:r w:rsidRPr="009F6423">
        <w:rPr>
          <w:color w:val="4F7D29"/>
        </w:rPr>
        <w:lastRenderedPageBreak/>
        <w:t>Pānui whakatūpato</w:t>
      </w:r>
      <w:bookmarkEnd w:id="20"/>
      <w:bookmarkEnd w:id="21"/>
      <w:bookmarkEnd w:id="22"/>
      <w:bookmarkEnd w:id="23"/>
      <w:bookmarkEnd w:id="24"/>
      <w:bookmarkEnd w:id="25"/>
    </w:p>
    <w:p w14:paraId="02FE7780"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Ka nui tā mātou tiaki me te hāpai ake i te mana o ngā purapura</w:t>
      </w:r>
    </w:p>
    <w:p w14:paraId="773B2AC2"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ora i māia rawa atu nei ki te whāriki i ā rātou kōrero ki konei.</w:t>
      </w:r>
    </w:p>
    <w:p w14:paraId="33E45CB3"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Kei te mōhio mātou ka oho pea te mauri ētahi wāhanga o ngā</w:t>
      </w:r>
    </w:p>
    <w:p w14:paraId="5AC5121F"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kōrero nei e pā ana ki te tūkino, te whakatūroro me te pāmamae,</w:t>
      </w:r>
    </w:p>
    <w:p w14:paraId="555519F5"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ā, tērā pea ka tākirihia ngā tauwharewarenga o te ngākau</w:t>
      </w:r>
    </w:p>
    <w:p w14:paraId="3CD1BF05"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tangata i te kaha o te tumeke. Ahakoa kāore pea tēnei urupare</w:t>
      </w:r>
    </w:p>
    <w:p w14:paraId="5599F5B0"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e tau pai ki te wairua o te tangata, e pai ana te rongo i te pouri.</w:t>
      </w:r>
    </w:p>
    <w:p w14:paraId="0E7336BC"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Heoi, mehemea ka whakataumaha tēnei i ētahi o tō whānau, me</w:t>
      </w:r>
    </w:p>
    <w:p w14:paraId="75077CF2"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whakapā atu ki tō tākuta, ki tō ratongo Hauora rānei. Whakatetia</w:t>
      </w:r>
    </w:p>
    <w:p w14:paraId="3B514806" w14:textId="77777777" w:rsidR="00154F1F" w:rsidRPr="00154F1F"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ngā kōrero a ētahi, kia tau te mauri, tiakina te wairua, ā, kia</w:t>
      </w:r>
    </w:p>
    <w:p w14:paraId="14219CE1" w14:textId="3844EE9D" w:rsidR="00CB0F60" w:rsidRPr="00F71A2A" w:rsidRDefault="00154F1F" w:rsidP="00154F1F">
      <w:pPr>
        <w:spacing w:after="120"/>
        <w:rPr>
          <w:rFonts w:ascii="Arial" w:hAnsi="Arial" w:cs="Arial"/>
          <w:color w:val="404040" w:themeColor="text1" w:themeTint="BF"/>
        </w:rPr>
      </w:pPr>
      <w:r w:rsidRPr="00154F1F">
        <w:rPr>
          <w:rFonts w:ascii="Arial" w:hAnsi="Arial" w:cs="Arial"/>
          <w:color w:val="404040" w:themeColor="text1" w:themeTint="BF"/>
        </w:rPr>
        <w:t>māmā te ngākau.</w:t>
      </w:r>
    </w:p>
    <w:p w14:paraId="74888152" w14:textId="77777777" w:rsidR="001D4AC9" w:rsidRPr="00CB0F60" w:rsidRDefault="001D4AC9" w:rsidP="009F6423">
      <w:pPr>
        <w:pStyle w:val="Heading1"/>
        <w:rPr>
          <w:color w:val="4F7D29"/>
          <w:sz w:val="36"/>
          <w:szCs w:val="36"/>
          <w:lang w:eastAsia="en-NZ"/>
        </w:rPr>
      </w:pPr>
      <w:bookmarkStart w:id="26" w:name="_Toc168638869"/>
      <w:bookmarkStart w:id="27" w:name="_Toc168926781"/>
      <w:bookmarkStart w:id="28" w:name="_Toc178855273"/>
      <w:bookmarkStart w:id="29" w:name="_Toc178855372"/>
      <w:bookmarkStart w:id="30" w:name="_Toc178855477"/>
      <w:bookmarkStart w:id="31" w:name="_Toc181080912"/>
      <w:r w:rsidRPr="009F6423">
        <w:rPr>
          <w:color w:val="4F7D29"/>
        </w:rPr>
        <w:t>Distressing content warning</w:t>
      </w:r>
      <w:bookmarkEnd w:id="26"/>
      <w:bookmarkEnd w:id="27"/>
      <w:bookmarkEnd w:id="28"/>
      <w:bookmarkEnd w:id="29"/>
      <w:bookmarkEnd w:id="30"/>
      <w:bookmarkEnd w:id="31"/>
    </w:p>
    <w:p w14:paraId="33D6196E" w14:textId="77777777" w:rsidR="001D4AC9" w:rsidRPr="00F71A2A" w:rsidRDefault="001D4AC9" w:rsidP="001D4AC9">
      <w:pPr>
        <w:spacing w:after="200" w:line="360" w:lineRule="auto"/>
        <w:rPr>
          <w:rFonts w:ascii="Arial" w:hAnsi="Arial" w:cs="Arial"/>
          <w:color w:val="404040" w:themeColor="text1" w:themeTint="BF"/>
        </w:rPr>
      </w:pPr>
      <w:r w:rsidRPr="00F71A2A">
        <w:rPr>
          <w:rFonts w:ascii="Arial" w:hAnsi="Arial" w:cs="Arial"/>
          <w:color w:val="404040" w:themeColor="text1" w:themeTint="BF"/>
        </w:rPr>
        <w:t>We honour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Respect others’ truths, breathe deeply, take care of your spirit and be gentle with your heart.</w:t>
      </w:r>
    </w:p>
    <w:p w14:paraId="689C8B04" w14:textId="2D9E6A84" w:rsidR="00F02CBD" w:rsidRDefault="00F02CBD">
      <w:pPr>
        <w:spacing w:after="160"/>
      </w:pPr>
      <w:r>
        <w:br w:type="page"/>
      </w:r>
    </w:p>
    <w:p w14:paraId="601FA5E1" w14:textId="77777777" w:rsidR="001F20D1" w:rsidRPr="001F20D1" w:rsidRDefault="001F20D1" w:rsidP="001F20D1">
      <w:pPr>
        <w:pStyle w:val="Heading1"/>
      </w:pPr>
      <w:bookmarkStart w:id="32" w:name="_Toc181080913"/>
      <w:r w:rsidRPr="001F20D1">
        <w:lastRenderedPageBreak/>
        <w:t>Ngā take</w:t>
      </w:r>
      <w:bookmarkEnd w:id="32"/>
    </w:p>
    <w:p w14:paraId="392B9490" w14:textId="77777777" w:rsidR="001F20D1" w:rsidRPr="001F20D1" w:rsidRDefault="001F20D1" w:rsidP="001F20D1">
      <w:pPr>
        <w:pStyle w:val="Heading1"/>
      </w:pPr>
      <w:bookmarkStart w:id="33" w:name="_Toc178855374"/>
      <w:bookmarkStart w:id="34" w:name="_Toc178855479"/>
      <w:bookmarkStart w:id="35" w:name="_Toc181080914"/>
      <w:r w:rsidRPr="001F20D1">
        <w:t>Contents</w:t>
      </w:r>
      <w:bookmarkEnd w:id="33"/>
      <w:bookmarkEnd w:id="34"/>
      <w:bookmarkEnd w:id="35"/>
    </w:p>
    <w:p w14:paraId="5572E86C" w14:textId="77777777" w:rsidR="001F20D1" w:rsidRDefault="001F20D1">
      <w:pPr>
        <w:spacing w:after="160"/>
      </w:pPr>
    </w:p>
    <w:bookmarkStart w:id="36" w:name="_Toc178855274" w:displacedByCustomXml="next"/>
    <w:bookmarkStart w:id="37" w:name="_Toc178855373" w:displacedByCustomXml="next"/>
    <w:bookmarkStart w:id="38" w:name="_Toc178855478" w:displacedByCustomXml="next"/>
    <w:sdt>
      <w:sdtPr>
        <w:rPr>
          <w:rFonts w:asciiTheme="minorHAnsi" w:hAnsiTheme="minorHAnsi"/>
          <w:color w:val="4F7D29"/>
        </w:rPr>
        <w:id w:val="430862258"/>
        <w:docPartObj>
          <w:docPartGallery w:val="Table of Contents"/>
          <w:docPartUnique/>
        </w:docPartObj>
      </w:sdtPr>
      <w:sdtEndPr>
        <w:rPr>
          <w:rFonts w:ascii="Arial" w:eastAsiaTheme="minorEastAsia" w:hAnsi="Arial"/>
          <w:bCs/>
          <w:color w:val="385623" w:themeColor="accent6" w:themeShade="80"/>
        </w:rPr>
      </w:sdtEndPr>
      <w:sdtContent>
        <w:bookmarkEnd w:id="38" w:displacedByCustomXml="prev"/>
        <w:bookmarkEnd w:id="37" w:displacedByCustomXml="prev"/>
        <w:bookmarkEnd w:id="36" w:displacedByCustomXml="prev"/>
        <w:p w14:paraId="043FE961" w14:textId="2B69D436"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r>
            <w:fldChar w:fldCharType="begin"/>
          </w:r>
          <w:r>
            <w:instrText xml:space="preserve"> TOC \o "1-3" \h \z \u </w:instrText>
          </w:r>
          <w:r>
            <w:fldChar w:fldCharType="separate"/>
          </w:r>
          <w:hyperlink w:anchor="_Toc181080909" w:history="1">
            <w:r w:rsidRPr="005603B1">
              <w:rPr>
                <w:rStyle w:val="Hyperlink"/>
                <w:noProof/>
              </w:rPr>
              <w:t>He karakia</w:t>
            </w:r>
            <w:r>
              <w:rPr>
                <w:noProof/>
                <w:webHidden/>
              </w:rPr>
              <w:tab/>
            </w:r>
            <w:r>
              <w:rPr>
                <w:noProof/>
                <w:webHidden/>
              </w:rPr>
              <w:fldChar w:fldCharType="begin"/>
            </w:r>
            <w:r>
              <w:rPr>
                <w:noProof/>
                <w:webHidden/>
              </w:rPr>
              <w:instrText xml:space="preserve"> PAGEREF _Toc181080909 \h </w:instrText>
            </w:r>
            <w:r>
              <w:rPr>
                <w:noProof/>
                <w:webHidden/>
              </w:rPr>
            </w:r>
            <w:r>
              <w:rPr>
                <w:noProof/>
                <w:webHidden/>
              </w:rPr>
              <w:fldChar w:fldCharType="separate"/>
            </w:r>
            <w:r>
              <w:rPr>
                <w:noProof/>
                <w:webHidden/>
              </w:rPr>
              <w:t>4</w:t>
            </w:r>
            <w:r>
              <w:rPr>
                <w:noProof/>
                <w:webHidden/>
              </w:rPr>
              <w:fldChar w:fldCharType="end"/>
            </w:r>
          </w:hyperlink>
        </w:p>
        <w:p w14:paraId="22E8D3A1" w14:textId="260B6219"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0" w:history="1">
            <w:r w:rsidRPr="005603B1">
              <w:rPr>
                <w:rStyle w:val="Hyperlink"/>
                <w:noProof/>
              </w:rPr>
              <w:t>Tiritiria ki toi whenua</w:t>
            </w:r>
            <w:r>
              <w:rPr>
                <w:noProof/>
                <w:webHidden/>
              </w:rPr>
              <w:tab/>
            </w:r>
            <w:r>
              <w:rPr>
                <w:noProof/>
                <w:webHidden/>
              </w:rPr>
              <w:fldChar w:fldCharType="begin"/>
            </w:r>
            <w:r>
              <w:rPr>
                <w:noProof/>
                <w:webHidden/>
              </w:rPr>
              <w:instrText xml:space="preserve"> PAGEREF _Toc181080910 \h </w:instrText>
            </w:r>
            <w:r>
              <w:rPr>
                <w:noProof/>
                <w:webHidden/>
              </w:rPr>
            </w:r>
            <w:r>
              <w:rPr>
                <w:noProof/>
                <w:webHidden/>
              </w:rPr>
              <w:fldChar w:fldCharType="separate"/>
            </w:r>
            <w:r>
              <w:rPr>
                <w:noProof/>
                <w:webHidden/>
              </w:rPr>
              <w:t>6</w:t>
            </w:r>
            <w:r>
              <w:rPr>
                <w:noProof/>
                <w:webHidden/>
              </w:rPr>
              <w:fldChar w:fldCharType="end"/>
            </w:r>
          </w:hyperlink>
        </w:p>
        <w:p w14:paraId="590B9377" w14:textId="259A4FE8"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1" w:history="1">
            <w:r w:rsidRPr="005603B1">
              <w:rPr>
                <w:rStyle w:val="Hyperlink"/>
                <w:noProof/>
              </w:rPr>
              <w:t>Pānui whakatūpato</w:t>
            </w:r>
            <w:r>
              <w:rPr>
                <w:noProof/>
                <w:webHidden/>
              </w:rPr>
              <w:tab/>
            </w:r>
            <w:r>
              <w:rPr>
                <w:noProof/>
                <w:webHidden/>
              </w:rPr>
              <w:fldChar w:fldCharType="begin"/>
            </w:r>
            <w:r>
              <w:rPr>
                <w:noProof/>
                <w:webHidden/>
              </w:rPr>
              <w:instrText xml:space="preserve"> PAGEREF _Toc181080911 \h </w:instrText>
            </w:r>
            <w:r>
              <w:rPr>
                <w:noProof/>
                <w:webHidden/>
              </w:rPr>
            </w:r>
            <w:r>
              <w:rPr>
                <w:noProof/>
                <w:webHidden/>
              </w:rPr>
              <w:fldChar w:fldCharType="separate"/>
            </w:r>
            <w:r>
              <w:rPr>
                <w:noProof/>
                <w:webHidden/>
              </w:rPr>
              <w:t>7</w:t>
            </w:r>
            <w:r>
              <w:rPr>
                <w:noProof/>
                <w:webHidden/>
              </w:rPr>
              <w:fldChar w:fldCharType="end"/>
            </w:r>
          </w:hyperlink>
        </w:p>
        <w:p w14:paraId="2C251D1D" w14:textId="3962DEEA"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2" w:history="1">
            <w:r w:rsidRPr="005603B1">
              <w:rPr>
                <w:rStyle w:val="Hyperlink"/>
                <w:noProof/>
              </w:rPr>
              <w:t>Distressing content warning</w:t>
            </w:r>
            <w:r>
              <w:rPr>
                <w:noProof/>
                <w:webHidden/>
              </w:rPr>
              <w:tab/>
            </w:r>
            <w:r>
              <w:rPr>
                <w:noProof/>
                <w:webHidden/>
              </w:rPr>
              <w:fldChar w:fldCharType="begin"/>
            </w:r>
            <w:r>
              <w:rPr>
                <w:noProof/>
                <w:webHidden/>
              </w:rPr>
              <w:instrText xml:space="preserve"> PAGEREF _Toc181080912 \h </w:instrText>
            </w:r>
            <w:r>
              <w:rPr>
                <w:noProof/>
                <w:webHidden/>
              </w:rPr>
            </w:r>
            <w:r>
              <w:rPr>
                <w:noProof/>
                <w:webHidden/>
              </w:rPr>
              <w:fldChar w:fldCharType="separate"/>
            </w:r>
            <w:r>
              <w:rPr>
                <w:noProof/>
                <w:webHidden/>
              </w:rPr>
              <w:t>7</w:t>
            </w:r>
            <w:r>
              <w:rPr>
                <w:noProof/>
                <w:webHidden/>
              </w:rPr>
              <w:fldChar w:fldCharType="end"/>
            </w:r>
          </w:hyperlink>
        </w:p>
        <w:p w14:paraId="26DAB60E" w14:textId="09B2AF80"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3" w:history="1">
            <w:r w:rsidRPr="005603B1">
              <w:rPr>
                <w:rStyle w:val="Hyperlink"/>
                <w:noProof/>
              </w:rPr>
              <w:t>Ngā take</w:t>
            </w:r>
            <w:r>
              <w:rPr>
                <w:noProof/>
                <w:webHidden/>
              </w:rPr>
              <w:tab/>
            </w:r>
            <w:r>
              <w:rPr>
                <w:noProof/>
                <w:webHidden/>
              </w:rPr>
              <w:fldChar w:fldCharType="begin"/>
            </w:r>
            <w:r>
              <w:rPr>
                <w:noProof/>
                <w:webHidden/>
              </w:rPr>
              <w:instrText xml:space="preserve"> PAGEREF _Toc181080913 \h </w:instrText>
            </w:r>
            <w:r>
              <w:rPr>
                <w:noProof/>
                <w:webHidden/>
              </w:rPr>
            </w:r>
            <w:r>
              <w:rPr>
                <w:noProof/>
                <w:webHidden/>
              </w:rPr>
              <w:fldChar w:fldCharType="separate"/>
            </w:r>
            <w:r>
              <w:rPr>
                <w:noProof/>
                <w:webHidden/>
              </w:rPr>
              <w:t>8</w:t>
            </w:r>
            <w:r>
              <w:rPr>
                <w:noProof/>
                <w:webHidden/>
              </w:rPr>
              <w:fldChar w:fldCharType="end"/>
            </w:r>
          </w:hyperlink>
        </w:p>
        <w:p w14:paraId="2F870CBB" w14:textId="70676A5D"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4" w:history="1">
            <w:r w:rsidRPr="005603B1">
              <w:rPr>
                <w:rStyle w:val="Hyperlink"/>
                <w:noProof/>
              </w:rPr>
              <w:t>Contents</w:t>
            </w:r>
            <w:r>
              <w:rPr>
                <w:noProof/>
                <w:webHidden/>
              </w:rPr>
              <w:tab/>
            </w:r>
            <w:r>
              <w:rPr>
                <w:noProof/>
                <w:webHidden/>
              </w:rPr>
              <w:fldChar w:fldCharType="begin"/>
            </w:r>
            <w:r>
              <w:rPr>
                <w:noProof/>
                <w:webHidden/>
              </w:rPr>
              <w:instrText xml:space="preserve"> PAGEREF _Toc181080914 \h </w:instrText>
            </w:r>
            <w:r>
              <w:rPr>
                <w:noProof/>
                <w:webHidden/>
              </w:rPr>
            </w:r>
            <w:r>
              <w:rPr>
                <w:noProof/>
                <w:webHidden/>
              </w:rPr>
              <w:fldChar w:fldCharType="separate"/>
            </w:r>
            <w:r>
              <w:rPr>
                <w:noProof/>
                <w:webHidden/>
              </w:rPr>
              <w:t>8</w:t>
            </w:r>
            <w:r>
              <w:rPr>
                <w:noProof/>
                <w:webHidden/>
              </w:rPr>
              <w:fldChar w:fldCharType="end"/>
            </w:r>
          </w:hyperlink>
        </w:p>
        <w:p w14:paraId="6B002D02" w14:textId="6500D859"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5" w:history="1">
            <w:r w:rsidRPr="005603B1">
              <w:rPr>
                <w:rStyle w:val="Hyperlink"/>
                <w:noProof/>
              </w:rPr>
              <w:t>Kuputaka</w:t>
            </w:r>
            <w:r>
              <w:rPr>
                <w:noProof/>
                <w:webHidden/>
              </w:rPr>
              <w:tab/>
            </w:r>
            <w:r>
              <w:rPr>
                <w:noProof/>
                <w:webHidden/>
              </w:rPr>
              <w:fldChar w:fldCharType="begin"/>
            </w:r>
            <w:r>
              <w:rPr>
                <w:noProof/>
                <w:webHidden/>
              </w:rPr>
              <w:instrText xml:space="preserve"> PAGEREF _Toc181080915 \h </w:instrText>
            </w:r>
            <w:r>
              <w:rPr>
                <w:noProof/>
                <w:webHidden/>
              </w:rPr>
            </w:r>
            <w:r>
              <w:rPr>
                <w:noProof/>
                <w:webHidden/>
              </w:rPr>
              <w:fldChar w:fldCharType="separate"/>
            </w:r>
            <w:r>
              <w:rPr>
                <w:noProof/>
                <w:webHidden/>
              </w:rPr>
              <w:t>11</w:t>
            </w:r>
            <w:r>
              <w:rPr>
                <w:noProof/>
                <w:webHidden/>
              </w:rPr>
              <w:fldChar w:fldCharType="end"/>
            </w:r>
          </w:hyperlink>
        </w:p>
        <w:p w14:paraId="00CBA615" w14:textId="4D773D65"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6" w:history="1">
            <w:r w:rsidRPr="005603B1">
              <w:rPr>
                <w:rStyle w:val="Hyperlink"/>
                <w:noProof/>
              </w:rPr>
              <w:t>Glossary</w:t>
            </w:r>
            <w:r>
              <w:rPr>
                <w:noProof/>
                <w:webHidden/>
              </w:rPr>
              <w:tab/>
            </w:r>
            <w:r>
              <w:rPr>
                <w:noProof/>
                <w:webHidden/>
              </w:rPr>
              <w:fldChar w:fldCharType="begin"/>
            </w:r>
            <w:r>
              <w:rPr>
                <w:noProof/>
                <w:webHidden/>
              </w:rPr>
              <w:instrText xml:space="preserve"> PAGEREF _Toc181080916 \h </w:instrText>
            </w:r>
            <w:r>
              <w:rPr>
                <w:noProof/>
                <w:webHidden/>
              </w:rPr>
            </w:r>
            <w:r>
              <w:rPr>
                <w:noProof/>
                <w:webHidden/>
              </w:rPr>
              <w:fldChar w:fldCharType="separate"/>
            </w:r>
            <w:r>
              <w:rPr>
                <w:noProof/>
                <w:webHidden/>
              </w:rPr>
              <w:t>11</w:t>
            </w:r>
            <w:r>
              <w:rPr>
                <w:noProof/>
                <w:webHidden/>
              </w:rPr>
              <w:fldChar w:fldCharType="end"/>
            </w:r>
          </w:hyperlink>
        </w:p>
        <w:p w14:paraId="1FAF2CF4" w14:textId="6197225C"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7" w:history="1">
            <w:r w:rsidRPr="005603B1">
              <w:rPr>
                <w:rStyle w:val="Hyperlink"/>
                <w:noProof/>
              </w:rPr>
              <w:t>Ūpoko 1: He whakataki</w:t>
            </w:r>
            <w:r>
              <w:rPr>
                <w:noProof/>
                <w:webHidden/>
              </w:rPr>
              <w:tab/>
            </w:r>
            <w:r>
              <w:rPr>
                <w:noProof/>
                <w:webHidden/>
              </w:rPr>
              <w:fldChar w:fldCharType="begin"/>
            </w:r>
            <w:r>
              <w:rPr>
                <w:noProof/>
                <w:webHidden/>
              </w:rPr>
              <w:instrText xml:space="preserve"> PAGEREF _Toc181080917 \h </w:instrText>
            </w:r>
            <w:r>
              <w:rPr>
                <w:noProof/>
                <w:webHidden/>
              </w:rPr>
            </w:r>
            <w:r>
              <w:rPr>
                <w:noProof/>
                <w:webHidden/>
              </w:rPr>
              <w:fldChar w:fldCharType="separate"/>
            </w:r>
            <w:r>
              <w:rPr>
                <w:noProof/>
                <w:webHidden/>
              </w:rPr>
              <w:t>13</w:t>
            </w:r>
            <w:r>
              <w:rPr>
                <w:noProof/>
                <w:webHidden/>
              </w:rPr>
              <w:fldChar w:fldCharType="end"/>
            </w:r>
          </w:hyperlink>
        </w:p>
        <w:p w14:paraId="1E5C3E66" w14:textId="36B435F6"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8" w:history="1">
            <w:r w:rsidRPr="005603B1">
              <w:rPr>
                <w:rStyle w:val="Hyperlink"/>
                <w:noProof/>
              </w:rPr>
              <w:t>Chapter 1:  Introduction</w:t>
            </w:r>
            <w:r>
              <w:rPr>
                <w:noProof/>
                <w:webHidden/>
              </w:rPr>
              <w:tab/>
            </w:r>
            <w:r>
              <w:rPr>
                <w:noProof/>
                <w:webHidden/>
              </w:rPr>
              <w:fldChar w:fldCharType="begin"/>
            </w:r>
            <w:r>
              <w:rPr>
                <w:noProof/>
                <w:webHidden/>
              </w:rPr>
              <w:instrText xml:space="preserve"> PAGEREF _Toc181080918 \h </w:instrText>
            </w:r>
            <w:r>
              <w:rPr>
                <w:noProof/>
                <w:webHidden/>
              </w:rPr>
            </w:r>
            <w:r>
              <w:rPr>
                <w:noProof/>
                <w:webHidden/>
              </w:rPr>
              <w:fldChar w:fldCharType="separate"/>
            </w:r>
            <w:r>
              <w:rPr>
                <w:noProof/>
                <w:webHidden/>
              </w:rPr>
              <w:t>13</w:t>
            </w:r>
            <w:r>
              <w:rPr>
                <w:noProof/>
                <w:webHidden/>
              </w:rPr>
              <w:fldChar w:fldCharType="end"/>
            </w:r>
          </w:hyperlink>
        </w:p>
        <w:p w14:paraId="53D27F0C" w14:textId="3FDF9D89"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19" w:history="1">
            <w:r w:rsidRPr="005603B1">
              <w:rPr>
                <w:rStyle w:val="Hyperlink"/>
                <w:noProof/>
                <w:lang w:val="pt-BR"/>
              </w:rPr>
              <w:t>Ngā wheako o te purapura ora</w:t>
            </w:r>
            <w:r>
              <w:rPr>
                <w:noProof/>
                <w:webHidden/>
              </w:rPr>
              <w:tab/>
            </w:r>
            <w:r>
              <w:rPr>
                <w:noProof/>
                <w:webHidden/>
              </w:rPr>
              <w:fldChar w:fldCharType="begin"/>
            </w:r>
            <w:r>
              <w:rPr>
                <w:noProof/>
                <w:webHidden/>
              </w:rPr>
              <w:instrText xml:space="preserve"> PAGEREF _Toc181080919 \h </w:instrText>
            </w:r>
            <w:r>
              <w:rPr>
                <w:noProof/>
                <w:webHidden/>
              </w:rPr>
            </w:r>
            <w:r>
              <w:rPr>
                <w:noProof/>
                <w:webHidden/>
              </w:rPr>
              <w:fldChar w:fldCharType="separate"/>
            </w:r>
            <w:r>
              <w:rPr>
                <w:noProof/>
                <w:webHidden/>
              </w:rPr>
              <w:t>14</w:t>
            </w:r>
            <w:r>
              <w:rPr>
                <w:noProof/>
                <w:webHidden/>
              </w:rPr>
              <w:fldChar w:fldCharType="end"/>
            </w:r>
          </w:hyperlink>
        </w:p>
        <w:p w14:paraId="4D60C317" w14:textId="6899B6A1"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20" w:history="1">
            <w:r w:rsidRPr="005603B1">
              <w:rPr>
                <w:rStyle w:val="Hyperlink"/>
                <w:noProof/>
              </w:rPr>
              <w:t>Survivor experience: Shannon</w:t>
            </w:r>
            <w:r>
              <w:rPr>
                <w:noProof/>
                <w:webHidden/>
              </w:rPr>
              <w:tab/>
            </w:r>
            <w:r>
              <w:rPr>
                <w:noProof/>
                <w:webHidden/>
              </w:rPr>
              <w:fldChar w:fldCharType="begin"/>
            </w:r>
            <w:r>
              <w:rPr>
                <w:noProof/>
                <w:webHidden/>
              </w:rPr>
              <w:instrText xml:space="preserve"> PAGEREF _Toc181080920 \h </w:instrText>
            </w:r>
            <w:r>
              <w:rPr>
                <w:noProof/>
                <w:webHidden/>
              </w:rPr>
            </w:r>
            <w:r>
              <w:rPr>
                <w:noProof/>
                <w:webHidden/>
              </w:rPr>
              <w:fldChar w:fldCharType="separate"/>
            </w:r>
            <w:r>
              <w:rPr>
                <w:noProof/>
                <w:webHidden/>
              </w:rPr>
              <w:t>14</w:t>
            </w:r>
            <w:r>
              <w:rPr>
                <w:noProof/>
                <w:webHidden/>
              </w:rPr>
              <w:fldChar w:fldCharType="end"/>
            </w:r>
          </w:hyperlink>
        </w:p>
        <w:p w14:paraId="142935B4" w14:textId="1D937D76"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21" w:history="1">
            <w:r w:rsidRPr="005603B1">
              <w:rPr>
                <w:rStyle w:val="Hyperlink"/>
                <w:noProof/>
              </w:rPr>
              <w:t>Ngā wheako o te purapura ora</w:t>
            </w:r>
            <w:r>
              <w:rPr>
                <w:noProof/>
                <w:webHidden/>
              </w:rPr>
              <w:tab/>
            </w:r>
            <w:r>
              <w:rPr>
                <w:noProof/>
                <w:webHidden/>
              </w:rPr>
              <w:fldChar w:fldCharType="begin"/>
            </w:r>
            <w:r>
              <w:rPr>
                <w:noProof/>
                <w:webHidden/>
              </w:rPr>
              <w:instrText xml:space="preserve"> PAGEREF _Toc181080921 \h </w:instrText>
            </w:r>
            <w:r>
              <w:rPr>
                <w:noProof/>
                <w:webHidden/>
              </w:rPr>
            </w:r>
            <w:r>
              <w:rPr>
                <w:noProof/>
                <w:webHidden/>
              </w:rPr>
              <w:fldChar w:fldCharType="separate"/>
            </w:r>
            <w:r>
              <w:rPr>
                <w:noProof/>
                <w:webHidden/>
              </w:rPr>
              <w:t>17</w:t>
            </w:r>
            <w:r>
              <w:rPr>
                <w:noProof/>
                <w:webHidden/>
              </w:rPr>
              <w:fldChar w:fldCharType="end"/>
            </w:r>
          </w:hyperlink>
        </w:p>
        <w:p w14:paraId="0BFE06E5" w14:textId="47F8147D"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22" w:history="1">
            <w:r w:rsidRPr="005603B1">
              <w:rPr>
                <w:rStyle w:val="Hyperlink"/>
                <w:noProof/>
              </w:rPr>
              <w:t>Survivor experience: Ms NH</w:t>
            </w:r>
            <w:r>
              <w:rPr>
                <w:noProof/>
                <w:webHidden/>
              </w:rPr>
              <w:tab/>
            </w:r>
            <w:r>
              <w:rPr>
                <w:noProof/>
                <w:webHidden/>
              </w:rPr>
              <w:fldChar w:fldCharType="begin"/>
            </w:r>
            <w:r>
              <w:rPr>
                <w:noProof/>
                <w:webHidden/>
              </w:rPr>
              <w:instrText xml:space="preserve"> PAGEREF _Toc181080922 \h </w:instrText>
            </w:r>
            <w:r>
              <w:rPr>
                <w:noProof/>
                <w:webHidden/>
              </w:rPr>
            </w:r>
            <w:r>
              <w:rPr>
                <w:noProof/>
                <w:webHidden/>
              </w:rPr>
              <w:fldChar w:fldCharType="separate"/>
            </w:r>
            <w:r>
              <w:rPr>
                <w:noProof/>
                <w:webHidden/>
              </w:rPr>
              <w:t>17</w:t>
            </w:r>
            <w:r>
              <w:rPr>
                <w:noProof/>
                <w:webHidden/>
              </w:rPr>
              <w:fldChar w:fldCharType="end"/>
            </w:r>
          </w:hyperlink>
        </w:p>
        <w:p w14:paraId="2B5B4421" w14:textId="6DFF00A9"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23" w:history="1">
            <w:r w:rsidRPr="005603B1">
              <w:rPr>
                <w:rStyle w:val="Hyperlink"/>
                <w:noProof/>
              </w:rPr>
              <w:t>Ūpoko 2: Te whakatinanatanga o te Puretumu Torowhānui i tēnei wā</w:t>
            </w:r>
            <w:r>
              <w:rPr>
                <w:noProof/>
                <w:webHidden/>
              </w:rPr>
              <w:tab/>
            </w:r>
            <w:r>
              <w:rPr>
                <w:noProof/>
                <w:webHidden/>
              </w:rPr>
              <w:fldChar w:fldCharType="begin"/>
            </w:r>
            <w:r>
              <w:rPr>
                <w:noProof/>
                <w:webHidden/>
              </w:rPr>
              <w:instrText xml:space="preserve"> PAGEREF _Toc181080923 \h </w:instrText>
            </w:r>
            <w:r>
              <w:rPr>
                <w:noProof/>
                <w:webHidden/>
              </w:rPr>
            </w:r>
            <w:r>
              <w:rPr>
                <w:noProof/>
                <w:webHidden/>
              </w:rPr>
              <w:fldChar w:fldCharType="separate"/>
            </w:r>
            <w:r>
              <w:rPr>
                <w:noProof/>
                <w:webHidden/>
              </w:rPr>
              <w:t>19</w:t>
            </w:r>
            <w:r>
              <w:rPr>
                <w:noProof/>
                <w:webHidden/>
              </w:rPr>
              <w:fldChar w:fldCharType="end"/>
            </w:r>
          </w:hyperlink>
        </w:p>
        <w:p w14:paraId="67515DA8" w14:textId="2F4E5A6B"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0924" w:history="1">
            <w:r w:rsidRPr="005603B1">
              <w:rPr>
                <w:rStyle w:val="Hyperlink"/>
                <w:noProof/>
              </w:rPr>
              <w:t>Chapter 2: Puretumu Torowhānui: implementation to date</w:t>
            </w:r>
            <w:r>
              <w:rPr>
                <w:noProof/>
                <w:webHidden/>
              </w:rPr>
              <w:tab/>
            </w:r>
            <w:r>
              <w:rPr>
                <w:noProof/>
                <w:webHidden/>
              </w:rPr>
              <w:fldChar w:fldCharType="begin"/>
            </w:r>
            <w:r>
              <w:rPr>
                <w:noProof/>
                <w:webHidden/>
              </w:rPr>
              <w:instrText xml:space="preserve"> PAGEREF _Toc181080924 \h </w:instrText>
            </w:r>
            <w:r>
              <w:rPr>
                <w:noProof/>
                <w:webHidden/>
              </w:rPr>
            </w:r>
            <w:r>
              <w:rPr>
                <w:noProof/>
                <w:webHidden/>
              </w:rPr>
              <w:fldChar w:fldCharType="separate"/>
            </w:r>
            <w:r>
              <w:rPr>
                <w:noProof/>
                <w:webHidden/>
              </w:rPr>
              <w:t>19</w:t>
            </w:r>
            <w:r>
              <w:rPr>
                <w:noProof/>
                <w:webHidden/>
              </w:rPr>
              <w:fldChar w:fldCharType="end"/>
            </w:r>
          </w:hyperlink>
        </w:p>
        <w:p w14:paraId="3782F4A9" w14:textId="133D2CB5"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25" w:history="1">
            <w:r w:rsidRPr="005603B1">
              <w:rPr>
                <w:rStyle w:val="Hyperlink"/>
                <w:noProof/>
              </w:rPr>
              <w:t>Te pūnaha puretumu torowhānui</w:t>
            </w:r>
            <w:r>
              <w:rPr>
                <w:noProof/>
                <w:webHidden/>
              </w:rPr>
              <w:tab/>
            </w:r>
            <w:r>
              <w:rPr>
                <w:noProof/>
                <w:webHidden/>
              </w:rPr>
              <w:fldChar w:fldCharType="begin"/>
            </w:r>
            <w:r>
              <w:rPr>
                <w:noProof/>
                <w:webHidden/>
              </w:rPr>
              <w:instrText xml:space="preserve"> PAGEREF _Toc181080925 \h </w:instrText>
            </w:r>
            <w:r>
              <w:rPr>
                <w:noProof/>
                <w:webHidden/>
              </w:rPr>
            </w:r>
            <w:r>
              <w:rPr>
                <w:noProof/>
                <w:webHidden/>
              </w:rPr>
              <w:fldChar w:fldCharType="separate"/>
            </w:r>
            <w:r>
              <w:rPr>
                <w:noProof/>
                <w:webHidden/>
              </w:rPr>
              <w:t>20</w:t>
            </w:r>
            <w:r>
              <w:rPr>
                <w:noProof/>
                <w:webHidden/>
              </w:rPr>
              <w:fldChar w:fldCharType="end"/>
            </w:r>
          </w:hyperlink>
        </w:p>
        <w:p w14:paraId="35F0D02F" w14:textId="20036E48"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26" w:history="1">
            <w:r w:rsidRPr="005603B1">
              <w:rPr>
                <w:rStyle w:val="Hyperlink"/>
                <w:noProof/>
              </w:rPr>
              <w:t>Puretumu torowhānui system</w:t>
            </w:r>
            <w:r>
              <w:rPr>
                <w:noProof/>
                <w:webHidden/>
              </w:rPr>
              <w:tab/>
            </w:r>
            <w:r>
              <w:rPr>
                <w:noProof/>
                <w:webHidden/>
              </w:rPr>
              <w:fldChar w:fldCharType="begin"/>
            </w:r>
            <w:r>
              <w:rPr>
                <w:noProof/>
                <w:webHidden/>
              </w:rPr>
              <w:instrText xml:space="preserve"> PAGEREF _Toc181080926 \h </w:instrText>
            </w:r>
            <w:r>
              <w:rPr>
                <w:noProof/>
                <w:webHidden/>
              </w:rPr>
            </w:r>
            <w:r>
              <w:rPr>
                <w:noProof/>
                <w:webHidden/>
              </w:rPr>
              <w:fldChar w:fldCharType="separate"/>
            </w:r>
            <w:r>
              <w:rPr>
                <w:noProof/>
                <w:webHidden/>
              </w:rPr>
              <w:t>20</w:t>
            </w:r>
            <w:r>
              <w:rPr>
                <w:noProof/>
                <w:webHidden/>
              </w:rPr>
              <w:fldChar w:fldCharType="end"/>
            </w:r>
          </w:hyperlink>
        </w:p>
        <w:p w14:paraId="726F7E47" w14:textId="54B3B932"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27" w:history="1">
            <w:r w:rsidRPr="005603B1">
              <w:rPr>
                <w:rStyle w:val="Hyperlink"/>
                <w:noProof/>
              </w:rPr>
              <w:t>He kaupapa puretumu hou kua horahia, he ohu hoahoa, me te ohu kaitohutohu kua whakatūria</w:t>
            </w:r>
            <w:r>
              <w:rPr>
                <w:noProof/>
                <w:webHidden/>
              </w:rPr>
              <w:tab/>
            </w:r>
            <w:r>
              <w:rPr>
                <w:noProof/>
                <w:webHidden/>
              </w:rPr>
              <w:fldChar w:fldCharType="begin"/>
            </w:r>
            <w:r>
              <w:rPr>
                <w:noProof/>
                <w:webHidden/>
              </w:rPr>
              <w:instrText xml:space="preserve"> PAGEREF _Toc181080927 \h </w:instrText>
            </w:r>
            <w:r>
              <w:rPr>
                <w:noProof/>
                <w:webHidden/>
              </w:rPr>
            </w:r>
            <w:r>
              <w:rPr>
                <w:noProof/>
                <w:webHidden/>
              </w:rPr>
              <w:fldChar w:fldCharType="separate"/>
            </w:r>
            <w:r>
              <w:rPr>
                <w:noProof/>
                <w:webHidden/>
              </w:rPr>
              <w:t>21</w:t>
            </w:r>
            <w:r>
              <w:rPr>
                <w:noProof/>
                <w:webHidden/>
              </w:rPr>
              <w:fldChar w:fldCharType="end"/>
            </w:r>
          </w:hyperlink>
        </w:p>
        <w:p w14:paraId="3A4C5684" w14:textId="24F2CB3F"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28" w:history="1">
            <w:r w:rsidRPr="005603B1">
              <w:rPr>
                <w:rStyle w:val="Hyperlink"/>
                <w:noProof/>
              </w:rPr>
              <w:t>New independent redress scheme announced, design and advisory group established</w:t>
            </w:r>
            <w:r>
              <w:rPr>
                <w:noProof/>
                <w:webHidden/>
              </w:rPr>
              <w:tab/>
            </w:r>
            <w:r>
              <w:rPr>
                <w:noProof/>
                <w:webHidden/>
              </w:rPr>
              <w:fldChar w:fldCharType="begin"/>
            </w:r>
            <w:r>
              <w:rPr>
                <w:noProof/>
                <w:webHidden/>
              </w:rPr>
              <w:instrText xml:space="preserve"> PAGEREF _Toc181080928 \h </w:instrText>
            </w:r>
            <w:r>
              <w:rPr>
                <w:noProof/>
                <w:webHidden/>
              </w:rPr>
            </w:r>
            <w:r>
              <w:rPr>
                <w:noProof/>
                <w:webHidden/>
              </w:rPr>
              <w:fldChar w:fldCharType="separate"/>
            </w:r>
            <w:r>
              <w:rPr>
                <w:noProof/>
                <w:webHidden/>
              </w:rPr>
              <w:t>21</w:t>
            </w:r>
            <w:r>
              <w:rPr>
                <w:noProof/>
                <w:webHidden/>
              </w:rPr>
              <w:fldChar w:fldCharType="end"/>
            </w:r>
          </w:hyperlink>
        </w:p>
        <w:p w14:paraId="1D9FCF03" w14:textId="5440CEC0"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29" w:history="1">
            <w:r w:rsidRPr="005603B1">
              <w:rPr>
                <w:rStyle w:val="Hyperlink"/>
                <w:noProof/>
              </w:rPr>
              <w:t>He kaupapa motuhake me ngā angawā tīmatanga</w:t>
            </w:r>
            <w:r>
              <w:rPr>
                <w:noProof/>
                <w:webHidden/>
              </w:rPr>
              <w:tab/>
            </w:r>
            <w:r>
              <w:rPr>
                <w:noProof/>
                <w:webHidden/>
              </w:rPr>
              <w:fldChar w:fldCharType="begin"/>
            </w:r>
            <w:r>
              <w:rPr>
                <w:noProof/>
                <w:webHidden/>
              </w:rPr>
              <w:instrText xml:space="preserve"> PAGEREF _Toc181080929 \h </w:instrText>
            </w:r>
            <w:r>
              <w:rPr>
                <w:noProof/>
                <w:webHidden/>
              </w:rPr>
            </w:r>
            <w:r>
              <w:rPr>
                <w:noProof/>
                <w:webHidden/>
              </w:rPr>
              <w:fldChar w:fldCharType="separate"/>
            </w:r>
            <w:r>
              <w:rPr>
                <w:noProof/>
                <w:webHidden/>
              </w:rPr>
              <w:t>21</w:t>
            </w:r>
            <w:r>
              <w:rPr>
                <w:noProof/>
                <w:webHidden/>
              </w:rPr>
              <w:fldChar w:fldCharType="end"/>
            </w:r>
          </w:hyperlink>
        </w:p>
        <w:p w14:paraId="16D55D64" w14:textId="0CB3B881"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0" w:history="1">
            <w:r w:rsidRPr="005603B1">
              <w:rPr>
                <w:rStyle w:val="Hyperlink"/>
                <w:noProof/>
              </w:rPr>
              <w:t>New independent scheme and initial timeframes</w:t>
            </w:r>
            <w:r>
              <w:rPr>
                <w:noProof/>
                <w:webHidden/>
              </w:rPr>
              <w:tab/>
            </w:r>
            <w:r>
              <w:rPr>
                <w:noProof/>
                <w:webHidden/>
              </w:rPr>
              <w:fldChar w:fldCharType="begin"/>
            </w:r>
            <w:r>
              <w:rPr>
                <w:noProof/>
                <w:webHidden/>
              </w:rPr>
              <w:instrText xml:space="preserve"> PAGEREF _Toc181080930 \h </w:instrText>
            </w:r>
            <w:r>
              <w:rPr>
                <w:noProof/>
                <w:webHidden/>
              </w:rPr>
            </w:r>
            <w:r>
              <w:rPr>
                <w:noProof/>
                <w:webHidden/>
              </w:rPr>
              <w:fldChar w:fldCharType="separate"/>
            </w:r>
            <w:r>
              <w:rPr>
                <w:noProof/>
                <w:webHidden/>
              </w:rPr>
              <w:t>21</w:t>
            </w:r>
            <w:r>
              <w:rPr>
                <w:noProof/>
                <w:webHidden/>
              </w:rPr>
              <w:fldChar w:fldCharType="end"/>
            </w:r>
          </w:hyperlink>
        </w:p>
        <w:p w14:paraId="126C7AC1" w14:textId="135FD872"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1" w:history="1">
            <w:r w:rsidRPr="005603B1">
              <w:rPr>
                <w:rStyle w:val="Hyperlink"/>
                <w:noProof/>
              </w:rPr>
              <w:t>Te arowhāinga mō te ohu hoahoa me te ohu kaitohutohu</w:t>
            </w:r>
            <w:r>
              <w:rPr>
                <w:noProof/>
                <w:webHidden/>
              </w:rPr>
              <w:tab/>
            </w:r>
            <w:r>
              <w:rPr>
                <w:noProof/>
                <w:webHidden/>
              </w:rPr>
              <w:fldChar w:fldCharType="begin"/>
            </w:r>
            <w:r>
              <w:rPr>
                <w:noProof/>
                <w:webHidden/>
              </w:rPr>
              <w:instrText xml:space="preserve"> PAGEREF _Toc181080931 \h </w:instrText>
            </w:r>
            <w:r>
              <w:rPr>
                <w:noProof/>
                <w:webHidden/>
              </w:rPr>
            </w:r>
            <w:r>
              <w:rPr>
                <w:noProof/>
                <w:webHidden/>
              </w:rPr>
              <w:fldChar w:fldCharType="separate"/>
            </w:r>
            <w:r>
              <w:rPr>
                <w:noProof/>
                <w:webHidden/>
              </w:rPr>
              <w:t>21</w:t>
            </w:r>
            <w:r>
              <w:rPr>
                <w:noProof/>
                <w:webHidden/>
              </w:rPr>
              <w:fldChar w:fldCharType="end"/>
            </w:r>
          </w:hyperlink>
        </w:p>
        <w:p w14:paraId="66AE0525" w14:textId="629CE42C"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2" w:history="1">
            <w:r w:rsidRPr="005603B1">
              <w:rPr>
                <w:rStyle w:val="Hyperlink"/>
                <w:noProof/>
              </w:rPr>
              <w:t>Redress design and advisory group, purpose</w:t>
            </w:r>
            <w:r>
              <w:rPr>
                <w:noProof/>
                <w:webHidden/>
              </w:rPr>
              <w:tab/>
            </w:r>
            <w:r>
              <w:rPr>
                <w:noProof/>
                <w:webHidden/>
              </w:rPr>
              <w:fldChar w:fldCharType="begin"/>
            </w:r>
            <w:r>
              <w:rPr>
                <w:noProof/>
                <w:webHidden/>
              </w:rPr>
              <w:instrText xml:space="preserve"> PAGEREF _Toc181080932 \h </w:instrText>
            </w:r>
            <w:r>
              <w:rPr>
                <w:noProof/>
                <w:webHidden/>
              </w:rPr>
            </w:r>
            <w:r>
              <w:rPr>
                <w:noProof/>
                <w:webHidden/>
              </w:rPr>
              <w:fldChar w:fldCharType="separate"/>
            </w:r>
            <w:r>
              <w:rPr>
                <w:noProof/>
                <w:webHidden/>
              </w:rPr>
              <w:t>21</w:t>
            </w:r>
            <w:r>
              <w:rPr>
                <w:noProof/>
                <w:webHidden/>
              </w:rPr>
              <w:fldChar w:fldCharType="end"/>
            </w:r>
          </w:hyperlink>
        </w:p>
        <w:p w14:paraId="3D083DC6" w14:textId="6351D332"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3" w:history="1">
            <w:r w:rsidRPr="005603B1">
              <w:rPr>
                <w:rStyle w:val="Hyperlink"/>
                <w:noProof/>
              </w:rPr>
              <w:t>Te takaroa o te whai whakatau mō te pūnaha whaitika</w:t>
            </w:r>
            <w:r>
              <w:rPr>
                <w:noProof/>
                <w:webHidden/>
              </w:rPr>
              <w:tab/>
            </w:r>
            <w:r>
              <w:rPr>
                <w:noProof/>
                <w:webHidden/>
              </w:rPr>
              <w:fldChar w:fldCharType="begin"/>
            </w:r>
            <w:r>
              <w:rPr>
                <w:noProof/>
                <w:webHidden/>
              </w:rPr>
              <w:instrText xml:space="preserve"> PAGEREF _Toc181080933 \h </w:instrText>
            </w:r>
            <w:r>
              <w:rPr>
                <w:noProof/>
                <w:webHidden/>
              </w:rPr>
            </w:r>
            <w:r>
              <w:rPr>
                <w:noProof/>
                <w:webHidden/>
              </w:rPr>
              <w:fldChar w:fldCharType="separate"/>
            </w:r>
            <w:r>
              <w:rPr>
                <w:noProof/>
                <w:webHidden/>
              </w:rPr>
              <w:t>23</w:t>
            </w:r>
            <w:r>
              <w:rPr>
                <w:noProof/>
                <w:webHidden/>
              </w:rPr>
              <w:fldChar w:fldCharType="end"/>
            </w:r>
          </w:hyperlink>
        </w:p>
        <w:p w14:paraId="0036ACE6" w14:textId="65CFBF39"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4" w:history="1">
            <w:r w:rsidRPr="005603B1">
              <w:rPr>
                <w:rStyle w:val="Hyperlink"/>
                <w:noProof/>
              </w:rPr>
              <w:t>Delays to decision making on Redress System</w:t>
            </w:r>
            <w:r>
              <w:rPr>
                <w:noProof/>
                <w:webHidden/>
              </w:rPr>
              <w:tab/>
            </w:r>
            <w:r>
              <w:rPr>
                <w:noProof/>
                <w:webHidden/>
              </w:rPr>
              <w:fldChar w:fldCharType="begin"/>
            </w:r>
            <w:r>
              <w:rPr>
                <w:noProof/>
                <w:webHidden/>
              </w:rPr>
              <w:instrText xml:space="preserve"> PAGEREF _Toc181080934 \h </w:instrText>
            </w:r>
            <w:r>
              <w:rPr>
                <w:noProof/>
                <w:webHidden/>
              </w:rPr>
            </w:r>
            <w:r>
              <w:rPr>
                <w:noProof/>
                <w:webHidden/>
              </w:rPr>
              <w:fldChar w:fldCharType="separate"/>
            </w:r>
            <w:r>
              <w:rPr>
                <w:noProof/>
                <w:webHidden/>
              </w:rPr>
              <w:t>23</w:t>
            </w:r>
            <w:r>
              <w:rPr>
                <w:noProof/>
                <w:webHidden/>
              </w:rPr>
              <w:fldChar w:fldCharType="end"/>
            </w:r>
          </w:hyperlink>
        </w:p>
        <w:p w14:paraId="4C93B079" w14:textId="07E38CA3"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5" w:history="1">
            <w:r w:rsidRPr="005603B1">
              <w:rPr>
                <w:rStyle w:val="Hyperlink"/>
                <w:noProof/>
              </w:rPr>
              <w:t>Kāore he kiritōpū, pērā i tūtohutia</w:t>
            </w:r>
            <w:r>
              <w:rPr>
                <w:noProof/>
                <w:webHidden/>
              </w:rPr>
              <w:tab/>
            </w:r>
            <w:r>
              <w:rPr>
                <w:noProof/>
                <w:webHidden/>
              </w:rPr>
              <w:fldChar w:fldCharType="begin"/>
            </w:r>
            <w:r>
              <w:rPr>
                <w:noProof/>
                <w:webHidden/>
              </w:rPr>
              <w:instrText xml:space="preserve"> PAGEREF _Toc181080935 \h </w:instrText>
            </w:r>
            <w:r>
              <w:rPr>
                <w:noProof/>
                <w:webHidden/>
              </w:rPr>
            </w:r>
            <w:r>
              <w:rPr>
                <w:noProof/>
                <w:webHidden/>
              </w:rPr>
              <w:fldChar w:fldCharType="separate"/>
            </w:r>
            <w:r>
              <w:rPr>
                <w:noProof/>
                <w:webHidden/>
              </w:rPr>
              <w:t>23</w:t>
            </w:r>
            <w:r>
              <w:rPr>
                <w:noProof/>
                <w:webHidden/>
              </w:rPr>
              <w:fldChar w:fldCharType="end"/>
            </w:r>
          </w:hyperlink>
        </w:p>
        <w:p w14:paraId="58E5DF49" w14:textId="5A4CAEC9"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6" w:history="1">
            <w:r w:rsidRPr="005603B1">
              <w:rPr>
                <w:rStyle w:val="Hyperlink"/>
                <w:noProof/>
              </w:rPr>
              <w:t>No collectives as recommended</w:t>
            </w:r>
            <w:r>
              <w:rPr>
                <w:noProof/>
                <w:webHidden/>
              </w:rPr>
              <w:tab/>
            </w:r>
            <w:r>
              <w:rPr>
                <w:noProof/>
                <w:webHidden/>
              </w:rPr>
              <w:fldChar w:fldCharType="begin"/>
            </w:r>
            <w:r>
              <w:rPr>
                <w:noProof/>
                <w:webHidden/>
              </w:rPr>
              <w:instrText xml:space="preserve"> PAGEREF _Toc181080936 \h </w:instrText>
            </w:r>
            <w:r>
              <w:rPr>
                <w:noProof/>
                <w:webHidden/>
              </w:rPr>
            </w:r>
            <w:r>
              <w:rPr>
                <w:noProof/>
                <w:webHidden/>
              </w:rPr>
              <w:fldChar w:fldCharType="separate"/>
            </w:r>
            <w:r>
              <w:rPr>
                <w:noProof/>
                <w:webHidden/>
              </w:rPr>
              <w:t>23</w:t>
            </w:r>
            <w:r>
              <w:rPr>
                <w:noProof/>
                <w:webHidden/>
              </w:rPr>
              <w:fldChar w:fldCharType="end"/>
            </w:r>
          </w:hyperlink>
        </w:p>
        <w:p w14:paraId="05B3C6C5" w14:textId="53C3EC42"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7" w:history="1">
            <w:r w:rsidRPr="005603B1">
              <w:rPr>
                <w:rStyle w:val="Hyperlink"/>
                <w:noProof/>
              </w:rPr>
              <w:t>Te tono whakauru a te Kāwanatanga</w:t>
            </w:r>
            <w:r>
              <w:rPr>
                <w:noProof/>
                <w:webHidden/>
              </w:rPr>
              <w:tab/>
            </w:r>
            <w:r>
              <w:rPr>
                <w:noProof/>
                <w:webHidden/>
              </w:rPr>
              <w:fldChar w:fldCharType="begin"/>
            </w:r>
            <w:r>
              <w:rPr>
                <w:noProof/>
                <w:webHidden/>
              </w:rPr>
              <w:instrText xml:space="preserve"> PAGEREF _Toc181080937 \h </w:instrText>
            </w:r>
            <w:r>
              <w:rPr>
                <w:noProof/>
                <w:webHidden/>
              </w:rPr>
            </w:r>
            <w:r>
              <w:rPr>
                <w:noProof/>
                <w:webHidden/>
              </w:rPr>
              <w:fldChar w:fldCharType="separate"/>
            </w:r>
            <w:r>
              <w:rPr>
                <w:noProof/>
                <w:webHidden/>
              </w:rPr>
              <w:t>24</w:t>
            </w:r>
            <w:r>
              <w:rPr>
                <w:noProof/>
                <w:webHidden/>
              </w:rPr>
              <w:fldChar w:fldCharType="end"/>
            </w:r>
          </w:hyperlink>
        </w:p>
        <w:p w14:paraId="5CDD1F79" w14:textId="5B209D24"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8" w:history="1">
            <w:r w:rsidRPr="005603B1">
              <w:rPr>
                <w:rStyle w:val="Hyperlink"/>
                <w:noProof/>
              </w:rPr>
              <w:t>The Government’s ‘phasing in’ proposal</w:t>
            </w:r>
            <w:r>
              <w:rPr>
                <w:noProof/>
                <w:webHidden/>
              </w:rPr>
              <w:tab/>
            </w:r>
            <w:r>
              <w:rPr>
                <w:noProof/>
                <w:webHidden/>
              </w:rPr>
              <w:fldChar w:fldCharType="begin"/>
            </w:r>
            <w:r>
              <w:rPr>
                <w:noProof/>
                <w:webHidden/>
              </w:rPr>
              <w:instrText xml:space="preserve"> PAGEREF _Toc181080938 \h </w:instrText>
            </w:r>
            <w:r>
              <w:rPr>
                <w:noProof/>
                <w:webHidden/>
              </w:rPr>
            </w:r>
            <w:r>
              <w:rPr>
                <w:noProof/>
                <w:webHidden/>
              </w:rPr>
              <w:fldChar w:fldCharType="separate"/>
            </w:r>
            <w:r>
              <w:rPr>
                <w:noProof/>
                <w:webHidden/>
              </w:rPr>
              <w:t>24</w:t>
            </w:r>
            <w:r>
              <w:rPr>
                <w:noProof/>
                <w:webHidden/>
              </w:rPr>
              <w:fldChar w:fldCharType="end"/>
            </w:r>
          </w:hyperlink>
        </w:p>
        <w:p w14:paraId="2A0D4FBB" w14:textId="0DF5A520"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39" w:history="1">
            <w:r w:rsidRPr="005603B1">
              <w:rPr>
                <w:rStyle w:val="Hyperlink"/>
                <w:noProof/>
              </w:rPr>
              <w:t>Te whakamahinga o ngā whakatauritetanga taiwhenua, tāwāhi hoki e te Kāwanatanga</w:t>
            </w:r>
            <w:r>
              <w:rPr>
                <w:noProof/>
                <w:webHidden/>
              </w:rPr>
              <w:tab/>
            </w:r>
            <w:r>
              <w:rPr>
                <w:noProof/>
                <w:webHidden/>
              </w:rPr>
              <w:fldChar w:fldCharType="begin"/>
            </w:r>
            <w:r>
              <w:rPr>
                <w:noProof/>
                <w:webHidden/>
              </w:rPr>
              <w:instrText xml:space="preserve"> PAGEREF _Toc181080939 \h </w:instrText>
            </w:r>
            <w:r>
              <w:rPr>
                <w:noProof/>
                <w:webHidden/>
              </w:rPr>
            </w:r>
            <w:r>
              <w:rPr>
                <w:noProof/>
                <w:webHidden/>
              </w:rPr>
              <w:fldChar w:fldCharType="separate"/>
            </w:r>
            <w:r>
              <w:rPr>
                <w:noProof/>
                <w:webHidden/>
              </w:rPr>
              <w:t>24</w:t>
            </w:r>
            <w:r>
              <w:rPr>
                <w:noProof/>
                <w:webHidden/>
              </w:rPr>
              <w:fldChar w:fldCharType="end"/>
            </w:r>
          </w:hyperlink>
        </w:p>
        <w:p w14:paraId="5BB88C8D" w14:textId="40824EEA"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40" w:history="1">
            <w:r w:rsidRPr="005603B1">
              <w:rPr>
                <w:rStyle w:val="Hyperlink"/>
                <w:noProof/>
              </w:rPr>
              <w:t>Domestic and international comparators used by the Government</w:t>
            </w:r>
            <w:r>
              <w:rPr>
                <w:noProof/>
                <w:webHidden/>
              </w:rPr>
              <w:tab/>
            </w:r>
            <w:r>
              <w:rPr>
                <w:noProof/>
                <w:webHidden/>
              </w:rPr>
              <w:fldChar w:fldCharType="begin"/>
            </w:r>
            <w:r>
              <w:rPr>
                <w:noProof/>
                <w:webHidden/>
              </w:rPr>
              <w:instrText xml:space="preserve"> PAGEREF _Toc181080940 \h </w:instrText>
            </w:r>
            <w:r>
              <w:rPr>
                <w:noProof/>
                <w:webHidden/>
              </w:rPr>
            </w:r>
            <w:r>
              <w:rPr>
                <w:noProof/>
                <w:webHidden/>
              </w:rPr>
              <w:fldChar w:fldCharType="separate"/>
            </w:r>
            <w:r>
              <w:rPr>
                <w:noProof/>
                <w:webHidden/>
              </w:rPr>
              <w:t>24</w:t>
            </w:r>
            <w:r>
              <w:rPr>
                <w:noProof/>
                <w:webHidden/>
              </w:rPr>
              <w:fldChar w:fldCharType="end"/>
            </w:r>
          </w:hyperlink>
        </w:p>
        <w:p w14:paraId="51F4F256" w14:textId="2DDFB33A"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41" w:history="1">
            <w:r w:rsidRPr="005603B1">
              <w:rPr>
                <w:rStyle w:val="Hyperlink"/>
                <w:noProof/>
              </w:rPr>
              <w:t>Te whakarite i tētahi whakapāha ā-motu me te tuku i roto i te tika</w:t>
            </w:r>
            <w:r>
              <w:rPr>
                <w:noProof/>
                <w:webHidden/>
              </w:rPr>
              <w:tab/>
            </w:r>
            <w:r>
              <w:rPr>
                <w:noProof/>
                <w:webHidden/>
              </w:rPr>
              <w:fldChar w:fldCharType="begin"/>
            </w:r>
            <w:r>
              <w:rPr>
                <w:noProof/>
                <w:webHidden/>
              </w:rPr>
              <w:instrText xml:space="preserve"> PAGEREF _Toc181080941 \h </w:instrText>
            </w:r>
            <w:r>
              <w:rPr>
                <w:noProof/>
                <w:webHidden/>
              </w:rPr>
            </w:r>
            <w:r>
              <w:rPr>
                <w:noProof/>
                <w:webHidden/>
              </w:rPr>
              <w:fldChar w:fldCharType="separate"/>
            </w:r>
            <w:r>
              <w:rPr>
                <w:noProof/>
                <w:webHidden/>
              </w:rPr>
              <w:t>25</w:t>
            </w:r>
            <w:r>
              <w:rPr>
                <w:noProof/>
                <w:webHidden/>
              </w:rPr>
              <w:fldChar w:fldCharType="end"/>
            </w:r>
          </w:hyperlink>
        </w:p>
        <w:p w14:paraId="3D01A369" w14:textId="26275FAC"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42" w:history="1">
            <w:r w:rsidRPr="005603B1">
              <w:rPr>
                <w:rStyle w:val="Hyperlink"/>
                <w:noProof/>
              </w:rPr>
              <w:t>Delivery of a meaningful national apology</w:t>
            </w:r>
            <w:r>
              <w:rPr>
                <w:noProof/>
                <w:webHidden/>
              </w:rPr>
              <w:tab/>
            </w:r>
            <w:r>
              <w:rPr>
                <w:noProof/>
                <w:webHidden/>
              </w:rPr>
              <w:fldChar w:fldCharType="begin"/>
            </w:r>
            <w:r>
              <w:rPr>
                <w:noProof/>
                <w:webHidden/>
              </w:rPr>
              <w:instrText xml:space="preserve"> PAGEREF _Toc181080942 \h </w:instrText>
            </w:r>
            <w:r>
              <w:rPr>
                <w:noProof/>
                <w:webHidden/>
              </w:rPr>
            </w:r>
            <w:r>
              <w:rPr>
                <w:noProof/>
                <w:webHidden/>
              </w:rPr>
              <w:fldChar w:fldCharType="separate"/>
            </w:r>
            <w:r>
              <w:rPr>
                <w:noProof/>
                <w:webHidden/>
              </w:rPr>
              <w:t>25</w:t>
            </w:r>
            <w:r>
              <w:rPr>
                <w:noProof/>
                <w:webHidden/>
              </w:rPr>
              <w:fldChar w:fldCharType="end"/>
            </w:r>
          </w:hyperlink>
        </w:p>
        <w:p w14:paraId="02E6C8A4" w14:textId="7DB33FCC"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43" w:history="1">
            <w:r w:rsidRPr="005603B1">
              <w:rPr>
                <w:rStyle w:val="Hyperlink"/>
                <w:noProof/>
              </w:rPr>
              <w:t>Te whakatū i tētahi ratonga whakarongo taupua</w:t>
            </w:r>
            <w:r>
              <w:rPr>
                <w:noProof/>
                <w:webHidden/>
              </w:rPr>
              <w:tab/>
            </w:r>
            <w:r>
              <w:rPr>
                <w:noProof/>
                <w:webHidden/>
              </w:rPr>
              <w:fldChar w:fldCharType="begin"/>
            </w:r>
            <w:r>
              <w:rPr>
                <w:noProof/>
                <w:webHidden/>
              </w:rPr>
              <w:instrText xml:space="preserve"> PAGEREF _Toc181080943 \h </w:instrText>
            </w:r>
            <w:r>
              <w:rPr>
                <w:noProof/>
                <w:webHidden/>
              </w:rPr>
            </w:r>
            <w:r>
              <w:rPr>
                <w:noProof/>
                <w:webHidden/>
              </w:rPr>
              <w:fldChar w:fldCharType="separate"/>
            </w:r>
            <w:r>
              <w:rPr>
                <w:noProof/>
                <w:webHidden/>
              </w:rPr>
              <w:t>26</w:t>
            </w:r>
            <w:r>
              <w:rPr>
                <w:noProof/>
                <w:webHidden/>
              </w:rPr>
              <w:fldChar w:fldCharType="end"/>
            </w:r>
          </w:hyperlink>
        </w:p>
        <w:p w14:paraId="6AABF8B8" w14:textId="33D27A56"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44" w:history="1">
            <w:r w:rsidRPr="005603B1">
              <w:rPr>
                <w:rStyle w:val="Hyperlink"/>
                <w:noProof/>
              </w:rPr>
              <w:t>Establishing an interim listening service</w:t>
            </w:r>
            <w:r>
              <w:rPr>
                <w:noProof/>
                <w:webHidden/>
              </w:rPr>
              <w:tab/>
            </w:r>
            <w:r>
              <w:rPr>
                <w:noProof/>
                <w:webHidden/>
              </w:rPr>
              <w:fldChar w:fldCharType="begin"/>
            </w:r>
            <w:r>
              <w:rPr>
                <w:noProof/>
                <w:webHidden/>
              </w:rPr>
              <w:instrText xml:space="preserve"> PAGEREF _Toc181080944 \h </w:instrText>
            </w:r>
            <w:r>
              <w:rPr>
                <w:noProof/>
                <w:webHidden/>
              </w:rPr>
            </w:r>
            <w:r>
              <w:rPr>
                <w:noProof/>
                <w:webHidden/>
              </w:rPr>
              <w:fldChar w:fldCharType="separate"/>
            </w:r>
            <w:r>
              <w:rPr>
                <w:noProof/>
                <w:webHidden/>
              </w:rPr>
              <w:t>26</w:t>
            </w:r>
            <w:r>
              <w:rPr>
                <w:noProof/>
                <w:webHidden/>
              </w:rPr>
              <w:fldChar w:fldCharType="end"/>
            </w:r>
          </w:hyperlink>
        </w:p>
        <w:p w14:paraId="62718D13" w14:textId="4F823939"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45" w:history="1">
            <w:r w:rsidRPr="005603B1">
              <w:rPr>
                <w:rStyle w:val="Hyperlink"/>
                <w:noProof/>
              </w:rPr>
              <w:t>Te whakatika i ngā āheinga ki ngā mauhanga taurima</w:t>
            </w:r>
            <w:r>
              <w:rPr>
                <w:noProof/>
                <w:webHidden/>
              </w:rPr>
              <w:tab/>
            </w:r>
            <w:r>
              <w:rPr>
                <w:noProof/>
                <w:webHidden/>
              </w:rPr>
              <w:fldChar w:fldCharType="begin"/>
            </w:r>
            <w:r>
              <w:rPr>
                <w:noProof/>
                <w:webHidden/>
              </w:rPr>
              <w:instrText xml:space="preserve"> PAGEREF _Toc181080945 \h </w:instrText>
            </w:r>
            <w:r>
              <w:rPr>
                <w:noProof/>
                <w:webHidden/>
              </w:rPr>
            </w:r>
            <w:r>
              <w:rPr>
                <w:noProof/>
                <w:webHidden/>
              </w:rPr>
              <w:fldChar w:fldCharType="separate"/>
            </w:r>
            <w:r>
              <w:rPr>
                <w:noProof/>
                <w:webHidden/>
              </w:rPr>
              <w:t>26</w:t>
            </w:r>
            <w:r>
              <w:rPr>
                <w:noProof/>
                <w:webHidden/>
              </w:rPr>
              <w:fldChar w:fldCharType="end"/>
            </w:r>
          </w:hyperlink>
        </w:p>
        <w:p w14:paraId="393E07C4" w14:textId="65F99E22"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46" w:history="1">
            <w:r w:rsidRPr="005603B1">
              <w:rPr>
                <w:rStyle w:val="Hyperlink"/>
                <w:noProof/>
              </w:rPr>
              <w:t>Improving access to care records</w:t>
            </w:r>
            <w:r>
              <w:rPr>
                <w:noProof/>
                <w:webHidden/>
              </w:rPr>
              <w:tab/>
            </w:r>
            <w:r>
              <w:rPr>
                <w:noProof/>
                <w:webHidden/>
              </w:rPr>
              <w:fldChar w:fldCharType="begin"/>
            </w:r>
            <w:r>
              <w:rPr>
                <w:noProof/>
                <w:webHidden/>
              </w:rPr>
              <w:instrText xml:space="preserve"> PAGEREF _Toc181080946 \h </w:instrText>
            </w:r>
            <w:r>
              <w:rPr>
                <w:noProof/>
                <w:webHidden/>
              </w:rPr>
            </w:r>
            <w:r>
              <w:rPr>
                <w:noProof/>
                <w:webHidden/>
              </w:rPr>
              <w:fldChar w:fldCharType="separate"/>
            </w:r>
            <w:r>
              <w:rPr>
                <w:noProof/>
                <w:webHidden/>
              </w:rPr>
              <w:t>26</w:t>
            </w:r>
            <w:r>
              <w:rPr>
                <w:noProof/>
                <w:webHidden/>
              </w:rPr>
              <w:fldChar w:fldCharType="end"/>
            </w:r>
          </w:hyperlink>
        </w:p>
        <w:p w14:paraId="1BBCB954" w14:textId="45408AF2"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47" w:history="1">
            <w:r w:rsidRPr="005603B1">
              <w:rPr>
                <w:rStyle w:val="Hyperlink"/>
                <w:noProof/>
              </w:rPr>
              <w:t>Te whakarite me te taki i ngā utu wawe ki ētahi purapura ora</w:t>
            </w:r>
            <w:r>
              <w:rPr>
                <w:noProof/>
                <w:webHidden/>
              </w:rPr>
              <w:tab/>
            </w:r>
            <w:r>
              <w:rPr>
                <w:noProof/>
                <w:webHidden/>
              </w:rPr>
              <w:fldChar w:fldCharType="begin"/>
            </w:r>
            <w:r>
              <w:rPr>
                <w:noProof/>
                <w:webHidden/>
              </w:rPr>
              <w:instrText xml:space="preserve"> PAGEREF _Toc181080947 \h </w:instrText>
            </w:r>
            <w:r>
              <w:rPr>
                <w:noProof/>
                <w:webHidden/>
              </w:rPr>
            </w:r>
            <w:r>
              <w:rPr>
                <w:noProof/>
                <w:webHidden/>
              </w:rPr>
              <w:fldChar w:fldCharType="separate"/>
            </w:r>
            <w:r>
              <w:rPr>
                <w:noProof/>
                <w:webHidden/>
              </w:rPr>
              <w:t>27</w:t>
            </w:r>
            <w:r>
              <w:rPr>
                <w:noProof/>
                <w:webHidden/>
              </w:rPr>
              <w:fldChar w:fldCharType="end"/>
            </w:r>
          </w:hyperlink>
        </w:p>
        <w:p w14:paraId="321E9E2A" w14:textId="573E1052"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48" w:history="1">
            <w:r w:rsidRPr="005603B1">
              <w:rPr>
                <w:rStyle w:val="Hyperlink"/>
                <w:noProof/>
              </w:rPr>
              <w:t>Establishing and processing advance payments to certain survivors</w:t>
            </w:r>
            <w:r>
              <w:rPr>
                <w:noProof/>
                <w:webHidden/>
              </w:rPr>
              <w:tab/>
            </w:r>
            <w:r>
              <w:rPr>
                <w:noProof/>
                <w:webHidden/>
              </w:rPr>
              <w:fldChar w:fldCharType="begin"/>
            </w:r>
            <w:r>
              <w:rPr>
                <w:noProof/>
                <w:webHidden/>
              </w:rPr>
              <w:instrText xml:space="preserve"> PAGEREF _Toc181080948 \h </w:instrText>
            </w:r>
            <w:r>
              <w:rPr>
                <w:noProof/>
                <w:webHidden/>
              </w:rPr>
            </w:r>
            <w:r>
              <w:rPr>
                <w:noProof/>
                <w:webHidden/>
              </w:rPr>
              <w:fldChar w:fldCharType="separate"/>
            </w:r>
            <w:r>
              <w:rPr>
                <w:noProof/>
                <w:webHidden/>
              </w:rPr>
              <w:t>27</w:t>
            </w:r>
            <w:r>
              <w:rPr>
                <w:noProof/>
                <w:webHidden/>
              </w:rPr>
              <w:fldChar w:fldCharType="end"/>
            </w:r>
          </w:hyperlink>
        </w:p>
        <w:p w14:paraId="5BA67225" w14:textId="349DC5DB"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49" w:history="1">
            <w:r w:rsidRPr="005603B1">
              <w:rPr>
                <w:rStyle w:val="Hyperlink"/>
                <w:noProof/>
              </w:rPr>
              <w:t>Te kaupapa utu tere a Te Manatū Whakahiato Ora</w:t>
            </w:r>
            <w:r>
              <w:rPr>
                <w:noProof/>
                <w:webHidden/>
              </w:rPr>
              <w:tab/>
            </w:r>
            <w:r>
              <w:rPr>
                <w:noProof/>
                <w:webHidden/>
              </w:rPr>
              <w:fldChar w:fldCharType="begin"/>
            </w:r>
            <w:r>
              <w:rPr>
                <w:noProof/>
                <w:webHidden/>
              </w:rPr>
              <w:instrText xml:space="preserve"> PAGEREF _Toc181080949 \h </w:instrText>
            </w:r>
            <w:r>
              <w:rPr>
                <w:noProof/>
                <w:webHidden/>
              </w:rPr>
            </w:r>
            <w:r>
              <w:rPr>
                <w:noProof/>
                <w:webHidden/>
              </w:rPr>
              <w:fldChar w:fldCharType="separate"/>
            </w:r>
            <w:r>
              <w:rPr>
                <w:noProof/>
                <w:webHidden/>
              </w:rPr>
              <w:t>28</w:t>
            </w:r>
            <w:r>
              <w:rPr>
                <w:noProof/>
                <w:webHidden/>
              </w:rPr>
              <w:fldChar w:fldCharType="end"/>
            </w:r>
          </w:hyperlink>
        </w:p>
        <w:p w14:paraId="1B75DAD2" w14:textId="7105F326"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50" w:history="1">
            <w:r w:rsidRPr="005603B1">
              <w:rPr>
                <w:rStyle w:val="Hyperlink"/>
                <w:noProof/>
              </w:rPr>
              <w:t>Ministry of Social Development’s rapid payment scheme</w:t>
            </w:r>
            <w:r>
              <w:rPr>
                <w:noProof/>
                <w:webHidden/>
              </w:rPr>
              <w:tab/>
            </w:r>
            <w:r>
              <w:rPr>
                <w:noProof/>
                <w:webHidden/>
              </w:rPr>
              <w:fldChar w:fldCharType="begin"/>
            </w:r>
            <w:r>
              <w:rPr>
                <w:noProof/>
                <w:webHidden/>
              </w:rPr>
              <w:instrText xml:space="preserve"> PAGEREF _Toc181080950 \h </w:instrText>
            </w:r>
            <w:r>
              <w:rPr>
                <w:noProof/>
                <w:webHidden/>
              </w:rPr>
            </w:r>
            <w:r>
              <w:rPr>
                <w:noProof/>
                <w:webHidden/>
              </w:rPr>
              <w:fldChar w:fldCharType="separate"/>
            </w:r>
            <w:r>
              <w:rPr>
                <w:noProof/>
                <w:webHidden/>
              </w:rPr>
              <w:t>28</w:t>
            </w:r>
            <w:r>
              <w:rPr>
                <w:noProof/>
                <w:webHidden/>
              </w:rPr>
              <w:fldChar w:fldCharType="end"/>
            </w:r>
          </w:hyperlink>
        </w:p>
        <w:p w14:paraId="13587AEA" w14:textId="2D730155"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51" w:history="1">
            <w:r w:rsidRPr="005603B1">
              <w:rPr>
                <w:rStyle w:val="Hyperlink"/>
                <w:noProof/>
              </w:rPr>
              <w:t>Te kaupapa utu tere a Te Tāhūhū o te Mātauranga</w:t>
            </w:r>
            <w:r>
              <w:rPr>
                <w:noProof/>
                <w:webHidden/>
              </w:rPr>
              <w:tab/>
            </w:r>
            <w:r>
              <w:rPr>
                <w:noProof/>
                <w:webHidden/>
              </w:rPr>
              <w:fldChar w:fldCharType="begin"/>
            </w:r>
            <w:r>
              <w:rPr>
                <w:noProof/>
                <w:webHidden/>
              </w:rPr>
              <w:instrText xml:space="preserve"> PAGEREF _Toc181080951 \h </w:instrText>
            </w:r>
            <w:r>
              <w:rPr>
                <w:noProof/>
                <w:webHidden/>
              </w:rPr>
            </w:r>
            <w:r>
              <w:rPr>
                <w:noProof/>
                <w:webHidden/>
              </w:rPr>
              <w:fldChar w:fldCharType="separate"/>
            </w:r>
            <w:r>
              <w:rPr>
                <w:noProof/>
                <w:webHidden/>
              </w:rPr>
              <w:t>31</w:t>
            </w:r>
            <w:r>
              <w:rPr>
                <w:noProof/>
                <w:webHidden/>
              </w:rPr>
              <w:fldChar w:fldCharType="end"/>
            </w:r>
          </w:hyperlink>
        </w:p>
        <w:p w14:paraId="44702791" w14:textId="5B09C2BD"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52" w:history="1">
            <w:r w:rsidRPr="005603B1">
              <w:rPr>
                <w:rStyle w:val="Hyperlink"/>
                <w:noProof/>
              </w:rPr>
              <w:t>Ministry of Education’s rapid payment scheme</w:t>
            </w:r>
            <w:r>
              <w:rPr>
                <w:noProof/>
                <w:webHidden/>
              </w:rPr>
              <w:tab/>
            </w:r>
            <w:r>
              <w:rPr>
                <w:noProof/>
                <w:webHidden/>
              </w:rPr>
              <w:fldChar w:fldCharType="begin"/>
            </w:r>
            <w:r>
              <w:rPr>
                <w:noProof/>
                <w:webHidden/>
              </w:rPr>
              <w:instrText xml:space="preserve"> PAGEREF _Toc181080952 \h </w:instrText>
            </w:r>
            <w:r>
              <w:rPr>
                <w:noProof/>
                <w:webHidden/>
              </w:rPr>
            </w:r>
            <w:r>
              <w:rPr>
                <w:noProof/>
                <w:webHidden/>
              </w:rPr>
              <w:fldChar w:fldCharType="separate"/>
            </w:r>
            <w:r>
              <w:rPr>
                <w:noProof/>
                <w:webHidden/>
              </w:rPr>
              <w:t>31</w:t>
            </w:r>
            <w:r>
              <w:rPr>
                <w:noProof/>
                <w:webHidden/>
              </w:rPr>
              <w:fldChar w:fldCharType="end"/>
            </w:r>
          </w:hyperlink>
        </w:p>
        <w:p w14:paraId="1DAAC73C" w14:textId="2ECA0E5C"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53" w:history="1">
            <w:r w:rsidRPr="005603B1">
              <w:rPr>
                <w:rStyle w:val="Hyperlink"/>
                <w:noProof/>
              </w:rPr>
              <w:t>I whakaarotauhia ngā utu whakataunga e Te Tāhūhū o te  Mātauranga</w:t>
            </w:r>
            <w:r>
              <w:rPr>
                <w:noProof/>
                <w:webHidden/>
              </w:rPr>
              <w:tab/>
            </w:r>
            <w:r>
              <w:rPr>
                <w:noProof/>
                <w:webHidden/>
              </w:rPr>
              <w:fldChar w:fldCharType="begin"/>
            </w:r>
            <w:r>
              <w:rPr>
                <w:noProof/>
                <w:webHidden/>
              </w:rPr>
              <w:instrText xml:space="preserve"> PAGEREF _Toc181080953 \h </w:instrText>
            </w:r>
            <w:r>
              <w:rPr>
                <w:noProof/>
                <w:webHidden/>
              </w:rPr>
            </w:r>
            <w:r>
              <w:rPr>
                <w:noProof/>
                <w:webHidden/>
              </w:rPr>
              <w:fldChar w:fldCharType="separate"/>
            </w:r>
            <w:r>
              <w:rPr>
                <w:noProof/>
                <w:webHidden/>
              </w:rPr>
              <w:t>33</w:t>
            </w:r>
            <w:r>
              <w:rPr>
                <w:noProof/>
                <w:webHidden/>
              </w:rPr>
              <w:fldChar w:fldCharType="end"/>
            </w:r>
          </w:hyperlink>
        </w:p>
        <w:p w14:paraId="3BAA0F4E" w14:textId="119637A6"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54" w:history="1">
            <w:r w:rsidRPr="005603B1">
              <w:rPr>
                <w:rStyle w:val="Hyperlink"/>
                <w:noProof/>
              </w:rPr>
              <w:t>Ministry of Education’s prioritised settlement payments</w:t>
            </w:r>
            <w:r>
              <w:rPr>
                <w:noProof/>
                <w:webHidden/>
              </w:rPr>
              <w:tab/>
            </w:r>
            <w:r>
              <w:rPr>
                <w:noProof/>
                <w:webHidden/>
              </w:rPr>
              <w:fldChar w:fldCharType="begin"/>
            </w:r>
            <w:r>
              <w:rPr>
                <w:noProof/>
                <w:webHidden/>
              </w:rPr>
              <w:instrText xml:space="preserve"> PAGEREF _Toc181080954 \h </w:instrText>
            </w:r>
            <w:r>
              <w:rPr>
                <w:noProof/>
                <w:webHidden/>
              </w:rPr>
            </w:r>
            <w:r>
              <w:rPr>
                <w:noProof/>
                <w:webHidden/>
              </w:rPr>
              <w:fldChar w:fldCharType="separate"/>
            </w:r>
            <w:r>
              <w:rPr>
                <w:noProof/>
                <w:webHidden/>
              </w:rPr>
              <w:t>33</w:t>
            </w:r>
            <w:r>
              <w:rPr>
                <w:noProof/>
                <w:webHidden/>
              </w:rPr>
              <w:fldChar w:fldCharType="end"/>
            </w:r>
          </w:hyperlink>
        </w:p>
        <w:p w14:paraId="0619FA42" w14:textId="658DAD06"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55" w:history="1">
            <w:r w:rsidRPr="005603B1">
              <w:rPr>
                <w:rStyle w:val="Hyperlink"/>
                <w:noProof/>
              </w:rPr>
              <w:t>He ratonga whakahauora hou</w:t>
            </w:r>
            <w:r>
              <w:rPr>
                <w:noProof/>
                <w:webHidden/>
              </w:rPr>
              <w:tab/>
            </w:r>
            <w:r>
              <w:rPr>
                <w:noProof/>
                <w:webHidden/>
              </w:rPr>
              <w:fldChar w:fldCharType="begin"/>
            </w:r>
            <w:r>
              <w:rPr>
                <w:noProof/>
                <w:webHidden/>
              </w:rPr>
              <w:instrText xml:space="preserve"> PAGEREF _Toc181080955 \h </w:instrText>
            </w:r>
            <w:r>
              <w:rPr>
                <w:noProof/>
                <w:webHidden/>
              </w:rPr>
            </w:r>
            <w:r>
              <w:rPr>
                <w:noProof/>
                <w:webHidden/>
              </w:rPr>
              <w:fldChar w:fldCharType="separate"/>
            </w:r>
            <w:r>
              <w:rPr>
                <w:noProof/>
                <w:webHidden/>
              </w:rPr>
              <w:t>33</w:t>
            </w:r>
            <w:r>
              <w:rPr>
                <w:noProof/>
                <w:webHidden/>
              </w:rPr>
              <w:fldChar w:fldCharType="end"/>
            </w:r>
          </w:hyperlink>
        </w:p>
        <w:p w14:paraId="2DA25E11" w14:textId="3908A764"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56" w:history="1">
            <w:r w:rsidRPr="005603B1">
              <w:rPr>
                <w:rStyle w:val="Hyperlink"/>
                <w:noProof/>
              </w:rPr>
              <w:t>New wellbeing support service</w:t>
            </w:r>
            <w:r>
              <w:rPr>
                <w:noProof/>
                <w:webHidden/>
              </w:rPr>
              <w:tab/>
            </w:r>
            <w:r>
              <w:rPr>
                <w:noProof/>
                <w:webHidden/>
              </w:rPr>
              <w:fldChar w:fldCharType="begin"/>
            </w:r>
            <w:r>
              <w:rPr>
                <w:noProof/>
                <w:webHidden/>
              </w:rPr>
              <w:instrText xml:space="preserve"> PAGEREF _Toc181080956 \h </w:instrText>
            </w:r>
            <w:r>
              <w:rPr>
                <w:noProof/>
                <w:webHidden/>
              </w:rPr>
            </w:r>
            <w:r>
              <w:rPr>
                <w:noProof/>
                <w:webHidden/>
              </w:rPr>
              <w:fldChar w:fldCharType="separate"/>
            </w:r>
            <w:r>
              <w:rPr>
                <w:noProof/>
                <w:webHidden/>
              </w:rPr>
              <w:t>33</w:t>
            </w:r>
            <w:r>
              <w:rPr>
                <w:noProof/>
                <w:webHidden/>
              </w:rPr>
              <w:fldChar w:fldCharType="end"/>
            </w:r>
          </w:hyperlink>
        </w:p>
        <w:p w14:paraId="48FF6C78" w14:textId="465A9877"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57" w:history="1">
            <w:r w:rsidRPr="005603B1">
              <w:rPr>
                <w:rStyle w:val="Hyperlink"/>
                <w:noProof/>
              </w:rPr>
              <w:t>Ngā tirohanga a te Pakirehua</w:t>
            </w:r>
            <w:r>
              <w:rPr>
                <w:noProof/>
                <w:webHidden/>
              </w:rPr>
              <w:tab/>
            </w:r>
            <w:r>
              <w:rPr>
                <w:noProof/>
                <w:webHidden/>
              </w:rPr>
              <w:fldChar w:fldCharType="begin"/>
            </w:r>
            <w:r>
              <w:rPr>
                <w:noProof/>
                <w:webHidden/>
              </w:rPr>
              <w:instrText xml:space="preserve"> PAGEREF _Toc181080957 \h </w:instrText>
            </w:r>
            <w:r>
              <w:rPr>
                <w:noProof/>
                <w:webHidden/>
              </w:rPr>
            </w:r>
            <w:r>
              <w:rPr>
                <w:noProof/>
                <w:webHidden/>
              </w:rPr>
              <w:fldChar w:fldCharType="separate"/>
            </w:r>
            <w:r>
              <w:rPr>
                <w:noProof/>
                <w:webHidden/>
              </w:rPr>
              <w:t>34</w:t>
            </w:r>
            <w:r>
              <w:rPr>
                <w:noProof/>
                <w:webHidden/>
              </w:rPr>
              <w:fldChar w:fldCharType="end"/>
            </w:r>
          </w:hyperlink>
        </w:p>
        <w:p w14:paraId="09F11D93" w14:textId="65F4B02F"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58" w:history="1">
            <w:r w:rsidRPr="005603B1">
              <w:rPr>
                <w:rStyle w:val="Hyperlink"/>
                <w:noProof/>
              </w:rPr>
              <w:t>The Inquiry’s views</w:t>
            </w:r>
            <w:r>
              <w:rPr>
                <w:noProof/>
                <w:webHidden/>
              </w:rPr>
              <w:tab/>
            </w:r>
            <w:r>
              <w:rPr>
                <w:noProof/>
                <w:webHidden/>
              </w:rPr>
              <w:fldChar w:fldCharType="begin"/>
            </w:r>
            <w:r>
              <w:rPr>
                <w:noProof/>
                <w:webHidden/>
              </w:rPr>
              <w:instrText xml:space="preserve"> PAGEREF _Toc181080958 \h </w:instrText>
            </w:r>
            <w:r>
              <w:rPr>
                <w:noProof/>
                <w:webHidden/>
              </w:rPr>
            </w:r>
            <w:r>
              <w:rPr>
                <w:noProof/>
                <w:webHidden/>
              </w:rPr>
              <w:fldChar w:fldCharType="separate"/>
            </w:r>
            <w:r>
              <w:rPr>
                <w:noProof/>
                <w:webHidden/>
              </w:rPr>
              <w:t>34</w:t>
            </w:r>
            <w:r>
              <w:rPr>
                <w:noProof/>
                <w:webHidden/>
              </w:rPr>
              <w:fldChar w:fldCharType="end"/>
            </w:r>
          </w:hyperlink>
        </w:p>
        <w:p w14:paraId="02084C0D" w14:textId="1D06B292"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59" w:history="1">
            <w:r w:rsidRPr="005603B1">
              <w:rPr>
                <w:rStyle w:val="Hyperlink"/>
                <w:noProof/>
              </w:rPr>
              <w:t>Te whakatau take me te tiaki mōtika ki te whaiture</w:t>
            </w:r>
            <w:r>
              <w:rPr>
                <w:noProof/>
                <w:webHidden/>
              </w:rPr>
              <w:tab/>
            </w:r>
            <w:r>
              <w:rPr>
                <w:noProof/>
                <w:webHidden/>
              </w:rPr>
              <w:fldChar w:fldCharType="begin"/>
            </w:r>
            <w:r>
              <w:rPr>
                <w:noProof/>
                <w:webHidden/>
              </w:rPr>
              <w:instrText xml:space="preserve"> PAGEREF _Toc181080959 \h </w:instrText>
            </w:r>
            <w:r>
              <w:rPr>
                <w:noProof/>
                <w:webHidden/>
              </w:rPr>
            </w:r>
            <w:r>
              <w:rPr>
                <w:noProof/>
                <w:webHidden/>
              </w:rPr>
              <w:fldChar w:fldCharType="separate"/>
            </w:r>
            <w:r>
              <w:rPr>
                <w:noProof/>
                <w:webHidden/>
              </w:rPr>
              <w:t>36</w:t>
            </w:r>
            <w:r>
              <w:rPr>
                <w:noProof/>
                <w:webHidden/>
              </w:rPr>
              <w:fldChar w:fldCharType="end"/>
            </w:r>
          </w:hyperlink>
        </w:p>
        <w:p w14:paraId="135A3251" w14:textId="218B3833"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60" w:history="1">
            <w:r w:rsidRPr="005603B1">
              <w:rPr>
                <w:rStyle w:val="Hyperlink"/>
                <w:noProof/>
              </w:rPr>
              <w:t>Resolving claims and preserving rights to litigate</w:t>
            </w:r>
            <w:r>
              <w:rPr>
                <w:noProof/>
                <w:webHidden/>
              </w:rPr>
              <w:tab/>
            </w:r>
            <w:r>
              <w:rPr>
                <w:noProof/>
                <w:webHidden/>
              </w:rPr>
              <w:fldChar w:fldCharType="begin"/>
            </w:r>
            <w:r>
              <w:rPr>
                <w:noProof/>
                <w:webHidden/>
              </w:rPr>
              <w:instrText xml:space="preserve"> PAGEREF _Toc181080960 \h </w:instrText>
            </w:r>
            <w:r>
              <w:rPr>
                <w:noProof/>
                <w:webHidden/>
              </w:rPr>
            </w:r>
            <w:r>
              <w:rPr>
                <w:noProof/>
                <w:webHidden/>
              </w:rPr>
              <w:fldChar w:fldCharType="separate"/>
            </w:r>
            <w:r>
              <w:rPr>
                <w:noProof/>
                <w:webHidden/>
              </w:rPr>
              <w:t>36</w:t>
            </w:r>
            <w:r>
              <w:rPr>
                <w:noProof/>
                <w:webHidden/>
              </w:rPr>
              <w:fldChar w:fldCharType="end"/>
            </w:r>
          </w:hyperlink>
        </w:p>
        <w:p w14:paraId="06490B9F" w14:textId="56E57620"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61" w:history="1">
            <w:r w:rsidRPr="005603B1">
              <w:rPr>
                <w:rStyle w:val="Hyperlink"/>
                <w:noProof/>
              </w:rPr>
              <w:t>Te whakarite me te whakauru i tētahi rautaki whakawhanake ohu mahi</w:t>
            </w:r>
            <w:r>
              <w:rPr>
                <w:noProof/>
                <w:webHidden/>
              </w:rPr>
              <w:tab/>
            </w:r>
            <w:r>
              <w:rPr>
                <w:noProof/>
                <w:webHidden/>
              </w:rPr>
              <w:fldChar w:fldCharType="begin"/>
            </w:r>
            <w:r>
              <w:rPr>
                <w:noProof/>
                <w:webHidden/>
              </w:rPr>
              <w:instrText xml:space="preserve"> PAGEREF _Toc181080961 \h </w:instrText>
            </w:r>
            <w:r>
              <w:rPr>
                <w:noProof/>
                <w:webHidden/>
              </w:rPr>
            </w:r>
            <w:r>
              <w:rPr>
                <w:noProof/>
                <w:webHidden/>
              </w:rPr>
              <w:fldChar w:fldCharType="separate"/>
            </w:r>
            <w:r>
              <w:rPr>
                <w:noProof/>
                <w:webHidden/>
              </w:rPr>
              <w:t>36</w:t>
            </w:r>
            <w:r>
              <w:rPr>
                <w:noProof/>
                <w:webHidden/>
              </w:rPr>
              <w:fldChar w:fldCharType="end"/>
            </w:r>
          </w:hyperlink>
        </w:p>
        <w:p w14:paraId="3B4F941A" w14:textId="4287937C"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62" w:history="1">
            <w:r w:rsidRPr="005603B1">
              <w:rPr>
                <w:rStyle w:val="Hyperlink"/>
                <w:noProof/>
              </w:rPr>
              <w:t>Developing and implementing a transformative workforce strategy</w:t>
            </w:r>
            <w:r>
              <w:rPr>
                <w:noProof/>
                <w:webHidden/>
              </w:rPr>
              <w:tab/>
            </w:r>
            <w:r>
              <w:rPr>
                <w:noProof/>
                <w:webHidden/>
              </w:rPr>
              <w:fldChar w:fldCharType="begin"/>
            </w:r>
            <w:r>
              <w:rPr>
                <w:noProof/>
                <w:webHidden/>
              </w:rPr>
              <w:instrText xml:space="preserve"> PAGEREF _Toc181080962 \h </w:instrText>
            </w:r>
            <w:r>
              <w:rPr>
                <w:noProof/>
                <w:webHidden/>
              </w:rPr>
            </w:r>
            <w:r>
              <w:rPr>
                <w:noProof/>
                <w:webHidden/>
              </w:rPr>
              <w:fldChar w:fldCharType="separate"/>
            </w:r>
            <w:r>
              <w:rPr>
                <w:noProof/>
                <w:webHidden/>
              </w:rPr>
              <w:t>36</w:t>
            </w:r>
            <w:r>
              <w:rPr>
                <w:noProof/>
                <w:webHidden/>
              </w:rPr>
              <w:fldChar w:fldCharType="end"/>
            </w:r>
          </w:hyperlink>
        </w:p>
        <w:p w14:paraId="76F16BE7" w14:textId="49EBEDE9"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63" w:history="1">
            <w:r w:rsidRPr="005603B1">
              <w:rPr>
                <w:rStyle w:val="Hyperlink"/>
                <w:noProof/>
              </w:rPr>
              <w:t>Te whakamana i ngā purapura ora mā ngā whakamaharatanga, ngā hui whakanui, ngā kaupapa mahi, ngā whakahau aroā me te rangahau</w:t>
            </w:r>
            <w:r>
              <w:rPr>
                <w:noProof/>
                <w:webHidden/>
              </w:rPr>
              <w:tab/>
            </w:r>
            <w:r>
              <w:rPr>
                <w:noProof/>
                <w:webHidden/>
              </w:rPr>
              <w:fldChar w:fldCharType="begin"/>
            </w:r>
            <w:r>
              <w:rPr>
                <w:noProof/>
                <w:webHidden/>
              </w:rPr>
              <w:instrText xml:space="preserve"> PAGEREF _Toc181080963 \h </w:instrText>
            </w:r>
            <w:r>
              <w:rPr>
                <w:noProof/>
                <w:webHidden/>
              </w:rPr>
            </w:r>
            <w:r>
              <w:rPr>
                <w:noProof/>
                <w:webHidden/>
              </w:rPr>
              <w:fldChar w:fldCharType="separate"/>
            </w:r>
            <w:r>
              <w:rPr>
                <w:noProof/>
                <w:webHidden/>
              </w:rPr>
              <w:t>37</w:t>
            </w:r>
            <w:r>
              <w:rPr>
                <w:noProof/>
                <w:webHidden/>
              </w:rPr>
              <w:fldChar w:fldCharType="end"/>
            </w:r>
          </w:hyperlink>
        </w:p>
        <w:p w14:paraId="26C5818B" w14:textId="7126B852"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64" w:history="1">
            <w:r w:rsidRPr="005603B1">
              <w:rPr>
                <w:rStyle w:val="Hyperlink"/>
                <w:noProof/>
              </w:rPr>
              <w:t>Publicly acknowledging survivors through memorials, ceremonies and projects, awareness campaigns and research</w:t>
            </w:r>
            <w:r>
              <w:rPr>
                <w:noProof/>
                <w:webHidden/>
              </w:rPr>
              <w:tab/>
            </w:r>
            <w:r>
              <w:rPr>
                <w:noProof/>
                <w:webHidden/>
              </w:rPr>
              <w:fldChar w:fldCharType="begin"/>
            </w:r>
            <w:r>
              <w:rPr>
                <w:noProof/>
                <w:webHidden/>
              </w:rPr>
              <w:instrText xml:space="preserve"> PAGEREF _Toc181080964 \h </w:instrText>
            </w:r>
            <w:r>
              <w:rPr>
                <w:noProof/>
                <w:webHidden/>
              </w:rPr>
            </w:r>
            <w:r>
              <w:rPr>
                <w:noProof/>
                <w:webHidden/>
              </w:rPr>
              <w:fldChar w:fldCharType="separate"/>
            </w:r>
            <w:r>
              <w:rPr>
                <w:noProof/>
                <w:webHidden/>
              </w:rPr>
              <w:t>37</w:t>
            </w:r>
            <w:r>
              <w:rPr>
                <w:noProof/>
                <w:webHidden/>
              </w:rPr>
              <w:fldChar w:fldCharType="end"/>
            </w:r>
          </w:hyperlink>
        </w:p>
        <w:p w14:paraId="02077875" w14:textId="3DAC7AFB"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65" w:history="1">
            <w:r w:rsidRPr="005603B1">
              <w:rPr>
                <w:rStyle w:val="Hyperlink"/>
                <w:noProof/>
              </w:rPr>
              <w:t>Te panoni i ngā īngoa wāhi</w:t>
            </w:r>
            <w:r>
              <w:rPr>
                <w:noProof/>
                <w:webHidden/>
              </w:rPr>
              <w:tab/>
            </w:r>
            <w:r>
              <w:rPr>
                <w:noProof/>
                <w:webHidden/>
              </w:rPr>
              <w:fldChar w:fldCharType="begin"/>
            </w:r>
            <w:r>
              <w:rPr>
                <w:noProof/>
                <w:webHidden/>
              </w:rPr>
              <w:instrText xml:space="preserve"> PAGEREF _Toc181080965 \h </w:instrText>
            </w:r>
            <w:r>
              <w:rPr>
                <w:noProof/>
                <w:webHidden/>
              </w:rPr>
            </w:r>
            <w:r>
              <w:rPr>
                <w:noProof/>
                <w:webHidden/>
              </w:rPr>
              <w:fldChar w:fldCharType="separate"/>
            </w:r>
            <w:r>
              <w:rPr>
                <w:noProof/>
                <w:webHidden/>
              </w:rPr>
              <w:t>38</w:t>
            </w:r>
            <w:r>
              <w:rPr>
                <w:noProof/>
                <w:webHidden/>
              </w:rPr>
              <w:fldChar w:fldCharType="end"/>
            </w:r>
          </w:hyperlink>
        </w:p>
        <w:p w14:paraId="73A4D480" w14:textId="2ACB82B0"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66" w:history="1">
            <w:r w:rsidRPr="005603B1">
              <w:rPr>
                <w:rStyle w:val="Hyperlink"/>
                <w:noProof/>
              </w:rPr>
              <w:t>Place name changes</w:t>
            </w:r>
            <w:r>
              <w:rPr>
                <w:noProof/>
                <w:webHidden/>
              </w:rPr>
              <w:tab/>
            </w:r>
            <w:r>
              <w:rPr>
                <w:noProof/>
                <w:webHidden/>
              </w:rPr>
              <w:fldChar w:fldCharType="begin"/>
            </w:r>
            <w:r>
              <w:rPr>
                <w:noProof/>
                <w:webHidden/>
              </w:rPr>
              <w:instrText xml:space="preserve"> PAGEREF _Toc181080966 \h </w:instrText>
            </w:r>
            <w:r>
              <w:rPr>
                <w:noProof/>
                <w:webHidden/>
              </w:rPr>
            </w:r>
            <w:r>
              <w:rPr>
                <w:noProof/>
                <w:webHidden/>
              </w:rPr>
              <w:fldChar w:fldCharType="separate"/>
            </w:r>
            <w:r>
              <w:rPr>
                <w:noProof/>
                <w:webHidden/>
              </w:rPr>
              <w:t>38</w:t>
            </w:r>
            <w:r>
              <w:rPr>
                <w:noProof/>
                <w:webHidden/>
              </w:rPr>
              <w:fldChar w:fldCharType="end"/>
            </w:r>
          </w:hyperlink>
        </w:p>
        <w:p w14:paraId="157934F5" w14:textId="62DF4C9A"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67" w:history="1">
            <w:r w:rsidRPr="005603B1">
              <w:rPr>
                <w:rStyle w:val="Hyperlink"/>
                <w:noProof/>
              </w:rPr>
              <w:t>Te whakahoutanga whaiture raraupori, te arotake o Te Aka Matua o Te Ture me te whai wāhi o Mahi Haumaru Aoteroa</w:t>
            </w:r>
            <w:r>
              <w:rPr>
                <w:noProof/>
                <w:webHidden/>
              </w:rPr>
              <w:tab/>
            </w:r>
            <w:r>
              <w:rPr>
                <w:noProof/>
                <w:webHidden/>
              </w:rPr>
              <w:fldChar w:fldCharType="begin"/>
            </w:r>
            <w:r>
              <w:rPr>
                <w:noProof/>
                <w:webHidden/>
              </w:rPr>
              <w:instrText xml:space="preserve"> PAGEREF _Toc181080967 \h </w:instrText>
            </w:r>
            <w:r>
              <w:rPr>
                <w:noProof/>
                <w:webHidden/>
              </w:rPr>
            </w:r>
            <w:r>
              <w:rPr>
                <w:noProof/>
                <w:webHidden/>
              </w:rPr>
              <w:fldChar w:fldCharType="separate"/>
            </w:r>
            <w:r>
              <w:rPr>
                <w:noProof/>
                <w:webHidden/>
              </w:rPr>
              <w:t>38</w:t>
            </w:r>
            <w:r>
              <w:rPr>
                <w:noProof/>
                <w:webHidden/>
              </w:rPr>
              <w:fldChar w:fldCharType="end"/>
            </w:r>
          </w:hyperlink>
        </w:p>
        <w:p w14:paraId="65F1482F" w14:textId="06AF8F29"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68" w:history="1">
            <w:r w:rsidRPr="005603B1">
              <w:rPr>
                <w:rStyle w:val="Hyperlink"/>
                <w:noProof/>
              </w:rPr>
              <w:t>Civil litigation reform, Law Commission review and role for WorkSafe</w:t>
            </w:r>
            <w:r>
              <w:rPr>
                <w:noProof/>
                <w:webHidden/>
              </w:rPr>
              <w:tab/>
            </w:r>
            <w:r>
              <w:rPr>
                <w:noProof/>
                <w:webHidden/>
              </w:rPr>
              <w:fldChar w:fldCharType="begin"/>
            </w:r>
            <w:r>
              <w:rPr>
                <w:noProof/>
                <w:webHidden/>
              </w:rPr>
              <w:instrText xml:space="preserve"> PAGEREF _Toc181080968 \h </w:instrText>
            </w:r>
            <w:r>
              <w:rPr>
                <w:noProof/>
                <w:webHidden/>
              </w:rPr>
            </w:r>
            <w:r>
              <w:rPr>
                <w:noProof/>
                <w:webHidden/>
              </w:rPr>
              <w:fldChar w:fldCharType="separate"/>
            </w:r>
            <w:r>
              <w:rPr>
                <w:noProof/>
                <w:webHidden/>
              </w:rPr>
              <w:t>38</w:t>
            </w:r>
            <w:r>
              <w:rPr>
                <w:noProof/>
                <w:webHidden/>
              </w:rPr>
              <w:fldChar w:fldCharType="end"/>
            </w:r>
          </w:hyperlink>
        </w:p>
        <w:p w14:paraId="746B2137" w14:textId="04F74CD5"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69" w:history="1">
            <w:r w:rsidRPr="005603B1">
              <w:rPr>
                <w:rStyle w:val="Hyperlink"/>
                <w:noProof/>
              </w:rPr>
              <w:t>Ngā take mō ngā tūtohu a te Kōmihana</w:t>
            </w:r>
            <w:r>
              <w:rPr>
                <w:noProof/>
                <w:webHidden/>
              </w:rPr>
              <w:tab/>
            </w:r>
            <w:r>
              <w:rPr>
                <w:noProof/>
                <w:webHidden/>
              </w:rPr>
              <w:fldChar w:fldCharType="begin"/>
            </w:r>
            <w:r>
              <w:rPr>
                <w:noProof/>
                <w:webHidden/>
              </w:rPr>
              <w:instrText xml:space="preserve"> PAGEREF _Toc181080969 \h </w:instrText>
            </w:r>
            <w:r>
              <w:rPr>
                <w:noProof/>
                <w:webHidden/>
              </w:rPr>
            </w:r>
            <w:r>
              <w:rPr>
                <w:noProof/>
                <w:webHidden/>
              </w:rPr>
              <w:fldChar w:fldCharType="separate"/>
            </w:r>
            <w:r>
              <w:rPr>
                <w:noProof/>
                <w:webHidden/>
              </w:rPr>
              <w:t>39</w:t>
            </w:r>
            <w:r>
              <w:rPr>
                <w:noProof/>
                <w:webHidden/>
              </w:rPr>
              <w:fldChar w:fldCharType="end"/>
            </w:r>
          </w:hyperlink>
        </w:p>
        <w:p w14:paraId="4CE63BA2" w14:textId="10D21838"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70" w:history="1">
            <w:r w:rsidRPr="005603B1">
              <w:rPr>
                <w:rStyle w:val="Hyperlink"/>
                <w:noProof/>
              </w:rPr>
              <w:t>The reasons for the Inquiry’s recommendations</w:t>
            </w:r>
            <w:r>
              <w:rPr>
                <w:noProof/>
                <w:webHidden/>
              </w:rPr>
              <w:tab/>
            </w:r>
            <w:r>
              <w:rPr>
                <w:noProof/>
                <w:webHidden/>
              </w:rPr>
              <w:fldChar w:fldCharType="begin"/>
            </w:r>
            <w:r>
              <w:rPr>
                <w:noProof/>
                <w:webHidden/>
              </w:rPr>
              <w:instrText xml:space="preserve"> PAGEREF _Toc181080970 \h </w:instrText>
            </w:r>
            <w:r>
              <w:rPr>
                <w:noProof/>
                <w:webHidden/>
              </w:rPr>
            </w:r>
            <w:r>
              <w:rPr>
                <w:noProof/>
                <w:webHidden/>
              </w:rPr>
              <w:fldChar w:fldCharType="separate"/>
            </w:r>
            <w:r>
              <w:rPr>
                <w:noProof/>
                <w:webHidden/>
              </w:rPr>
              <w:t>39</w:t>
            </w:r>
            <w:r>
              <w:rPr>
                <w:noProof/>
                <w:webHidden/>
              </w:rPr>
              <w:fldChar w:fldCharType="end"/>
            </w:r>
          </w:hyperlink>
        </w:p>
        <w:p w14:paraId="378A8B0C" w14:textId="1942E5AA"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71" w:history="1">
            <w:r w:rsidRPr="005603B1">
              <w:rPr>
                <w:rStyle w:val="Hyperlink"/>
                <w:noProof/>
              </w:rPr>
              <w:t>Te urupare a te Kāwanatanga</w:t>
            </w:r>
            <w:r>
              <w:rPr>
                <w:noProof/>
                <w:webHidden/>
              </w:rPr>
              <w:tab/>
            </w:r>
            <w:r>
              <w:rPr>
                <w:noProof/>
                <w:webHidden/>
              </w:rPr>
              <w:fldChar w:fldCharType="begin"/>
            </w:r>
            <w:r>
              <w:rPr>
                <w:noProof/>
                <w:webHidden/>
              </w:rPr>
              <w:instrText xml:space="preserve"> PAGEREF _Toc181080971 \h </w:instrText>
            </w:r>
            <w:r>
              <w:rPr>
                <w:noProof/>
                <w:webHidden/>
              </w:rPr>
            </w:r>
            <w:r>
              <w:rPr>
                <w:noProof/>
                <w:webHidden/>
              </w:rPr>
              <w:fldChar w:fldCharType="separate"/>
            </w:r>
            <w:r>
              <w:rPr>
                <w:noProof/>
                <w:webHidden/>
              </w:rPr>
              <w:t>39</w:t>
            </w:r>
            <w:r>
              <w:rPr>
                <w:noProof/>
                <w:webHidden/>
              </w:rPr>
              <w:fldChar w:fldCharType="end"/>
            </w:r>
          </w:hyperlink>
        </w:p>
        <w:p w14:paraId="590512FD" w14:textId="14202F7C"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72" w:history="1">
            <w:r w:rsidRPr="005603B1">
              <w:rPr>
                <w:rStyle w:val="Hyperlink"/>
                <w:noProof/>
              </w:rPr>
              <w:t>The Government’s response</w:t>
            </w:r>
            <w:r>
              <w:rPr>
                <w:noProof/>
                <w:webHidden/>
              </w:rPr>
              <w:tab/>
            </w:r>
            <w:r>
              <w:rPr>
                <w:noProof/>
                <w:webHidden/>
              </w:rPr>
              <w:fldChar w:fldCharType="begin"/>
            </w:r>
            <w:r>
              <w:rPr>
                <w:noProof/>
                <w:webHidden/>
              </w:rPr>
              <w:instrText xml:space="preserve"> PAGEREF _Toc181080972 \h </w:instrText>
            </w:r>
            <w:r>
              <w:rPr>
                <w:noProof/>
                <w:webHidden/>
              </w:rPr>
            </w:r>
            <w:r>
              <w:rPr>
                <w:noProof/>
                <w:webHidden/>
              </w:rPr>
              <w:fldChar w:fldCharType="separate"/>
            </w:r>
            <w:r>
              <w:rPr>
                <w:noProof/>
                <w:webHidden/>
              </w:rPr>
              <w:t>39</w:t>
            </w:r>
            <w:r>
              <w:rPr>
                <w:noProof/>
                <w:webHidden/>
              </w:rPr>
              <w:fldChar w:fldCharType="end"/>
            </w:r>
          </w:hyperlink>
        </w:p>
        <w:p w14:paraId="32B666A0" w14:textId="68E0A179"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73" w:history="1">
            <w:r w:rsidRPr="005603B1">
              <w:rPr>
                <w:rStyle w:val="Hyperlink"/>
                <w:noProof/>
              </w:rPr>
              <w:t xml:space="preserve">Te utu paremata aituā me te matea </w:t>
            </w:r>
            <w:r w:rsidRPr="005603B1">
              <w:rPr>
                <w:rStyle w:val="Hyperlink"/>
                <w:noProof/>
                <w:lang w:val="fr-FR"/>
              </w:rPr>
              <w:t>whai hua kia tika</w:t>
            </w:r>
            <w:r>
              <w:rPr>
                <w:noProof/>
                <w:webHidden/>
              </w:rPr>
              <w:tab/>
            </w:r>
            <w:r>
              <w:rPr>
                <w:noProof/>
                <w:webHidden/>
              </w:rPr>
              <w:fldChar w:fldCharType="begin"/>
            </w:r>
            <w:r>
              <w:rPr>
                <w:noProof/>
                <w:webHidden/>
              </w:rPr>
              <w:instrText xml:space="preserve"> PAGEREF _Toc181080973 \h </w:instrText>
            </w:r>
            <w:r>
              <w:rPr>
                <w:noProof/>
                <w:webHidden/>
              </w:rPr>
            </w:r>
            <w:r>
              <w:rPr>
                <w:noProof/>
                <w:webHidden/>
              </w:rPr>
              <w:fldChar w:fldCharType="separate"/>
            </w:r>
            <w:r>
              <w:rPr>
                <w:noProof/>
                <w:webHidden/>
              </w:rPr>
              <w:t>42</w:t>
            </w:r>
            <w:r>
              <w:rPr>
                <w:noProof/>
                <w:webHidden/>
              </w:rPr>
              <w:fldChar w:fldCharType="end"/>
            </w:r>
          </w:hyperlink>
        </w:p>
        <w:p w14:paraId="1A8BE57D" w14:textId="1566FFE1"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74" w:history="1">
            <w:r w:rsidRPr="005603B1">
              <w:rPr>
                <w:rStyle w:val="Hyperlink"/>
                <w:noProof/>
              </w:rPr>
              <w:t>Accident compensation and the need for an effective remedy</w:t>
            </w:r>
            <w:r>
              <w:rPr>
                <w:noProof/>
                <w:webHidden/>
              </w:rPr>
              <w:tab/>
            </w:r>
            <w:r>
              <w:rPr>
                <w:noProof/>
                <w:webHidden/>
              </w:rPr>
              <w:fldChar w:fldCharType="begin"/>
            </w:r>
            <w:r>
              <w:rPr>
                <w:noProof/>
                <w:webHidden/>
              </w:rPr>
              <w:instrText xml:space="preserve"> PAGEREF _Toc181080974 \h </w:instrText>
            </w:r>
            <w:r>
              <w:rPr>
                <w:noProof/>
                <w:webHidden/>
              </w:rPr>
            </w:r>
            <w:r>
              <w:rPr>
                <w:noProof/>
                <w:webHidden/>
              </w:rPr>
              <w:fldChar w:fldCharType="separate"/>
            </w:r>
            <w:r>
              <w:rPr>
                <w:noProof/>
                <w:webHidden/>
              </w:rPr>
              <w:t>42</w:t>
            </w:r>
            <w:r>
              <w:rPr>
                <w:noProof/>
                <w:webHidden/>
              </w:rPr>
              <w:fldChar w:fldCharType="end"/>
            </w:r>
          </w:hyperlink>
        </w:p>
        <w:p w14:paraId="03EFAC54" w14:textId="43F22E27"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75" w:history="1">
            <w:r w:rsidRPr="005603B1">
              <w:rPr>
                <w:rStyle w:val="Hyperlink"/>
                <w:noProof/>
              </w:rPr>
              <w:t>Te korenga o te whai hua kia tika mō ngā purapura ora i Aotearoa</w:t>
            </w:r>
            <w:r>
              <w:rPr>
                <w:noProof/>
                <w:webHidden/>
              </w:rPr>
              <w:tab/>
            </w:r>
            <w:r>
              <w:rPr>
                <w:noProof/>
                <w:webHidden/>
              </w:rPr>
              <w:fldChar w:fldCharType="begin"/>
            </w:r>
            <w:r>
              <w:rPr>
                <w:noProof/>
                <w:webHidden/>
              </w:rPr>
              <w:instrText xml:space="preserve"> PAGEREF _Toc181080975 \h </w:instrText>
            </w:r>
            <w:r>
              <w:rPr>
                <w:noProof/>
                <w:webHidden/>
              </w:rPr>
            </w:r>
            <w:r>
              <w:rPr>
                <w:noProof/>
                <w:webHidden/>
              </w:rPr>
              <w:fldChar w:fldCharType="separate"/>
            </w:r>
            <w:r>
              <w:rPr>
                <w:noProof/>
                <w:webHidden/>
              </w:rPr>
              <w:t>44</w:t>
            </w:r>
            <w:r>
              <w:rPr>
                <w:noProof/>
                <w:webHidden/>
              </w:rPr>
              <w:fldChar w:fldCharType="end"/>
            </w:r>
          </w:hyperlink>
        </w:p>
        <w:p w14:paraId="1CB2C3AC" w14:textId="4FFA4EC0"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76" w:history="1">
            <w:r w:rsidRPr="005603B1">
              <w:rPr>
                <w:rStyle w:val="Hyperlink"/>
                <w:noProof/>
              </w:rPr>
              <w:t>Lack of an effective remedy for survivors in Aotearoa New Zealand</w:t>
            </w:r>
            <w:r>
              <w:rPr>
                <w:noProof/>
                <w:webHidden/>
              </w:rPr>
              <w:tab/>
            </w:r>
            <w:r>
              <w:rPr>
                <w:noProof/>
                <w:webHidden/>
              </w:rPr>
              <w:fldChar w:fldCharType="begin"/>
            </w:r>
            <w:r>
              <w:rPr>
                <w:noProof/>
                <w:webHidden/>
              </w:rPr>
              <w:instrText xml:space="preserve"> PAGEREF _Toc181080976 \h </w:instrText>
            </w:r>
            <w:r>
              <w:rPr>
                <w:noProof/>
                <w:webHidden/>
              </w:rPr>
            </w:r>
            <w:r>
              <w:rPr>
                <w:noProof/>
                <w:webHidden/>
              </w:rPr>
              <w:fldChar w:fldCharType="separate"/>
            </w:r>
            <w:r>
              <w:rPr>
                <w:noProof/>
                <w:webHidden/>
              </w:rPr>
              <w:t>44</w:t>
            </w:r>
            <w:r>
              <w:rPr>
                <w:noProof/>
                <w:webHidden/>
              </w:rPr>
              <w:fldChar w:fldCharType="end"/>
            </w:r>
          </w:hyperlink>
        </w:p>
        <w:p w14:paraId="110956F5" w14:textId="444965F1"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77" w:history="1">
            <w:r w:rsidRPr="005603B1">
              <w:rPr>
                <w:rStyle w:val="Hyperlink"/>
                <w:noProof/>
              </w:rPr>
              <w:t>Nga whakakūiti kaiwawao</w:t>
            </w:r>
            <w:r>
              <w:rPr>
                <w:noProof/>
                <w:webHidden/>
              </w:rPr>
              <w:tab/>
            </w:r>
            <w:r>
              <w:rPr>
                <w:noProof/>
                <w:webHidden/>
              </w:rPr>
              <w:fldChar w:fldCharType="begin"/>
            </w:r>
            <w:r>
              <w:rPr>
                <w:noProof/>
                <w:webHidden/>
              </w:rPr>
              <w:instrText xml:space="preserve"> PAGEREF _Toc181080977 \h </w:instrText>
            </w:r>
            <w:r>
              <w:rPr>
                <w:noProof/>
                <w:webHidden/>
              </w:rPr>
            </w:r>
            <w:r>
              <w:rPr>
                <w:noProof/>
                <w:webHidden/>
              </w:rPr>
              <w:fldChar w:fldCharType="separate"/>
            </w:r>
            <w:r>
              <w:rPr>
                <w:noProof/>
                <w:webHidden/>
              </w:rPr>
              <w:t>45</w:t>
            </w:r>
            <w:r>
              <w:rPr>
                <w:noProof/>
                <w:webHidden/>
              </w:rPr>
              <w:fldChar w:fldCharType="end"/>
            </w:r>
          </w:hyperlink>
        </w:p>
        <w:p w14:paraId="2E59B4B2" w14:textId="40C692B5"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78" w:history="1">
            <w:r w:rsidRPr="005603B1">
              <w:rPr>
                <w:rStyle w:val="Hyperlink"/>
                <w:noProof/>
              </w:rPr>
              <w:t>Limitation defences</w:t>
            </w:r>
            <w:r>
              <w:rPr>
                <w:noProof/>
                <w:webHidden/>
              </w:rPr>
              <w:tab/>
            </w:r>
            <w:r>
              <w:rPr>
                <w:noProof/>
                <w:webHidden/>
              </w:rPr>
              <w:fldChar w:fldCharType="begin"/>
            </w:r>
            <w:r>
              <w:rPr>
                <w:noProof/>
                <w:webHidden/>
              </w:rPr>
              <w:instrText xml:space="preserve"> PAGEREF _Toc181080978 \h </w:instrText>
            </w:r>
            <w:r>
              <w:rPr>
                <w:noProof/>
                <w:webHidden/>
              </w:rPr>
            </w:r>
            <w:r>
              <w:rPr>
                <w:noProof/>
                <w:webHidden/>
              </w:rPr>
              <w:fldChar w:fldCharType="separate"/>
            </w:r>
            <w:r>
              <w:rPr>
                <w:noProof/>
                <w:webHidden/>
              </w:rPr>
              <w:t>45</w:t>
            </w:r>
            <w:r>
              <w:rPr>
                <w:noProof/>
                <w:webHidden/>
              </w:rPr>
              <w:fldChar w:fldCharType="end"/>
            </w:r>
          </w:hyperlink>
        </w:p>
        <w:p w14:paraId="4275D347" w14:textId="1DE79ABB"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79" w:history="1">
            <w:r w:rsidRPr="005603B1">
              <w:rPr>
                <w:rStyle w:val="Hyperlink"/>
                <w:noProof/>
              </w:rPr>
              <w:t>Te pikinga o ngā utu āwhina ā-ture me te whakangungu</w:t>
            </w:r>
            <w:r>
              <w:rPr>
                <w:noProof/>
                <w:webHidden/>
              </w:rPr>
              <w:tab/>
            </w:r>
            <w:r>
              <w:rPr>
                <w:noProof/>
                <w:webHidden/>
              </w:rPr>
              <w:fldChar w:fldCharType="begin"/>
            </w:r>
            <w:r>
              <w:rPr>
                <w:noProof/>
                <w:webHidden/>
              </w:rPr>
              <w:instrText xml:space="preserve"> PAGEREF _Toc181080979 \h </w:instrText>
            </w:r>
            <w:r>
              <w:rPr>
                <w:noProof/>
                <w:webHidden/>
              </w:rPr>
            </w:r>
            <w:r>
              <w:rPr>
                <w:noProof/>
                <w:webHidden/>
              </w:rPr>
              <w:fldChar w:fldCharType="separate"/>
            </w:r>
            <w:r>
              <w:rPr>
                <w:noProof/>
                <w:webHidden/>
              </w:rPr>
              <w:t>45</w:t>
            </w:r>
            <w:r>
              <w:rPr>
                <w:noProof/>
                <w:webHidden/>
              </w:rPr>
              <w:fldChar w:fldCharType="end"/>
            </w:r>
          </w:hyperlink>
        </w:p>
        <w:p w14:paraId="3D3710A0" w14:textId="033D2BDE"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80" w:history="1">
            <w:r w:rsidRPr="005603B1">
              <w:rPr>
                <w:rStyle w:val="Hyperlink"/>
                <w:noProof/>
              </w:rPr>
              <w:t>Increase to legal aid rates and training</w:t>
            </w:r>
            <w:r>
              <w:rPr>
                <w:noProof/>
                <w:webHidden/>
              </w:rPr>
              <w:tab/>
            </w:r>
            <w:r>
              <w:rPr>
                <w:noProof/>
                <w:webHidden/>
              </w:rPr>
              <w:fldChar w:fldCharType="begin"/>
            </w:r>
            <w:r>
              <w:rPr>
                <w:noProof/>
                <w:webHidden/>
              </w:rPr>
              <w:instrText xml:space="preserve"> PAGEREF _Toc181080980 \h </w:instrText>
            </w:r>
            <w:r>
              <w:rPr>
                <w:noProof/>
                <w:webHidden/>
              </w:rPr>
            </w:r>
            <w:r>
              <w:rPr>
                <w:noProof/>
                <w:webHidden/>
              </w:rPr>
              <w:fldChar w:fldCharType="separate"/>
            </w:r>
            <w:r>
              <w:rPr>
                <w:noProof/>
                <w:webHidden/>
              </w:rPr>
              <w:t>45</w:t>
            </w:r>
            <w:r>
              <w:rPr>
                <w:noProof/>
                <w:webHidden/>
              </w:rPr>
              <w:fldChar w:fldCharType="end"/>
            </w:r>
          </w:hyperlink>
        </w:p>
        <w:p w14:paraId="0485AF0F" w14:textId="70B2459B"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81" w:history="1">
            <w:r w:rsidRPr="005603B1">
              <w:rPr>
                <w:rStyle w:val="Hyperlink"/>
                <w:noProof/>
              </w:rPr>
              <w:t>Te kaupapahere kaitāwari tauira me te aratohu ki te urupare i ngā take tūkino me te whakahapa i ngā pūnaha taurima</w:t>
            </w:r>
            <w:r>
              <w:rPr>
                <w:noProof/>
                <w:webHidden/>
              </w:rPr>
              <w:tab/>
            </w:r>
            <w:r>
              <w:rPr>
                <w:noProof/>
                <w:webHidden/>
              </w:rPr>
              <w:fldChar w:fldCharType="begin"/>
            </w:r>
            <w:r>
              <w:rPr>
                <w:noProof/>
                <w:webHidden/>
              </w:rPr>
              <w:instrText xml:space="preserve"> PAGEREF _Toc181080981 \h </w:instrText>
            </w:r>
            <w:r>
              <w:rPr>
                <w:noProof/>
                <w:webHidden/>
              </w:rPr>
            </w:r>
            <w:r>
              <w:rPr>
                <w:noProof/>
                <w:webHidden/>
              </w:rPr>
              <w:fldChar w:fldCharType="separate"/>
            </w:r>
            <w:r>
              <w:rPr>
                <w:noProof/>
                <w:webHidden/>
              </w:rPr>
              <w:t>46</w:t>
            </w:r>
            <w:r>
              <w:rPr>
                <w:noProof/>
                <w:webHidden/>
              </w:rPr>
              <w:fldChar w:fldCharType="end"/>
            </w:r>
          </w:hyperlink>
        </w:p>
        <w:p w14:paraId="17997944" w14:textId="0926ABB7"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82" w:history="1">
            <w:r w:rsidRPr="005603B1">
              <w:rPr>
                <w:rStyle w:val="Hyperlink"/>
                <w:noProof/>
              </w:rPr>
              <w:t>Model litigant policy and guide for responding to abuse in care cases</w:t>
            </w:r>
            <w:r>
              <w:rPr>
                <w:noProof/>
                <w:webHidden/>
              </w:rPr>
              <w:tab/>
            </w:r>
            <w:r>
              <w:rPr>
                <w:noProof/>
                <w:webHidden/>
              </w:rPr>
              <w:fldChar w:fldCharType="begin"/>
            </w:r>
            <w:r>
              <w:rPr>
                <w:noProof/>
                <w:webHidden/>
              </w:rPr>
              <w:instrText xml:space="preserve"> PAGEREF _Toc181080982 \h </w:instrText>
            </w:r>
            <w:r>
              <w:rPr>
                <w:noProof/>
                <w:webHidden/>
              </w:rPr>
            </w:r>
            <w:r>
              <w:rPr>
                <w:noProof/>
                <w:webHidden/>
              </w:rPr>
              <w:fldChar w:fldCharType="separate"/>
            </w:r>
            <w:r>
              <w:rPr>
                <w:noProof/>
                <w:webHidden/>
              </w:rPr>
              <w:t>46</w:t>
            </w:r>
            <w:r>
              <w:rPr>
                <w:noProof/>
                <w:webHidden/>
              </w:rPr>
              <w:fldChar w:fldCharType="end"/>
            </w:r>
          </w:hyperlink>
        </w:p>
        <w:p w14:paraId="75CDDC9F" w14:textId="21B6B4B4"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83" w:history="1">
            <w:r w:rsidRPr="005603B1">
              <w:rPr>
                <w:rStyle w:val="Hyperlink"/>
                <w:noProof/>
              </w:rPr>
              <w:t>Te whakatinanatanga i ngā pūnaha tūāpapa ā-whakapono</w:t>
            </w:r>
            <w:r>
              <w:rPr>
                <w:noProof/>
                <w:webHidden/>
              </w:rPr>
              <w:tab/>
            </w:r>
            <w:r>
              <w:rPr>
                <w:noProof/>
                <w:webHidden/>
              </w:rPr>
              <w:fldChar w:fldCharType="begin"/>
            </w:r>
            <w:r>
              <w:rPr>
                <w:noProof/>
                <w:webHidden/>
              </w:rPr>
              <w:instrText xml:space="preserve"> PAGEREF _Toc181080983 \h </w:instrText>
            </w:r>
            <w:r>
              <w:rPr>
                <w:noProof/>
                <w:webHidden/>
              </w:rPr>
            </w:r>
            <w:r>
              <w:rPr>
                <w:noProof/>
                <w:webHidden/>
              </w:rPr>
              <w:fldChar w:fldCharType="separate"/>
            </w:r>
            <w:r>
              <w:rPr>
                <w:noProof/>
                <w:webHidden/>
              </w:rPr>
              <w:t>46</w:t>
            </w:r>
            <w:r>
              <w:rPr>
                <w:noProof/>
                <w:webHidden/>
              </w:rPr>
              <w:fldChar w:fldCharType="end"/>
            </w:r>
          </w:hyperlink>
        </w:p>
        <w:p w14:paraId="7595C56E" w14:textId="4FAC5E90" w:rsidR="004D5306" w:rsidRDefault="004D5306">
          <w:pPr>
            <w:pStyle w:val="TOC2"/>
            <w:tabs>
              <w:tab w:val="right" w:leader="dot" w:pos="9016"/>
            </w:tabs>
            <w:rPr>
              <w:rFonts w:asciiTheme="minorHAnsi" w:eastAsiaTheme="minorEastAsia" w:hAnsiTheme="minorHAnsi"/>
              <w:b w:val="0"/>
              <w:noProof/>
              <w:kern w:val="2"/>
              <w:sz w:val="24"/>
              <w:szCs w:val="24"/>
              <w:lang w:eastAsia="en-NZ"/>
              <w14:ligatures w14:val="standardContextual"/>
            </w:rPr>
          </w:pPr>
          <w:hyperlink w:anchor="_Toc181080984" w:history="1">
            <w:r w:rsidRPr="005603B1">
              <w:rPr>
                <w:rStyle w:val="Hyperlink"/>
                <w:noProof/>
              </w:rPr>
              <w:t>Implementation by Faith-based institutions</w:t>
            </w:r>
            <w:r>
              <w:rPr>
                <w:noProof/>
                <w:webHidden/>
              </w:rPr>
              <w:tab/>
            </w:r>
            <w:r>
              <w:rPr>
                <w:noProof/>
                <w:webHidden/>
              </w:rPr>
              <w:fldChar w:fldCharType="begin"/>
            </w:r>
            <w:r>
              <w:rPr>
                <w:noProof/>
                <w:webHidden/>
              </w:rPr>
              <w:instrText xml:space="preserve"> PAGEREF _Toc181080984 \h </w:instrText>
            </w:r>
            <w:r>
              <w:rPr>
                <w:noProof/>
                <w:webHidden/>
              </w:rPr>
            </w:r>
            <w:r>
              <w:rPr>
                <w:noProof/>
                <w:webHidden/>
              </w:rPr>
              <w:fldChar w:fldCharType="separate"/>
            </w:r>
            <w:r>
              <w:rPr>
                <w:noProof/>
                <w:webHidden/>
              </w:rPr>
              <w:t>46</w:t>
            </w:r>
            <w:r>
              <w:rPr>
                <w:noProof/>
                <w:webHidden/>
              </w:rPr>
              <w:fldChar w:fldCharType="end"/>
            </w:r>
          </w:hyperlink>
        </w:p>
        <w:p w14:paraId="0DC40EF7" w14:textId="54C20FC1"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85" w:history="1">
            <w:r w:rsidRPr="005603B1">
              <w:rPr>
                <w:rStyle w:val="Hyperlink"/>
                <w:noProof/>
              </w:rPr>
              <w:t>Katorika</w:t>
            </w:r>
            <w:r>
              <w:rPr>
                <w:noProof/>
                <w:webHidden/>
              </w:rPr>
              <w:tab/>
            </w:r>
            <w:r>
              <w:rPr>
                <w:noProof/>
                <w:webHidden/>
              </w:rPr>
              <w:fldChar w:fldCharType="begin"/>
            </w:r>
            <w:r>
              <w:rPr>
                <w:noProof/>
                <w:webHidden/>
              </w:rPr>
              <w:instrText xml:space="preserve"> PAGEREF _Toc181080985 \h </w:instrText>
            </w:r>
            <w:r>
              <w:rPr>
                <w:noProof/>
                <w:webHidden/>
              </w:rPr>
            </w:r>
            <w:r>
              <w:rPr>
                <w:noProof/>
                <w:webHidden/>
              </w:rPr>
              <w:fldChar w:fldCharType="separate"/>
            </w:r>
            <w:r>
              <w:rPr>
                <w:noProof/>
                <w:webHidden/>
              </w:rPr>
              <w:t>47</w:t>
            </w:r>
            <w:r>
              <w:rPr>
                <w:noProof/>
                <w:webHidden/>
              </w:rPr>
              <w:fldChar w:fldCharType="end"/>
            </w:r>
          </w:hyperlink>
        </w:p>
        <w:p w14:paraId="357ED2E7" w14:textId="13B2D5C0"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86" w:history="1">
            <w:r w:rsidRPr="005603B1">
              <w:rPr>
                <w:rStyle w:val="Hyperlink"/>
                <w:noProof/>
              </w:rPr>
              <w:t>Catholic</w:t>
            </w:r>
            <w:r>
              <w:rPr>
                <w:noProof/>
                <w:webHidden/>
              </w:rPr>
              <w:tab/>
            </w:r>
            <w:r>
              <w:rPr>
                <w:noProof/>
                <w:webHidden/>
              </w:rPr>
              <w:fldChar w:fldCharType="begin"/>
            </w:r>
            <w:r>
              <w:rPr>
                <w:noProof/>
                <w:webHidden/>
              </w:rPr>
              <w:instrText xml:space="preserve"> PAGEREF _Toc181080986 \h </w:instrText>
            </w:r>
            <w:r>
              <w:rPr>
                <w:noProof/>
                <w:webHidden/>
              </w:rPr>
            </w:r>
            <w:r>
              <w:rPr>
                <w:noProof/>
                <w:webHidden/>
              </w:rPr>
              <w:fldChar w:fldCharType="separate"/>
            </w:r>
            <w:r>
              <w:rPr>
                <w:noProof/>
                <w:webHidden/>
              </w:rPr>
              <w:t>47</w:t>
            </w:r>
            <w:r>
              <w:rPr>
                <w:noProof/>
                <w:webHidden/>
              </w:rPr>
              <w:fldChar w:fldCharType="end"/>
            </w:r>
          </w:hyperlink>
        </w:p>
        <w:p w14:paraId="5D6DB218" w14:textId="0BCB63C7"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87" w:history="1">
            <w:r w:rsidRPr="005603B1">
              <w:rPr>
                <w:rStyle w:val="Hyperlink"/>
                <w:noProof/>
              </w:rPr>
              <w:t>Mihingare</w:t>
            </w:r>
            <w:r>
              <w:rPr>
                <w:noProof/>
                <w:webHidden/>
              </w:rPr>
              <w:tab/>
            </w:r>
            <w:r>
              <w:rPr>
                <w:noProof/>
                <w:webHidden/>
              </w:rPr>
              <w:fldChar w:fldCharType="begin"/>
            </w:r>
            <w:r>
              <w:rPr>
                <w:noProof/>
                <w:webHidden/>
              </w:rPr>
              <w:instrText xml:space="preserve"> PAGEREF _Toc181080987 \h </w:instrText>
            </w:r>
            <w:r>
              <w:rPr>
                <w:noProof/>
                <w:webHidden/>
              </w:rPr>
            </w:r>
            <w:r>
              <w:rPr>
                <w:noProof/>
                <w:webHidden/>
              </w:rPr>
              <w:fldChar w:fldCharType="separate"/>
            </w:r>
            <w:r>
              <w:rPr>
                <w:noProof/>
                <w:webHidden/>
              </w:rPr>
              <w:t>48</w:t>
            </w:r>
            <w:r>
              <w:rPr>
                <w:noProof/>
                <w:webHidden/>
              </w:rPr>
              <w:fldChar w:fldCharType="end"/>
            </w:r>
          </w:hyperlink>
        </w:p>
        <w:p w14:paraId="54563C2D" w14:textId="51493A4F"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88" w:history="1">
            <w:r w:rsidRPr="005603B1">
              <w:rPr>
                <w:rStyle w:val="Hyperlink"/>
                <w:noProof/>
              </w:rPr>
              <w:t>Anglican</w:t>
            </w:r>
            <w:r>
              <w:rPr>
                <w:noProof/>
                <w:webHidden/>
              </w:rPr>
              <w:tab/>
            </w:r>
            <w:r>
              <w:rPr>
                <w:noProof/>
                <w:webHidden/>
              </w:rPr>
              <w:fldChar w:fldCharType="begin"/>
            </w:r>
            <w:r>
              <w:rPr>
                <w:noProof/>
                <w:webHidden/>
              </w:rPr>
              <w:instrText xml:space="preserve"> PAGEREF _Toc181080988 \h </w:instrText>
            </w:r>
            <w:r>
              <w:rPr>
                <w:noProof/>
                <w:webHidden/>
              </w:rPr>
            </w:r>
            <w:r>
              <w:rPr>
                <w:noProof/>
                <w:webHidden/>
              </w:rPr>
              <w:fldChar w:fldCharType="separate"/>
            </w:r>
            <w:r>
              <w:rPr>
                <w:noProof/>
                <w:webHidden/>
              </w:rPr>
              <w:t>48</w:t>
            </w:r>
            <w:r>
              <w:rPr>
                <w:noProof/>
                <w:webHidden/>
              </w:rPr>
              <w:fldChar w:fldCharType="end"/>
            </w:r>
          </w:hyperlink>
        </w:p>
        <w:p w14:paraId="0B4F750D" w14:textId="6507DCEE"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89" w:history="1">
            <w:r w:rsidRPr="005603B1">
              <w:rPr>
                <w:rStyle w:val="Hyperlink"/>
                <w:noProof/>
              </w:rPr>
              <w:t>Weteriana</w:t>
            </w:r>
            <w:r>
              <w:rPr>
                <w:noProof/>
                <w:webHidden/>
              </w:rPr>
              <w:tab/>
            </w:r>
            <w:r>
              <w:rPr>
                <w:noProof/>
                <w:webHidden/>
              </w:rPr>
              <w:fldChar w:fldCharType="begin"/>
            </w:r>
            <w:r>
              <w:rPr>
                <w:noProof/>
                <w:webHidden/>
              </w:rPr>
              <w:instrText xml:space="preserve"> PAGEREF _Toc181080989 \h </w:instrText>
            </w:r>
            <w:r>
              <w:rPr>
                <w:noProof/>
                <w:webHidden/>
              </w:rPr>
            </w:r>
            <w:r>
              <w:rPr>
                <w:noProof/>
                <w:webHidden/>
              </w:rPr>
              <w:fldChar w:fldCharType="separate"/>
            </w:r>
            <w:r>
              <w:rPr>
                <w:noProof/>
                <w:webHidden/>
              </w:rPr>
              <w:t>48</w:t>
            </w:r>
            <w:r>
              <w:rPr>
                <w:noProof/>
                <w:webHidden/>
              </w:rPr>
              <w:fldChar w:fldCharType="end"/>
            </w:r>
          </w:hyperlink>
        </w:p>
        <w:p w14:paraId="024A1A04" w14:textId="06682D26"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0" w:history="1">
            <w:r w:rsidRPr="005603B1">
              <w:rPr>
                <w:rStyle w:val="Hyperlink"/>
                <w:noProof/>
              </w:rPr>
              <w:t>Methodist</w:t>
            </w:r>
            <w:r>
              <w:rPr>
                <w:noProof/>
                <w:webHidden/>
              </w:rPr>
              <w:tab/>
            </w:r>
            <w:r>
              <w:rPr>
                <w:noProof/>
                <w:webHidden/>
              </w:rPr>
              <w:fldChar w:fldCharType="begin"/>
            </w:r>
            <w:r>
              <w:rPr>
                <w:noProof/>
                <w:webHidden/>
              </w:rPr>
              <w:instrText xml:space="preserve"> PAGEREF _Toc181080990 \h </w:instrText>
            </w:r>
            <w:r>
              <w:rPr>
                <w:noProof/>
                <w:webHidden/>
              </w:rPr>
            </w:r>
            <w:r>
              <w:rPr>
                <w:noProof/>
                <w:webHidden/>
              </w:rPr>
              <w:fldChar w:fldCharType="separate"/>
            </w:r>
            <w:r>
              <w:rPr>
                <w:noProof/>
                <w:webHidden/>
              </w:rPr>
              <w:t>48</w:t>
            </w:r>
            <w:r>
              <w:rPr>
                <w:noProof/>
                <w:webHidden/>
              </w:rPr>
              <w:fldChar w:fldCharType="end"/>
            </w:r>
          </w:hyperlink>
        </w:p>
        <w:p w14:paraId="6FD4B7F5" w14:textId="43011DBF"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1" w:history="1">
            <w:r w:rsidRPr="005603B1">
              <w:rPr>
                <w:rStyle w:val="Hyperlink"/>
                <w:noProof/>
              </w:rPr>
              <w:t>Te Hāhi Perehipitīriana o Aotearoa</w:t>
            </w:r>
            <w:r>
              <w:rPr>
                <w:noProof/>
                <w:webHidden/>
              </w:rPr>
              <w:tab/>
            </w:r>
            <w:r>
              <w:rPr>
                <w:noProof/>
                <w:webHidden/>
              </w:rPr>
              <w:fldChar w:fldCharType="begin"/>
            </w:r>
            <w:r>
              <w:rPr>
                <w:noProof/>
                <w:webHidden/>
              </w:rPr>
              <w:instrText xml:space="preserve"> PAGEREF _Toc181080991 \h </w:instrText>
            </w:r>
            <w:r>
              <w:rPr>
                <w:noProof/>
                <w:webHidden/>
              </w:rPr>
            </w:r>
            <w:r>
              <w:rPr>
                <w:noProof/>
                <w:webHidden/>
              </w:rPr>
              <w:fldChar w:fldCharType="separate"/>
            </w:r>
            <w:r>
              <w:rPr>
                <w:noProof/>
                <w:webHidden/>
              </w:rPr>
              <w:t>49</w:t>
            </w:r>
            <w:r>
              <w:rPr>
                <w:noProof/>
                <w:webHidden/>
              </w:rPr>
              <w:fldChar w:fldCharType="end"/>
            </w:r>
          </w:hyperlink>
        </w:p>
        <w:p w14:paraId="4EA22E29" w14:textId="4D45D516"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2" w:history="1">
            <w:r w:rsidRPr="005603B1">
              <w:rPr>
                <w:rStyle w:val="Hyperlink"/>
                <w:noProof/>
              </w:rPr>
              <w:t>Presbyterian Church of Aotearoa New Zealand</w:t>
            </w:r>
            <w:r>
              <w:rPr>
                <w:noProof/>
                <w:webHidden/>
              </w:rPr>
              <w:tab/>
            </w:r>
            <w:r>
              <w:rPr>
                <w:noProof/>
                <w:webHidden/>
              </w:rPr>
              <w:fldChar w:fldCharType="begin"/>
            </w:r>
            <w:r>
              <w:rPr>
                <w:noProof/>
                <w:webHidden/>
              </w:rPr>
              <w:instrText xml:space="preserve"> PAGEREF _Toc181080992 \h </w:instrText>
            </w:r>
            <w:r>
              <w:rPr>
                <w:noProof/>
                <w:webHidden/>
              </w:rPr>
            </w:r>
            <w:r>
              <w:rPr>
                <w:noProof/>
                <w:webHidden/>
              </w:rPr>
              <w:fldChar w:fldCharType="separate"/>
            </w:r>
            <w:r>
              <w:rPr>
                <w:noProof/>
                <w:webHidden/>
              </w:rPr>
              <w:t>49</w:t>
            </w:r>
            <w:r>
              <w:rPr>
                <w:noProof/>
                <w:webHidden/>
              </w:rPr>
              <w:fldChar w:fldCharType="end"/>
            </w:r>
          </w:hyperlink>
        </w:p>
        <w:p w14:paraId="3ED1CAEA" w14:textId="0DA31F6F"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3" w:history="1">
            <w:r w:rsidRPr="005603B1">
              <w:rPr>
                <w:rStyle w:val="Hyperlink"/>
                <w:noProof/>
              </w:rPr>
              <w:t>Te Ope Whakaora</w:t>
            </w:r>
            <w:r>
              <w:rPr>
                <w:noProof/>
                <w:webHidden/>
              </w:rPr>
              <w:tab/>
            </w:r>
            <w:r>
              <w:rPr>
                <w:noProof/>
                <w:webHidden/>
              </w:rPr>
              <w:fldChar w:fldCharType="begin"/>
            </w:r>
            <w:r>
              <w:rPr>
                <w:noProof/>
                <w:webHidden/>
              </w:rPr>
              <w:instrText xml:space="preserve"> PAGEREF _Toc181080993 \h </w:instrText>
            </w:r>
            <w:r>
              <w:rPr>
                <w:noProof/>
                <w:webHidden/>
              </w:rPr>
            </w:r>
            <w:r>
              <w:rPr>
                <w:noProof/>
                <w:webHidden/>
              </w:rPr>
              <w:fldChar w:fldCharType="separate"/>
            </w:r>
            <w:r>
              <w:rPr>
                <w:noProof/>
                <w:webHidden/>
              </w:rPr>
              <w:t>50</w:t>
            </w:r>
            <w:r>
              <w:rPr>
                <w:noProof/>
                <w:webHidden/>
              </w:rPr>
              <w:fldChar w:fldCharType="end"/>
            </w:r>
          </w:hyperlink>
        </w:p>
        <w:p w14:paraId="11623BB1" w14:textId="5AECA93F"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4" w:history="1">
            <w:r w:rsidRPr="005603B1">
              <w:rPr>
                <w:rStyle w:val="Hyperlink"/>
                <w:noProof/>
              </w:rPr>
              <w:t>The Salvation Army</w:t>
            </w:r>
            <w:r>
              <w:rPr>
                <w:noProof/>
                <w:webHidden/>
              </w:rPr>
              <w:tab/>
            </w:r>
            <w:r>
              <w:rPr>
                <w:noProof/>
                <w:webHidden/>
              </w:rPr>
              <w:fldChar w:fldCharType="begin"/>
            </w:r>
            <w:r>
              <w:rPr>
                <w:noProof/>
                <w:webHidden/>
              </w:rPr>
              <w:instrText xml:space="preserve"> PAGEREF _Toc181080994 \h </w:instrText>
            </w:r>
            <w:r>
              <w:rPr>
                <w:noProof/>
                <w:webHidden/>
              </w:rPr>
            </w:r>
            <w:r>
              <w:rPr>
                <w:noProof/>
                <w:webHidden/>
              </w:rPr>
              <w:fldChar w:fldCharType="separate"/>
            </w:r>
            <w:r>
              <w:rPr>
                <w:noProof/>
                <w:webHidden/>
              </w:rPr>
              <w:t>50</w:t>
            </w:r>
            <w:r>
              <w:rPr>
                <w:noProof/>
                <w:webHidden/>
              </w:rPr>
              <w:fldChar w:fldCharType="end"/>
            </w:r>
          </w:hyperlink>
        </w:p>
        <w:p w14:paraId="0098B020" w14:textId="07741EE7"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5" w:history="1">
            <w:r w:rsidRPr="005603B1">
              <w:rPr>
                <w:rStyle w:val="Hyperlink"/>
                <w:noProof/>
              </w:rPr>
              <w:t>Te Hāpori Karaitiana o Gloriavale</w:t>
            </w:r>
            <w:r>
              <w:rPr>
                <w:noProof/>
                <w:webHidden/>
              </w:rPr>
              <w:tab/>
            </w:r>
            <w:r>
              <w:rPr>
                <w:noProof/>
                <w:webHidden/>
              </w:rPr>
              <w:fldChar w:fldCharType="begin"/>
            </w:r>
            <w:r>
              <w:rPr>
                <w:noProof/>
                <w:webHidden/>
              </w:rPr>
              <w:instrText xml:space="preserve"> PAGEREF _Toc181080995 \h </w:instrText>
            </w:r>
            <w:r>
              <w:rPr>
                <w:noProof/>
                <w:webHidden/>
              </w:rPr>
            </w:r>
            <w:r>
              <w:rPr>
                <w:noProof/>
                <w:webHidden/>
              </w:rPr>
              <w:fldChar w:fldCharType="separate"/>
            </w:r>
            <w:r>
              <w:rPr>
                <w:noProof/>
                <w:webHidden/>
              </w:rPr>
              <w:t>51</w:t>
            </w:r>
            <w:r>
              <w:rPr>
                <w:noProof/>
                <w:webHidden/>
              </w:rPr>
              <w:fldChar w:fldCharType="end"/>
            </w:r>
          </w:hyperlink>
        </w:p>
        <w:p w14:paraId="7CA95F4A" w14:textId="401FE20B"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6" w:history="1">
            <w:r w:rsidRPr="005603B1">
              <w:rPr>
                <w:rStyle w:val="Hyperlink"/>
                <w:noProof/>
              </w:rPr>
              <w:t>Gloriavale Christian Community</w:t>
            </w:r>
            <w:r>
              <w:rPr>
                <w:noProof/>
                <w:webHidden/>
              </w:rPr>
              <w:tab/>
            </w:r>
            <w:r>
              <w:rPr>
                <w:noProof/>
                <w:webHidden/>
              </w:rPr>
              <w:fldChar w:fldCharType="begin"/>
            </w:r>
            <w:r>
              <w:rPr>
                <w:noProof/>
                <w:webHidden/>
              </w:rPr>
              <w:instrText xml:space="preserve"> PAGEREF _Toc181080996 \h </w:instrText>
            </w:r>
            <w:r>
              <w:rPr>
                <w:noProof/>
                <w:webHidden/>
              </w:rPr>
            </w:r>
            <w:r>
              <w:rPr>
                <w:noProof/>
                <w:webHidden/>
              </w:rPr>
              <w:fldChar w:fldCharType="separate"/>
            </w:r>
            <w:r>
              <w:rPr>
                <w:noProof/>
                <w:webHidden/>
              </w:rPr>
              <w:t>51</w:t>
            </w:r>
            <w:r>
              <w:rPr>
                <w:noProof/>
                <w:webHidden/>
              </w:rPr>
              <w:fldChar w:fldCharType="end"/>
            </w:r>
          </w:hyperlink>
        </w:p>
        <w:p w14:paraId="08B98569" w14:textId="46AF8E1C"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7" w:history="1">
            <w:r w:rsidRPr="005603B1">
              <w:rPr>
                <w:rStyle w:val="Hyperlink"/>
                <w:noProof/>
              </w:rPr>
              <w:t>Plymouth Brethren Christian Church</w:t>
            </w:r>
            <w:r>
              <w:rPr>
                <w:noProof/>
                <w:webHidden/>
              </w:rPr>
              <w:tab/>
            </w:r>
            <w:r>
              <w:rPr>
                <w:noProof/>
                <w:webHidden/>
              </w:rPr>
              <w:fldChar w:fldCharType="begin"/>
            </w:r>
            <w:r>
              <w:rPr>
                <w:noProof/>
                <w:webHidden/>
              </w:rPr>
              <w:instrText xml:space="preserve"> PAGEREF _Toc181080997 \h </w:instrText>
            </w:r>
            <w:r>
              <w:rPr>
                <w:noProof/>
                <w:webHidden/>
              </w:rPr>
            </w:r>
            <w:r>
              <w:rPr>
                <w:noProof/>
                <w:webHidden/>
              </w:rPr>
              <w:fldChar w:fldCharType="separate"/>
            </w:r>
            <w:r>
              <w:rPr>
                <w:noProof/>
                <w:webHidden/>
              </w:rPr>
              <w:t>51</w:t>
            </w:r>
            <w:r>
              <w:rPr>
                <w:noProof/>
                <w:webHidden/>
              </w:rPr>
              <w:fldChar w:fldCharType="end"/>
            </w:r>
          </w:hyperlink>
        </w:p>
        <w:p w14:paraId="503FBEF9" w14:textId="19EC8E4A"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8" w:history="1">
            <w:r w:rsidRPr="005603B1">
              <w:rPr>
                <w:rStyle w:val="Hyperlink"/>
                <w:noProof/>
              </w:rPr>
              <w:t>Plymouth Brethren Christian Church</w:t>
            </w:r>
            <w:r>
              <w:rPr>
                <w:noProof/>
                <w:webHidden/>
              </w:rPr>
              <w:tab/>
            </w:r>
            <w:r>
              <w:rPr>
                <w:noProof/>
                <w:webHidden/>
              </w:rPr>
              <w:fldChar w:fldCharType="begin"/>
            </w:r>
            <w:r>
              <w:rPr>
                <w:noProof/>
                <w:webHidden/>
              </w:rPr>
              <w:instrText xml:space="preserve"> PAGEREF _Toc181080998 \h </w:instrText>
            </w:r>
            <w:r>
              <w:rPr>
                <w:noProof/>
                <w:webHidden/>
              </w:rPr>
            </w:r>
            <w:r>
              <w:rPr>
                <w:noProof/>
                <w:webHidden/>
              </w:rPr>
              <w:fldChar w:fldCharType="separate"/>
            </w:r>
            <w:r>
              <w:rPr>
                <w:noProof/>
                <w:webHidden/>
              </w:rPr>
              <w:t>51</w:t>
            </w:r>
            <w:r>
              <w:rPr>
                <w:noProof/>
                <w:webHidden/>
              </w:rPr>
              <w:fldChar w:fldCharType="end"/>
            </w:r>
          </w:hyperlink>
        </w:p>
        <w:p w14:paraId="388E2848" w14:textId="1E00624B"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0999" w:history="1">
            <w:r w:rsidRPr="005603B1">
              <w:rPr>
                <w:rStyle w:val="Hyperlink"/>
                <w:noProof/>
              </w:rPr>
              <w:t>Te Ratonga Whakarongo o Dilworth, te Pakirehua Motuhake me te Kaupapa Puretumu</w:t>
            </w:r>
            <w:r>
              <w:rPr>
                <w:noProof/>
                <w:webHidden/>
              </w:rPr>
              <w:tab/>
            </w:r>
            <w:r>
              <w:rPr>
                <w:noProof/>
                <w:webHidden/>
              </w:rPr>
              <w:fldChar w:fldCharType="begin"/>
            </w:r>
            <w:r>
              <w:rPr>
                <w:noProof/>
                <w:webHidden/>
              </w:rPr>
              <w:instrText xml:space="preserve"> PAGEREF _Toc181080999 \h </w:instrText>
            </w:r>
            <w:r>
              <w:rPr>
                <w:noProof/>
                <w:webHidden/>
              </w:rPr>
            </w:r>
            <w:r>
              <w:rPr>
                <w:noProof/>
                <w:webHidden/>
              </w:rPr>
              <w:fldChar w:fldCharType="separate"/>
            </w:r>
            <w:r>
              <w:rPr>
                <w:noProof/>
                <w:webHidden/>
              </w:rPr>
              <w:t>51</w:t>
            </w:r>
            <w:r>
              <w:rPr>
                <w:noProof/>
                <w:webHidden/>
              </w:rPr>
              <w:fldChar w:fldCharType="end"/>
            </w:r>
          </w:hyperlink>
        </w:p>
        <w:p w14:paraId="40AC131F" w14:textId="7FB82FEC"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1000" w:history="1">
            <w:r w:rsidRPr="005603B1">
              <w:rPr>
                <w:rStyle w:val="Hyperlink"/>
                <w:noProof/>
              </w:rPr>
              <w:t>Dilworth Listening Service, Independent Inquiry and Redress Programme</w:t>
            </w:r>
            <w:r>
              <w:rPr>
                <w:noProof/>
                <w:webHidden/>
              </w:rPr>
              <w:tab/>
            </w:r>
            <w:r>
              <w:rPr>
                <w:noProof/>
                <w:webHidden/>
              </w:rPr>
              <w:fldChar w:fldCharType="begin"/>
            </w:r>
            <w:r>
              <w:rPr>
                <w:noProof/>
                <w:webHidden/>
              </w:rPr>
              <w:instrText xml:space="preserve"> PAGEREF _Toc181081000 \h </w:instrText>
            </w:r>
            <w:r>
              <w:rPr>
                <w:noProof/>
                <w:webHidden/>
              </w:rPr>
            </w:r>
            <w:r>
              <w:rPr>
                <w:noProof/>
                <w:webHidden/>
              </w:rPr>
              <w:fldChar w:fldCharType="separate"/>
            </w:r>
            <w:r>
              <w:rPr>
                <w:noProof/>
                <w:webHidden/>
              </w:rPr>
              <w:t>51</w:t>
            </w:r>
            <w:r>
              <w:rPr>
                <w:noProof/>
                <w:webHidden/>
              </w:rPr>
              <w:fldChar w:fldCharType="end"/>
            </w:r>
          </w:hyperlink>
        </w:p>
        <w:p w14:paraId="2466523F" w14:textId="77C023EE"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1001" w:history="1">
            <w:r w:rsidRPr="005603B1">
              <w:rPr>
                <w:rStyle w:val="Hyperlink"/>
                <w:noProof/>
              </w:rPr>
              <w:t>Ngā arotakenga purapura ora</w:t>
            </w:r>
            <w:r>
              <w:rPr>
                <w:noProof/>
                <w:webHidden/>
              </w:rPr>
              <w:tab/>
            </w:r>
            <w:r>
              <w:rPr>
                <w:noProof/>
                <w:webHidden/>
              </w:rPr>
              <w:fldChar w:fldCharType="begin"/>
            </w:r>
            <w:r>
              <w:rPr>
                <w:noProof/>
                <w:webHidden/>
              </w:rPr>
              <w:instrText xml:space="preserve"> PAGEREF _Toc181081001 \h </w:instrText>
            </w:r>
            <w:r>
              <w:rPr>
                <w:noProof/>
                <w:webHidden/>
              </w:rPr>
            </w:r>
            <w:r>
              <w:rPr>
                <w:noProof/>
                <w:webHidden/>
              </w:rPr>
              <w:fldChar w:fldCharType="separate"/>
            </w:r>
            <w:r>
              <w:rPr>
                <w:noProof/>
                <w:webHidden/>
              </w:rPr>
              <w:t>53</w:t>
            </w:r>
            <w:r>
              <w:rPr>
                <w:noProof/>
                <w:webHidden/>
              </w:rPr>
              <w:fldChar w:fldCharType="end"/>
            </w:r>
          </w:hyperlink>
        </w:p>
        <w:p w14:paraId="046E0764" w14:textId="57C8D9B9"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1002" w:history="1">
            <w:r w:rsidRPr="005603B1">
              <w:rPr>
                <w:rStyle w:val="Hyperlink"/>
                <w:noProof/>
              </w:rPr>
              <w:t>Survivor critiques</w:t>
            </w:r>
            <w:r>
              <w:rPr>
                <w:noProof/>
                <w:webHidden/>
              </w:rPr>
              <w:tab/>
            </w:r>
            <w:r>
              <w:rPr>
                <w:noProof/>
                <w:webHidden/>
              </w:rPr>
              <w:fldChar w:fldCharType="begin"/>
            </w:r>
            <w:r>
              <w:rPr>
                <w:noProof/>
                <w:webHidden/>
              </w:rPr>
              <w:instrText xml:space="preserve"> PAGEREF _Toc181081002 \h </w:instrText>
            </w:r>
            <w:r>
              <w:rPr>
                <w:noProof/>
                <w:webHidden/>
              </w:rPr>
            </w:r>
            <w:r>
              <w:rPr>
                <w:noProof/>
                <w:webHidden/>
              </w:rPr>
              <w:fldChar w:fldCharType="separate"/>
            </w:r>
            <w:r>
              <w:rPr>
                <w:noProof/>
                <w:webHidden/>
              </w:rPr>
              <w:t>53</w:t>
            </w:r>
            <w:r>
              <w:rPr>
                <w:noProof/>
                <w:webHidden/>
              </w:rPr>
              <w:fldChar w:fldCharType="end"/>
            </w:r>
          </w:hyperlink>
        </w:p>
        <w:p w14:paraId="0C1E4C44" w14:textId="00E76BC4"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1003" w:history="1">
            <w:r w:rsidRPr="005603B1">
              <w:rPr>
                <w:rStyle w:val="Hyperlink"/>
                <w:noProof/>
              </w:rPr>
              <w:t>Ngā tūtohunga o te Pakirehua Motuhake o Dilworth me ā mātou kitenga</w:t>
            </w:r>
            <w:r>
              <w:rPr>
                <w:noProof/>
                <w:webHidden/>
              </w:rPr>
              <w:tab/>
            </w:r>
            <w:r>
              <w:rPr>
                <w:noProof/>
                <w:webHidden/>
              </w:rPr>
              <w:fldChar w:fldCharType="begin"/>
            </w:r>
            <w:r>
              <w:rPr>
                <w:noProof/>
                <w:webHidden/>
              </w:rPr>
              <w:instrText xml:space="preserve"> PAGEREF _Toc181081003 \h </w:instrText>
            </w:r>
            <w:r>
              <w:rPr>
                <w:noProof/>
                <w:webHidden/>
              </w:rPr>
            </w:r>
            <w:r>
              <w:rPr>
                <w:noProof/>
                <w:webHidden/>
              </w:rPr>
              <w:fldChar w:fldCharType="separate"/>
            </w:r>
            <w:r>
              <w:rPr>
                <w:noProof/>
                <w:webHidden/>
              </w:rPr>
              <w:t>53</w:t>
            </w:r>
            <w:r>
              <w:rPr>
                <w:noProof/>
                <w:webHidden/>
              </w:rPr>
              <w:fldChar w:fldCharType="end"/>
            </w:r>
          </w:hyperlink>
        </w:p>
        <w:p w14:paraId="01608461" w14:textId="28051242" w:rsidR="004D5306" w:rsidRDefault="004D5306">
          <w:pPr>
            <w:pStyle w:val="TOC3"/>
            <w:rPr>
              <w:rFonts w:asciiTheme="minorHAnsi" w:eastAsiaTheme="minorEastAsia" w:hAnsiTheme="minorHAnsi"/>
              <w:noProof/>
              <w:kern w:val="2"/>
              <w:sz w:val="24"/>
              <w:szCs w:val="24"/>
              <w:lang w:eastAsia="en-NZ"/>
              <w14:ligatures w14:val="standardContextual"/>
            </w:rPr>
          </w:pPr>
          <w:hyperlink w:anchor="_Toc181081004" w:history="1">
            <w:r w:rsidRPr="005603B1">
              <w:rPr>
                <w:rStyle w:val="Hyperlink"/>
                <w:noProof/>
              </w:rPr>
              <w:t>Dilworth Independent Inquiry’s recommendation and the Inquiry’s observations</w:t>
            </w:r>
            <w:r>
              <w:rPr>
                <w:noProof/>
                <w:webHidden/>
              </w:rPr>
              <w:tab/>
            </w:r>
            <w:r>
              <w:rPr>
                <w:noProof/>
                <w:webHidden/>
              </w:rPr>
              <w:fldChar w:fldCharType="begin"/>
            </w:r>
            <w:r>
              <w:rPr>
                <w:noProof/>
                <w:webHidden/>
              </w:rPr>
              <w:instrText xml:space="preserve"> PAGEREF _Toc181081004 \h </w:instrText>
            </w:r>
            <w:r>
              <w:rPr>
                <w:noProof/>
                <w:webHidden/>
              </w:rPr>
            </w:r>
            <w:r>
              <w:rPr>
                <w:noProof/>
                <w:webHidden/>
              </w:rPr>
              <w:fldChar w:fldCharType="separate"/>
            </w:r>
            <w:r>
              <w:rPr>
                <w:noProof/>
                <w:webHidden/>
              </w:rPr>
              <w:t>53</w:t>
            </w:r>
            <w:r>
              <w:rPr>
                <w:noProof/>
                <w:webHidden/>
              </w:rPr>
              <w:fldChar w:fldCharType="end"/>
            </w:r>
          </w:hyperlink>
        </w:p>
        <w:p w14:paraId="6EC32F23" w14:textId="392E611B"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1005" w:history="1">
            <w:r w:rsidRPr="005603B1">
              <w:rPr>
                <w:rStyle w:val="Hyperlink"/>
                <w:noProof/>
                <w:lang w:val="pt-BR"/>
              </w:rPr>
              <w:t>Ngā wheako o te purapura ora</w:t>
            </w:r>
            <w:r>
              <w:rPr>
                <w:noProof/>
                <w:webHidden/>
              </w:rPr>
              <w:tab/>
            </w:r>
            <w:r>
              <w:rPr>
                <w:noProof/>
                <w:webHidden/>
              </w:rPr>
              <w:fldChar w:fldCharType="begin"/>
            </w:r>
            <w:r>
              <w:rPr>
                <w:noProof/>
                <w:webHidden/>
              </w:rPr>
              <w:instrText xml:space="preserve"> PAGEREF _Toc181081005 \h </w:instrText>
            </w:r>
            <w:r>
              <w:rPr>
                <w:noProof/>
                <w:webHidden/>
              </w:rPr>
            </w:r>
            <w:r>
              <w:rPr>
                <w:noProof/>
                <w:webHidden/>
              </w:rPr>
              <w:fldChar w:fldCharType="separate"/>
            </w:r>
            <w:r>
              <w:rPr>
                <w:noProof/>
                <w:webHidden/>
              </w:rPr>
              <w:t>56</w:t>
            </w:r>
            <w:r>
              <w:rPr>
                <w:noProof/>
                <w:webHidden/>
              </w:rPr>
              <w:fldChar w:fldCharType="end"/>
            </w:r>
          </w:hyperlink>
        </w:p>
        <w:p w14:paraId="50F450DE" w14:textId="038376DC"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1006" w:history="1">
            <w:r w:rsidRPr="005603B1">
              <w:rPr>
                <w:rStyle w:val="Hyperlink"/>
                <w:noProof/>
              </w:rPr>
              <w:t>Survivor experience: Joshy Fitzgerald</w:t>
            </w:r>
            <w:r>
              <w:rPr>
                <w:noProof/>
                <w:webHidden/>
              </w:rPr>
              <w:tab/>
            </w:r>
            <w:r>
              <w:rPr>
                <w:noProof/>
                <w:webHidden/>
              </w:rPr>
              <w:fldChar w:fldCharType="begin"/>
            </w:r>
            <w:r>
              <w:rPr>
                <w:noProof/>
                <w:webHidden/>
              </w:rPr>
              <w:instrText xml:space="preserve"> PAGEREF _Toc181081006 \h </w:instrText>
            </w:r>
            <w:r>
              <w:rPr>
                <w:noProof/>
                <w:webHidden/>
              </w:rPr>
            </w:r>
            <w:r>
              <w:rPr>
                <w:noProof/>
                <w:webHidden/>
              </w:rPr>
              <w:fldChar w:fldCharType="separate"/>
            </w:r>
            <w:r>
              <w:rPr>
                <w:noProof/>
                <w:webHidden/>
              </w:rPr>
              <w:t>56</w:t>
            </w:r>
            <w:r>
              <w:rPr>
                <w:noProof/>
                <w:webHidden/>
              </w:rPr>
              <w:fldChar w:fldCharType="end"/>
            </w:r>
          </w:hyperlink>
        </w:p>
        <w:p w14:paraId="47CF4378" w14:textId="76DF2713"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1007" w:history="1">
            <w:r w:rsidRPr="005603B1">
              <w:rPr>
                <w:rStyle w:val="Hyperlink"/>
                <w:noProof/>
              </w:rPr>
              <w:t>Ūpoko 3: Ngā whakataunga o te Kōmihana mō te whakatinanatanga o ngā tūtohunga i roto i He Purapura Ora, he Māra Tipu</w:t>
            </w:r>
            <w:r>
              <w:rPr>
                <w:noProof/>
                <w:webHidden/>
              </w:rPr>
              <w:tab/>
            </w:r>
            <w:r>
              <w:rPr>
                <w:noProof/>
                <w:webHidden/>
              </w:rPr>
              <w:fldChar w:fldCharType="begin"/>
            </w:r>
            <w:r>
              <w:rPr>
                <w:noProof/>
                <w:webHidden/>
              </w:rPr>
              <w:instrText xml:space="preserve"> PAGEREF _Toc181081007 \h </w:instrText>
            </w:r>
            <w:r>
              <w:rPr>
                <w:noProof/>
                <w:webHidden/>
              </w:rPr>
            </w:r>
            <w:r>
              <w:rPr>
                <w:noProof/>
                <w:webHidden/>
              </w:rPr>
              <w:fldChar w:fldCharType="separate"/>
            </w:r>
            <w:r>
              <w:rPr>
                <w:noProof/>
                <w:webHidden/>
              </w:rPr>
              <w:t>60</w:t>
            </w:r>
            <w:r>
              <w:rPr>
                <w:noProof/>
                <w:webHidden/>
              </w:rPr>
              <w:fldChar w:fldCharType="end"/>
            </w:r>
          </w:hyperlink>
        </w:p>
        <w:p w14:paraId="755C1EDE" w14:textId="487C3FA3" w:rsidR="004D5306" w:rsidRDefault="004D5306">
          <w:pPr>
            <w:pStyle w:val="TOC1"/>
            <w:rPr>
              <w:rFonts w:asciiTheme="minorHAnsi" w:eastAsiaTheme="minorEastAsia" w:hAnsiTheme="minorHAnsi"/>
              <w:b w:val="0"/>
              <w:noProof/>
              <w:color w:val="auto"/>
              <w:kern w:val="2"/>
              <w:sz w:val="24"/>
              <w:szCs w:val="24"/>
              <w:lang w:eastAsia="en-NZ"/>
              <w14:ligatures w14:val="standardContextual"/>
            </w:rPr>
          </w:pPr>
          <w:hyperlink w:anchor="_Toc181081008" w:history="1">
            <w:r w:rsidRPr="005603B1">
              <w:rPr>
                <w:rStyle w:val="Hyperlink"/>
                <w:noProof/>
              </w:rPr>
              <w:t>Chapter 3:  The Inquiry’s conclusions on the implementation of the recommendations set out in He Purapura Ora, he Māra Tipu</w:t>
            </w:r>
            <w:r>
              <w:rPr>
                <w:noProof/>
                <w:webHidden/>
              </w:rPr>
              <w:tab/>
            </w:r>
            <w:r>
              <w:rPr>
                <w:noProof/>
                <w:webHidden/>
              </w:rPr>
              <w:fldChar w:fldCharType="begin"/>
            </w:r>
            <w:r>
              <w:rPr>
                <w:noProof/>
                <w:webHidden/>
              </w:rPr>
              <w:instrText xml:space="preserve"> PAGEREF _Toc181081008 \h </w:instrText>
            </w:r>
            <w:r>
              <w:rPr>
                <w:noProof/>
                <w:webHidden/>
              </w:rPr>
            </w:r>
            <w:r>
              <w:rPr>
                <w:noProof/>
                <w:webHidden/>
              </w:rPr>
              <w:fldChar w:fldCharType="separate"/>
            </w:r>
            <w:r>
              <w:rPr>
                <w:noProof/>
                <w:webHidden/>
              </w:rPr>
              <w:t>60</w:t>
            </w:r>
            <w:r>
              <w:rPr>
                <w:noProof/>
                <w:webHidden/>
              </w:rPr>
              <w:fldChar w:fldCharType="end"/>
            </w:r>
          </w:hyperlink>
        </w:p>
        <w:p w14:paraId="57FC0B27" w14:textId="6A192767" w:rsidR="00F02CBD" w:rsidRDefault="004D5306" w:rsidP="004D5306">
          <w:pPr>
            <w:pStyle w:val="TOC1"/>
          </w:pPr>
          <w:r>
            <w:fldChar w:fldCharType="end"/>
          </w:r>
        </w:p>
      </w:sdtContent>
    </w:sdt>
    <w:p w14:paraId="006A852E" w14:textId="77777777" w:rsidR="00F02CBD" w:rsidRDefault="00F02CBD">
      <w:pPr>
        <w:spacing w:after="160"/>
      </w:pPr>
    </w:p>
    <w:p w14:paraId="54224DD9" w14:textId="77777777" w:rsidR="00544946" w:rsidRDefault="00F02CBD">
      <w:pPr>
        <w:spacing w:after="160"/>
        <w:rPr>
          <w:rFonts w:ascii="Arial" w:eastAsiaTheme="minorEastAsia" w:hAnsi="Arial" w:cs="Arial"/>
          <w:kern w:val="2"/>
          <w:lang w:eastAsia="en-NZ"/>
          <w14:ligatures w14:val="standardContextual"/>
        </w:rPr>
      </w:pPr>
      <w:r>
        <w:rPr>
          <w:rFonts w:ascii="Arial" w:eastAsiaTheme="minorEastAsia" w:hAnsi="Arial" w:cs="Arial"/>
          <w:kern w:val="2"/>
          <w:lang w:eastAsia="en-NZ"/>
          <w14:ligatures w14:val="standardContextual"/>
        </w:rPr>
        <w:br w:type="page"/>
      </w:r>
    </w:p>
    <w:p w14:paraId="60552C4A" w14:textId="77777777" w:rsidR="00BE217A" w:rsidRDefault="00312F9A" w:rsidP="00312F9A">
      <w:pPr>
        <w:pStyle w:val="Heading1"/>
        <w:rPr>
          <w:color w:val="4F7D29"/>
        </w:rPr>
      </w:pPr>
      <w:bookmarkStart w:id="39" w:name="_Toc332620977"/>
      <w:bookmarkStart w:id="40" w:name="_Toc168638871"/>
      <w:bookmarkStart w:id="41" w:name="_Toc181080915"/>
      <w:r w:rsidRPr="00CA5214">
        <w:rPr>
          <w:color w:val="4F7D29"/>
        </w:rPr>
        <w:lastRenderedPageBreak/>
        <w:t>Kuputaka</w:t>
      </w:r>
      <w:bookmarkEnd w:id="41"/>
    </w:p>
    <w:p w14:paraId="25751AFB" w14:textId="3E90F09E" w:rsidR="00312F9A" w:rsidRPr="00CA5214" w:rsidRDefault="00312F9A" w:rsidP="00312F9A">
      <w:pPr>
        <w:pStyle w:val="Heading1"/>
        <w:rPr>
          <w:color w:val="4F7D29"/>
        </w:rPr>
      </w:pPr>
      <w:bookmarkStart w:id="42" w:name="_Toc181080916"/>
      <w:r w:rsidRPr="00CA5214">
        <w:rPr>
          <w:color w:val="4F7D29"/>
        </w:rPr>
        <w:t>Glossary</w:t>
      </w:r>
      <w:bookmarkEnd w:id="39"/>
      <w:bookmarkEnd w:id="40"/>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85"/>
        <w:gridCol w:w="6531"/>
      </w:tblGrid>
      <w:tr w:rsidR="00544946" w:rsidRPr="006A10DB" w14:paraId="2AD5854A" w14:textId="77777777" w:rsidTr="006A10DB">
        <w:trPr>
          <w:trHeight w:val="300"/>
          <w:tblHeader/>
        </w:trPr>
        <w:tc>
          <w:tcPr>
            <w:tcW w:w="1378" w:type="pct"/>
            <w:shd w:val="clear" w:color="auto" w:fill="E2EFD9" w:themeFill="accent6" w:themeFillTint="33"/>
          </w:tcPr>
          <w:p w14:paraId="43116263" w14:textId="77777777" w:rsidR="00544946" w:rsidRPr="006A10DB" w:rsidRDefault="00544946">
            <w:pPr>
              <w:spacing w:before="120" w:after="120"/>
              <w:rPr>
                <w:rFonts w:ascii="Arial" w:hAnsi="Arial" w:cs="Arial"/>
                <w:b/>
                <w:bCs/>
              </w:rPr>
            </w:pPr>
            <w:r w:rsidRPr="006A10DB">
              <w:rPr>
                <w:rFonts w:ascii="Arial" w:hAnsi="Arial" w:cs="Arial"/>
                <w:b/>
                <w:bCs/>
              </w:rPr>
              <w:t>Term</w:t>
            </w:r>
          </w:p>
        </w:tc>
        <w:tc>
          <w:tcPr>
            <w:tcW w:w="3622" w:type="pct"/>
            <w:shd w:val="clear" w:color="auto" w:fill="E2EFD9" w:themeFill="accent6" w:themeFillTint="33"/>
          </w:tcPr>
          <w:p w14:paraId="0CF840AB" w14:textId="77777777" w:rsidR="00544946" w:rsidRPr="006A10DB" w:rsidRDefault="00544946">
            <w:pPr>
              <w:spacing w:before="120" w:after="120"/>
              <w:rPr>
                <w:rFonts w:ascii="Arial" w:hAnsi="Arial" w:cs="Arial"/>
                <w:b/>
                <w:bCs/>
              </w:rPr>
            </w:pPr>
            <w:r w:rsidRPr="006A10DB">
              <w:rPr>
                <w:rFonts w:ascii="Arial" w:hAnsi="Arial" w:cs="Arial"/>
                <w:b/>
                <w:bCs/>
              </w:rPr>
              <w:t>Explanation</w:t>
            </w:r>
          </w:p>
        </w:tc>
      </w:tr>
      <w:tr w:rsidR="00544946" w:rsidRPr="00536228" w14:paraId="64D3CEDC" w14:textId="77777777" w:rsidTr="006A10DB">
        <w:trPr>
          <w:trHeight w:val="300"/>
        </w:trPr>
        <w:tc>
          <w:tcPr>
            <w:tcW w:w="1378" w:type="pct"/>
          </w:tcPr>
          <w:p w14:paraId="5C671EF4" w14:textId="77777777" w:rsidR="00544946" w:rsidRPr="00965A1F" w:rsidRDefault="00544946">
            <w:pPr>
              <w:spacing w:before="120" w:after="120"/>
              <w:rPr>
                <w:rFonts w:ascii="Arial" w:hAnsi="Arial" w:cs="Arial"/>
              </w:rPr>
            </w:pPr>
            <w:r w:rsidRPr="00965A1F">
              <w:rPr>
                <w:rFonts w:ascii="Arial" w:hAnsi="Arial" w:cs="Arial"/>
              </w:rPr>
              <w:t>biculturalism</w:t>
            </w:r>
          </w:p>
        </w:tc>
        <w:tc>
          <w:tcPr>
            <w:tcW w:w="3622" w:type="pct"/>
          </w:tcPr>
          <w:p w14:paraId="7B1B63E2" w14:textId="77777777" w:rsidR="00544946" w:rsidRPr="00965A1F" w:rsidRDefault="00544946" w:rsidP="00E11DE7">
            <w:pPr>
              <w:spacing w:before="120" w:after="120" w:line="264" w:lineRule="auto"/>
              <w:rPr>
                <w:rFonts w:ascii="Arial" w:hAnsi="Arial" w:cs="Arial"/>
              </w:rPr>
            </w:pPr>
            <w:r w:rsidRPr="00965A1F">
              <w:rPr>
                <w:rFonts w:ascii="Arial" w:hAnsi="Arial" w:cs="Arial"/>
              </w:rPr>
              <w:t xml:space="preserve">The co-existence of two distinct cultures. </w:t>
            </w:r>
          </w:p>
        </w:tc>
      </w:tr>
      <w:tr w:rsidR="00544946" w:rsidRPr="00536228" w14:paraId="16E2CE94" w14:textId="77777777" w:rsidTr="006A10DB">
        <w:trPr>
          <w:trHeight w:val="300"/>
        </w:trPr>
        <w:tc>
          <w:tcPr>
            <w:tcW w:w="1378" w:type="pct"/>
          </w:tcPr>
          <w:p w14:paraId="2CB3AE35" w14:textId="77777777" w:rsidR="00544946" w:rsidRPr="00965A1F" w:rsidRDefault="00544946">
            <w:pPr>
              <w:spacing w:before="120" w:after="120"/>
              <w:rPr>
                <w:rFonts w:ascii="Arial" w:hAnsi="Arial" w:cs="Arial"/>
              </w:rPr>
            </w:pPr>
            <w:r w:rsidRPr="00965A1F">
              <w:rPr>
                <w:rFonts w:ascii="Arial" w:hAnsi="Arial" w:cs="Arial"/>
              </w:rPr>
              <w:t>civil claims</w:t>
            </w:r>
          </w:p>
        </w:tc>
        <w:tc>
          <w:tcPr>
            <w:tcW w:w="3622" w:type="pct"/>
          </w:tcPr>
          <w:p w14:paraId="042EEA65" w14:textId="604184D5" w:rsidR="00544946" w:rsidRPr="00965A1F" w:rsidRDefault="066E4799" w:rsidP="00E11DE7">
            <w:pPr>
              <w:spacing w:before="120" w:after="120" w:line="264" w:lineRule="auto"/>
              <w:rPr>
                <w:rFonts w:ascii="Arial" w:hAnsi="Arial" w:cs="Arial"/>
              </w:rPr>
            </w:pPr>
            <w:r w:rsidRPr="00965A1F">
              <w:rPr>
                <w:rFonts w:ascii="Arial" w:hAnsi="Arial" w:cs="Arial"/>
              </w:rPr>
              <w:t>A claim for damages (often in the form of financial compensation) or other remedies pursued through courts, tribunal or other dispute resolution processes</w:t>
            </w:r>
            <w:r w:rsidR="749F1BA2" w:rsidRPr="00965A1F">
              <w:rPr>
                <w:rFonts w:ascii="Arial" w:hAnsi="Arial" w:cs="Arial"/>
              </w:rPr>
              <w:t>.</w:t>
            </w:r>
          </w:p>
        </w:tc>
      </w:tr>
      <w:tr w:rsidR="00544946" w:rsidRPr="00536228" w14:paraId="0AC5F27D" w14:textId="77777777" w:rsidTr="006A10DB">
        <w:trPr>
          <w:trHeight w:val="300"/>
        </w:trPr>
        <w:tc>
          <w:tcPr>
            <w:tcW w:w="1378" w:type="pct"/>
          </w:tcPr>
          <w:p w14:paraId="161BCBD9" w14:textId="77777777" w:rsidR="00544946" w:rsidRPr="00965A1F" w:rsidRDefault="00544946">
            <w:pPr>
              <w:spacing w:before="120" w:after="120"/>
              <w:rPr>
                <w:rFonts w:ascii="Arial" w:hAnsi="Arial" w:cs="Arial"/>
              </w:rPr>
            </w:pPr>
            <w:r w:rsidRPr="00965A1F">
              <w:rPr>
                <w:rFonts w:ascii="Arial" w:hAnsi="Arial" w:cs="Arial"/>
              </w:rPr>
              <w:t>civil liability</w:t>
            </w:r>
          </w:p>
        </w:tc>
        <w:tc>
          <w:tcPr>
            <w:tcW w:w="3622" w:type="pct"/>
          </w:tcPr>
          <w:p w14:paraId="436813A1" w14:textId="4C91D29E" w:rsidR="00544946" w:rsidRPr="00965A1F" w:rsidRDefault="3562C302" w:rsidP="00E11DE7">
            <w:pPr>
              <w:spacing w:before="120" w:after="120" w:line="264" w:lineRule="auto"/>
              <w:rPr>
                <w:rFonts w:ascii="Arial" w:hAnsi="Arial" w:cs="Arial"/>
              </w:rPr>
            </w:pPr>
            <w:r w:rsidRPr="00965A1F">
              <w:rPr>
                <w:rFonts w:ascii="Arial" w:hAnsi="Arial" w:cs="Arial"/>
              </w:rPr>
              <w:t xml:space="preserve">The </w:t>
            </w:r>
            <w:r w:rsidR="69CBB437" w:rsidRPr="00965A1F">
              <w:rPr>
                <w:rFonts w:ascii="Arial" w:hAnsi="Arial" w:cs="Arial"/>
              </w:rPr>
              <w:t xml:space="preserve">legal </w:t>
            </w:r>
            <w:r w:rsidRPr="00965A1F">
              <w:rPr>
                <w:rFonts w:ascii="Arial" w:hAnsi="Arial" w:cs="Arial"/>
              </w:rPr>
              <w:t xml:space="preserve">obligation of a person or organisation to pay damages </w:t>
            </w:r>
            <w:r w:rsidR="45FAF33D" w:rsidRPr="00965A1F">
              <w:rPr>
                <w:rFonts w:ascii="Arial" w:hAnsi="Arial" w:cs="Arial"/>
              </w:rPr>
              <w:t xml:space="preserve">or compensation </w:t>
            </w:r>
            <w:r w:rsidRPr="00965A1F">
              <w:rPr>
                <w:rFonts w:ascii="Arial" w:hAnsi="Arial" w:cs="Arial"/>
              </w:rPr>
              <w:t>to another</w:t>
            </w:r>
          </w:p>
        </w:tc>
      </w:tr>
      <w:tr w:rsidR="00544946" w:rsidRPr="00536228" w14:paraId="3F9400AD" w14:textId="77777777" w:rsidTr="006A10DB">
        <w:trPr>
          <w:trHeight w:val="300"/>
        </w:trPr>
        <w:tc>
          <w:tcPr>
            <w:tcW w:w="1378" w:type="pct"/>
          </w:tcPr>
          <w:p w14:paraId="66F46792" w14:textId="1149DF2D" w:rsidR="00544946" w:rsidRPr="00965A1F" w:rsidRDefault="00544946">
            <w:pPr>
              <w:spacing w:before="120" w:after="120"/>
              <w:rPr>
                <w:rFonts w:ascii="Arial" w:hAnsi="Arial" w:cs="Arial"/>
              </w:rPr>
            </w:pPr>
            <w:r w:rsidRPr="00965A1F">
              <w:rPr>
                <w:rFonts w:ascii="Arial" w:hAnsi="Arial" w:cs="Arial"/>
              </w:rPr>
              <w:t xml:space="preserve">civil litigation </w:t>
            </w:r>
          </w:p>
        </w:tc>
        <w:tc>
          <w:tcPr>
            <w:tcW w:w="3622" w:type="pct"/>
          </w:tcPr>
          <w:p w14:paraId="493634CA" w14:textId="631E1313" w:rsidR="00544946" w:rsidRPr="00965A1F" w:rsidRDefault="2EBB163A" w:rsidP="00E11DE7">
            <w:pPr>
              <w:spacing w:before="120" w:after="120" w:line="264" w:lineRule="auto"/>
              <w:rPr>
                <w:rFonts w:ascii="Arial" w:hAnsi="Arial" w:cs="Arial"/>
              </w:rPr>
            </w:pPr>
            <w:r w:rsidRPr="00965A1F">
              <w:rPr>
                <w:rFonts w:ascii="Arial" w:hAnsi="Arial" w:cs="Arial"/>
              </w:rPr>
              <w:t xml:space="preserve">Formal legal </w:t>
            </w:r>
            <w:r w:rsidR="4214055F" w:rsidRPr="00965A1F">
              <w:rPr>
                <w:rFonts w:ascii="Arial" w:hAnsi="Arial" w:cs="Arial"/>
              </w:rPr>
              <w:t xml:space="preserve">court </w:t>
            </w:r>
            <w:r w:rsidRPr="00965A1F">
              <w:rPr>
                <w:rFonts w:ascii="Arial" w:hAnsi="Arial" w:cs="Arial"/>
              </w:rPr>
              <w:t xml:space="preserve">proceedings between private individuals or organisations that </w:t>
            </w:r>
            <w:r w:rsidR="2BE45E2F" w:rsidRPr="00965A1F">
              <w:rPr>
                <w:rFonts w:ascii="Arial" w:hAnsi="Arial" w:cs="Arial"/>
              </w:rPr>
              <w:t>seek to resolve a dispute</w:t>
            </w:r>
            <w:r w:rsidR="72A7FB51" w:rsidRPr="00965A1F">
              <w:rPr>
                <w:rFonts w:ascii="Arial" w:hAnsi="Arial" w:cs="Arial"/>
              </w:rPr>
              <w:t xml:space="preserve"> </w:t>
            </w:r>
            <w:r w:rsidR="61895088" w:rsidRPr="00965A1F">
              <w:rPr>
                <w:rFonts w:ascii="Arial" w:hAnsi="Arial" w:cs="Arial"/>
              </w:rPr>
              <w:t xml:space="preserve"> </w:t>
            </w:r>
          </w:p>
        </w:tc>
      </w:tr>
      <w:tr w:rsidR="00544946" w:rsidRPr="00536228" w14:paraId="1A6E2CD2" w14:textId="77777777" w:rsidTr="006A10DB">
        <w:trPr>
          <w:trHeight w:val="300"/>
        </w:trPr>
        <w:tc>
          <w:tcPr>
            <w:tcW w:w="1378" w:type="pct"/>
          </w:tcPr>
          <w:p w14:paraId="2BEAB7C7" w14:textId="77777777" w:rsidR="00544946" w:rsidRPr="00965A1F" w:rsidRDefault="00544946">
            <w:pPr>
              <w:spacing w:before="120" w:after="120"/>
              <w:rPr>
                <w:rFonts w:ascii="Arial" w:hAnsi="Arial" w:cs="Arial"/>
              </w:rPr>
            </w:pPr>
            <w:r w:rsidRPr="00965A1F">
              <w:rPr>
                <w:rFonts w:ascii="Arial" w:hAnsi="Arial" w:cs="Arial"/>
              </w:rPr>
              <w:t>exemplary damages</w:t>
            </w:r>
          </w:p>
        </w:tc>
        <w:tc>
          <w:tcPr>
            <w:tcW w:w="3622" w:type="pct"/>
          </w:tcPr>
          <w:p w14:paraId="66991958" w14:textId="7973CE1B" w:rsidR="00544946" w:rsidRPr="00965A1F" w:rsidRDefault="73DB07CD" w:rsidP="00E11DE7">
            <w:pPr>
              <w:spacing w:before="120" w:after="120" w:line="264" w:lineRule="auto"/>
              <w:rPr>
                <w:rFonts w:ascii="Arial" w:hAnsi="Arial" w:cs="Arial"/>
              </w:rPr>
            </w:pPr>
            <w:r w:rsidRPr="00965A1F">
              <w:rPr>
                <w:rFonts w:ascii="Arial" w:hAnsi="Arial" w:cs="Arial"/>
              </w:rPr>
              <w:t xml:space="preserve">Damages or </w:t>
            </w:r>
            <w:r w:rsidR="00544946" w:rsidRPr="00965A1F">
              <w:rPr>
                <w:rFonts w:ascii="Arial" w:hAnsi="Arial" w:cs="Arial"/>
              </w:rPr>
              <w:t xml:space="preserve">compensation </w:t>
            </w:r>
            <w:r w:rsidR="4D2986C6" w:rsidRPr="00965A1F">
              <w:rPr>
                <w:rFonts w:ascii="Arial" w:hAnsi="Arial" w:cs="Arial"/>
              </w:rPr>
              <w:t>awarded to punish a party for particular conduct. They are punitive in nature rather than compensatory</w:t>
            </w:r>
            <w:r w:rsidR="00544946" w:rsidRPr="00965A1F">
              <w:rPr>
                <w:rFonts w:ascii="Arial" w:hAnsi="Arial" w:cs="Arial"/>
              </w:rPr>
              <w:t>.</w:t>
            </w:r>
          </w:p>
        </w:tc>
      </w:tr>
      <w:tr w:rsidR="00544946" w:rsidRPr="00536228" w14:paraId="63C1238F" w14:textId="77777777" w:rsidTr="006A10DB">
        <w:trPr>
          <w:trHeight w:val="300"/>
        </w:trPr>
        <w:tc>
          <w:tcPr>
            <w:tcW w:w="1378" w:type="pct"/>
          </w:tcPr>
          <w:p w14:paraId="0FBA44B1" w14:textId="77777777" w:rsidR="00544946" w:rsidRPr="00965A1F" w:rsidRDefault="00544946">
            <w:pPr>
              <w:spacing w:before="120" w:after="120"/>
              <w:rPr>
                <w:rFonts w:ascii="Arial" w:hAnsi="Arial" w:cs="Arial"/>
              </w:rPr>
            </w:pPr>
            <w:r w:rsidRPr="00965A1F">
              <w:rPr>
                <w:rFonts w:ascii="Arial" w:hAnsi="Arial" w:cs="Arial"/>
              </w:rPr>
              <w:t>impunity</w:t>
            </w:r>
          </w:p>
        </w:tc>
        <w:tc>
          <w:tcPr>
            <w:tcW w:w="3622" w:type="pct"/>
          </w:tcPr>
          <w:p w14:paraId="77E9E9F4" w14:textId="77777777" w:rsidR="00544946" w:rsidRPr="00965A1F" w:rsidRDefault="00544946" w:rsidP="00E11DE7">
            <w:pPr>
              <w:spacing w:before="120" w:after="120" w:line="264" w:lineRule="auto"/>
              <w:rPr>
                <w:rFonts w:ascii="Arial" w:hAnsi="Arial" w:cs="Arial"/>
              </w:rPr>
            </w:pPr>
            <w:r w:rsidRPr="00965A1F">
              <w:rPr>
                <w:rFonts w:ascii="Arial" w:hAnsi="Arial" w:cs="Arial"/>
              </w:rPr>
              <w:t>Exemption from punishment or receiving consequences.</w:t>
            </w:r>
          </w:p>
        </w:tc>
      </w:tr>
      <w:tr w:rsidR="00544946" w:rsidRPr="00536228" w14:paraId="0596013D" w14:textId="77777777" w:rsidTr="006A10DB">
        <w:trPr>
          <w:trHeight w:val="300"/>
        </w:trPr>
        <w:tc>
          <w:tcPr>
            <w:tcW w:w="1378" w:type="pct"/>
          </w:tcPr>
          <w:p w14:paraId="037E10C6" w14:textId="77777777" w:rsidR="00544946" w:rsidRPr="00965A1F" w:rsidRDefault="00544946">
            <w:pPr>
              <w:spacing w:before="120" w:after="120"/>
              <w:rPr>
                <w:rFonts w:ascii="Arial" w:hAnsi="Arial" w:cs="Arial"/>
              </w:rPr>
            </w:pPr>
            <w:r w:rsidRPr="00965A1F">
              <w:rPr>
                <w:rFonts w:ascii="Arial" w:hAnsi="Arial" w:cs="Arial"/>
              </w:rPr>
              <w:t>limitation defence</w:t>
            </w:r>
          </w:p>
        </w:tc>
        <w:tc>
          <w:tcPr>
            <w:tcW w:w="3622" w:type="pct"/>
          </w:tcPr>
          <w:p w14:paraId="16563E05" w14:textId="235E8EA6" w:rsidR="00544946" w:rsidRPr="00965A1F" w:rsidRDefault="7C8A52DF" w:rsidP="00E11DE7">
            <w:pPr>
              <w:spacing w:before="120" w:after="120" w:line="264" w:lineRule="auto"/>
              <w:rPr>
                <w:rFonts w:ascii="Arial" w:hAnsi="Arial" w:cs="Arial"/>
              </w:rPr>
            </w:pPr>
            <w:r w:rsidRPr="00965A1F">
              <w:rPr>
                <w:rFonts w:ascii="Arial" w:hAnsi="Arial" w:cs="Arial"/>
              </w:rPr>
              <w:t xml:space="preserve">A defence to a legal claim </w:t>
            </w:r>
            <w:r w:rsidR="0E9E0843" w:rsidRPr="00965A1F">
              <w:rPr>
                <w:rFonts w:ascii="Arial" w:hAnsi="Arial" w:cs="Arial"/>
              </w:rPr>
              <w:t xml:space="preserve">that excludes liability </w:t>
            </w:r>
            <w:r w:rsidR="67B69890" w:rsidRPr="00965A1F">
              <w:rPr>
                <w:rFonts w:ascii="Arial" w:hAnsi="Arial" w:cs="Arial"/>
              </w:rPr>
              <w:t xml:space="preserve">on the basis that the legal claim has not been filed within a </w:t>
            </w:r>
            <w:r w:rsidR="6C55F6A2" w:rsidRPr="00965A1F">
              <w:rPr>
                <w:rFonts w:ascii="Arial" w:hAnsi="Arial" w:cs="Arial"/>
              </w:rPr>
              <w:t>period of time as</w:t>
            </w:r>
            <w:r w:rsidRPr="00965A1F">
              <w:rPr>
                <w:rFonts w:ascii="Arial" w:hAnsi="Arial" w:cs="Arial"/>
              </w:rPr>
              <w:t xml:space="preserve"> </w:t>
            </w:r>
            <w:r w:rsidR="00C11AE7" w:rsidRPr="00965A1F">
              <w:rPr>
                <w:rFonts w:ascii="Arial" w:hAnsi="Arial" w:cs="Arial"/>
              </w:rPr>
              <w:t>required by law</w:t>
            </w:r>
          </w:p>
        </w:tc>
      </w:tr>
      <w:tr w:rsidR="00544946" w:rsidRPr="00536228" w14:paraId="7747E78E" w14:textId="77777777" w:rsidTr="006A10DB">
        <w:trPr>
          <w:trHeight w:val="684"/>
        </w:trPr>
        <w:tc>
          <w:tcPr>
            <w:tcW w:w="1378" w:type="pct"/>
          </w:tcPr>
          <w:p w14:paraId="66BA3635" w14:textId="6AB6CA2E" w:rsidR="00544946" w:rsidRPr="00965A1F" w:rsidRDefault="00544946">
            <w:pPr>
              <w:spacing w:before="120" w:after="120"/>
              <w:rPr>
                <w:rFonts w:ascii="Arial" w:hAnsi="Arial" w:cs="Arial"/>
              </w:rPr>
            </w:pPr>
            <w:r w:rsidRPr="00965A1F">
              <w:rPr>
                <w:rFonts w:ascii="Arial" w:hAnsi="Arial" w:cs="Arial"/>
              </w:rPr>
              <w:t xml:space="preserve">limitation period </w:t>
            </w:r>
          </w:p>
        </w:tc>
        <w:tc>
          <w:tcPr>
            <w:tcW w:w="3622" w:type="pct"/>
          </w:tcPr>
          <w:p w14:paraId="10BE802D" w14:textId="0A2FCD9F" w:rsidR="00544946" w:rsidRPr="00965A1F" w:rsidRDefault="61895088" w:rsidP="00E11DE7">
            <w:pPr>
              <w:spacing w:before="120" w:after="120" w:line="264" w:lineRule="auto"/>
              <w:rPr>
                <w:rFonts w:ascii="Arial" w:eastAsiaTheme="majorEastAsia" w:hAnsi="Arial" w:cs="Arial"/>
              </w:rPr>
            </w:pPr>
            <w:r w:rsidRPr="00965A1F">
              <w:rPr>
                <w:rFonts w:ascii="Arial" w:eastAsiaTheme="majorEastAsia" w:hAnsi="Arial" w:cs="Arial"/>
              </w:rPr>
              <w:t xml:space="preserve">A </w:t>
            </w:r>
            <w:r w:rsidR="736E997E" w:rsidRPr="00965A1F">
              <w:rPr>
                <w:rFonts w:ascii="Arial" w:eastAsiaTheme="majorEastAsia" w:hAnsi="Arial" w:cs="Arial"/>
              </w:rPr>
              <w:t>period of time following an event or events</w:t>
            </w:r>
            <w:r w:rsidRPr="00965A1F">
              <w:rPr>
                <w:rFonts w:ascii="Arial" w:eastAsiaTheme="majorEastAsia" w:hAnsi="Arial" w:cs="Arial"/>
              </w:rPr>
              <w:t xml:space="preserve"> during which a </w:t>
            </w:r>
            <w:r w:rsidR="4C423FFA" w:rsidRPr="00965A1F">
              <w:rPr>
                <w:rFonts w:ascii="Arial" w:eastAsiaTheme="majorEastAsia" w:hAnsi="Arial" w:cs="Arial"/>
              </w:rPr>
              <w:t xml:space="preserve">legal claim </w:t>
            </w:r>
            <w:r w:rsidR="596B5030" w:rsidRPr="00965A1F">
              <w:rPr>
                <w:rFonts w:ascii="Arial" w:eastAsiaTheme="majorEastAsia" w:hAnsi="Arial" w:cs="Arial"/>
              </w:rPr>
              <w:t>can be filed for damages or other remedies</w:t>
            </w:r>
            <w:r w:rsidRPr="00965A1F">
              <w:rPr>
                <w:rFonts w:ascii="Arial" w:eastAsiaTheme="majorEastAsia" w:hAnsi="Arial" w:cs="Arial"/>
              </w:rPr>
              <w:t>.</w:t>
            </w:r>
          </w:p>
        </w:tc>
      </w:tr>
      <w:tr w:rsidR="00871416" w:rsidRPr="00536228" w14:paraId="096CF002" w14:textId="77777777" w:rsidTr="006A10DB">
        <w:trPr>
          <w:trHeight w:val="300"/>
        </w:trPr>
        <w:tc>
          <w:tcPr>
            <w:tcW w:w="1378" w:type="pct"/>
          </w:tcPr>
          <w:p w14:paraId="5AB4B7C9" w14:textId="385D0879" w:rsidR="00871416" w:rsidRPr="00965A1F" w:rsidRDefault="00871416">
            <w:pPr>
              <w:spacing w:before="120" w:after="120"/>
              <w:rPr>
                <w:rFonts w:ascii="Arial" w:hAnsi="Arial" w:cs="Arial"/>
              </w:rPr>
            </w:pPr>
            <w:r w:rsidRPr="00965A1F">
              <w:rPr>
                <w:rFonts w:ascii="Arial" w:eastAsiaTheme="majorEastAsia" w:hAnsi="Arial" w:cs="Arial"/>
              </w:rPr>
              <w:t>limitation law</w:t>
            </w:r>
          </w:p>
        </w:tc>
        <w:tc>
          <w:tcPr>
            <w:tcW w:w="3622" w:type="pct"/>
          </w:tcPr>
          <w:p w14:paraId="61FB86BD" w14:textId="65B03C2A" w:rsidR="00871416" w:rsidRPr="00965A1F" w:rsidRDefault="00DC15DD" w:rsidP="00E11DE7">
            <w:pPr>
              <w:spacing w:before="120" w:after="120" w:line="264" w:lineRule="auto"/>
              <w:rPr>
                <w:rFonts w:ascii="Arial" w:eastAsiaTheme="majorEastAsia" w:hAnsi="Arial" w:cs="Arial"/>
              </w:rPr>
            </w:pPr>
            <w:r>
              <w:rPr>
                <w:rFonts w:ascii="Arial" w:eastAsiaTheme="majorEastAsia" w:hAnsi="Arial" w:cs="Arial"/>
                <w:color w:val="000000" w:themeColor="text1"/>
              </w:rPr>
              <w:t>A</w:t>
            </w:r>
            <w:r w:rsidR="00871416" w:rsidRPr="00965A1F">
              <w:rPr>
                <w:rFonts w:ascii="Arial" w:eastAsiaTheme="majorEastAsia" w:hAnsi="Arial" w:cs="Arial"/>
                <w:color w:val="000000" w:themeColor="text1"/>
              </w:rPr>
              <w:t xml:space="preserve"> law that limits or excludes liability by reference to the time when civil proceedings are commenced</w:t>
            </w:r>
          </w:p>
        </w:tc>
      </w:tr>
      <w:tr w:rsidR="00544946" w:rsidRPr="00536228" w14:paraId="5096C0D0" w14:textId="77777777" w:rsidTr="006A10DB">
        <w:trPr>
          <w:trHeight w:val="300"/>
        </w:trPr>
        <w:tc>
          <w:tcPr>
            <w:tcW w:w="1378" w:type="pct"/>
          </w:tcPr>
          <w:p w14:paraId="1C8B2F0B" w14:textId="77777777" w:rsidR="00544946" w:rsidRPr="00965A1F" w:rsidRDefault="00544946">
            <w:pPr>
              <w:spacing w:before="120" w:after="120"/>
              <w:rPr>
                <w:rFonts w:ascii="Arial" w:hAnsi="Arial" w:cs="Arial"/>
              </w:rPr>
            </w:pPr>
            <w:r w:rsidRPr="00965A1F">
              <w:rPr>
                <w:rFonts w:ascii="Arial" w:hAnsi="Arial" w:cs="Arial"/>
              </w:rPr>
              <w:t>limitation reforms</w:t>
            </w:r>
          </w:p>
        </w:tc>
        <w:tc>
          <w:tcPr>
            <w:tcW w:w="3622" w:type="pct"/>
          </w:tcPr>
          <w:p w14:paraId="22988799" w14:textId="66F003AF" w:rsidR="00544946" w:rsidRPr="00965A1F" w:rsidRDefault="00544946" w:rsidP="00E11DE7">
            <w:pPr>
              <w:spacing w:before="120" w:after="120" w:line="264" w:lineRule="auto"/>
              <w:rPr>
                <w:rFonts w:ascii="Arial" w:hAnsi="Arial" w:cs="Arial"/>
              </w:rPr>
            </w:pPr>
            <w:r w:rsidRPr="00965A1F">
              <w:rPr>
                <w:rFonts w:ascii="Arial" w:hAnsi="Arial" w:cs="Arial"/>
              </w:rPr>
              <w:t xml:space="preserve">Legislative reform that seeks to </w:t>
            </w:r>
            <w:r w:rsidR="5625CA18" w:rsidRPr="00965A1F">
              <w:rPr>
                <w:rFonts w:ascii="Arial" w:hAnsi="Arial" w:cs="Arial"/>
              </w:rPr>
              <w:t>amend the law relating to limitation</w:t>
            </w:r>
            <w:r w:rsidRPr="00965A1F">
              <w:rPr>
                <w:rFonts w:ascii="Arial" w:hAnsi="Arial" w:cs="Arial"/>
              </w:rPr>
              <w:t xml:space="preserve">. </w:t>
            </w:r>
          </w:p>
        </w:tc>
      </w:tr>
      <w:tr w:rsidR="00544946" w:rsidRPr="00536228" w14:paraId="7B94F07E" w14:textId="77777777" w:rsidTr="006A10DB">
        <w:trPr>
          <w:trHeight w:val="300"/>
        </w:trPr>
        <w:tc>
          <w:tcPr>
            <w:tcW w:w="1378" w:type="pct"/>
          </w:tcPr>
          <w:p w14:paraId="27F9D928" w14:textId="77777777" w:rsidR="00544946" w:rsidRPr="00965A1F" w:rsidRDefault="00544946">
            <w:pPr>
              <w:spacing w:before="120" w:after="120"/>
              <w:rPr>
                <w:rFonts w:ascii="Arial" w:hAnsi="Arial" w:cs="Arial"/>
              </w:rPr>
            </w:pPr>
            <w:r w:rsidRPr="00965A1F">
              <w:rPr>
                <w:rFonts w:ascii="Arial" w:hAnsi="Arial" w:cs="Arial"/>
              </w:rPr>
              <w:t>oranga</w:t>
            </w:r>
          </w:p>
        </w:tc>
        <w:tc>
          <w:tcPr>
            <w:tcW w:w="3622" w:type="pct"/>
          </w:tcPr>
          <w:p w14:paraId="370CA7FA" w14:textId="7F0A4E1E" w:rsidR="00544946" w:rsidRPr="00965A1F" w:rsidRDefault="6BD58B13" w:rsidP="00E11DE7">
            <w:pPr>
              <w:spacing w:before="120" w:after="120" w:line="264" w:lineRule="auto"/>
              <w:rPr>
                <w:rFonts w:ascii="Arial" w:hAnsi="Arial" w:cs="Arial"/>
                <w:highlight w:val="yellow"/>
              </w:rPr>
            </w:pPr>
            <w:r w:rsidRPr="00965A1F">
              <w:rPr>
                <w:rFonts w:ascii="Arial" w:hAnsi="Arial" w:cs="Arial"/>
              </w:rPr>
              <w:t xml:space="preserve">A reo Māori </w:t>
            </w:r>
            <w:r w:rsidR="34738948" w:rsidRPr="00965A1F">
              <w:rPr>
                <w:rFonts w:ascii="Arial" w:hAnsi="Arial" w:cs="Arial"/>
              </w:rPr>
              <w:t>term</w:t>
            </w:r>
            <w:r w:rsidRPr="00965A1F">
              <w:rPr>
                <w:rFonts w:ascii="Arial" w:hAnsi="Arial" w:cs="Arial"/>
              </w:rPr>
              <w:t xml:space="preserve"> for life, life-time, life-span, life-long</w:t>
            </w:r>
          </w:p>
        </w:tc>
      </w:tr>
      <w:tr w:rsidR="00544946" w:rsidRPr="00536228" w14:paraId="11955F90" w14:textId="77777777" w:rsidTr="006A10DB">
        <w:trPr>
          <w:trHeight w:val="300"/>
        </w:trPr>
        <w:tc>
          <w:tcPr>
            <w:tcW w:w="1378" w:type="pct"/>
          </w:tcPr>
          <w:p w14:paraId="1BDB0757" w14:textId="77777777" w:rsidR="00544946" w:rsidRPr="00965A1F" w:rsidRDefault="00544946">
            <w:pPr>
              <w:spacing w:before="120" w:after="120"/>
              <w:rPr>
                <w:rFonts w:ascii="Arial" w:hAnsi="Arial" w:cs="Arial"/>
              </w:rPr>
            </w:pPr>
            <w:r w:rsidRPr="00965A1F">
              <w:rPr>
                <w:rFonts w:ascii="Arial" w:hAnsi="Arial" w:cs="Arial"/>
              </w:rPr>
              <w:t>rongoā Māori</w:t>
            </w:r>
          </w:p>
        </w:tc>
        <w:tc>
          <w:tcPr>
            <w:tcW w:w="3622" w:type="pct"/>
          </w:tcPr>
          <w:p w14:paraId="3CB547EF" w14:textId="77777777" w:rsidR="00544946" w:rsidRPr="00965A1F" w:rsidRDefault="00544946" w:rsidP="00E11DE7">
            <w:pPr>
              <w:spacing w:before="120" w:after="120" w:line="264" w:lineRule="auto"/>
              <w:rPr>
                <w:rFonts w:ascii="Arial" w:hAnsi="Arial" w:cs="Arial"/>
              </w:rPr>
            </w:pPr>
            <w:r w:rsidRPr="00965A1F">
              <w:rPr>
                <w:rFonts w:ascii="Arial" w:hAnsi="Arial" w:cs="Arial"/>
              </w:rPr>
              <w:t xml:space="preserve">A traditional Māori healing system; a holistic and cultural healing practice incorporating deep, personal connections with the natural environment. </w:t>
            </w:r>
          </w:p>
        </w:tc>
      </w:tr>
      <w:tr w:rsidR="00544946" w:rsidRPr="00536228" w14:paraId="1832EC1B" w14:textId="77777777" w:rsidTr="006A10DB">
        <w:trPr>
          <w:trHeight w:val="300"/>
        </w:trPr>
        <w:tc>
          <w:tcPr>
            <w:tcW w:w="1378" w:type="pct"/>
          </w:tcPr>
          <w:p w14:paraId="2A7FD295" w14:textId="77777777" w:rsidR="00544946" w:rsidRPr="00965A1F" w:rsidRDefault="00544946">
            <w:pPr>
              <w:spacing w:before="120" w:after="120"/>
              <w:rPr>
                <w:rFonts w:ascii="Arial" w:hAnsi="Arial" w:cs="Arial"/>
              </w:rPr>
            </w:pPr>
            <w:r w:rsidRPr="00965A1F">
              <w:rPr>
                <w:rFonts w:ascii="Arial" w:hAnsi="Arial" w:cs="Arial"/>
              </w:rPr>
              <w:t>puretumu torowhānui</w:t>
            </w:r>
          </w:p>
        </w:tc>
        <w:tc>
          <w:tcPr>
            <w:tcW w:w="3622" w:type="pct"/>
          </w:tcPr>
          <w:p w14:paraId="04BE6B9C" w14:textId="77777777" w:rsidR="00544946" w:rsidRPr="00965A1F" w:rsidRDefault="00544946" w:rsidP="00E11DE7">
            <w:pPr>
              <w:spacing w:before="120" w:after="120" w:line="264" w:lineRule="auto"/>
              <w:rPr>
                <w:rFonts w:ascii="Arial" w:hAnsi="Arial" w:cs="Arial"/>
              </w:rPr>
            </w:pPr>
            <w:r w:rsidRPr="00965A1F">
              <w:rPr>
                <w:rFonts w:ascii="Arial" w:hAnsi="Arial" w:cs="Arial"/>
              </w:rPr>
              <w:t>A holistic approach to redress that seeks to restore a person’s mana and dignity, to help them heal from trauma and to provide financial compensation that is fair and truly reflects the harm done to them.</w:t>
            </w:r>
          </w:p>
        </w:tc>
      </w:tr>
      <w:tr w:rsidR="00544946" w:rsidRPr="00536228" w14:paraId="176E385C" w14:textId="77777777" w:rsidTr="006A10DB">
        <w:trPr>
          <w:trHeight w:val="300"/>
        </w:trPr>
        <w:tc>
          <w:tcPr>
            <w:tcW w:w="1378" w:type="pct"/>
          </w:tcPr>
          <w:p w14:paraId="749896A1" w14:textId="77777777" w:rsidR="00544946" w:rsidRPr="00965A1F" w:rsidRDefault="00544946">
            <w:pPr>
              <w:spacing w:before="120" w:after="120"/>
              <w:rPr>
                <w:rFonts w:ascii="Arial" w:hAnsi="Arial" w:cs="Arial"/>
              </w:rPr>
            </w:pPr>
            <w:r w:rsidRPr="00965A1F">
              <w:rPr>
                <w:rFonts w:ascii="Arial" w:hAnsi="Arial" w:cs="Arial"/>
              </w:rPr>
              <w:lastRenderedPageBreak/>
              <w:t>psychopaedic</w:t>
            </w:r>
          </w:p>
        </w:tc>
        <w:tc>
          <w:tcPr>
            <w:tcW w:w="3622" w:type="pct"/>
          </w:tcPr>
          <w:p w14:paraId="1CD7A1FD" w14:textId="77777777" w:rsidR="00544946" w:rsidRPr="00965A1F" w:rsidRDefault="00544946" w:rsidP="00E11DE7">
            <w:pPr>
              <w:spacing w:before="120" w:after="120" w:line="264" w:lineRule="auto"/>
              <w:rPr>
                <w:rFonts w:ascii="Arial" w:hAnsi="Arial" w:cs="Arial"/>
              </w:rPr>
            </w:pPr>
            <w:r w:rsidRPr="00965A1F">
              <w:rPr>
                <w:rFonts w:ascii="Arial" w:hAnsi="Arial" w:cs="Arial"/>
              </w:rPr>
              <w:t>Outdated Aotearoa New Zealand term to distinguish people with a learning disability from people experiencing mental distress.</w:t>
            </w:r>
          </w:p>
        </w:tc>
      </w:tr>
      <w:tr w:rsidR="00544946" w:rsidRPr="00536228" w14:paraId="5AC768B7" w14:textId="77777777" w:rsidTr="006A10DB">
        <w:trPr>
          <w:trHeight w:val="300"/>
        </w:trPr>
        <w:tc>
          <w:tcPr>
            <w:tcW w:w="1378" w:type="pct"/>
          </w:tcPr>
          <w:p w14:paraId="7A74E5E7" w14:textId="77777777" w:rsidR="00544946" w:rsidRPr="00965A1F" w:rsidRDefault="00544946">
            <w:pPr>
              <w:spacing w:before="120" w:after="120"/>
              <w:rPr>
                <w:rFonts w:ascii="Arial" w:hAnsi="Arial" w:cs="Arial"/>
              </w:rPr>
            </w:pPr>
            <w:r w:rsidRPr="00965A1F">
              <w:rPr>
                <w:rFonts w:ascii="Arial" w:hAnsi="Arial" w:cs="Arial"/>
              </w:rPr>
              <w:t>urupā</w:t>
            </w:r>
          </w:p>
        </w:tc>
        <w:tc>
          <w:tcPr>
            <w:tcW w:w="3622" w:type="pct"/>
          </w:tcPr>
          <w:p w14:paraId="71A4CFDE" w14:textId="4B956599" w:rsidR="00544946" w:rsidRPr="00965A1F" w:rsidRDefault="6979A285" w:rsidP="00E11DE7">
            <w:pPr>
              <w:spacing w:before="120" w:after="120" w:line="264" w:lineRule="auto"/>
              <w:rPr>
                <w:rFonts w:ascii="Arial" w:hAnsi="Arial" w:cs="Arial"/>
              </w:rPr>
            </w:pPr>
            <w:r w:rsidRPr="00965A1F">
              <w:rPr>
                <w:rFonts w:ascii="Arial" w:hAnsi="Arial" w:cs="Arial"/>
              </w:rPr>
              <w:t>A</w:t>
            </w:r>
            <w:r w:rsidR="00544946" w:rsidRPr="00965A1F">
              <w:rPr>
                <w:rFonts w:ascii="Arial" w:hAnsi="Arial" w:cs="Arial"/>
              </w:rPr>
              <w:t xml:space="preserve"> reo Māori term for a burial ground.</w:t>
            </w:r>
          </w:p>
        </w:tc>
      </w:tr>
    </w:tbl>
    <w:p w14:paraId="5FD6BAFA" w14:textId="5FB8EB28" w:rsidR="00F02CBD" w:rsidRDefault="00F02CBD">
      <w:pPr>
        <w:spacing w:after="160"/>
        <w:rPr>
          <w:rFonts w:ascii="Arial" w:eastAsiaTheme="minorEastAsia" w:hAnsi="Arial" w:cs="Arial"/>
          <w:kern w:val="2"/>
          <w:lang w:eastAsia="en-NZ"/>
          <w14:ligatures w14:val="standardContextual"/>
        </w:rPr>
      </w:pPr>
    </w:p>
    <w:p w14:paraId="78A32639" w14:textId="77777777" w:rsidR="00F02CBD" w:rsidRDefault="00F02CBD">
      <w:pPr>
        <w:spacing w:after="160"/>
        <w:rPr>
          <w:rFonts w:ascii="Arial" w:eastAsiaTheme="minorEastAsia" w:hAnsi="Arial" w:cs="Arial"/>
          <w:kern w:val="2"/>
          <w:lang w:eastAsia="en-NZ"/>
          <w14:ligatures w14:val="standardContextual"/>
        </w:rPr>
      </w:pPr>
    </w:p>
    <w:p w14:paraId="40CEAEB9" w14:textId="77777777" w:rsidR="00EB5D9A" w:rsidRPr="004A5BBC" w:rsidRDefault="00EB5D9A" w:rsidP="004A5BBC">
      <w:pPr>
        <w:pStyle w:val="body"/>
      </w:pPr>
      <w:r w:rsidRPr="004A5BBC">
        <w:t>[Survivor quote]</w:t>
      </w:r>
    </w:p>
    <w:p w14:paraId="4AF17BAF" w14:textId="77777777" w:rsidR="004A5BBC" w:rsidRDefault="004A5BBC">
      <w:pPr>
        <w:spacing w:after="160"/>
      </w:pPr>
    </w:p>
    <w:p w14:paraId="5589C20E" w14:textId="77777777" w:rsidR="004A5BBC" w:rsidRPr="002A795D" w:rsidRDefault="004A5BBC" w:rsidP="00E2276E">
      <w:pPr>
        <w:pStyle w:val="pop-outquote"/>
      </w:pPr>
      <w:r w:rsidRPr="002A795D">
        <w:t xml:space="preserve">“We are here to make sure this never happens again and will continue doing this sort of work in their memory.” </w:t>
      </w:r>
    </w:p>
    <w:p w14:paraId="13E1A6F9" w14:textId="475222D7" w:rsidR="002A795D" w:rsidRDefault="004A5BBC" w:rsidP="00E2276E">
      <w:pPr>
        <w:pStyle w:val="pop-outquote"/>
      </w:pPr>
      <w:r w:rsidRPr="002A795D">
        <w:t xml:space="preserve">DARRYL SMITH </w:t>
      </w:r>
    </w:p>
    <w:p w14:paraId="0A33ADDE" w14:textId="67D28FC0" w:rsidR="005F3FC9" w:rsidRDefault="004A5BBC" w:rsidP="00E2276E">
      <w:pPr>
        <w:pStyle w:val="pop-outquote"/>
        <w:rPr>
          <w:rFonts w:eastAsiaTheme="majorEastAsia" w:cstheme="majorBidi"/>
          <w:b w:val="0"/>
          <w:color w:val="385623" w:themeColor="accent6" w:themeShade="80"/>
          <w:sz w:val="28"/>
          <w:szCs w:val="26"/>
        </w:rPr>
      </w:pPr>
      <w:r w:rsidRPr="002A795D">
        <w:t>NZ European</w:t>
      </w:r>
      <w:r w:rsidR="005F3FC9">
        <w:br w:type="page"/>
      </w:r>
    </w:p>
    <w:p w14:paraId="7ABF0598" w14:textId="3D67865C" w:rsidR="00387CBC" w:rsidRDefault="67DA1AE5" w:rsidP="00641874">
      <w:pPr>
        <w:pStyle w:val="Heading1"/>
      </w:pPr>
      <w:bookmarkStart w:id="43" w:name="_Toc181080917"/>
      <w:r>
        <w:lastRenderedPageBreak/>
        <w:t>Ū</w:t>
      </w:r>
      <w:r w:rsidR="697EA5DC">
        <w:t>poko 1: He whakataki</w:t>
      </w:r>
      <w:bookmarkEnd w:id="43"/>
      <w:r w:rsidR="697EA5DC">
        <w:t xml:space="preserve"> </w:t>
      </w:r>
    </w:p>
    <w:p w14:paraId="2A19BFF1" w14:textId="1A443829" w:rsidR="00387CBC" w:rsidRDefault="00387CBC" w:rsidP="00641874">
      <w:pPr>
        <w:pStyle w:val="Heading1"/>
      </w:pPr>
      <w:bookmarkStart w:id="44" w:name="_Toc181080918"/>
      <w:r>
        <w:t>Chapter 1:  Introduction</w:t>
      </w:r>
      <w:bookmarkEnd w:id="44"/>
      <w:r>
        <w:t xml:space="preserve"> </w:t>
      </w:r>
    </w:p>
    <w:p w14:paraId="4E73E1BD" w14:textId="40D77117" w:rsidR="001F1643" w:rsidRPr="0094721A" w:rsidRDefault="001F1643" w:rsidP="00D63B39">
      <w:pPr>
        <w:pStyle w:val="Vol4Numberedparas"/>
        <w:ind w:left="993" w:hanging="993"/>
      </w:pPr>
      <w:r w:rsidRPr="0094721A">
        <w:t xml:space="preserve">In December 2021, </w:t>
      </w:r>
      <w:r w:rsidR="006C3A06">
        <w:t>the Inquiry</w:t>
      </w:r>
      <w:r w:rsidR="006C3A06" w:rsidRPr="0094721A">
        <w:t xml:space="preserve"> </w:t>
      </w:r>
      <w:r w:rsidRPr="0094721A">
        <w:t xml:space="preserve">delivered </w:t>
      </w:r>
      <w:r w:rsidR="002E3D20">
        <w:t xml:space="preserve">its </w:t>
      </w:r>
      <w:r w:rsidR="009D1A7D">
        <w:t>interim</w:t>
      </w:r>
      <w:r w:rsidR="009D1A7D" w:rsidRPr="0094721A">
        <w:t xml:space="preserve"> </w:t>
      </w:r>
      <w:r w:rsidRPr="0094721A">
        <w:t xml:space="preserve">report He Purapura Ora, he Māra Tipu </w:t>
      </w:r>
      <w:r w:rsidR="000D2008">
        <w:t>–</w:t>
      </w:r>
      <w:r w:rsidRPr="0094721A">
        <w:t xml:space="preserve"> From Redress to Puretumu Torowhānui to the Governor</w:t>
      </w:r>
      <w:r w:rsidR="00C515C5">
        <w:t>-</w:t>
      </w:r>
      <w:r w:rsidRPr="0094721A">
        <w:t>General. It included 95 recommendations that, if implemented:</w:t>
      </w:r>
    </w:p>
    <w:p w14:paraId="2C5272EE" w14:textId="061C2261" w:rsidR="00C3701E" w:rsidRPr="0094721A" w:rsidRDefault="001F1643" w:rsidP="009855CC">
      <w:pPr>
        <w:pStyle w:val="Vol4Quotes"/>
      </w:pPr>
      <w:r w:rsidRPr="0094721A">
        <w:t xml:space="preserve">will establish what will eventually be a new scheme to </w:t>
      </w:r>
      <w:r w:rsidR="2B7E96C8" w:rsidRPr="0094721A">
        <w:t>p</w:t>
      </w:r>
      <w:r w:rsidR="24296259" w:rsidRPr="0094721A">
        <w:t>rovide</w:t>
      </w:r>
      <w:r w:rsidRPr="0094721A">
        <w:t xml:space="preserve"> puretumu torowhānui, or holistic redress for survivors of abuse in the care of State agencies, agencies providing care on the State’s behalf (indirect State care), and faith-based institutions. This puretumu torowhānui scheme will aim to restore the power, dignity and standing of those affected by abuse in care, without them having to go to court, as well as take effective steps to prevent abuse. It will fit within what </w:t>
      </w:r>
      <w:r w:rsidR="00F93540">
        <w:t>the Inquiry</w:t>
      </w:r>
      <w:r w:rsidRPr="0094721A">
        <w:t xml:space="preserve"> refer</w:t>
      </w:r>
      <w:r w:rsidR="006D7A7C">
        <w:t>s</w:t>
      </w:r>
      <w:r w:rsidRPr="0094721A">
        <w:t xml:space="preserve"> to as the “puretumu torowhānui system”, which is the wider system of services, organisations (including the courts), laws, and </w:t>
      </w:r>
      <w:r w:rsidR="24296259" w:rsidRPr="0094721A">
        <w:t>policies</w:t>
      </w:r>
      <w:r w:rsidRPr="0094721A">
        <w:t xml:space="preserve"> that have a role in providing different types of puretumu torowhānui and preventing or responding to tūkino</w:t>
      </w:r>
      <w:r w:rsidR="009722B3">
        <w:t xml:space="preserve"> – abuse, harm and trauma –</w:t>
      </w:r>
      <w:r w:rsidRPr="0094721A">
        <w:t xml:space="preserve"> in care.</w:t>
      </w:r>
      <w:r w:rsidR="00C3701E" w:rsidRPr="0094721A">
        <w:rPr>
          <w:rStyle w:val="EndnoteReference"/>
        </w:rPr>
        <w:endnoteReference w:id="2"/>
      </w:r>
    </w:p>
    <w:p w14:paraId="7BC82AB1" w14:textId="2AD89655" w:rsidR="00C3701E" w:rsidRDefault="00C3701E" w:rsidP="00E24D02">
      <w:pPr>
        <w:pStyle w:val="Vol4Numberedparas"/>
        <w:ind w:left="993" w:hanging="993"/>
        <w:jc w:val="both"/>
      </w:pPr>
      <w:r w:rsidRPr="0094721A">
        <w:t xml:space="preserve">In </w:t>
      </w:r>
      <w:r>
        <w:t>Chapter 2</w:t>
      </w:r>
      <w:r w:rsidRPr="0094721A">
        <w:t xml:space="preserve">, </w:t>
      </w:r>
      <w:r>
        <w:t>the Inquiry</w:t>
      </w:r>
      <w:r w:rsidRPr="0094721A">
        <w:t xml:space="preserve"> assess</w:t>
      </w:r>
      <w:r>
        <w:t>es</w:t>
      </w:r>
      <w:r w:rsidRPr="0094721A">
        <w:t xml:space="preserve"> the </w:t>
      </w:r>
      <w:r>
        <w:t>responses by G</w:t>
      </w:r>
      <w:r w:rsidRPr="002B5615">
        <w:t>overnment</w:t>
      </w:r>
      <w:r w:rsidRPr="0094721A">
        <w:t xml:space="preserve"> and faith-based institutions</w:t>
      </w:r>
      <w:r>
        <w:t xml:space="preserve"> </w:t>
      </w:r>
      <w:r w:rsidRPr="0094721A">
        <w:t xml:space="preserve">to He Purapura Ora, he Māra Tipu and </w:t>
      </w:r>
      <w:r>
        <w:t xml:space="preserve">their </w:t>
      </w:r>
      <w:r w:rsidRPr="0094721A">
        <w:t xml:space="preserve">progress </w:t>
      </w:r>
      <w:r>
        <w:t>to implement</w:t>
      </w:r>
      <w:r w:rsidRPr="0094721A">
        <w:t xml:space="preserve"> the </w:t>
      </w:r>
      <w:r>
        <w:t xml:space="preserve">Inquiry’s </w:t>
      </w:r>
      <w:r w:rsidRPr="0094721A">
        <w:t>recommendations.</w:t>
      </w:r>
    </w:p>
    <w:p w14:paraId="53305BDE" w14:textId="482DCEA5" w:rsidR="00C3701E" w:rsidRPr="0094721A" w:rsidRDefault="00C3701E" w:rsidP="00E24D02">
      <w:pPr>
        <w:pStyle w:val="Vol4Numberedparas"/>
        <w:ind w:left="993" w:hanging="993"/>
        <w:jc w:val="both"/>
      </w:pPr>
      <w:r>
        <w:t xml:space="preserve">Chapter 3 provides the Inquiry’s conclusions on the implementation of its recommendations by the Government and faith-based institutions.  </w:t>
      </w:r>
    </w:p>
    <w:p w14:paraId="3DDBB259" w14:textId="77777777" w:rsidR="00C3701E" w:rsidRPr="0094721A" w:rsidRDefault="00C3701E" w:rsidP="00E24D02">
      <w:pPr>
        <w:spacing w:after="160"/>
        <w:jc w:val="both"/>
        <w:rPr>
          <w:rFonts w:ascii="Arial" w:eastAsiaTheme="majorEastAsia" w:hAnsi="Arial" w:cstheme="majorBidi"/>
          <w:b/>
          <w:color w:val="385623" w:themeColor="accent6" w:themeShade="80"/>
          <w:sz w:val="28"/>
          <w:szCs w:val="26"/>
        </w:rPr>
      </w:pPr>
      <w:bookmarkStart w:id="45" w:name="_Toc140149581"/>
      <w:bookmarkStart w:id="46" w:name="_Toc140567987"/>
      <w:bookmarkStart w:id="47" w:name="_Toc141958530"/>
      <w:bookmarkStart w:id="48" w:name="_Toc141971157"/>
      <w:bookmarkStart w:id="49" w:name="_Toc142044139"/>
      <w:bookmarkStart w:id="50" w:name="_Toc142313458"/>
      <w:bookmarkStart w:id="51" w:name="_Toc142991630"/>
      <w:bookmarkStart w:id="52" w:name="_Toc143014142"/>
      <w:bookmarkStart w:id="53" w:name="_Toc145415107"/>
      <w:bookmarkStart w:id="54" w:name="_Toc147850573"/>
      <w:r w:rsidRPr="0094721A">
        <w:br w:type="page"/>
      </w:r>
    </w:p>
    <w:p w14:paraId="28F67508" w14:textId="3DACA578" w:rsidR="00C3701E" w:rsidRPr="009F7FED" w:rsidRDefault="00C3701E" w:rsidP="009F7FED">
      <w:pPr>
        <w:pStyle w:val="body"/>
        <w:rPr>
          <w:rStyle w:val="normaltextrun"/>
        </w:rPr>
      </w:pPr>
      <w:r w:rsidRPr="009F7FED">
        <w:rPr>
          <w:rStyle w:val="normaltextrun"/>
        </w:rPr>
        <w:lastRenderedPageBreak/>
        <w:t>[Survivor quote preceding survivor profile]</w:t>
      </w:r>
    </w:p>
    <w:p w14:paraId="7472F575" w14:textId="77777777" w:rsidR="00C3701E" w:rsidRDefault="00C3701E" w:rsidP="009F7FED">
      <w:pPr>
        <w:pStyle w:val="pop-outquote"/>
        <w:rPr>
          <w:rStyle w:val="normaltextrun"/>
        </w:rPr>
      </w:pPr>
    </w:p>
    <w:p w14:paraId="3171032B" w14:textId="2CBD47A9" w:rsidR="00C3701E" w:rsidRDefault="00C3701E" w:rsidP="009F7FED">
      <w:pPr>
        <w:pStyle w:val="pop-outquote"/>
        <w:rPr>
          <w:rStyle w:val="normaltextrun"/>
        </w:rPr>
      </w:pPr>
      <w:r w:rsidRPr="009F7FED">
        <w:rPr>
          <w:rStyle w:val="normaltextrun"/>
        </w:rPr>
        <w:t>“It’s not right for able-bodied people to dictate the lives of people with disabilities”</w:t>
      </w:r>
    </w:p>
    <w:p w14:paraId="37DBF6D5" w14:textId="1F7709BB" w:rsidR="00C3701E" w:rsidRDefault="00C3701E" w:rsidP="009F7FED">
      <w:pPr>
        <w:pStyle w:val="pop-outquote"/>
        <w:rPr>
          <w:rStyle w:val="normaltextrun"/>
        </w:rPr>
      </w:pPr>
      <w:r>
        <w:rPr>
          <w:rStyle w:val="normaltextrun"/>
        </w:rPr>
        <w:t>Shannon</w:t>
      </w:r>
    </w:p>
    <w:p w14:paraId="1BF8DE3C" w14:textId="01034DA7" w:rsidR="00C3701E" w:rsidRDefault="00C3701E" w:rsidP="009F7FED">
      <w:pPr>
        <w:pStyle w:val="pop-outquote"/>
        <w:rPr>
          <w:rStyle w:val="normaltextrun"/>
          <w:rFonts w:eastAsiaTheme="majorEastAsia"/>
        </w:rPr>
      </w:pPr>
      <w:r>
        <w:rPr>
          <w:rStyle w:val="normaltextrun"/>
          <w:rFonts w:eastAsiaTheme="majorEastAsia"/>
        </w:rPr>
        <w:t>NZ</w:t>
      </w:r>
      <w:r w:rsidRPr="00C61020">
        <w:rPr>
          <w:rStyle w:val="normaltextrun"/>
          <w:rFonts w:eastAsiaTheme="majorEastAsia"/>
        </w:rPr>
        <w:t xml:space="preserve"> European</w:t>
      </w:r>
    </w:p>
    <w:p w14:paraId="3EF9FA58" w14:textId="77777777" w:rsidR="00C3701E" w:rsidRPr="009F7FED" w:rsidRDefault="00C3701E" w:rsidP="009F7FED">
      <w:pPr>
        <w:pStyle w:val="pop-outquote"/>
        <w:rPr>
          <w:rStyle w:val="normaltextrun"/>
        </w:rPr>
      </w:pPr>
    </w:p>
    <w:p w14:paraId="563B8F6E" w14:textId="3C02A899" w:rsidR="00C3701E" w:rsidRDefault="00C3701E" w:rsidP="000114B0">
      <w:pPr>
        <w:pStyle w:val="Heading1"/>
        <w:rPr>
          <w:lang w:val="pt-BR"/>
        </w:rPr>
      </w:pPr>
      <w:bookmarkStart w:id="55" w:name="_Toc181080919"/>
      <w:r w:rsidRPr="02397200">
        <w:rPr>
          <w:lang w:val="pt-BR"/>
        </w:rPr>
        <w:t>Ngā wheako o te purapura ora</w:t>
      </w:r>
      <w:bookmarkEnd w:id="55"/>
    </w:p>
    <w:p w14:paraId="45FA4E0B" w14:textId="5057FA92" w:rsidR="00C3701E" w:rsidRPr="007D5127" w:rsidRDefault="00C3701E" w:rsidP="000114B0">
      <w:pPr>
        <w:pStyle w:val="Heading1"/>
      </w:pPr>
      <w:bookmarkStart w:id="56" w:name="_Toc181080920"/>
      <w:r w:rsidRPr="007D5127">
        <w:t>Survivor experience:</w:t>
      </w:r>
      <w:r>
        <w:t xml:space="preserve"> Shannon</w:t>
      </w:r>
      <w:bookmarkEnd w:id="56"/>
      <w:r w:rsidRPr="007D5127">
        <w:t xml:space="preserve"> </w:t>
      </w:r>
    </w:p>
    <w:p w14:paraId="2D3F2A5C" w14:textId="3190A382" w:rsidR="00C3701E" w:rsidRPr="008A468F" w:rsidRDefault="00C3701E" w:rsidP="00AD7F91">
      <w:pPr>
        <w:pStyle w:val="paragraph"/>
        <w:spacing w:before="0" w:beforeAutospacing="0" w:after="200" w:afterAutospacing="0" w:line="276" w:lineRule="auto"/>
        <w:textAlignment w:val="baseline"/>
        <w:rPr>
          <w:rStyle w:val="normaltextrun"/>
          <w:rFonts w:ascii="Arial" w:eastAsiaTheme="majorEastAsia" w:hAnsi="Arial" w:cs="Arial"/>
          <w:sz w:val="22"/>
          <w:szCs w:val="22"/>
        </w:rPr>
      </w:pPr>
      <w:r>
        <w:rPr>
          <w:rStyle w:val="normaltextrun"/>
          <w:rFonts w:ascii="Arial" w:eastAsiaTheme="majorEastAsia" w:hAnsi="Arial" w:cs="Arial"/>
          <w:b/>
          <w:bCs/>
          <w:sz w:val="22"/>
          <w:szCs w:val="22"/>
        </w:rPr>
        <w:t xml:space="preserve">Name </w:t>
      </w:r>
      <w:r>
        <w:rPr>
          <w:rStyle w:val="normaltextrun"/>
          <w:rFonts w:ascii="Arial" w:eastAsiaTheme="majorEastAsia" w:hAnsi="Arial" w:cs="Arial"/>
          <w:sz w:val="22"/>
          <w:szCs w:val="22"/>
        </w:rPr>
        <w:t>Shannon</w:t>
      </w:r>
    </w:p>
    <w:p w14:paraId="31D2F603" w14:textId="2B350CF7" w:rsidR="00C3701E" w:rsidRPr="00C61020" w:rsidRDefault="00C3701E" w:rsidP="00AD7F91">
      <w:pPr>
        <w:pStyle w:val="paragraph"/>
        <w:spacing w:before="0" w:beforeAutospacing="0" w:after="200" w:afterAutospacing="0" w:line="276" w:lineRule="auto"/>
        <w:textAlignment w:val="baseline"/>
        <w:rPr>
          <w:rFonts w:ascii="Arial" w:hAnsi="Arial" w:cs="Arial"/>
          <w:sz w:val="22"/>
          <w:szCs w:val="22"/>
        </w:rPr>
      </w:pPr>
      <w:r w:rsidRPr="00C61020">
        <w:rPr>
          <w:rStyle w:val="normaltextrun"/>
          <w:rFonts w:ascii="Arial" w:eastAsiaTheme="majorEastAsia" w:hAnsi="Arial" w:cs="Arial"/>
          <w:b/>
          <w:bCs/>
          <w:sz w:val="22"/>
          <w:szCs w:val="22"/>
        </w:rPr>
        <w:t>Age when entered care</w:t>
      </w:r>
      <w:r w:rsidRPr="00C61020">
        <w:rPr>
          <w:rStyle w:val="normaltextrun"/>
          <w:rFonts w:ascii="Arial" w:eastAsiaTheme="majorEastAsia" w:hAnsi="Arial" w:cs="Arial"/>
          <w:sz w:val="22"/>
          <w:szCs w:val="22"/>
        </w:rPr>
        <w:t xml:space="preserve"> 7 years old</w:t>
      </w:r>
      <w:r w:rsidRPr="00C61020">
        <w:rPr>
          <w:rStyle w:val="eop"/>
          <w:rFonts w:ascii="Arial" w:hAnsi="Arial" w:cs="Arial"/>
          <w:color w:val="D13438"/>
          <w:sz w:val="22"/>
          <w:szCs w:val="22"/>
        </w:rPr>
        <w:t> </w:t>
      </w:r>
    </w:p>
    <w:p w14:paraId="0534AB9B" w14:textId="77777777" w:rsidR="00C3701E" w:rsidRPr="00C61020" w:rsidRDefault="00C3701E" w:rsidP="00AD7F91">
      <w:pPr>
        <w:pStyle w:val="paragraph"/>
        <w:spacing w:before="0" w:beforeAutospacing="0" w:after="200" w:afterAutospacing="0" w:line="276" w:lineRule="auto"/>
        <w:textAlignment w:val="baseline"/>
        <w:rPr>
          <w:rFonts w:ascii="Arial" w:hAnsi="Arial" w:cs="Arial"/>
          <w:sz w:val="22"/>
          <w:szCs w:val="22"/>
        </w:rPr>
      </w:pPr>
      <w:r w:rsidRPr="00C61020">
        <w:rPr>
          <w:rStyle w:val="normaltextrun"/>
          <w:rFonts w:ascii="Arial" w:eastAsiaTheme="majorEastAsia" w:hAnsi="Arial" w:cs="Arial"/>
          <w:b/>
          <w:bCs/>
          <w:sz w:val="22"/>
          <w:szCs w:val="22"/>
        </w:rPr>
        <w:t>Year of birth</w:t>
      </w:r>
      <w:r w:rsidRPr="00C61020">
        <w:rPr>
          <w:rStyle w:val="normaltextrun"/>
          <w:rFonts w:ascii="Arial" w:eastAsiaTheme="majorEastAsia" w:hAnsi="Arial" w:cs="Arial"/>
          <w:b/>
          <w:bCs/>
          <w:color w:val="D13438"/>
          <w:sz w:val="22"/>
          <w:szCs w:val="22"/>
        </w:rPr>
        <w:t xml:space="preserve"> </w:t>
      </w:r>
      <w:r w:rsidRPr="00C61020">
        <w:rPr>
          <w:rStyle w:val="normaltextrun"/>
          <w:rFonts w:ascii="Arial" w:eastAsiaTheme="majorEastAsia" w:hAnsi="Arial" w:cs="Arial"/>
          <w:sz w:val="22"/>
          <w:szCs w:val="22"/>
        </w:rPr>
        <w:t>1984 </w:t>
      </w:r>
    </w:p>
    <w:p w14:paraId="3D975413" w14:textId="23C488A2" w:rsidR="00C3701E" w:rsidRPr="00C61020" w:rsidRDefault="00C3701E" w:rsidP="00AD7F91">
      <w:pPr>
        <w:pStyle w:val="paragraph"/>
        <w:spacing w:before="0" w:beforeAutospacing="0" w:after="200" w:afterAutospacing="0" w:line="276" w:lineRule="auto"/>
        <w:textAlignment w:val="baseline"/>
        <w:rPr>
          <w:rFonts w:ascii="Arial" w:hAnsi="Arial" w:cs="Arial"/>
          <w:sz w:val="22"/>
          <w:szCs w:val="22"/>
        </w:rPr>
      </w:pPr>
      <w:r w:rsidRPr="00C61020">
        <w:rPr>
          <w:rStyle w:val="normaltextrun"/>
          <w:rFonts w:ascii="Arial" w:eastAsiaTheme="majorEastAsia" w:hAnsi="Arial" w:cs="Arial"/>
          <w:b/>
          <w:bCs/>
          <w:sz w:val="22"/>
          <w:szCs w:val="22"/>
        </w:rPr>
        <w:t>Hometown</w:t>
      </w:r>
      <w:r w:rsidRPr="00C61020">
        <w:rPr>
          <w:rStyle w:val="normaltextrun"/>
          <w:rFonts w:ascii="Arial" w:eastAsiaTheme="majorEastAsia" w:hAnsi="Arial" w:cs="Arial"/>
          <w:sz w:val="22"/>
          <w:szCs w:val="22"/>
        </w:rPr>
        <w:t xml:space="preserve"> </w:t>
      </w:r>
      <w:r w:rsidRPr="005E25F7">
        <w:rPr>
          <w:rStyle w:val="normaltextrun"/>
          <w:rFonts w:ascii="Arial" w:eastAsiaTheme="majorEastAsia" w:hAnsi="Arial" w:cs="Arial"/>
          <w:sz w:val="22"/>
          <w:szCs w:val="22"/>
        </w:rPr>
        <w:t>Ōtepoti</w:t>
      </w:r>
      <w:r w:rsidRPr="00AD7F91">
        <w:rPr>
          <w:rFonts w:ascii="Arial" w:hAnsi="Arial" w:cs="Arial"/>
          <w:sz w:val="22"/>
          <w:szCs w:val="22"/>
        </w:rPr>
        <w:t xml:space="preserve"> </w:t>
      </w:r>
      <w:r w:rsidRPr="00C61020">
        <w:rPr>
          <w:rStyle w:val="normaltextrun"/>
          <w:rFonts w:ascii="Arial" w:eastAsiaTheme="majorEastAsia" w:hAnsi="Arial" w:cs="Arial"/>
          <w:sz w:val="22"/>
          <w:szCs w:val="22"/>
        </w:rPr>
        <w:t>Dunedin</w:t>
      </w:r>
      <w:r w:rsidRPr="00C61020">
        <w:rPr>
          <w:rStyle w:val="eop"/>
          <w:rFonts w:ascii="Arial" w:hAnsi="Arial" w:cs="Arial"/>
          <w:sz w:val="22"/>
          <w:szCs w:val="22"/>
        </w:rPr>
        <w:t> </w:t>
      </w:r>
    </w:p>
    <w:p w14:paraId="71812F52" w14:textId="50200BAA" w:rsidR="00C3701E" w:rsidRPr="00C61020" w:rsidRDefault="00C3701E" w:rsidP="00AD7F91">
      <w:pPr>
        <w:pStyle w:val="paragraph"/>
        <w:spacing w:before="0" w:beforeAutospacing="0" w:after="200" w:afterAutospacing="0" w:line="276" w:lineRule="auto"/>
        <w:textAlignment w:val="baseline"/>
        <w:rPr>
          <w:rFonts w:ascii="Arial" w:hAnsi="Arial" w:cs="Arial"/>
          <w:sz w:val="22"/>
          <w:szCs w:val="22"/>
        </w:rPr>
      </w:pPr>
      <w:r w:rsidRPr="00C61020">
        <w:rPr>
          <w:rStyle w:val="normaltextrun"/>
          <w:rFonts w:ascii="Arial" w:eastAsiaTheme="majorEastAsia" w:hAnsi="Arial" w:cs="Arial"/>
          <w:b/>
          <w:bCs/>
          <w:sz w:val="22"/>
          <w:szCs w:val="22"/>
        </w:rPr>
        <w:t>Time in care</w:t>
      </w:r>
      <w:r w:rsidRPr="00C61020">
        <w:rPr>
          <w:rStyle w:val="normaltextrun"/>
          <w:rFonts w:ascii="Arial" w:eastAsiaTheme="majorEastAsia" w:hAnsi="Arial" w:cs="Arial"/>
          <w:sz w:val="22"/>
          <w:szCs w:val="22"/>
        </w:rPr>
        <w:t xml:space="preserve"> 1991</w:t>
      </w:r>
      <w:r>
        <w:rPr>
          <w:rStyle w:val="normaltextrun"/>
          <w:rFonts w:ascii="Arial" w:eastAsiaTheme="majorEastAsia" w:hAnsi="Arial" w:cs="Arial"/>
          <w:sz w:val="22"/>
          <w:szCs w:val="22"/>
        </w:rPr>
        <w:t xml:space="preserve">- </w:t>
      </w:r>
      <w:r w:rsidRPr="00C61020">
        <w:rPr>
          <w:rStyle w:val="normaltextrun"/>
          <w:rFonts w:ascii="Arial" w:eastAsiaTheme="majorEastAsia" w:hAnsi="Arial" w:cs="Arial"/>
          <w:sz w:val="22"/>
          <w:szCs w:val="22"/>
        </w:rPr>
        <w:t>current</w:t>
      </w:r>
      <w:r w:rsidRPr="00C61020">
        <w:rPr>
          <w:rStyle w:val="eop"/>
          <w:rFonts w:ascii="Arial" w:hAnsi="Arial" w:cs="Arial"/>
          <w:sz w:val="22"/>
          <w:szCs w:val="22"/>
        </w:rPr>
        <w:t> </w:t>
      </w:r>
    </w:p>
    <w:p w14:paraId="04015581" w14:textId="77777777" w:rsidR="00C3701E" w:rsidRPr="00C61020" w:rsidRDefault="00C3701E" w:rsidP="00AD7F91">
      <w:pPr>
        <w:pStyle w:val="paragraph"/>
        <w:spacing w:before="0" w:beforeAutospacing="0" w:after="200" w:afterAutospacing="0" w:line="276" w:lineRule="auto"/>
        <w:textAlignment w:val="baseline"/>
        <w:rPr>
          <w:rFonts w:ascii="Arial" w:hAnsi="Arial" w:cs="Arial"/>
          <w:sz w:val="22"/>
          <w:szCs w:val="22"/>
        </w:rPr>
      </w:pPr>
      <w:r w:rsidRPr="00C61020">
        <w:rPr>
          <w:rStyle w:val="normaltextrun"/>
          <w:rFonts w:ascii="Arial" w:eastAsiaTheme="majorEastAsia" w:hAnsi="Arial" w:cs="Arial"/>
          <w:b/>
          <w:bCs/>
          <w:sz w:val="22"/>
          <w:szCs w:val="22"/>
        </w:rPr>
        <w:t>Type of care facility</w:t>
      </w:r>
      <w:r w:rsidRPr="00C61020">
        <w:rPr>
          <w:rStyle w:val="normaltextrun"/>
          <w:rFonts w:ascii="Arial" w:eastAsiaTheme="majorEastAsia" w:hAnsi="Arial" w:cs="Arial"/>
          <w:sz w:val="22"/>
          <w:szCs w:val="22"/>
        </w:rPr>
        <w:t xml:space="preserve"> Foster home; residential homes.</w:t>
      </w:r>
      <w:r w:rsidRPr="00C61020">
        <w:rPr>
          <w:rStyle w:val="eop"/>
          <w:rFonts w:ascii="Arial" w:hAnsi="Arial" w:cs="Arial"/>
          <w:sz w:val="22"/>
          <w:szCs w:val="22"/>
        </w:rPr>
        <w:t> </w:t>
      </w:r>
    </w:p>
    <w:p w14:paraId="5822B68E" w14:textId="7AA86651" w:rsidR="00C3701E" w:rsidRDefault="00C3701E" w:rsidP="00AD7F91">
      <w:pPr>
        <w:pStyle w:val="paragraph"/>
        <w:spacing w:before="0" w:beforeAutospacing="0" w:after="200" w:afterAutospacing="0" w:line="276" w:lineRule="auto"/>
        <w:textAlignment w:val="baseline"/>
        <w:rPr>
          <w:rStyle w:val="normaltextrun"/>
          <w:rFonts w:ascii="Arial" w:eastAsiaTheme="majorEastAsia" w:hAnsi="Arial" w:cs="Arial"/>
          <w:sz w:val="22"/>
          <w:szCs w:val="22"/>
        </w:rPr>
      </w:pPr>
      <w:r w:rsidRPr="00C61020">
        <w:rPr>
          <w:rStyle w:val="normaltextrun"/>
          <w:rFonts w:ascii="Arial" w:eastAsiaTheme="majorEastAsia" w:hAnsi="Arial" w:cs="Arial"/>
          <w:b/>
          <w:bCs/>
          <w:sz w:val="22"/>
          <w:szCs w:val="22"/>
        </w:rPr>
        <w:t>Ethnicity</w:t>
      </w:r>
      <w:r w:rsidRPr="00C61020">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NZ</w:t>
      </w:r>
      <w:r w:rsidRPr="00C61020">
        <w:rPr>
          <w:rStyle w:val="normaltextrun"/>
          <w:rFonts w:ascii="Arial" w:eastAsiaTheme="majorEastAsia" w:hAnsi="Arial" w:cs="Arial"/>
          <w:sz w:val="22"/>
          <w:szCs w:val="22"/>
        </w:rPr>
        <w:t xml:space="preserve"> European</w:t>
      </w:r>
    </w:p>
    <w:p w14:paraId="5B9BDE96" w14:textId="25DD72BA" w:rsidR="00C3701E" w:rsidRDefault="00C3701E" w:rsidP="00AD7F91">
      <w:pPr>
        <w:pStyle w:val="paragraph"/>
        <w:spacing w:before="0" w:beforeAutospacing="0" w:after="200" w:afterAutospacing="0" w:line="276" w:lineRule="auto"/>
        <w:textAlignment w:val="baseline"/>
        <w:rPr>
          <w:rStyle w:val="normaltextrun"/>
          <w:rFonts w:ascii="Arial" w:eastAsiaTheme="majorEastAsia" w:hAnsi="Arial" w:cs="Arial"/>
          <w:sz w:val="22"/>
          <w:szCs w:val="22"/>
        </w:rPr>
      </w:pPr>
      <w:r w:rsidRPr="00C61020">
        <w:rPr>
          <w:rStyle w:val="normaltextrun"/>
          <w:rFonts w:ascii="Arial" w:eastAsiaTheme="majorEastAsia" w:hAnsi="Arial" w:cs="Arial"/>
          <w:b/>
          <w:bCs/>
          <w:sz w:val="22"/>
          <w:szCs w:val="22"/>
        </w:rPr>
        <w:t>Whānau background</w:t>
      </w:r>
      <w:r w:rsidRPr="00C61020">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Shannon </w:t>
      </w:r>
      <w:r w:rsidRPr="00C61020">
        <w:rPr>
          <w:rStyle w:val="normaltextrun"/>
          <w:rFonts w:ascii="Arial" w:eastAsiaTheme="majorEastAsia" w:hAnsi="Arial" w:cs="Arial"/>
          <w:sz w:val="22"/>
          <w:szCs w:val="22"/>
        </w:rPr>
        <w:t>has a younger sister and brother. He doesn’t know his father, but had a stepfather for a while.</w:t>
      </w:r>
    </w:p>
    <w:p w14:paraId="17AFC541" w14:textId="4E589E02" w:rsidR="00C3701E" w:rsidRPr="00641A6A" w:rsidRDefault="00C3701E" w:rsidP="00641A6A">
      <w:pPr>
        <w:rPr>
          <w:rStyle w:val="normaltextrun"/>
          <w:rFonts w:ascii="Arial" w:eastAsiaTheme="majorEastAsia" w:hAnsi="Arial" w:cs="Arial"/>
          <w:lang w:eastAsia="en-NZ"/>
        </w:rPr>
      </w:pPr>
      <w:r w:rsidRPr="00C61020">
        <w:rPr>
          <w:rStyle w:val="normaltextrun"/>
          <w:rFonts w:ascii="Arial" w:eastAsiaTheme="majorEastAsia" w:hAnsi="Arial" w:cs="Arial"/>
          <w:b/>
          <w:bCs/>
        </w:rPr>
        <w:t xml:space="preserve">Current </w:t>
      </w:r>
      <w:r w:rsidRPr="00641A6A">
        <w:rPr>
          <w:rStyle w:val="normaltextrun"/>
          <w:rFonts w:ascii="Arial" w:eastAsiaTheme="majorEastAsia" w:hAnsi="Arial" w:cs="Arial"/>
          <w:lang w:eastAsia="en-NZ"/>
        </w:rPr>
        <w:t xml:space="preserve">Shannon has autism, epilepsy and dyspraxia. He is non-speaking and uses a text-to-speech facilitated communication device. Shannon lives alone with support staff who care for him. He has a close relationship with his foster sister who is also his welfare guardian. </w:t>
      </w:r>
    </w:p>
    <w:p w14:paraId="4D139B5E" w14:textId="4D2F0CBA" w:rsidR="00C3701E" w:rsidRPr="00AD7F91" w:rsidRDefault="00C3701E" w:rsidP="00AD7F91">
      <w:pPr>
        <w:pStyle w:val="paragraph"/>
        <w:spacing w:before="0" w:beforeAutospacing="0" w:after="200" w:afterAutospacing="0" w:line="276" w:lineRule="auto"/>
        <w:textAlignment w:val="baseline"/>
        <w:rPr>
          <w:rFonts w:ascii="Arial" w:hAnsi="Arial" w:cs="Arial"/>
          <w:sz w:val="22"/>
          <w:szCs w:val="22"/>
        </w:rPr>
      </w:pPr>
    </w:p>
    <w:p w14:paraId="60E2CE3C"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 xml:space="preserve">In third form I wrote a piece called ‘Life in my own world’: </w:t>
      </w:r>
    </w:p>
    <w:p w14:paraId="780EC802"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“People sometimes call me dumb, or they say I am a moron. What they don’t realise is that I am a clever cookie. A clever cookie in a silent world. Silent because I can’t talk or communicate well. Silent because I am on my own in it. But silence isn’t bad, just scary sometimes.”</w:t>
      </w:r>
    </w:p>
    <w:p w14:paraId="6A1BEA5D"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 xml:space="preserve">I’m Shannon. I want people to know that living with Autism is great, and I wouldn’t change a thing. We’re just people who see the world through a different lens. That lens isn’t wrong, and we aren’t less. </w:t>
      </w:r>
    </w:p>
    <w:p w14:paraId="4BFAD284"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lastRenderedPageBreak/>
        <w:t xml:space="preserve">I use a Lightwriter to communicate – it’s a text-to-speech device that lets me communicate, though I need a facilitator to help me. I got it when I was 15 years old, and I could finally speak for the first time. I felt free to be me – it was exhilarating to have a voice. </w:t>
      </w:r>
    </w:p>
    <w:p w14:paraId="706AFEE5"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I went into care when I was 7 years old. My mum loves me but she couldn’t take care of me when I was young, so I went into a foster home and then to a farm and residential homes. I liked the foster home at first, but I had no proper way of communicating. Then bad things happened, and I left to go to the farm.</w:t>
      </w:r>
    </w:p>
    <w:p w14:paraId="53C19B70"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 xml:space="preserve">I loved the farm. We would go on trips and feed the animals. I was looked after very well. My foster sister learnt to do facilitated communication and made up new ways to communicate. She taught me how to be okay with feelings. I loved the other staff too. </w:t>
      </w:r>
    </w:p>
    <w:p w14:paraId="45750874"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When I was 15 years old I moved into a residential home. I had good staff and I liked most of my flatmates. I could do facilitated communication with some staff and that was really good.</w:t>
      </w:r>
    </w:p>
    <w:p w14:paraId="35D23224"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 xml:space="preserve">I was at high school at the time. I did very well there, and some teachers could facilitate with me. I got sixth place for maths in my 6th form year group. I also really like writing and I’m bloody good at it. After high school I studied creative writing at Massey University. </w:t>
      </w:r>
    </w:p>
    <w:p w14:paraId="5BDA6D69"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 xml:space="preserve">I was assaulted by a flatmate while I was at the residential home but I had been taught to scratch and he couldn’t hurt me. He got taken away. Then I moved to another home where there were fewer people and I liked it better. But then I had to go back to the first house – I didn’t want to but I had to. </w:t>
      </w:r>
    </w:p>
    <w:p w14:paraId="65A44948"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When I returned, management had changed. I wasn’t allowed to see my foster sister for a long time, and I wasn’t told why. Staff yelled at me and I was put on hard drugs that made me feel dopy and stupid. They didn’t ask me if I wanted to be on those drugs. Some staff hurt me and I wasn’t happy. They’d speak badly to me, and sometimes grab my shoulders and arms. They’d swear at me and treat me like a moron. This made me feel shit.</w:t>
      </w:r>
    </w:p>
    <w:p w14:paraId="6A9C3DD3"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My Lightwriter had gone missing, but I could still communicate through a facilitation board. However, management took this off me. Some able-bodied people had decided they didn’t believe in facilitated communication, despite the fact dozens of people had facilitated with me over the years. So all my communication was suddenly gone. I didn’t have a say in any of it. They took my voice away from me.</w:t>
      </w:r>
    </w:p>
    <w:p w14:paraId="06FCAC5C"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I wasn’t allowed to go out and do things. I wasn’t able to be free and I couldn’t tell anyone anything.</w:t>
      </w:r>
    </w:p>
    <w:p w14:paraId="266CFDB2"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 xml:space="preserve">My foster sister got me out of there and it was the best move ever. I was so happy to live with her. I got to be myself. She did everything for me. I got a new Lightwriter and started doing stuff I liked. I was happy. </w:t>
      </w:r>
    </w:p>
    <w:p w14:paraId="3E4D58F3"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 xml:space="preserve">I now live in my own house and I love it. I love being independent – I feel in control of my life. I like watching television and reading. I like music too. I have a wonderful singing teacher. I also volunteer at the Fringe Festival in Dunedin. I deliver pamphlets and posters, and I do a great job. It’s my favourite thing. </w:t>
      </w:r>
    </w:p>
    <w:p w14:paraId="385A4077"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lastRenderedPageBreak/>
        <w:t xml:space="preserve">I love making choices for myself. But I want to make more. I still struggle sometimes because my support staff can’t do facilitated communication and need my foster sister to help me tell them things. But it’s still better than living in a home. </w:t>
      </w:r>
    </w:p>
    <w:p w14:paraId="7967D511"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 xml:space="preserve">I recently got a new Lightwriter – they cost $8,000 and I had lots of trouble getting the funding for a new one. There is also no funding for specialised computer equipment, which I need so I can go back to university.  </w:t>
      </w:r>
    </w:p>
    <w:p w14:paraId="1F65E417" w14:textId="77777777" w:rsidR="00C3701E" w:rsidRPr="00DC7265" w:rsidRDefault="00C3701E" w:rsidP="00DC7265">
      <w:pPr>
        <w:pStyle w:val="paragraph"/>
        <w:spacing w:after="200" w:line="276" w:lineRule="auto"/>
        <w:textAlignment w:val="baseline"/>
        <w:rPr>
          <w:rStyle w:val="normaltextrun"/>
          <w:rFonts w:ascii="Arial" w:eastAsiaTheme="majorEastAsia" w:hAnsi="Arial" w:cs="Arial"/>
          <w:sz w:val="22"/>
          <w:szCs w:val="22"/>
        </w:rPr>
      </w:pPr>
      <w:r w:rsidRPr="00DC7265">
        <w:rPr>
          <w:rStyle w:val="normaltextrun"/>
          <w:rFonts w:ascii="Arial" w:eastAsiaTheme="majorEastAsia" w:hAnsi="Arial" w:cs="Arial"/>
          <w:sz w:val="22"/>
          <w:szCs w:val="22"/>
        </w:rPr>
        <w:t>My foster sister has given me the best life I've had yet, but it's not everything that I should rightfully have. It’s not right for able-bodied people to dictate the lives of people with disabilities – I want to be able to live just like everyone else. I should have a community that fully accepts me, computers I can use, a job that’s paid, lots of able-bodied friends who aren't paid, and my own home designed for my individual needs. I have to pay for a speech and language therapist out of pocket to train my support staff to learn how to communicate with me. This is expensive, and I am unable to do this full time.</w:t>
      </w:r>
    </w:p>
    <w:p w14:paraId="054786CC" w14:textId="22EC0406" w:rsidR="00C3701E" w:rsidRPr="00AD7F91" w:rsidRDefault="00C3701E" w:rsidP="00DC7265">
      <w:pPr>
        <w:pStyle w:val="paragraph"/>
        <w:spacing w:before="0" w:beforeAutospacing="0" w:after="200" w:afterAutospacing="0" w:line="276" w:lineRule="auto"/>
        <w:textAlignment w:val="baseline"/>
        <w:rPr>
          <w:rFonts w:ascii="Arial" w:hAnsi="Arial" w:cs="Arial"/>
          <w:sz w:val="22"/>
          <w:szCs w:val="22"/>
        </w:rPr>
      </w:pPr>
      <w:r w:rsidRPr="00DC7265">
        <w:rPr>
          <w:rStyle w:val="normaltextrun"/>
          <w:rFonts w:ascii="Arial" w:eastAsiaTheme="majorEastAsia" w:hAnsi="Arial" w:cs="Arial"/>
          <w:sz w:val="22"/>
          <w:szCs w:val="22"/>
        </w:rPr>
        <w:t>People need to stop treating us like idiots and society needs to respect that different ways of being are equal to able-bodied ways. Our homes and lives need to be designed around and for us, because why should we have to fit into able-bodied boxes? Everyone has the right to be different.</w:t>
      </w:r>
      <w:r w:rsidRPr="00AD7F91">
        <w:rPr>
          <w:rStyle w:val="EndnoteReference"/>
          <w:rFonts w:eastAsiaTheme="majorEastAsia" w:cs="Arial"/>
          <w:sz w:val="22"/>
          <w:szCs w:val="22"/>
        </w:rPr>
        <w:endnoteReference w:id="3"/>
      </w:r>
      <w:r w:rsidRPr="00AD7F91">
        <w:rPr>
          <w:rStyle w:val="eop"/>
          <w:rFonts w:ascii="Arial" w:hAnsi="Arial" w:cs="Arial"/>
          <w:sz w:val="22"/>
          <w:szCs w:val="22"/>
        </w:rPr>
        <w:t> </w:t>
      </w:r>
    </w:p>
    <w:p w14:paraId="4EFA6041" w14:textId="77777777" w:rsidR="00C3701E" w:rsidRPr="00AD7F91" w:rsidRDefault="00C3701E" w:rsidP="00AD7F91">
      <w:pPr>
        <w:spacing w:after="200" w:line="276" w:lineRule="auto"/>
        <w:rPr>
          <w:rFonts w:ascii="Arial" w:eastAsiaTheme="majorEastAsia" w:hAnsi="Arial" w:cs="Arial"/>
          <w:b/>
          <w:color w:val="385623" w:themeColor="accent6" w:themeShade="80"/>
        </w:rPr>
      </w:pPr>
      <w:r w:rsidRPr="00AD7F91">
        <w:rPr>
          <w:rFonts w:ascii="Arial" w:hAnsi="Arial" w:cs="Arial"/>
        </w:rPr>
        <w:br w:type="page"/>
      </w:r>
    </w:p>
    <w:p w14:paraId="43D87733" w14:textId="55D9898D" w:rsidR="00C3701E" w:rsidRDefault="00C3701E" w:rsidP="00AB2349">
      <w:pPr>
        <w:pStyle w:val="body"/>
        <w:rPr>
          <w:rStyle w:val="normaltextrun"/>
        </w:rPr>
      </w:pPr>
      <w:r>
        <w:rPr>
          <w:rStyle w:val="normaltextrun"/>
        </w:rPr>
        <w:lastRenderedPageBreak/>
        <w:t>[Survivor quote preceding survivor profile]</w:t>
      </w:r>
    </w:p>
    <w:p w14:paraId="3C052731" w14:textId="77777777" w:rsidR="00C3701E" w:rsidRDefault="00C3701E" w:rsidP="00AB2349">
      <w:pPr>
        <w:pStyle w:val="pop-outquote"/>
        <w:rPr>
          <w:rStyle w:val="normaltextrun"/>
        </w:rPr>
      </w:pPr>
    </w:p>
    <w:p w14:paraId="19551BDC" w14:textId="157EC981" w:rsidR="00C3701E" w:rsidRDefault="00C3701E" w:rsidP="00AB2349">
      <w:pPr>
        <w:pStyle w:val="pop-outquote"/>
        <w:rPr>
          <w:rStyle w:val="normaltextrun"/>
        </w:rPr>
      </w:pPr>
      <w:r w:rsidRPr="00AB2349">
        <w:rPr>
          <w:rStyle w:val="normaltextrun"/>
        </w:rPr>
        <w:t>“If I couldn’t speak properly, I got hit” </w:t>
      </w:r>
    </w:p>
    <w:p w14:paraId="0B05EF5C" w14:textId="1500F63F" w:rsidR="00C3701E" w:rsidRDefault="00C3701E" w:rsidP="00AB2349">
      <w:pPr>
        <w:pStyle w:val="pop-outquote"/>
        <w:rPr>
          <w:rStyle w:val="normaltextrun"/>
        </w:rPr>
      </w:pPr>
      <w:r>
        <w:rPr>
          <w:rStyle w:val="normaltextrun"/>
        </w:rPr>
        <w:t>Ms NH</w:t>
      </w:r>
    </w:p>
    <w:p w14:paraId="60F381D6" w14:textId="6CA7EBBF" w:rsidR="00C3701E" w:rsidRDefault="00C3701E" w:rsidP="00AB2349">
      <w:pPr>
        <w:pStyle w:val="pop-outquote"/>
        <w:rPr>
          <w:bCs/>
          <w:sz w:val="24"/>
          <w:szCs w:val="24"/>
        </w:rPr>
      </w:pPr>
      <w:r>
        <w:rPr>
          <w:bCs/>
          <w:sz w:val="24"/>
          <w:szCs w:val="24"/>
        </w:rPr>
        <w:t>Survivor</w:t>
      </w:r>
    </w:p>
    <w:p w14:paraId="2D50BCA4" w14:textId="77777777" w:rsidR="00C3701E" w:rsidRDefault="00C3701E" w:rsidP="00AB2349">
      <w:pPr>
        <w:pStyle w:val="pop-outquote"/>
        <w:rPr>
          <w:rStyle w:val="normaltextrun"/>
        </w:rPr>
      </w:pPr>
    </w:p>
    <w:p w14:paraId="0FE7C5C0" w14:textId="6B91727F" w:rsidR="00C3701E" w:rsidRPr="00E06E95" w:rsidRDefault="00C3701E" w:rsidP="00E53906">
      <w:pPr>
        <w:pStyle w:val="Heading1"/>
      </w:pPr>
      <w:bookmarkStart w:id="57" w:name="_Toc181080921"/>
      <w:r w:rsidRPr="00E06E95">
        <w:t>Ngā wheako o te purapura ora</w:t>
      </w:r>
      <w:bookmarkEnd w:id="57"/>
      <w:r w:rsidRPr="00E06E95">
        <w:t xml:space="preserve"> </w:t>
      </w:r>
    </w:p>
    <w:p w14:paraId="499A16D0" w14:textId="3AFFD765" w:rsidR="00C3701E" w:rsidRDefault="00C3701E" w:rsidP="00E53906">
      <w:pPr>
        <w:pStyle w:val="Heading1"/>
      </w:pPr>
      <w:bookmarkStart w:id="58" w:name="_Toc181080922"/>
      <w:r w:rsidRPr="00E06E95">
        <w:t>Survivor experience: Ms NH</w:t>
      </w:r>
      <w:bookmarkEnd w:id="58"/>
    </w:p>
    <w:p w14:paraId="6748549E" w14:textId="733EB7CF" w:rsidR="00C3701E" w:rsidRPr="008709A0" w:rsidRDefault="00C3701E" w:rsidP="008709A0">
      <w:pPr>
        <w:spacing w:after="200" w:line="276" w:lineRule="auto"/>
        <w:rPr>
          <w:rFonts w:ascii="Arial" w:hAnsi="Arial" w:cs="Arial"/>
        </w:rPr>
      </w:pPr>
      <w:r w:rsidRPr="008709A0">
        <w:rPr>
          <w:rFonts w:ascii="Arial" w:hAnsi="Arial" w:cs="Arial"/>
          <w:b/>
          <w:bCs/>
        </w:rPr>
        <w:t>Age when entered care</w:t>
      </w:r>
      <w:r w:rsidRPr="008709A0">
        <w:rPr>
          <w:rFonts w:ascii="Arial" w:hAnsi="Arial" w:cs="Arial"/>
        </w:rPr>
        <w:t xml:space="preserve"> 5 years old</w:t>
      </w:r>
    </w:p>
    <w:p w14:paraId="71D8C3F1" w14:textId="77777777" w:rsidR="00C3701E" w:rsidRPr="008709A0" w:rsidRDefault="00C3701E" w:rsidP="008709A0">
      <w:pPr>
        <w:spacing w:after="200" w:line="276" w:lineRule="auto"/>
        <w:rPr>
          <w:rFonts w:ascii="Arial" w:hAnsi="Arial" w:cs="Arial"/>
          <w:b/>
          <w:bCs/>
        </w:rPr>
      </w:pPr>
      <w:r w:rsidRPr="008709A0">
        <w:rPr>
          <w:rFonts w:ascii="Arial" w:hAnsi="Arial" w:cs="Arial"/>
          <w:b/>
          <w:bCs/>
        </w:rPr>
        <w:t xml:space="preserve">Year of birth </w:t>
      </w:r>
      <w:r w:rsidRPr="008709A0">
        <w:rPr>
          <w:rFonts w:ascii="Arial" w:hAnsi="Arial" w:cs="Arial"/>
          <w:bCs/>
        </w:rPr>
        <w:t>1965</w:t>
      </w:r>
    </w:p>
    <w:p w14:paraId="23E1FA99" w14:textId="77777777" w:rsidR="00C3701E" w:rsidRPr="008709A0" w:rsidRDefault="00C3701E" w:rsidP="008709A0">
      <w:pPr>
        <w:spacing w:after="200" w:line="276" w:lineRule="auto"/>
        <w:rPr>
          <w:rFonts w:ascii="Arial" w:hAnsi="Arial" w:cs="Arial"/>
          <w:b/>
          <w:bCs/>
        </w:rPr>
      </w:pPr>
      <w:r w:rsidRPr="008709A0">
        <w:rPr>
          <w:rFonts w:ascii="Arial" w:hAnsi="Arial" w:cs="Arial"/>
          <w:b/>
          <w:bCs/>
        </w:rPr>
        <w:t xml:space="preserve">Hometown </w:t>
      </w:r>
      <w:r w:rsidRPr="008709A0">
        <w:rPr>
          <w:rFonts w:ascii="Arial" w:hAnsi="Arial" w:cs="Arial"/>
          <w:bCs/>
        </w:rPr>
        <w:t>Perth, Australia</w:t>
      </w:r>
    </w:p>
    <w:p w14:paraId="2F5797C6" w14:textId="0CC6FDE9" w:rsidR="00C3701E" w:rsidRPr="008709A0" w:rsidRDefault="00C3701E" w:rsidP="008709A0">
      <w:pPr>
        <w:spacing w:after="200" w:line="276" w:lineRule="auto"/>
        <w:rPr>
          <w:rFonts w:ascii="Arial" w:hAnsi="Arial" w:cs="Arial"/>
          <w:b/>
          <w:bCs/>
        </w:rPr>
      </w:pPr>
      <w:r w:rsidRPr="008709A0">
        <w:rPr>
          <w:rFonts w:ascii="Arial" w:hAnsi="Arial" w:cs="Arial"/>
          <w:b/>
          <w:bCs/>
        </w:rPr>
        <w:t xml:space="preserve">Time in care </w:t>
      </w:r>
      <w:r w:rsidRPr="008709A0">
        <w:rPr>
          <w:rFonts w:ascii="Arial" w:hAnsi="Arial" w:cs="Arial"/>
          <w:bCs/>
        </w:rPr>
        <w:t>1970</w:t>
      </w:r>
      <w:r w:rsidRPr="008709A0">
        <w:rPr>
          <w:rFonts w:ascii="Arial" w:eastAsia="Arial" w:hAnsi="Arial" w:cs="Arial"/>
          <w:bCs/>
        </w:rPr>
        <w:t>–</w:t>
      </w:r>
      <w:r w:rsidRPr="008709A0">
        <w:rPr>
          <w:rFonts w:ascii="Arial" w:hAnsi="Arial" w:cs="Arial"/>
          <w:bCs/>
        </w:rPr>
        <w:t>1979</w:t>
      </w:r>
    </w:p>
    <w:p w14:paraId="5CE328E8" w14:textId="16D14AD8" w:rsidR="00C3701E" w:rsidRPr="008709A0" w:rsidRDefault="00C3701E" w:rsidP="008709A0">
      <w:pPr>
        <w:spacing w:after="200" w:line="276" w:lineRule="auto"/>
        <w:rPr>
          <w:rFonts w:ascii="Arial" w:hAnsi="Arial" w:cs="Arial"/>
          <w:b/>
          <w:bCs/>
        </w:rPr>
      </w:pPr>
      <w:r w:rsidRPr="008709A0">
        <w:rPr>
          <w:rFonts w:ascii="Arial" w:hAnsi="Arial" w:cs="Arial"/>
          <w:b/>
          <w:bCs/>
        </w:rPr>
        <w:t>Type of care facility</w:t>
      </w:r>
      <w:r w:rsidRPr="008709A0">
        <w:rPr>
          <w:rFonts w:ascii="Arial" w:hAnsi="Arial" w:cs="Arial"/>
          <w:bCs/>
        </w:rPr>
        <w:t xml:space="preserve"> </w:t>
      </w:r>
      <w:r w:rsidRPr="008709A0">
        <w:rPr>
          <w:rFonts w:ascii="Arial" w:eastAsia="Arial" w:hAnsi="Arial" w:cs="Arial"/>
          <w:bCs/>
        </w:rPr>
        <w:t>School for the Deaf –</w:t>
      </w:r>
      <w:r w:rsidRPr="008709A0">
        <w:rPr>
          <w:rFonts w:ascii="Arial" w:eastAsia="Arial" w:hAnsi="Arial" w:cs="Arial"/>
          <w:b/>
          <w:bCs/>
        </w:rPr>
        <w:t xml:space="preserve"> </w:t>
      </w:r>
      <w:r w:rsidRPr="008709A0">
        <w:rPr>
          <w:rFonts w:ascii="Arial" w:eastAsiaTheme="minorEastAsia" w:hAnsi="Arial" w:cs="Arial"/>
        </w:rPr>
        <w:t xml:space="preserve">Kelston School for the Deaf in </w:t>
      </w:r>
      <w:r w:rsidRPr="008709A0">
        <w:rPr>
          <w:rStyle w:val="normaltextrun"/>
          <w:rFonts w:ascii="Arial" w:hAnsi="Arial" w:cs="Arial"/>
          <w:color w:val="000000"/>
          <w:shd w:val="clear" w:color="auto" w:fill="FFFFFF"/>
          <w:lang w:val="mi-NZ"/>
        </w:rPr>
        <w:t>Tāmaki Makaurau Auckland</w:t>
      </w:r>
      <w:r w:rsidRPr="008709A0">
        <w:rPr>
          <w:rFonts w:ascii="Arial" w:eastAsiaTheme="minorEastAsia" w:hAnsi="Arial" w:cs="Arial"/>
        </w:rPr>
        <w:t>.</w:t>
      </w:r>
    </w:p>
    <w:p w14:paraId="11A5419F" w14:textId="7630F36B" w:rsidR="00C3701E" w:rsidRPr="008709A0" w:rsidRDefault="00C3701E" w:rsidP="008709A0">
      <w:pPr>
        <w:spacing w:after="200" w:line="276" w:lineRule="auto"/>
        <w:rPr>
          <w:rFonts w:ascii="Arial" w:hAnsi="Arial" w:cs="Arial"/>
          <w:b/>
          <w:bCs/>
        </w:rPr>
      </w:pPr>
      <w:r w:rsidRPr="008709A0">
        <w:rPr>
          <w:rFonts w:ascii="Arial" w:hAnsi="Arial" w:cs="Arial"/>
          <w:b/>
          <w:bCs/>
        </w:rPr>
        <w:t>Ethnicity</w:t>
      </w:r>
      <w:r w:rsidRPr="008709A0">
        <w:rPr>
          <w:rFonts w:ascii="Arial" w:hAnsi="Arial" w:cs="Arial"/>
          <w:bCs/>
        </w:rPr>
        <w:t xml:space="preserve"> NZ European</w:t>
      </w:r>
      <w:r w:rsidRPr="008709A0">
        <w:rPr>
          <w:rFonts w:ascii="Arial" w:hAnsi="Arial" w:cs="Arial"/>
          <w:b/>
          <w:bCs/>
        </w:rPr>
        <w:t xml:space="preserve"> </w:t>
      </w:r>
    </w:p>
    <w:p w14:paraId="7B9C6814" w14:textId="573F183B" w:rsidR="00C3701E" w:rsidRPr="008709A0" w:rsidRDefault="00C3701E" w:rsidP="008709A0">
      <w:pPr>
        <w:spacing w:after="200" w:line="276" w:lineRule="auto"/>
        <w:rPr>
          <w:rFonts w:ascii="Arial" w:hAnsi="Arial" w:cs="Arial"/>
          <w:b/>
          <w:bCs/>
        </w:rPr>
      </w:pPr>
      <w:r w:rsidRPr="008709A0">
        <w:rPr>
          <w:rFonts w:ascii="Arial" w:hAnsi="Arial" w:cs="Arial"/>
          <w:b/>
          <w:bCs/>
        </w:rPr>
        <w:t>Wh</w:t>
      </w:r>
      <w:r w:rsidRPr="00521226">
        <w:rPr>
          <w:rFonts w:ascii="Arial" w:hAnsi="Arial" w:cs="Arial"/>
          <w:b/>
          <w:bCs/>
        </w:rPr>
        <w:t>ā</w:t>
      </w:r>
      <w:r w:rsidRPr="008709A0">
        <w:rPr>
          <w:rFonts w:ascii="Arial" w:hAnsi="Arial" w:cs="Arial"/>
          <w:b/>
          <w:bCs/>
        </w:rPr>
        <w:t xml:space="preserve">nau background </w:t>
      </w:r>
      <w:r w:rsidRPr="008709A0">
        <w:rPr>
          <w:rStyle w:val="normaltextrun"/>
          <w:rFonts w:ascii="Arial" w:hAnsi="Arial" w:cs="Arial"/>
          <w:bCs/>
          <w:color w:val="000000"/>
          <w:bdr w:val="none" w:sz="0" w:space="0" w:color="auto" w:frame="1"/>
        </w:rPr>
        <w:t xml:space="preserve">Ms NH’s mother, sister and brother are still alive. They </w:t>
      </w:r>
      <w:r w:rsidRPr="008709A0">
        <w:rPr>
          <w:rFonts w:ascii="Arial" w:hAnsi="Arial" w:cs="Arial"/>
        </w:rPr>
        <w:t xml:space="preserve">live in their own house. </w:t>
      </w:r>
    </w:p>
    <w:p w14:paraId="2944CA3C" w14:textId="378F3EEA" w:rsidR="00C3701E" w:rsidRPr="008709A0" w:rsidRDefault="00C3701E" w:rsidP="008709A0">
      <w:pPr>
        <w:spacing w:after="200" w:line="276" w:lineRule="auto"/>
        <w:rPr>
          <w:rFonts w:ascii="Arial" w:hAnsi="Arial" w:cs="Arial"/>
          <w:b/>
          <w:bCs/>
        </w:rPr>
      </w:pPr>
      <w:r w:rsidRPr="008709A0">
        <w:rPr>
          <w:rFonts w:ascii="Arial" w:hAnsi="Arial" w:cs="Arial"/>
          <w:b/>
          <w:bCs/>
        </w:rPr>
        <w:t>Currently </w:t>
      </w:r>
      <w:r w:rsidRPr="008709A0">
        <w:rPr>
          <w:rFonts w:ascii="Arial" w:eastAsia="Times New Roman" w:hAnsi="Arial" w:cs="Arial"/>
          <w:lang w:eastAsia="en-NZ"/>
        </w:rPr>
        <w:t>Ms NH lives by herself and is on a p</w:t>
      </w:r>
      <w:r w:rsidRPr="008709A0">
        <w:rPr>
          <w:rFonts w:ascii="Arial" w:hAnsi="Arial" w:cs="Arial"/>
        </w:rPr>
        <w:t>ension. She enjoys spending time sewing and crocheting.</w:t>
      </w:r>
    </w:p>
    <w:p w14:paraId="38BB73F1" w14:textId="77777777" w:rsidR="00C3701E" w:rsidRPr="008709A0" w:rsidRDefault="00C3701E" w:rsidP="008709A0">
      <w:pPr>
        <w:spacing w:after="200" w:line="276" w:lineRule="auto"/>
        <w:rPr>
          <w:rStyle w:val="normaltextrun"/>
          <w:rFonts w:ascii="Arial" w:eastAsia="Times New Roman" w:hAnsi="Arial" w:cs="Arial"/>
          <w:lang w:eastAsia="en-NZ"/>
        </w:rPr>
      </w:pPr>
    </w:p>
    <w:p w14:paraId="49FD2293" w14:textId="7A883F35" w:rsidR="00C3701E" w:rsidRPr="00913437" w:rsidRDefault="00C3701E" w:rsidP="008709A0">
      <w:pPr>
        <w:pStyle w:val="paragraph"/>
        <w:spacing w:before="0" w:beforeAutospacing="0" w:after="200" w:afterAutospacing="0" w:line="276" w:lineRule="auto"/>
        <w:textAlignment w:val="baseline"/>
        <w:rPr>
          <w:rFonts w:ascii="Arial" w:hAnsi="Arial" w:cs="Arial"/>
          <w:sz w:val="22"/>
          <w:szCs w:val="22"/>
        </w:rPr>
      </w:pPr>
      <w:r w:rsidRPr="00913437">
        <w:rPr>
          <w:rStyle w:val="normaltextrun"/>
          <w:rFonts w:ascii="Arial" w:eastAsiaTheme="majorEastAsia" w:hAnsi="Arial" w:cs="Arial"/>
          <w:sz w:val="22"/>
          <w:szCs w:val="22"/>
        </w:rPr>
        <w:t>I was born Deaf and blind in my right eye. I’m the only Deaf member of my family</w:t>
      </w:r>
      <w:r>
        <w:rPr>
          <w:rStyle w:val="normaltextrun"/>
          <w:rFonts w:ascii="Arial" w:eastAsiaTheme="majorEastAsia" w:hAnsi="Arial" w:cs="Arial"/>
          <w:sz w:val="22"/>
          <w:szCs w:val="22"/>
        </w:rPr>
        <w:t>,</w:t>
      </w:r>
      <w:r w:rsidRPr="00913437">
        <w:rPr>
          <w:rStyle w:val="normaltextrun"/>
          <w:rFonts w:ascii="Arial" w:eastAsiaTheme="majorEastAsia" w:hAnsi="Arial" w:cs="Arial"/>
          <w:sz w:val="22"/>
          <w:szCs w:val="22"/>
        </w:rPr>
        <w:t xml:space="preserve"> and growing up my family communicated orally and I couldn’t understand everything. I went to Kelston at 5 years old. I was scared and felt unsure about being there. I didn’t know I was Deaf or different to my family, and I was confused. I also didn’t know my mum was going to be leaving.</w:t>
      </w:r>
    </w:p>
    <w:p w14:paraId="2C47EA82" w14:textId="16F4844A" w:rsidR="00C3701E" w:rsidRPr="00913437" w:rsidRDefault="00C3701E" w:rsidP="008709A0">
      <w:pPr>
        <w:pStyle w:val="paragraph"/>
        <w:spacing w:before="0" w:beforeAutospacing="0" w:after="200" w:afterAutospacing="0" w:line="276" w:lineRule="auto"/>
        <w:textAlignment w:val="baseline"/>
        <w:rPr>
          <w:rFonts w:ascii="Arial" w:hAnsi="Arial" w:cs="Arial"/>
          <w:sz w:val="22"/>
          <w:szCs w:val="22"/>
        </w:rPr>
      </w:pPr>
      <w:r w:rsidRPr="00913437">
        <w:rPr>
          <w:rStyle w:val="normaltextrun"/>
          <w:rFonts w:ascii="Arial" w:eastAsiaTheme="majorEastAsia" w:hAnsi="Arial" w:cs="Arial"/>
          <w:sz w:val="22"/>
          <w:szCs w:val="22"/>
        </w:rPr>
        <w:t>I started feeling depressed right from my first day. I was thirsty and drank water from a fountain, and I didn’t know that I wasn’t allowed to drink it. A staff member grabbed me by the throat and yelled at me and hit me.</w:t>
      </w:r>
    </w:p>
    <w:p w14:paraId="19A2ED70" w14:textId="18FE89D8" w:rsidR="00C3701E" w:rsidRPr="00055E71" w:rsidRDefault="00C3701E" w:rsidP="008709A0">
      <w:pPr>
        <w:pStyle w:val="paragraph"/>
        <w:spacing w:before="0" w:beforeAutospacing="0" w:after="200" w:afterAutospacing="0" w:line="276" w:lineRule="auto"/>
        <w:textAlignment w:val="baseline"/>
        <w:rPr>
          <w:rFonts w:ascii="Arial" w:eastAsiaTheme="majorEastAsia" w:hAnsi="Arial" w:cs="Arial"/>
          <w:sz w:val="22"/>
          <w:szCs w:val="22"/>
        </w:rPr>
      </w:pPr>
      <w:r w:rsidRPr="00913437">
        <w:rPr>
          <w:rStyle w:val="normaltextrun"/>
          <w:rFonts w:ascii="Arial" w:eastAsiaTheme="majorEastAsia" w:hAnsi="Arial" w:cs="Arial"/>
          <w:sz w:val="22"/>
          <w:szCs w:val="22"/>
        </w:rPr>
        <w:t>We didn’t learn anything – they didn’t teach us anything and there was no learning, it was all about learning how to speak. We had to use the oral method to say our name and the teacher would make us hold our hands to our throat so we could feel the vibrations. We had to do this over and over again. We also had to sing, but we couldn’t hear the music.</w:t>
      </w:r>
    </w:p>
    <w:p w14:paraId="290508EF" w14:textId="18D90534" w:rsidR="00C3701E" w:rsidRPr="00913437" w:rsidRDefault="00C3701E" w:rsidP="008709A0">
      <w:pPr>
        <w:pStyle w:val="paragraph"/>
        <w:spacing w:before="0" w:beforeAutospacing="0" w:after="200" w:afterAutospacing="0" w:line="276" w:lineRule="auto"/>
        <w:textAlignment w:val="baseline"/>
        <w:rPr>
          <w:rFonts w:ascii="Arial" w:hAnsi="Arial" w:cs="Arial"/>
          <w:sz w:val="22"/>
          <w:szCs w:val="22"/>
        </w:rPr>
      </w:pPr>
      <w:r w:rsidRPr="00913437">
        <w:rPr>
          <w:rStyle w:val="normaltextrun"/>
          <w:rFonts w:ascii="Arial" w:eastAsiaTheme="majorEastAsia" w:hAnsi="Arial" w:cs="Arial"/>
          <w:sz w:val="22"/>
          <w:szCs w:val="22"/>
        </w:rPr>
        <w:lastRenderedPageBreak/>
        <w:t>After breakfast we had to line up to get toothpaste. When it was my turn, the teacher who had hit me insisted I vocalise the word ‘please’. I tried many times and she got angry that I couldn’t get it right. She hit my head and pushed me against the wall, then told me to wait at the end of the line. I tried again and again, and she hit me as I got it wrong. I was sobbing uncontrollably. The other girls weren’t being hit. They just stared at me.</w:t>
      </w:r>
    </w:p>
    <w:p w14:paraId="51A82D3A" w14:textId="61CBDC41" w:rsidR="00C3701E" w:rsidRPr="00913437" w:rsidRDefault="00C3701E" w:rsidP="008709A0">
      <w:pPr>
        <w:pStyle w:val="paragraph"/>
        <w:spacing w:before="0" w:beforeAutospacing="0" w:after="200" w:afterAutospacing="0" w:line="276" w:lineRule="auto"/>
        <w:textAlignment w:val="baseline"/>
        <w:rPr>
          <w:rFonts w:ascii="Arial" w:hAnsi="Arial" w:cs="Arial"/>
          <w:sz w:val="22"/>
          <w:szCs w:val="22"/>
        </w:rPr>
      </w:pPr>
      <w:r w:rsidRPr="00913437">
        <w:rPr>
          <w:rStyle w:val="normaltextrun"/>
          <w:rFonts w:ascii="Arial" w:eastAsiaTheme="majorEastAsia" w:hAnsi="Arial" w:cs="Arial"/>
          <w:sz w:val="22"/>
          <w:szCs w:val="22"/>
        </w:rPr>
        <w:t>A similar thing happened in the dining room – if we didn’t verbalise ‘please’ properly, we had to go to the back of the line, and if I got it wrong I would be hit. Sometimes I’d repeat this three or four times, going to the back of the line because I couldn’t hear or understand. Other students sometimes had to go to the back of the line, but I never saw them being hit for getting it wrong. When I eventually got my food, I would be eating and still crying.</w:t>
      </w:r>
      <w:r w:rsidRPr="008709A0">
        <w:rPr>
          <w:rStyle w:val="normaltextrun"/>
          <w:rFonts w:ascii="Arial" w:eastAsiaTheme="majorEastAsia" w:hAnsi="Arial" w:cs="Arial"/>
          <w:sz w:val="22"/>
          <w:szCs w:val="22"/>
        </w:rPr>
        <w:t> </w:t>
      </w:r>
    </w:p>
    <w:p w14:paraId="45EDC1DE" w14:textId="7192CCA3" w:rsidR="00C3701E" w:rsidRPr="00913437" w:rsidRDefault="00C3701E" w:rsidP="008709A0">
      <w:pPr>
        <w:pStyle w:val="paragraph"/>
        <w:spacing w:before="0" w:beforeAutospacing="0" w:after="200" w:afterAutospacing="0" w:line="276" w:lineRule="auto"/>
        <w:textAlignment w:val="baseline"/>
        <w:rPr>
          <w:rFonts w:ascii="Arial" w:hAnsi="Arial" w:cs="Arial"/>
          <w:sz w:val="22"/>
          <w:szCs w:val="22"/>
        </w:rPr>
      </w:pPr>
      <w:r w:rsidRPr="00913437">
        <w:rPr>
          <w:rStyle w:val="normaltextrun"/>
          <w:rFonts w:ascii="Arial" w:eastAsiaTheme="majorEastAsia" w:hAnsi="Arial" w:cs="Arial"/>
          <w:sz w:val="22"/>
          <w:szCs w:val="22"/>
        </w:rPr>
        <w:t>One time I was washing my hair in the sink. I checked first to make sure the teacher wasn’t around. It was safe. Then I felt my face being shoved down into the sink, and someone was trying to drown me in the water. I couldn’t breathe, and it went on for so long. I saw it was the teacher, pushing my head into the water. I hit her hard and ran away fast. I didn’t know how to tell anyone about it.</w:t>
      </w:r>
      <w:r w:rsidRPr="008709A0">
        <w:rPr>
          <w:rStyle w:val="normaltextrun"/>
          <w:rFonts w:ascii="Arial" w:eastAsiaTheme="majorEastAsia" w:hAnsi="Arial" w:cs="Arial"/>
          <w:sz w:val="22"/>
          <w:szCs w:val="22"/>
        </w:rPr>
        <w:t> </w:t>
      </w:r>
    </w:p>
    <w:p w14:paraId="5C9E9633" w14:textId="698428C2" w:rsidR="00C3701E" w:rsidRPr="00055E71" w:rsidRDefault="00C3701E" w:rsidP="008709A0">
      <w:pPr>
        <w:pStyle w:val="paragraph"/>
        <w:spacing w:before="0" w:beforeAutospacing="0" w:after="200" w:afterAutospacing="0" w:line="276" w:lineRule="auto"/>
        <w:textAlignment w:val="baseline"/>
        <w:rPr>
          <w:rStyle w:val="normaltextrun"/>
          <w:rFonts w:ascii="Arial" w:eastAsiaTheme="majorEastAsia" w:hAnsi="Arial" w:cs="Arial"/>
          <w:sz w:val="22"/>
          <w:szCs w:val="22"/>
        </w:rPr>
      </w:pPr>
      <w:r w:rsidRPr="00913437">
        <w:rPr>
          <w:rStyle w:val="normaltextrun"/>
          <w:rFonts w:ascii="Arial" w:eastAsiaTheme="majorEastAsia" w:hAnsi="Arial" w:cs="Arial"/>
          <w:sz w:val="22"/>
          <w:szCs w:val="22"/>
        </w:rPr>
        <w:t>The same day we had fish and chips for dinner. I hated fish so I was just eating the chips. The teacher saw I wasn’t eating the fish, so she came over to me, picked up my fork with fish on it and forced me to eat it by squeezing my cheeks, making my mouth open. A similar thing happened at breakfast the next day – I wasn’t eating porridge, and another staff member came up to me angrily, hit my hand with the spoon and forced me to eat the porridge. I forced it down and then vomited everywhere.</w:t>
      </w:r>
      <w:r w:rsidRPr="008709A0">
        <w:rPr>
          <w:rStyle w:val="normaltextrun"/>
          <w:rFonts w:ascii="Arial" w:eastAsiaTheme="majorEastAsia" w:hAnsi="Arial" w:cs="Arial"/>
          <w:sz w:val="22"/>
          <w:szCs w:val="22"/>
        </w:rPr>
        <w:t> </w:t>
      </w:r>
    </w:p>
    <w:p w14:paraId="595C8CB6" w14:textId="7F4CE8C9" w:rsidR="00C3701E" w:rsidRPr="00913437" w:rsidRDefault="00C3701E" w:rsidP="008709A0">
      <w:pPr>
        <w:pStyle w:val="paragraph"/>
        <w:spacing w:before="0" w:beforeAutospacing="0" w:after="200" w:afterAutospacing="0" w:line="276" w:lineRule="auto"/>
        <w:textAlignment w:val="baseline"/>
        <w:rPr>
          <w:rFonts w:ascii="Arial" w:hAnsi="Arial" w:cs="Arial"/>
          <w:sz w:val="22"/>
          <w:szCs w:val="22"/>
        </w:rPr>
      </w:pPr>
      <w:r w:rsidRPr="00913437">
        <w:rPr>
          <w:rStyle w:val="normaltextrun"/>
          <w:rFonts w:ascii="Arial" w:eastAsiaTheme="majorEastAsia" w:hAnsi="Arial" w:cs="Arial"/>
          <w:sz w:val="22"/>
          <w:szCs w:val="22"/>
        </w:rPr>
        <w:t>I was so depressed at Kelston. It got worse and worse the longer I was there. I felt my head get so tight and sore. I just wanted to go home and be with my mum.</w:t>
      </w:r>
      <w:r w:rsidRPr="008709A0">
        <w:rPr>
          <w:rStyle w:val="normaltextrun"/>
          <w:rFonts w:ascii="Arial" w:eastAsiaTheme="majorEastAsia" w:hAnsi="Arial" w:cs="Arial"/>
          <w:sz w:val="22"/>
          <w:szCs w:val="22"/>
        </w:rPr>
        <w:t> </w:t>
      </w:r>
    </w:p>
    <w:p w14:paraId="3EE8A450" w14:textId="0ABC4232" w:rsidR="00C3701E" w:rsidRPr="00913437" w:rsidRDefault="00C3701E" w:rsidP="008709A0">
      <w:pPr>
        <w:pStyle w:val="paragraph"/>
        <w:spacing w:before="0" w:beforeAutospacing="0" w:after="200" w:afterAutospacing="0" w:line="276" w:lineRule="auto"/>
        <w:textAlignment w:val="baseline"/>
        <w:rPr>
          <w:rFonts w:ascii="Arial" w:hAnsi="Arial" w:cs="Arial"/>
          <w:sz w:val="22"/>
          <w:szCs w:val="22"/>
        </w:rPr>
      </w:pPr>
      <w:r w:rsidRPr="00913437">
        <w:rPr>
          <w:rStyle w:val="normaltextrun"/>
          <w:rFonts w:ascii="Arial" w:eastAsiaTheme="majorEastAsia" w:hAnsi="Arial" w:cs="Arial"/>
          <w:sz w:val="22"/>
          <w:szCs w:val="22"/>
        </w:rPr>
        <w:t>I didn’t tell my parents about what was going on because I couldn’t communicate. The staff members at Kelston saw me being abused but said nothing. I didn’t have any friends and I was very isolated.</w:t>
      </w:r>
    </w:p>
    <w:p w14:paraId="0CFB039C" w14:textId="59E3A824" w:rsidR="00C3701E" w:rsidRPr="00913437" w:rsidRDefault="00C3701E" w:rsidP="008709A0">
      <w:pPr>
        <w:pStyle w:val="paragraph"/>
        <w:spacing w:before="0" w:beforeAutospacing="0" w:after="200" w:afterAutospacing="0" w:line="276" w:lineRule="auto"/>
        <w:textAlignment w:val="baseline"/>
        <w:rPr>
          <w:rFonts w:ascii="Arial" w:hAnsi="Arial" w:cs="Arial"/>
          <w:sz w:val="22"/>
          <w:szCs w:val="22"/>
        </w:rPr>
      </w:pPr>
      <w:r w:rsidRPr="00913437">
        <w:rPr>
          <w:rStyle w:val="normaltextrun"/>
          <w:rFonts w:ascii="Arial" w:eastAsiaTheme="majorEastAsia" w:hAnsi="Arial" w:cs="Arial"/>
          <w:sz w:val="22"/>
          <w:szCs w:val="22"/>
        </w:rPr>
        <w:t>The teacher abused me nearly every day. She would hit me, whack my head, and slam me into walls. I remember always being sore and having bruises. I was also picked on by other students and bullied.</w:t>
      </w:r>
      <w:r w:rsidRPr="008709A0">
        <w:rPr>
          <w:rStyle w:val="normaltextrun"/>
          <w:rFonts w:ascii="Arial" w:eastAsiaTheme="majorEastAsia" w:hAnsi="Arial" w:cs="Arial"/>
          <w:sz w:val="22"/>
          <w:szCs w:val="22"/>
        </w:rPr>
        <w:t> </w:t>
      </w:r>
    </w:p>
    <w:p w14:paraId="54773319" w14:textId="0153FCFA" w:rsidR="00C3701E" w:rsidRPr="00913437" w:rsidRDefault="00C3701E" w:rsidP="008709A0">
      <w:pPr>
        <w:pStyle w:val="paragraph"/>
        <w:spacing w:before="0" w:beforeAutospacing="0" w:after="200" w:afterAutospacing="0" w:line="276" w:lineRule="auto"/>
        <w:textAlignment w:val="baseline"/>
        <w:rPr>
          <w:rFonts w:ascii="Arial" w:hAnsi="Arial" w:cs="Arial"/>
          <w:sz w:val="22"/>
          <w:szCs w:val="22"/>
        </w:rPr>
      </w:pPr>
      <w:r w:rsidRPr="00913437">
        <w:rPr>
          <w:rStyle w:val="normaltextrun"/>
          <w:rFonts w:ascii="Arial" w:eastAsiaTheme="majorEastAsia" w:hAnsi="Arial" w:cs="Arial"/>
          <w:sz w:val="22"/>
          <w:szCs w:val="22"/>
        </w:rPr>
        <w:t>When I was 14 I moved overseas with my family, and I felt my depression slowly releasing away, and my wellbeing began to improve. Deaf people were shocked that I hadn’t learned any sign language. I got a better education and learned sign language so I could communicate. My mother asked me if I wanted to move back to New Zealand and I said no. I don’t want to go back, and I haven’t been back since.</w:t>
      </w:r>
    </w:p>
    <w:p w14:paraId="659BA960" w14:textId="7AE56FC5" w:rsidR="00C3701E" w:rsidRPr="008709A0" w:rsidRDefault="00C3701E" w:rsidP="008709A0">
      <w:pPr>
        <w:pStyle w:val="paragraph"/>
        <w:spacing w:before="0" w:beforeAutospacing="0" w:after="200" w:afterAutospacing="0" w:line="276" w:lineRule="auto"/>
        <w:textAlignment w:val="baseline"/>
        <w:rPr>
          <w:rFonts w:ascii="Arial" w:eastAsiaTheme="majorEastAsia" w:hAnsi="Arial" w:cs="Arial"/>
          <w:sz w:val="22"/>
          <w:szCs w:val="22"/>
        </w:rPr>
      </w:pPr>
      <w:r w:rsidRPr="00913437">
        <w:rPr>
          <w:rStyle w:val="normaltextrun"/>
          <w:rFonts w:ascii="Arial" w:eastAsiaTheme="majorEastAsia" w:hAnsi="Arial" w:cs="Arial"/>
          <w:sz w:val="22"/>
          <w:szCs w:val="22"/>
        </w:rPr>
        <w:t>When I was 30 I started telling my mother all the things that had happened to me. My parents went to night classes to learn sign language so we could communicate properly.</w:t>
      </w:r>
    </w:p>
    <w:p w14:paraId="000FF54A" w14:textId="2C64285B" w:rsidR="00C3701E" w:rsidRDefault="00C3701E" w:rsidP="003D1F79">
      <w:pPr>
        <w:pStyle w:val="paragraph"/>
        <w:spacing w:before="0" w:beforeAutospacing="0" w:after="200" w:afterAutospacing="0" w:line="276" w:lineRule="auto"/>
        <w:textAlignment w:val="baseline"/>
        <w:rPr>
          <w:rFonts w:ascii="Arial" w:eastAsiaTheme="majorEastAsia" w:hAnsi="Arial" w:cstheme="majorBidi"/>
          <w:b/>
          <w:color w:val="385623" w:themeColor="accent6" w:themeShade="80"/>
          <w:sz w:val="28"/>
          <w:szCs w:val="26"/>
        </w:rPr>
      </w:pPr>
      <w:r w:rsidRPr="00913437">
        <w:rPr>
          <w:rStyle w:val="normaltextrun"/>
          <w:rFonts w:ascii="Arial" w:eastAsiaTheme="majorEastAsia" w:hAnsi="Arial" w:cs="Arial"/>
          <w:sz w:val="22"/>
          <w:szCs w:val="22"/>
        </w:rPr>
        <w:t>I can never forget the abuse I received from people who were paid to be there for me and care for me. The trauma has stayed with me. I still have awful thoughts of how I was treated, and I’m still scared to see those mean teachers and staff members.</w:t>
      </w:r>
      <w:r w:rsidRPr="00913437">
        <w:rPr>
          <w:rStyle w:val="EndnoteReference"/>
          <w:rFonts w:eastAsiaTheme="majorEastAsia" w:cs="Arial"/>
          <w:sz w:val="22"/>
          <w:szCs w:val="22"/>
        </w:rPr>
        <w:endnoteReference w:id="4"/>
      </w:r>
      <w:r w:rsidRPr="008709A0">
        <w:rPr>
          <w:rFonts w:ascii="Arial" w:hAnsi="Arial" w:cs="Arial"/>
        </w:rPr>
        <w:br w:type="page"/>
      </w:r>
    </w:p>
    <w:p w14:paraId="64796E5F" w14:textId="35458A63" w:rsidR="00C3701E" w:rsidRPr="0094721A" w:rsidRDefault="00C3701E" w:rsidP="008B65BF">
      <w:pPr>
        <w:pStyle w:val="Heading1"/>
      </w:pPr>
      <w:bookmarkStart w:id="59" w:name="_Toc181080923"/>
      <w:r>
        <w:lastRenderedPageBreak/>
        <w:t>Ūpoko 2: Te whakatinanatanga o te Puretumu Torowhānui i tēnei wā</w:t>
      </w:r>
      <w:bookmarkEnd w:id="59"/>
    </w:p>
    <w:p w14:paraId="10AEFBB9" w14:textId="196CF504" w:rsidR="00C3701E" w:rsidRPr="0094721A" w:rsidRDefault="00C3701E" w:rsidP="008B65BF">
      <w:pPr>
        <w:pStyle w:val="Heading1"/>
      </w:pPr>
      <w:bookmarkStart w:id="60" w:name="_Toc181080924"/>
      <w:r>
        <w:t>Chapter 2: Puretumu Torowhānui: implementation to date</w:t>
      </w:r>
      <w:bookmarkEnd w:id="45"/>
      <w:bookmarkEnd w:id="46"/>
      <w:bookmarkEnd w:id="47"/>
      <w:bookmarkEnd w:id="48"/>
      <w:bookmarkEnd w:id="49"/>
      <w:bookmarkEnd w:id="50"/>
      <w:bookmarkEnd w:id="51"/>
      <w:bookmarkEnd w:id="52"/>
      <w:bookmarkEnd w:id="53"/>
      <w:bookmarkEnd w:id="54"/>
      <w:bookmarkEnd w:id="60"/>
    </w:p>
    <w:tbl>
      <w:tblPr>
        <w:tblW w:w="9016" w:type="dxa"/>
        <w:tblLook w:val="04A0" w:firstRow="1" w:lastRow="0" w:firstColumn="1" w:lastColumn="0" w:noHBand="0" w:noVBand="1"/>
      </w:tblPr>
      <w:tblGrid>
        <w:gridCol w:w="5524"/>
        <w:gridCol w:w="3492"/>
      </w:tblGrid>
      <w:tr w:rsidR="00C3701E" w:rsidRPr="0094721A" w14:paraId="3A46A26F" w14:textId="77777777" w:rsidTr="00A671F1">
        <w:trPr>
          <w:tblHeader/>
        </w:trPr>
        <w:tc>
          <w:tcPr>
            <w:tcW w:w="5524" w:type="dxa"/>
            <w:shd w:val="clear" w:color="auto" w:fill="E2EFD9" w:themeFill="accent6" w:themeFillTint="33"/>
          </w:tcPr>
          <w:p w14:paraId="5FB9B30C" w14:textId="7889B313" w:rsidR="00C3701E" w:rsidRPr="0094721A" w:rsidRDefault="00C3701E" w:rsidP="00A671F1">
            <w:pPr>
              <w:pStyle w:val="Possible-Draftingnote"/>
              <w:spacing w:line="276" w:lineRule="auto"/>
              <w:jc w:val="both"/>
              <w:rPr>
                <w:iCs w:val="0"/>
                <w:color w:val="auto"/>
                <w:lang w:val="en-NZ"/>
              </w:rPr>
            </w:pPr>
            <w:r w:rsidRPr="0094721A">
              <w:rPr>
                <w:color w:val="auto"/>
              </w:rPr>
              <w:t>Recommendation</w:t>
            </w:r>
          </w:p>
        </w:tc>
        <w:tc>
          <w:tcPr>
            <w:tcW w:w="3492" w:type="dxa"/>
            <w:shd w:val="clear" w:color="auto" w:fill="E2EFD9" w:themeFill="accent6" w:themeFillTint="33"/>
          </w:tcPr>
          <w:p w14:paraId="7216B404" w14:textId="749C9B82" w:rsidR="00C3701E" w:rsidRPr="0094721A" w:rsidRDefault="00C3701E" w:rsidP="00A671F1">
            <w:pPr>
              <w:pStyle w:val="Possible-Draftingnote"/>
              <w:spacing w:line="276" w:lineRule="auto"/>
              <w:rPr>
                <w:iCs w:val="0"/>
                <w:color w:val="auto"/>
                <w:lang w:val="en-NZ"/>
              </w:rPr>
            </w:pPr>
            <w:r w:rsidRPr="0094721A">
              <w:rPr>
                <w:color w:val="auto"/>
              </w:rPr>
              <w:t xml:space="preserve">Summary of whether it has been </w:t>
            </w:r>
            <w:r>
              <w:rPr>
                <w:color w:val="auto"/>
              </w:rPr>
              <w:t>i</w:t>
            </w:r>
            <w:r w:rsidRPr="0094721A">
              <w:rPr>
                <w:color w:val="auto"/>
              </w:rPr>
              <w:t>mplemented</w:t>
            </w:r>
          </w:p>
        </w:tc>
      </w:tr>
      <w:tr w:rsidR="00C3701E" w:rsidRPr="0094721A" w14:paraId="7D3CE7F2" w14:textId="77777777" w:rsidTr="009F24AD">
        <w:tc>
          <w:tcPr>
            <w:tcW w:w="5524" w:type="dxa"/>
          </w:tcPr>
          <w:p w14:paraId="14BDBC37" w14:textId="25475262" w:rsidR="00C3701E" w:rsidRPr="0094721A" w:rsidRDefault="00C3701E" w:rsidP="00A671F1">
            <w:pPr>
              <w:pStyle w:val="Possible-Draftingnote"/>
              <w:spacing w:line="276" w:lineRule="auto"/>
              <w:rPr>
                <w:iCs w:val="0"/>
                <w:color w:val="auto"/>
                <w:lang w:val="en-NZ"/>
              </w:rPr>
            </w:pPr>
            <w:r w:rsidRPr="0094721A">
              <w:rPr>
                <w:color w:val="auto"/>
              </w:rPr>
              <w:t>Independent puretumu torowhānui scheme</w:t>
            </w:r>
          </w:p>
        </w:tc>
        <w:tc>
          <w:tcPr>
            <w:tcW w:w="3492" w:type="dxa"/>
          </w:tcPr>
          <w:p w14:paraId="4DEA4300" w14:textId="5C650EC2" w:rsidR="00C3701E" w:rsidRPr="0094721A" w:rsidRDefault="00C3701E" w:rsidP="00A671F1">
            <w:pPr>
              <w:pStyle w:val="Possible-Draftingnote"/>
              <w:spacing w:line="276" w:lineRule="auto"/>
              <w:rPr>
                <w:iCs w:val="0"/>
                <w:color w:val="auto"/>
                <w:lang w:val="en-NZ"/>
              </w:rPr>
            </w:pPr>
            <w:r w:rsidRPr="0094721A">
              <w:rPr>
                <w:color w:val="auto"/>
              </w:rPr>
              <w:t>No</w:t>
            </w:r>
          </w:p>
        </w:tc>
      </w:tr>
      <w:tr w:rsidR="00C3701E" w:rsidRPr="0094721A" w14:paraId="3D4246CE" w14:textId="77777777" w:rsidTr="009F24AD">
        <w:tc>
          <w:tcPr>
            <w:tcW w:w="5524" w:type="dxa"/>
          </w:tcPr>
          <w:p w14:paraId="75C3CAA5" w14:textId="52034E17" w:rsidR="00C3701E" w:rsidRPr="0094721A" w:rsidRDefault="00C3701E" w:rsidP="00A671F1">
            <w:pPr>
              <w:pStyle w:val="Possible-Draftingnote"/>
              <w:spacing w:line="276" w:lineRule="auto"/>
              <w:rPr>
                <w:iCs w:val="0"/>
                <w:color w:val="auto"/>
                <w:lang w:val="en-NZ"/>
              </w:rPr>
            </w:pPr>
            <w:r w:rsidRPr="0094721A">
              <w:rPr>
                <w:color w:val="auto"/>
              </w:rPr>
              <w:t xml:space="preserve">Māori </w:t>
            </w:r>
            <w:r>
              <w:rPr>
                <w:color w:val="auto"/>
              </w:rPr>
              <w:t>c</w:t>
            </w:r>
            <w:r w:rsidRPr="0094721A">
              <w:rPr>
                <w:color w:val="auto"/>
              </w:rPr>
              <w:t xml:space="preserve">ollective and a </w:t>
            </w:r>
            <w:r>
              <w:rPr>
                <w:color w:val="auto"/>
              </w:rPr>
              <w:t>p</w:t>
            </w:r>
            <w:r w:rsidRPr="0094721A">
              <w:rPr>
                <w:color w:val="auto"/>
              </w:rPr>
              <w:t xml:space="preserve">urapura </w:t>
            </w:r>
            <w:r>
              <w:rPr>
                <w:color w:val="auto"/>
              </w:rPr>
              <w:t>o</w:t>
            </w:r>
            <w:r w:rsidRPr="0094721A">
              <w:rPr>
                <w:color w:val="auto"/>
              </w:rPr>
              <w:t xml:space="preserve">ra </w:t>
            </w:r>
            <w:r>
              <w:rPr>
                <w:color w:val="auto"/>
              </w:rPr>
              <w:t>c</w:t>
            </w:r>
            <w:r w:rsidRPr="0094721A">
              <w:rPr>
                <w:color w:val="auto"/>
              </w:rPr>
              <w:t>ollective</w:t>
            </w:r>
          </w:p>
        </w:tc>
        <w:tc>
          <w:tcPr>
            <w:tcW w:w="3492" w:type="dxa"/>
          </w:tcPr>
          <w:p w14:paraId="734205E3" w14:textId="79AEF33F" w:rsidR="00C3701E" w:rsidRPr="0094721A" w:rsidRDefault="00C3701E" w:rsidP="00A671F1">
            <w:pPr>
              <w:pStyle w:val="Possible-Draftingnote"/>
              <w:spacing w:line="276" w:lineRule="auto"/>
              <w:rPr>
                <w:iCs w:val="0"/>
                <w:color w:val="auto"/>
                <w:lang w:val="en-NZ"/>
              </w:rPr>
            </w:pPr>
            <w:r w:rsidRPr="0094721A">
              <w:rPr>
                <w:color w:val="auto"/>
              </w:rPr>
              <w:t>No</w:t>
            </w:r>
          </w:p>
        </w:tc>
      </w:tr>
      <w:tr w:rsidR="00C3701E" w:rsidRPr="0094721A" w14:paraId="658B5DF2" w14:textId="77777777" w:rsidTr="009F24AD">
        <w:tc>
          <w:tcPr>
            <w:tcW w:w="5524" w:type="dxa"/>
          </w:tcPr>
          <w:p w14:paraId="6C73DD36" w14:textId="47B6AD99" w:rsidR="00C3701E" w:rsidRPr="0094721A" w:rsidRDefault="00C3701E" w:rsidP="00A671F1">
            <w:pPr>
              <w:pStyle w:val="Possible-Draftingnote"/>
              <w:spacing w:line="276" w:lineRule="auto"/>
              <w:rPr>
                <w:iCs w:val="0"/>
                <w:color w:val="auto"/>
                <w:lang w:val="en-NZ"/>
              </w:rPr>
            </w:pPr>
            <w:r w:rsidRPr="0094721A">
              <w:rPr>
                <w:color w:val="auto"/>
              </w:rPr>
              <w:t>Puretumu torowhānui scheme to include all survivors</w:t>
            </w:r>
          </w:p>
        </w:tc>
        <w:tc>
          <w:tcPr>
            <w:tcW w:w="3492" w:type="dxa"/>
          </w:tcPr>
          <w:p w14:paraId="33FA57C1" w14:textId="462EAE35" w:rsidR="00C3701E" w:rsidRPr="0094721A" w:rsidRDefault="00C3701E" w:rsidP="00A671F1">
            <w:pPr>
              <w:pStyle w:val="Possible-Draftingnote"/>
              <w:spacing w:line="276" w:lineRule="auto"/>
              <w:rPr>
                <w:iCs w:val="0"/>
                <w:color w:val="auto"/>
                <w:lang w:val="en-NZ"/>
              </w:rPr>
            </w:pPr>
            <w:r w:rsidRPr="0094721A">
              <w:rPr>
                <w:color w:val="auto"/>
              </w:rPr>
              <w:t>Unclear</w:t>
            </w:r>
          </w:p>
        </w:tc>
      </w:tr>
      <w:tr w:rsidR="00C3701E" w:rsidRPr="0094721A" w14:paraId="6585159E" w14:textId="77777777" w:rsidTr="009F24AD">
        <w:tc>
          <w:tcPr>
            <w:tcW w:w="5524" w:type="dxa"/>
          </w:tcPr>
          <w:p w14:paraId="36514EBB" w14:textId="07DE091D" w:rsidR="00C3701E" w:rsidRPr="0094721A" w:rsidRDefault="00C3701E" w:rsidP="00A671F1">
            <w:pPr>
              <w:pStyle w:val="Possible-Draftingnote"/>
              <w:spacing w:line="276" w:lineRule="auto"/>
              <w:rPr>
                <w:iCs w:val="0"/>
                <w:color w:val="auto"/>
                <w:lang w:val="en-NZ"/>
              </w:rPr>
            </w:pPr>
            <w:r w:rsidRPr="0094721A">
              <w:rPr>
                <w:color w:val="auto"/>
              </w:rPr>
              <w:t>National apology</w:t>
            </w:r>
          </w:p>
        </w:tc>
        <w:tc>
          <w:tcPr>
            <w:tcW w:w="3492" w:type="dxa"/>
          </w:tcPr>
          <w:p w14:paraId="68461AF2" w14:textId="164BE0FE" w:rsidR="00C3701E" w:rsidRPr="0094721A" w:rsidRDefault="00C3701E" w:rsidP="00A671F1">
            <w:pPr>
              <w:pStyle w:val="Possible-Draftingnote"/>
              <w:spacing w:line="276" w:lineRule="auto"/>
              <w:rPr>
                <w:iCs w:val="0"/>
                <w:color w:val="auto"/>
                <w:lang w:val="en-NZ"/>
              </w:rPr>
            </w:pPr>
            <w:r>
              <w:rPr>
                <w:color w:val="auto"/>
              </w:rPr>
              <w:t xml:space="preserve">Partly </w:t>
            </w:r>
          </w:p>
        </w:tc>
      </w:tr>
      <w:tr w:rsidR="00C3701E" w:rsidRPr="0094721A" w14:paraId="7D559FBE" w14:textId="77777777" w:rsidTr="009F24AD">
        <w:tc>
          <w:tcPr>
            <w:tcW w:w="5524" w:type="dxa"/>
          </w:tcPr>
          <w:p w14:paraId="50E9DE7A" w14:textId="4A486305" w:rsidR="00C3701E" w:rsidRPr="0094721A" w:rsidRDefault="00C3701E" w:rsidP="00A671F1">
            <w:pPr>
              <w:pStyle w:val="Possible-Draftingnote"/>
              <w:spacing w:line="276" w:lineRule="auto"/>
              <w:rPr>
                <w:iCs w:val="0"/>
                <w:color w:val="auto"/>
                <w:lang w:val="en-NZ"/>
              </w:rPr>
            </w:pPr>
            <w:r w:rsidRPr="0094721A">
              <w:rPr>
                <w:color w:val="auto"/>
              </w:rPr>
              <w:t>Interim listening service</w:t>
            </w:r>
          </w:p>
        </w:tc>
        <w:tc>
          <w:tcPr>
            <w:tcW w:w="3492" w:type="dxa"/>
          </w:tcPr>
          <w:p w14:paraId="3708CFE1" w14:textId="560B86C4" w:rsidR="00C3701E" w:rsidRPr="0094721A" w:rsidRDefault="00C3701E" w:rsidP="00A671F1">
            <w:pPr>
              <w:pStyle w:val="Possible-Draftingnote"/>
              <w:spacing w:line="276" w:lineRule="auto"/>
              <w:rPr>
                <w:iCs w:val="0"/>
                <w:color w:val="auto"/>
                <w:lang w:val="en-NZ"/>
              </w:rPr>
            </w:pPr>
            <w:r w:rsidRPr="0094721A">
              <w:rPr>
                <w:color w:val="auto"/>
              </w:rPr>
              <w:t>Yes</w:t>
            </w:r>
          </w:p>
        </w:tc>
      </w:tr>
      <w:tr w:rsidR="00C3701E" w:rsidRPr="003D1F79" w14:paraId="7D1AF4F3" w14:textId="77777777" w:rsidTr="009F24AD">
        <w:tc>
          <w:tcPr>
            <w:tcW w:w="5524" w:type="dxa"/>
          </w:tcPr>
          <w:p w14:paraId="096B94CF" w14:textId="608F3374" w:rsidR="00C3701E" w:rsidRPr="003D1F79" w:rsidRDefault="00C3701E" w:rsidP="00A671F1">
            <w:pPr>
              <w:pStyle w:val="Possible-Draftingnote"/>
              <w:spacing w:line="276" w:lineRule="auto"/>
              <w:rPr>
                <w:color w:val="auto"/>
              </w:rPr>
            </w:pPr>
            <w:r w:rsidRPr="003D1F79">
              <w:rPr>
                <w:color w:val="auto"/>
                <w:lang w:val="en-US"/>
              </w:rPr>
              <w:t>Guidelines, policy and procedures for record-keeping</w:t>
            </w:r>
          </w:p>
        </w:tc>
        <w:tc>
          <w:tcPr>
            <w:tcW w:w="3492" w:type="dxa"/>
          </w:tcPr>
          <w:p w14:paraId="7F387148" w14:textId="16080FDD" w:rsidR="00C3701E" w:rsidRPr="003D1F79" w:rsidRDefault="00C3701E" w:rsidP="00A671F1">
            <w:pPr>
              <w:pStyle w:val="Possible-Draftingnote"/>
              <w:spacing w:line="276" w:lineRule="auto"/>
              <w:rPr>
                <w:iCs w:val="0"/>
                <w:color w:val="auto"/>
                <w:lang w:val="en-NZ"/>
              </w:rPr>
            </w:pPr>
            <w:r w:rsidRPr="003D1F79">
              <w:rPr>
                <w:color w:val="auto"/>
              </w:rPr>
              <w:t xml:space="preserve">Partly </w:t>
            </w:r>
          </w:p>
        </w:tc>
      </w:tr>
      <w:tr w:rsidR="00C3701E" w:rsidRPr="0094721A" w14:paraId="2A69BD48" w14:textId="77777777" w:rsidTr="009F24AD">
        <w:tc>
          <w:tcPr>
            <w:tcW w:w="5524" w:type="dxa"/>
          </w:tcPr>
          <w:p w14:paraId="597E4A79" w14:textId="362B1F53" w:rsidR="00C3701E" w:rsidRPr="0094721A" w:rsidRDefault="00C3701E" w:rsidP="00A671F1">
            <w:pPr>
              <w:pStyle w:val="Possible-Draftingnote"/>
              <w:spacing w:line="276" w:lineRule="auto"/>
              <w:rPr>
                <w:iCs w:val="0"/>
                <w:color w:val="auto"/>
                <w:lang w:val="en-NZ"/>
              </w:rPr>
            </w:pPr>
            <w:r w:rsidRPr="0094721A">
              <w:rPr>
                <w:color w:val="auto"/>
              </w:rPr>
              <w:t>Advance payments for all seriously ill or elderly survivors</w:t>
            </w:r>
          </w:p>
        </w:tc>
        <w:tc>
          <w:tcPr>
            <w:tcW w:w="3492" w:type="dxa"/>
          </w:tcPr>
          <w:p w14:paraId="5CFBF3E6" w14:textId="2F5D75D7" w:rsidR="00C3701E" w:rsidRPr="0094721A" w:rsidRDefault="00C3701E" w:rsidP="00A671F1">
            <w:pPr>
              <w:pStyle w:val="Possible-Draftingnote"/>
              <w:spacing w:line="276" w:lineRule="auto"/>
              <w:rPr>
                <w:iCs w:val="0"/>
                <w:color w:val="auto"/>
                <w:lang w:val="en-NZ"/>
              </w:rPr>
            </w:pPr>
            <w:r w:rsidRPr="0094721A">
              <w:rPr>
                <w:color w:val="auto"/>
              </w:rPr>
              <w:t>No</w:t>
            </w:r>
          </w:p>
        </w:tc>
      </w:tr>
      <w:tr w:rsidR="00C3701E" w:rsidRPr="0094721A" w14:paraId="12B1544B" w14:textId="77777777" w:rsidTr="00A671F1">
        <w:trPr>
          <w:trHeight w:val="1067"/>
        </w:trPr>
        <w:tc>
          <w:tcPr>
            <w:tcW w:w="5524" w:type="dxa"/>
          </w:tcPr>
          <w:p w14:paraId="54AD53CA" w14:textId="63D7AAF6" w:rsidR="00C3701E" w:rsidRPr="0094721A" w:rsidRDefault="00C3701E" w:rsidP="00A671F1">
            <w:pPr>
              <w:pStyle w:val="Possible-Draftingnote"/>
              <w:spacing w:line="276" w:lineRule="auto"/>
              <w:rPr>
                <w:iCs w:val="0"/>
                <w:color w:val="auto"/>
                <w:lang w:val="en-NZ"/>
              </w:rPr>
            </w:pPr>
            <w:r w:rsidRPr="0094721A">
              <w:rPr>
                <w:color w:val="auto"/>
              </w:rPr>
              <w:t xml:space="preserve">Use best endeavours to resolve claims before the puretumu torowhānui scheme is established and offer settlements that do not prejudice survivors’ rights </w:t>
            </w:r>
          </w:p>
        </w:tc>
        <w:tc>
          <w:tcPr>
            <w:tcW w:w="3492" w:type="dxa"/>
          </w:tcPr>
          <w:p w14:paraId="18745C67" w14:textId="4E55541F" w:rsidR="00C3701E" w:rsidRPr="0094721A" w:rsidRDefault="00C3701E" w:rsidP="00A671F1">
            <w:pPr>
              <w:pStyle w:val="Possible-Draftingnote"/>
              <w:spacing w:line="276" w:lineRule="auto"/>
              <w:rPr>
                <w:iCs w:val="0"/>
                <w:color w:val="auto"/>
                <w:lang w:val="en-NZ"/>
              </w:rPr>
            </w:pPr>
            <w:r w:rsidRPr="0094721A">
              <w:rPr>
                <w:color w:val="auto"/>
              </w:rPr>
              <w:t xml:space="preserve">Partly </w:t>
            </w:r>
          </w:p>
        </w:tc>
      </w:tr>
      <w:tr w:rsidR="00C3701E" w:rsidRPr="0094721A" w14:paraId="07DC9B0F" w14:textId="77777777" w:rsidTr="009F24AD">
        <w:tc>
          <w:tcPr>
            <w:tcW w:w="5524" w:type="dxa"/>
          </w:tcPr>
          <w:p w14:paraId="63E93443" w14:textId="7B649DE7" w:rsidR="00C3701E" w:rsidRPr="0094721A" w:rsidRDefault="00C3701E" w:rsidP="00A671F1">
            <w:pPr>
              <w:pStyle w:val="Possible-Draftingnote"/>
              <w:spacing w:line="276" w:lineRule="auto"/>
              <w:rPr>
                <w:iCs w:val="0"/>
                <w:color w:val="auto"/>
                <w:lang w:val="en-NZ"/>
              </w:rPr>
            </w:pPr>
            <w:r w:rsidRPr="0094721A">
              <w:rPr>
                <w:color w:val="auto"/>
              </w:rPr>
              <w:t>Resource training and workforce skill development</w:t>
            </w:r>
          </w:p>
        </w:tc>
        <w:tc>
          <w:tcPr>
            <w:tcW w:w="3492" w:type="dxa"/>
          </w:tcPr>
          <w:p w14:paraId="0486DEBC" w14:textId="5E0AA70B" w:rsidR="00C3701E" w:rsidRPr="0094721A" w:rsidRDefault="00C3701E" w:rsidP="00A671F1">
            <w:pPr>
              <w:pStyle w:val="Possible-Draftingnote"/>
              <w:spacing w:line="276" w:lineRule="auto"/>
              <w:rPr>
                <w:iCs w:val="0"/>
                <w:color w:val="auto"/>
                <w:lang w:val="en-NZ"/>
              </w:rPr>
            </w:pPr>
            <w:r w:rsidRPr="0094721A">
              <w:rPr>
                <w:color w:val="auto"/>
              </w:rPr>
              <w:t>No</w:t>
            </w:r>
          </w:p>
        </w:tc>
      </w:tr>
      <w:tr w:rsidR="00C3701E" w:rsidRPr="0094721A" w14:paraId="4683A191" w14:textId="77777777" w:rsidTr="009F24AD">
        <w:tc>
          <w:tcPr>
            <w:tcW w:w="5524" w:type="dxa"/>
          </w:tcPr>
          <w:p w14:paraId="4E8E3014" w14:textId="743BD25F" w:rsidR="00C3701E" w:rsidRPr="0094721A" w:rsidRDefault="00C3701E" w:rsidP="00A671F1">
            <w:pPr>
              <w:pStyle w:val="Possible-Draftingnote"/>
              <w:spacing w:line="276" w:lineRule="auto"/>
              <w:rPr>
                <w:iCs w:val="0"/>
                <w:color w:val="auto"/>
                <w:lang w:val="en-NZ"/>
              </w:rPr>
            </w:pPr>
            <w:r w:rsidRPr="0094721A">
              <w:rPr>
                <w:color w:val="auto"/>
              </w:rPr>
              <w:t xml:space="preserve">Government to immediately begin stocktake of available oranga </w:t>
            </w:r>
            <w:r>
              <w:rPr>
                <w:color w:val="auto"/>
              </w:rPr>
              <w:t>(welfare)</w:t>
            </w:r>
            <w:r w:rsidRPr="0094721A">
              <w:rPr>
                <w:color w:val="auto"/>
              </w:rPr>
              <w:t xml:space="preserve"> services</w:t>
            </w:r>
          </w:p>
        </w:tc>
        <w:tc>
          <w:tcPr>
            <w:tcW w:w="3492" w:type="dxa"/>
          </w:tcPr>
          <w:p w14:paraId="3FD76188" w14:textId="6673FD10" w:rsidR="00C3701E" w:rsidRPr="0094721A" w:rsidRDefault="00C3701E" w:rsidP="00A671F1">
            <w:pPr>
              <w:pStyle w:val="Possible-Draftingnote"/>
              <w:spacing w:line="276" w:lineRule="auto"/>
              <w:rPr>
                <w:iCs w:val="0"/>
                <w:color w:val="auto"/>
                <w:lang w:val="en-NZ"/>
              </w:rPr>
            </w:pPr>
            <w:r w:rsidRPr="0094721A">
              <w:rPr>
                <w:color w:val="auto"/>
              </w:rPr>
              <w:t>No</w:t>
            </w:r>
          </w:p>
        </w:tc>
      </w:tr>
      <w:tr w:rsidR="00C3701E" w:rsidRPr="0094721A" w14:paraId="52ED93CF" w14:textId="77777777" w:rsidTr="009F24AD">
        <w:tc>
          <w:tcPr>
            <w:tcW w:w="5524" w:type="dxa"/>
          </w:tcPr>
          <w:p w14:paraId="66A5BA6D" w14:textId="7C6445B0" w:rsidR="00C3701E" w:rsidRPr="0094721A" w:rsidRDefault="00C3701E" w:rsidP="00A671F1">
            <w:pPr>
              <w:pStyle w:val="Possible-Draftingnote"/>
              <w:spacing w:line="276" w:lineRule="auto"/>
              <w:rPr>
                <w:iCs w:val="0"/>
                <w:color w:val="auto"/>
                <w:lang w:val="en-NZ"/>
              </w:rPr>
            </w:pPr>
            <w:r w:rsidRPr="0094721A">
              <w:rPr>
                <w:color w:val="auto"/>
              </w:rPr>
              <w:t xml:space="preserve">Māori </w:t>
            </w:r>
            <w:r>
              <w:rPr>
                <w:color w:val="auto"/>
              </w:rPr>
              <w:t>c</w:t>
            </w:r>
            <w:r w:rsidRPr="0094721A">
              <w:rPr>
                <w:color w:val="auto"/>
              </w:rPr>
              <w:t xml:space="preserve">ollective and </w:t>
            </w:r>
            <w:r>
              <w:rPr>
                <w:color w:val="auto"/>
              </w:rPr>
              <w:t>p</w:t>
            </w:r>
            <w:r w:rsidRPr="0094721A">
              <w:rPr>
                <w:color w:val="auto"/>
              </w:rPr>
              <w:t xml:space="preserve">urapura </w:t>
            </w:r>
            <w:r>
              <w:rPr>
                <w:color w:val="auto"/>
              </w:rPr>
              <w:t>o</w:t>
            </w:r>
            <w:r w:rsidRPr="0094721A">
              <w:rPr>
                <w:color w:val="auto"/>
              </w:rPr>
              <w:t xml:space="preserve">ra </w:t>
            </w:r>
            <w:r>
              <w:rPr>
                <w:color w:val="auto"/>
              </w:rPr>
              <w:t>c</w:t>
            </w:r>
            <w:r w:rsidRPr="0094721A">
              <w:rPr>
                <w:color w:val="auto"/>
              </w:rPr>
              <w:t>ollective commission an expert review to make recommendations on extra services needed</w:t>
            </w:r>
          </w:p>
        </w:tc>
        <w:tc>
          <w:tcPr>
            <w:tcW w:w="3492" w:type="dxa"/>
          </w:tcPr>
          <w:p w14:paraId="7EEDE33A" w14:textId="0B9C010C" w:rsidR="00C3701E" w:rsidRPr="0094721A" w:rsidRDefault="00C3701E" w:rsidP="00A671F1">
            <w:pPr>
              <w:pStyle w:val="Possible-Draftingnote"/>
              <w:spacing w:line="276" w:lineRule="auto"/>
              <w:rPr>
                <w:iCs w:val="0"/>
                <w:color w:val="auto"/>
                <w:lang w:val="en-NZ"/>
              </w:rPr>
            </w:pPr>
            <w:r w:rsidRPr="0094721A">
              <w:rPr>
                <w:color w:val="auto"/>
              </w:rPr>
              <w:t>No</w:t>
            </w:r>
          </w:p>
        </w:tc>
      </w:tr>
      <w:tr w:rsidR="00C3701E" w:rsidRPr="0094721A" w14:paraId="49DA9344" w14:textId="77777777" w:rsidTr="009F24AD">
        <w:tc>
          <w:tcPr>
            <w:tcW w:w="5524" w:type="dxa"/>
          </w:tcPr>
          <w:p w14:paraId="4EEDAA93" w14:textId="7AE0DC88" w:rsidR="00C3701E" w:rsidRPr="0094721A" w:rsidRDefault="00C3701E" w:rsidP="00A671F1">
            <w:pPr>
              <w:pStyle w:val="Possible-Draftingnote"/>
              <w:spacing w:line="276" w:lineRule="auto"/>
              <w:rPr>
                <w:iCs w:val="0"/>
                <w:color w:val="auto"/>
                <w:lang w:val="en-NZ"/>
              </w:rPr>
            </w:pPr>
            <w:r w:rsidRPr="0094721A">
              <w:rPr>
                <w:color w:val="auto"/>
              </w:rPr>
              <w:t>Awareness campaigns and research</w:t>
            </w:r>
          </w:p>
        </w:tc>
        <w:tc>
          <w:tcPr>
            <w:tcW w:w="3492" w:type="dxa"/>
          </w:tcPr>
          <w:p w14:paraId="0EB5AE1C" w14:textId="78033787" w:rsidR="00C3701E" w:rsidRPr="0094721A" w:rsidRDefault="00C3701E" w:rsidP="00A671F1">
            <w:pPr>
              <w:pStyle w:val="Possible-Draftingnote"/>
              <w:spacing w:line="276" w:lineRule="auto"/>
              <w:rPr>
                <w:iCs w:val="0"/>
                <w:color w:val="auto"/>
                <w:lang w:val="en-NZ"/>
              </w:rPr>
            </w:pPr>
            <w:r>
              <w:rPr>
                <w:color w:val="auto"/>
              </w:rPr>
              <w:t>Partly</w:t>
            </w:r>
          </w:p>
        </w:tc>
      </w:tr>
      <w:tr w:rsidR="00C3701E" w:rsidRPr="0094721A" w14:paraId="7630C59F" w14:textId="77777777" w:rsidTr="009F24AD">
        <w:tc>
          <w:tcPr>
            <w:tcW w:w="5524" w:type="dxa"/>
          </w:tcPr>
          <w:p w14:paraId="731A78B2" w14:textId="33646205" w:rsidR="00C3701E" w:rsidRPr="0094721A" w:rsidRDefault="00C3701E" w:rsidP="00A671F1">
            <w:pPr>
              <w:pStyle w:val="Possible-Draftingnote"/>
              <w:spacing w:line="276" w:lineRule="auto"/>
              <w:rPr>
                <w:iCs w:val="0"/>
                <w:color w:val="auto"/>
                <w:lang w:val="en-NZ"/>
              </w:rPr>
            </w:pPr>
            <w:r>
              <w:rPr>
                <w:color w:val="auto"/>
              </w:rPr>
              <w:t>Consider funding m</w:t>
            </w:r>
            <w:r w:rsidRPr="0094721A">
              <w:rPr>
                <w:color w:val="auto"/>
              </w:rPr>
              <w:t>emorials, ceremonies, and a national project to investigate unmarked graves and urupā or graves at psychiatric hospitals and psychopaedic sites</w:t>
            </w:r>
            <w:r w:rsidRPr="0094721A" w:rsidDel="00E8683C">
              <w:rPr>
                <w:color w:val="auto"/>
              </w:rPr>
              <w:t xml:space="preserve"> </w:t>
            </w:r>
          </w:p>
        </w:tc>
        <w:tc>
          <w:tcPr>
            <w:tcW w:w="3492" w:type="dxa"/>
          </w:tcPr>
          <w:p w14:paraId="5995495C" w14:textId="2D111742" w:rsidR="00C3701E" w:rsidRPr="0094721A" w:rsidRDefault="00C3701E" w:rsidP="00A671F1">
            <w:pPr>
              <w:pStyle w:val="Possible-Draftingnote"/>
              <w:spacing w:line="276" w:lineRule="auto"/>
              <w:rPr>
                <w:iCs w:val="0"/>
                <w:color w:val="auto"/>
                <w:lang w:val="en-NZ"/>
              </w:rPr>
            </w:pPr>
            <w:r>
              <w:rPr>
                <w:color w:val="auto"/>
              </w:rPr>
              <w:t>Partly</w:t>
            </w:r>
          </w:p>
        </w:tc>
      </w:tr>
      <w:tr w:rsidR="00C3701E" w:rsidRPr="0094721A" w14:paraId="5E4B5D01" w14:textId="77777777" w:rsidTr="009F24AD">
        <w:tc>
          <w:tcPr>
            <w:tcW w:w="5524" w:type="dxa"/>
          </w:tcPr>
          <w:p w14:paraId="7005367D" w14:textId="2DD26959" w:rsidR="00C3701E" w:rsidRPr="0094721A" w:rsidRDefault="00C3701E" w:rsidP="00A671F1">
            <w:pPr>
              <w:pStyle w:val="Possible-Draftingnote"/>
              <w:spacing w:line="276" w:lineRule="auto"/>
              <w:rPr>
                <w:iCs w:val="0"/>
                <w:color w:val="auto"/>
                <w:lang w:val="en-NZ"/>
              </w:rPr>
            </w:pPr>
            <w:r w:rsidRPr="0094721A">
              <w:rPr>
                <w:color w:val="auto"/>
              </w:rPr>
              <w:t>Civil litigation reform, Law Commission review and expanding WorkSafe’s focus areas to include abuse in care</w:t>
            </w:r>
          </w:p>
        </w:tc>
        <w:tc>
          <w:tcPr>
            <w:tcW w:w="3492" w:type="dxa"/>
          </w:tcPr>
          <w:p w14:paraId="130839FF" w14:textId="039B136F" w:rsidR="00C3701E" w:rsidRPr="0094721A" w:rsidRDefault="00C3701E" w:rsidP="00A671F1">
            <w:pPr>
              <w:pStyle w:val="Possible-Draftingnote"/>
              <w:spacing w:line="276" w:lineRule="auto"/>
              <w:rPr>
                <w:iCs w:val="0"/>
                <w:color w:val="auto"/>
                <w:lang w:val="en-NZ"/>
              </w:rPr>
            </w:pPr>
            <w:r w:rsidRPr="0094721A">
              <w:rPr>
                <w:color w:val="auto"/>
              </w:rPr>
              <w:t>No</w:t>
            </w:r>
          </w:p>
        </w:tc>
      </w:tr>
      <w:tr w:rsidR="00C3701E" w:rsidRPr="0094721A" w14:paraId="04C120F5" w14:textId="77777777" w:rsidTr="009F24AD">
        <w:tc>
          <w:tcPr>
            <w:tcW w:w="5524" w:type="dxa"/>
          </w:tcPr>
          <w:p w14:paraId="169F2428" w14:textId="43532744" w:rsidR="00C3701E" w:rsidRPr="0094721A" w:rsidRDefault="00C3701E" w:rsidP="00A671F1">
            <w:pPr>
              <w:pStyle w:val="Possible-Draftingnote"/>
              <w:spacing w:line="276" w:lineRule="auto"/>
              <w:rPr>
                <w:iCs w:val="0"/>
                <w:color w:val="auto"/>
                <w:lang w:val="en-NZ"/>
              </w:rPr>
            </w:pPr>
            <w:r w:rsidRPr="0094721A">
              <w:rPr>
                <w:color w:val="auto"/>
              </w:rPr>
              <w:lastRenderedPageBreak/>
              <w:t>Until limitation reform enacted, institutions should only rely on limitation defences where a fair trial will not be possible</w:t>
            </w:r>
          </w:p>
        </w:tc>
        <w:tc>
          <w:tcPr>
            <w:tcW w:w="3492" w:type="dxa"/>
          </w:tcPr>
          <w:p w14:paraId="723AD7FD" w14:textId="03B616B9" w:rsidR="00C3701E" w:rsidRPr="0094721A" w:rsidRDefault="00C3701E" w:rsidP="00A671F1">
            <w:pPr>
              <w:pStyle w:val="Possible-Draftingnote"/>
              <w:spacing w:line="276" w:lineRule="auto"/>
              <w:rPr>
                <w:iCs w:val="0"/>
                <w:color w:val="auto"/>
                <w:lang w:val="en-NZ"/>
              </w:rPr>
            </w:pPr>
            <w:r>
              <w:rPr>
                <w:color w:val="auto"/>
              </w:rPr>
              <w:t>No statement from Government that reliance on limitation defences will be limited in this way</w:t>
            </w:r>
          </w:p>
        </w:tc>
      </w:tr>
      <w:tr w:rsidR="00C3701E" w:rsidRPr="0094721A" w14:paraId="107CAAE6" w14:textId="77777777" w:rsidTr="009F24AD">
        <w:tc>
          <w:tcPr>
            <w:tcW w:w="5524" w:type="dxa"/>
          </w:tcPr>
          <w:p w14:paraId="11AAC45B" w14:textId="068D91EA" w:rsidR="00C3701E" w:rsidRPr="0094721A" w:rsidRDefault="00C3701E" w:rsidP="00A671F1">
            <w:pPr>
              <w:pStyle w:val="Possible-Draftingnote"/>
              <w:spacing w:line="276" w:lineRule="auto"/>
              <w:rPr>
                <w:iCs w:val="0"/>
                <w:color w:val="auto"/>
                <w:lang w:val="en-NZ"/>
              </w:rPr>
            </w:pPr>
            <w:r>
              <w:rPr>
                <w:color w:val="auto"/>
              </w:rPr>
              <w:t>Review and consider i</w:t>
            </w:r>
            <w:r w:rsidRPr="0094721A">
              <w:rPr>
                <w:color w:val="auto"/>
              </w:rPr>
              <w:t>ncreas</w:t>
            </w:r>
            <w:r>
              <w:rPr>
                <w:color w:val="auto"/>
              </w:rPr>
              <w:t xml:space="preserve">ing the </w:t>
            </w:r>
            <w:r w:rsidRPr="0094721A">
              <w:rPr>
                <w:color w:val="auto"/>
              </w:rPr>
              <w:t>legal aid rates for abuse in care cases and</w:t>
            </w:r>
            <w:r>
              <w:rPr>
                <w:color w:val="auto"/>
              </w:rPr>
              <w:t xml:space="preserve"> offer</w:t>
            </w:r>
            <w:r w:rsidRPr="0094721A">
              <w:rPr>
                <w:color w:val="auto"/>
              </w:rPr>
              <w:t xml:space="preserve"> training for lawyers interested in this work </w:t>
            </w:r>
          </w:p>
        </w:tc>
        <w:tc>
          <w:tcPr>
            <w:tcW w:w="3492" w:type="dxa"/>
          </w:tcPr>
          <w:p w14:paraId="5F3B9A0B" w14:textId="794F8300" w:rsidR="00C3701E" w:rsidRPr="005D3B25" w:rsidRDefault="00C3701E" w:rsidP="00A671F1">
            <w:pPr>
              <w:pStyle w:val="Possible-Draftingnote"/>
              <w:spacing w:line="276" w:lineRule="auto"/>
              <w:rPr>
                <w:color w:val="auto"/>
                <w:lang w:val="en-US"/>
              </w:rPr>
            </w:pPr>
            <w:r w:rsidRPr="00737603">
              <w:rPr>
                <w:color w:val="auto"/>
                <w:lang w:val="en-US"/>
              </w:rPr>
              <w:t xml:space="preserve">Increases to legal aid rates generally have occurred. </w:t>
            </w:r>
            <w:r>
              <w:rPr>
                <w:color w:val="auto"/>
                <w:lang w:val="en-US"/>
              </w:rPr>
              <w:t>No specific review or increase for abuse in care cases, and n</w:t>
            </w:r>
            <w:r w:rsidRPr="00737603">
              <w:rPr>
                <w:color w:val="auto"/>
                <w:lang w:val="en-US"/>
              </w:rPr>
              <w:t>o training offered</w:t>
            </w:r>
            <w:r>
              <w:rPr>
                <w:color w:val="auto"/>
                <w:lang w:val="en-US"/>
              </w:rPr>
              <w:t>. Request by Cooper Legal for an increased rate declined</w:t>
            </w:r>
            <w:r w:rsidRPr="7BACFACF">
              <w:rPr>
                <w:color w:val="auto"/>
                <w:lang w:val="en-US"/>
              </w:rPr>
              <w:t xml:space="preserve"> </w:t>
            </w:r>
          </w:p>
        </w:tc>
      </w:tr>
      <w:tr w:rsidR="00C3701E" w:rsidRPr="0094721A" w14:paraId="1E915B3F" w14:textId="77777777" w:rsidTr="00A671F1">
        <w:trPr>
          <w:trHeight w:val="465"/>
        </w:trPr>
        <w:tc>
          <w:tcPr>
            <w:tcW w:w="5524" w:type="dxa"/>
          </w:tcPr>
          <w:p w14:paraId="450216CF" w14:textId="6179682E" w:rsidR="00C3701E" w:rsidRPr="0094721A" w:rsidRDefault="00C3701E" w:rsidP="00A671F1">
            <w:pPr>
              <w:pStyle w:val="Possible-Draftingnote"/>
              <w:spacing w:line="276" w:lineRule="auto"/>
              <w:rPr>
                <w:iCs w:val="0"/>
                <w:color w:val="auto"/>
                <w:lang w:val="en-NZ"/>
              </w:rPr>
            </w:pPr>
            <w:r w:rsidRPr="0094721A">
              <w:rPr>
                <w:color w:val="auto"/>
              </w:rPr>
              <w:t>Model litigant policy and guide for responding to abuse in care cases</w:t>
            </w:r>
          </w:p>
        </w:tc>
        <w:tc>
          <w:tcPr>
            <w:tcW w:w="3492" w:type="dxa"/>
          </w:tcPr>
          <w:p w14:paraId="7C31D23F" w14:textId="099E940A" w:rsidR="00C3701E" w:rsidRPr="0094721A" w:rsidRDefault="00C3701E" w:rsidP="00A671F1">
            <w:pPr>
              <w:pStyle w:val="Possible-Draftingnote"/>
              <w:spacing w:line="276" w:lineRule="auto"/>
              <w:rPr>
                <w:iCs w:val="0"/>
                <w:color w:val="auto"/>
                <w:lang w:val="en-NZ"/>
              </w:rPr>
            </w:pPr>
            <w:r w:rsidRPr="0094721A">
              <w:rPr>
                <w:color w:val="auto"/>
              </w:rPr>
              <w:t>No</w:t>
            </w:r>
          </w:p>
        </w:tc>
      </w:tr>
    </w:tbl>
    <w:p w14:paraId="113864EC" w14:textId="77777777" w:rsidR="00C3701E" w:rsidRPr="00E04DFE" w:rsidRDefault="00C3701E" w:rsidP="00641874">
      <w:bookmarkStart w:id="61" w:name="_Toc140149587"/>
      <w:bookmarkStart w:id="62" w:name="_Toc140567993"/>
      <w:bookmarkStart w:id="63" w:name="_Toc141958545"/>
      <w:bookmarkStart w:id="64" w:name="_Toc141971172"/>
      <w:bookmarkStart w:id="65" w:name="_Toc142044154"/>
      <w:bookmarkStart w:id="66" w:name="_Toc142313459"/>
      <w:bookmarkStart w:id="67" w:name="_Toc142991631"/>
      <w:bookmarkStart w:id="68" w:name="_Toc143014143"/>
      <w:bookmarkStart w:id="69" w:name="_Toc145415108"/>
      <w:bookmarkStart w:id="70" w:name="_Toc147850574"/>
    </w:p>
    <w:p w14:paraId="500CA450" w14:textId="77777777" w:rsidR="00C3701E" w:rsidRDefault="00C3701E" w:rsidP="00835043">
      <w:pPr>
        <w:pStyle w:val="Heading2"/>
      </w:pPr>
      <w:bookmarkStart w:id="71" w:name="_Toc181080925"/>
      <w:r>
        <w:t>Te pūnaha puretumu torowhānui</w:t>
      </w:r>
      <w:bookmarkEnd w:id="71"/>
    </w:p>
    <w:p w14:paraId="202B25BE" w14:textId="10085FAA" w:rsidR="00C3701E" w:rsidRDefault="00C3701E" w:rsidP="00835043">
      <w:pPr>
        <w:pStyle w:val="Heading2"/>
      </w:pPr>
      <w:bookmarkStart w:id="72" w:name="_Toc181080926"/>
      <w:r>
        <w:t>Puretumu torowhānui system</w:t>
      </w:r>
      <w:bookmarkEnd w:id="72"/>
    </w:p>
    <w:p w14:paraId="07A1A57A" w14:textId="5007BB67" w:rsidR="00C3701E" w:rsidRDefault="00C3701E" w:rsidP="003753E9">
      <w:pPr>
        <w:pStyle w:val="Vol4Numberedparas"/>
        <w:ind w:left="993" w:hanging="993"/>
      </w:pPr>
      <w:r>
        <w:t>The Inquiry’s recommendations on the new puretumu torowhānui system it proposed included that the system, and those designing and operating it,</w:t>
      </w:r>
      <w:r w:rsidRPr="00A91037">
        <w:t xml:space="preserve"> should give effect to </w:t>
      </w:r>
      <w:r>
        <w:t xml:space="preserve">a set of principles and </w:t>
      </w:r>
      <w:r w:rsidRPr="00A91037">
        <w:t>te Tiriti o Waitangi and its principles</w:t>
      </w:r>
      <w:r>
        <w:t xml:space="preserve">, particularly the right to </w:t>
      </w:r>
      <w:r w:rsidRPr="00A91037">
        <w:t xml:space="preserve">tino rangatiratanga. </w:t>
      </w:r>
      <w:r>
        <w:t>The system</w:t>
      </w:r>
      <w:r w:rsidRPr="00A91037">
        <w:t xml:space="preserve"> shou</w:t>
      </w:r>
      <w:r>
        <w:t>ld</w:t>
      </w:r>
      <w:r w:rsidRPr="00A91037">
        <w:t xml:space="preserve"> also be consistent with the commitments Aotearoa New Zealand has under international human rights law, including that effective redress must be available for human rights violations</w:t>
      </w:r>
      <w:r>
        <w:t>.</w:t>
      </w:r>
      <w:r>
        <w:rPr>
          <w:rStyle w:val="EndnoteReference"/>
          <w:rFonts w:eastAsiaTheme="minorHAnsi"/>
          <w:kern w:val="0"/>
          <w:szCs w:val="16"/>
          <w:lang w:eastAsia="en-US"/>
          <w14:ligatures w14:val="none"/>
        </w:rPr>
        <w:endnoteReference w:id="5"/>
      </w:r>
      <w:r>
        <w:t xml:space="preserve"> </w:t>
      </w:r>
      <w:r w:rsidRPr="001440AC">
        <w:t xml:space="preserve"> </w:t>
      </w:r>
      <w:r w:rsidRPr="0094721A">
        <w:t xml:space="preserve">The principles and purpose </w:t>
      </w:r>
      <w:r>
        <w:t>the Inquiry</w:t>
      </w:r>
      <w:r w:rsidRPr="0094721A">
        <w:t xml:space="preserve"> recommended for the puretumu torowhānui system</w:t>
      </w:r>
      <w:r w:rsidRPr="0094721A">
        <w:rPr>
          <w:rStyle w:val="EndnoteReference"/>
        </w:rPr>
        <w:endnoteReference w:id="6"/>
      </w:r>
      <w:r w:rsidRPr="0094721A">
        <w:rPr>
          <w:rStyle w:val="EndnoteReference"/>
        </w:rPr>
        <w:t xml:space="preserve"> </w:t>
      </w:r>
      <w:r>
        <w:t xml:space="preserve">were </w:t>
      </w:r>
      <w:r w:rsidRPr="0094721A">
        <w:t xml:space="preserve">endorsed in principle by Cabinet </w:t>
      </w:r>
      <w:r>
        <w:t xml:space="preserve">in 2022.   </w:t>
      </w:r>
      <w:r>
        <w:br/>
      </w:r>
    </w:p>
    <w:p w14:paraId="2F4DDD72" w14:textId="77777777" w:rsidR="00C3701E" w:rsidRDefault="00C3701E">
      <w:pPr>
        <w:spacing w:after="160"/>
        <w:rPr>
          <w:rFonts w:ascii="Arial" w:eastAsiaTheme="majorEastAsia" w:hAnsi="Arial" w:cstheme="majorBidi"/>
          <w:b/>
          <w:color w:val="385623" w:themeColor="accent6" w:themeShade="80"/>
          <w:sz w:val="28"/>
          <w:szCs w:val="26"/>
        </w:rPr>
      </w:pPr>
      <w:r>
        <w:br w:type="page"/>
      </w:r>
    </w:p>
    <w:p w14:paraId="15AE6ED4" w14:textId="3ED5E8B9" w:rsidR="00C3701E" w:rsidRPr="0094721A" w:rsidRDefault="00C3701E" w:rsidP="00835043">
      <w:pPr>
        <w:pStyle w:val="Heading2"/>
      </w:pPr>
      <w:bookmarkStart w:id="73" w:name="_Toc181080927"/>
      <w:r>
        <w:lastRenderedPageBreak/>
        <w:t>He kaupapa puretumu hou kua horahia, he ohu hoahoa, me te ohu kaitohutohu kua whakatūria</w:t>
      </w:r>
      <w:bookmarkEnd w:id="73"/>
    </w:p>
    <w:p w14:paraId="792EDA84" w14:textId="7E91F344" w:rsidR="00C3701E" w:rsidRPr="0094721A" w:rsidRDefault="00C3701E" w:rsidP="00835043">
      <w:pPr>
        <w:pStyle w:val="Heading2"/>
      </w:pPr>
      <w:bookmarkStart w:id="74" w:name="_Toc181080928"/>
      <w:r>
        <w:t>New independent redress scheme announced, design and advisory group established</w:t>
      </w:r>
      <w:bookmarkEnd w:id="74"/>
    </w:p>
    <w:p w14:paraId="340AFD70" w14:textId="02A497B4" w:rsidR="00C3701E" w:rsidRPr="0094721A" w:rsidRDefault="00C3701E" w:rsidP="005D6034">
      <w:pPr>
        <w:pStyle w:val="Vol4Numberedparas"/>
        <w:ind w:left="993" w:hanging="993"/>
        <w:rPr>
          <w:rFonts w:cstheme="minorBidi"/>
          <w:sz w:val="24"/>
          <w:szCs w:val="24"/>
        </w:rPr>
      </w:pPr>
      <w:r>
        <w:t xml:space="preserve">In </w:t>
      </w:r>
      <w:r w:rsidRPr="0094721A">
        <w:t>He Purapura Ora, he Māra Tipu</w:t>
      </w:r>
      <w:r>
        <w:t>, the Inquiry</w:t>
      </w:r>
      <w:r w:rsidRPr="0094721A">
        <w:rPr>
          <w:i/>
          <w:iCs/>
        </w:rPr>
        <w:t xml:space="preserve"> </w:t>
      </w:r>
      <w:r w:rsidRPr="0094721A">
        <w:t>recommended that</w:t>
      </w:r>
      <w:r w:rsidRPr="0094721A">
        <w:rPr>
          <w:i/>
          <w:iCs/>
        </w:rPr>
        <w:t xml:space="preserve"> </w:t>
      </w:r>
      <w:r w:rsidRPr="0094721A">
        <w:t>the Government establish a fair, effective, accessible and independent puretumu torowhānui scheme.</w:t>
      </w:r>
      <w:r w:rsidRPr="0094721A">
        <w:rPr>
          <w:rStyle w:val="EndnoteReference"/>
        </w:rPr>
        <w:endnoteReference w:id="7"/>
      </w:r>
      <w:r w:rsidRPr="0094721A">
        <w:rPr>
          <w:rStyle w:val="EndnoteReference"/>
        </w:rPr>
        <w:t xml:space="preserve"> </w:t>
      </w:r>
      <w:r w:rsidRPr="0094721A">
        <w:rPr>
          <w:rFonts w:cstheme="minorBidi"/>
          <w:sz w:val="24"/>
          <w:szCs w:val="24"/>
        </w:rPr>
        <w:t xml:space="preserve"> </w:t>
      </w:r>
      <w:r>
        <w:t>The Inquiry</w:t>
      </w:r>
      <w:r w:rsidRPr="0094721A">
        <w:t xml:space="preserve"> also recommended the establishment of a Māori </w:t>
      </w:r>
      <w:r>
        <w:t>c</w:t>
      </w:r>
      <w:r w:rsidRPr="0094721A">
        <w:t>ollective</w:t>
      </w:r>
      <w:r w:rsidRPr="0094721A">
        <w:rPr>
          <w:rStyle w:val="EndnoteReference"/>
        </w:rPr>
        <w:endnoteReference w:id="8"/>
      </w:r>
      <w:r w:rsidRPr="0094721A">
        <w:rPr>
          <w:rStyle w:val="EndnoteReference"/>
        </w:rPr>
        <w:t xml:space="preserve"> </w:t>
      </w:r>
      <w:r w:rsidRPr="0094721A">
        <w:t xml:space="preserve">and a </w:t>
      </w:r>
      <w:r>
        <w:t>p</w:t>
      </w:r>
      <w:r w:rsidRPr="0094721A">
        <w:t xml:space="preserve">urapura </w:t>
      </w:r>
      <w:r>
        <w:t>o</w:t>
      </w:r>
      <w:r w:rsidRPr="0094721A">
        <w:t>ra</w:t>
      </w:r>
      <w:r>
        <w:t xml:space="preserve"> (survivors)</w:t>
      </w:r>
      <w:r w:rsidRPr="0094721A">
        <w:t xml:space="preserve"> </w:t>
      </w:r>
      <w:r>
        <w:t>c</w:t>
      </w:r>
      <w:r w:rsidRPr="0094721A">
        <w:t>ollective</w:t>
      </w:r>
      <w:r w:rsidRPr="0094721A">
        <w:rPr>
          <w:rFonts w:cstheme="minorBidi"/>
          <w:sz w:val="24"/>
          <w:szCs w:val="24"/>
        </w:rPr>
        <w:t>.</w:t>
      </w:r>
      <w:r w:rsidRPr="0094721A">
        <w:rPr>
          <w:rStyle w:val="EndnoteReference"/>
        </w:rPr>
        <w:endnoteReference w:id="9"/>
      </w:r>
      <w:r w:rsidRPr="0094721A">
        <w:rPr>
          <w:sz w:val="24"/>
          <w:szCs w:val="24"/>
        </w:rPr>
        <w:t xml:space="preserve"> </w:t>
      </w:r>
      <w:r w:rsidRPr="0094721A">
        <w:rPr>
          <w:rFonts w:cstheme="minorBidi"/>
          <w:sz w:val="24"/>
          <w:szCs w:val="24"/>
        </w:rPr>
        <w:t xml:space="preserve"> </w:t>
      </w:r>
    </w:p>
    <w:p w14:paraId="4EFEB3B6" w14:textId="26F18AF8" w:rsidR="00C3701E" w:rsidRPr="00641874" w:rsidRDefault="00C3701E" w:rsidP="00D30093">
      <w:pPr>
        <w:pStyle w:val="Heading3"/>
        <w:rPr>
          <w:i/>
          <w:iCs/>
        </w:rPr>
      </w:pPr>
      <w:bookmarkStart w:id="75" w:name="_Toc181080929"/>
      <w:r w:rsidRPr="00ED72D0">
        <w:t>He kaupapa motuhake me ngā angawā tīmatanga</w:t>
      </w:r>
      <w:bookmarkEnd w:id="75"/>
      <w:r w:rsidRPr="00ED72D0">
        <w:t xml:space="preserve"> </w:t>
      </w:r>
    </w:p>
    <w:p w14:paraId="49051891" w14:textId="2631AB06" w:rsidR="00C3701E" w:rsidRPr="00641874" w:rsidRDefault="00C3701E" w:rsidP="00D30093">
      <w:pPr>
        <w:pStyle w:val="Heading3"/>
        <w:rPr>
          <w:i/>
          <w:iCs/>
        </w:rPr>
      </w:pPr>
      <w:bookmarkStart w:id="76" w:name="_Toc181080930"/>
      <w:r w:rsidRPr="00ED72D0">
        <w:t>New independent scheme and initial timeframes</w:t>
      </w:r>
      <w:bookmarkEnd w:id="76"/>
    </w:p>
    <w:p w14:paraId="5D68A2EE" w14:textId="566AD9BF" w:rsidR="00C3701E" w:rsidRPr="0094721A" w:rsidRDefault="00C3701E" w:rsidP="005D6034">
      <w:pPr>
        <w:pStyle w:val="Vol4Numberedparas"/>
        <w:ind w:left="993" w:hanging="993"/>
      </w:pPr>
      <w:r w:rsidRPr="0094721A">
        <w:t>On 15 December 202</w:t>
      </w:r>
      <w:r>
        <w:t>1,</w:t>
      </w:r>
      <w:r w:rsidRPr="0094721A">
        <w:t xml:space="preserve"> the</w:t>
      </w:r>
      <w:r>
        <w:t xml:space="preserve"> then</w:t>
      </w:r>
      <w:r w:rsidRPr="0094721A">
        <w:t xml:space="preserve"> Government announced that survivors </w:t>
      </w:r>
      <w:r>
        <w:t xml:space="preserve">would </w:t>
      </w:r>
      <w:r w:rsidRPr="0094721A">
        <w:t xml:space="preserve">have access to a new, independent </w:t>
      </w:r>
      <w:r>
        <w:t xml:space="preserve">holistic </w:t>
      </w:r>
      <w:r w:rsidRPr="0094721A">
        <w:t>redress scheme. The Government also announced that a detailed design process for its new scheme would begin in mid-2022. At that stage, the Government stated that its aim was for Cabinet to make final decisions about the new scheme in mid-2023, and to introduce it soon after that.</w:t>
      </w:r>
      <w:r w:rsidRPr="0094721A">
        <w:rPr>
          <w:rStyle w:val="EndnoteReference"/>
        </w:rPr>
        <w:endnoteReference w:id="10"/>
      </w:r>
      <w:r w:rsidRPr="0094721A">
        <w:t xml:space="preserve"> </w:t>
      </w:r>
    </w:p>
    <w:p w14:paraId="5FCAF2D3" w14:textId="02E3DA50" w:rsidR="00C3701E" w:rsidRPr="009A17DB" w:rsidRDefault="00C3701E" w:rsidP="005D6034">
      <w:pPr>
        <w:pStyle w:val="Vol4Numberedparas"/>
        <w:ind w:left="993" w:hanging="993"/>
      </w:pPr>
      <w:r w:rsidRPr="0094721A">
        <w:t>In December 2022, those timeframes were revised. By July 2023, Cabinet was to consider high-level design proposals rather than making final decisions. Full system design and costs would be considered as part of Budget 2024.</w:t>
      </w:r>
      <w:r w:rsidRPr="7CFE722A">
        <w:rPr>
          <w:rStyle w:val="EndnoteReference"/>
        </w:rPr>
        <w:endnoteReference w:id="11"/>
      </w:r>
    </w:p>
    <w:p w14:paraId="2EE61C0A" w14:textId="77942025" w:rsidR="00C3701E" w:rsidRPr="00641874" w:rsidRDefault="00C3701E" w:rsidP="00D30093">
      <w:pPr>
        <w:pStyle w:val="Heading3"/>
        <w:rPr>
          <w:i/>
          <w:iCs/>
        </w:rPr>
      </w:pPr>
      <w:bookmarkStart w:id="77" w:name="_Toc181080931"/>
      <w:r w:rsidRPr="00ED72D0">
        <w:t>Te arowhāinga mō</w:t>
      </w:r>
      <w:r w:rsidRPr="27F214E7">
        <w:t xml:space="preserve"> te ohu hoahoa me te ohu kaitohutohu</w:t>
      </w:r>
      <w:bookmarkEnd w:id="77"/>
    </w:p>
    <w:p w14:paraId="46A1E0A2" w14:textId="2BFC111D" w:rsidR="00C3701E" w:rsidRPr="00ED72D0" w:rsidRDefault="00C3701E" w:rsidP="00D30093">
      <w:pPr>
        <w:pStyle w:val="Heading3"/>
      </w:pPr>
      <w:bookmarkStart w:id="78" w:name="_Toc181080932"/>
      <w:r w:rsidRPr="00ED72D0">
        <w:t>Redress design and advisory group</w:t>
      </w:r>
      <w:r>
        <w:t>,</w:t>
      </w:r>
      <w:r w:rsidRPr="00ED72D0">
        <w:t xml:space="preserve"> purpose</w:t>
      </w:r>
      <w:bookmarkEnd w:id="78"/>
      <w:r w:rsidRPr="00ED72D0">
        <w:t xml:space="preserve"> </w:t>
      </w:r>
    </w:p>
    <w:p w14:paraId="0C53E10E" w14:textId="63B8647D" w:rsidR="00C3701E" w:rsidRDefault="00C3701E" w:rsidP="005D6034">
      <w:pPr>
        <w:pStyle w:val="Vol4Numberedparas"/>
        <w:ind w:left="993" w:hanging="993"/>
      </w:pPr>
      <w:r>
        <w:t>Hon Andrew Little, then Minister for the Public Service, announced in mid-2023 that the</w:t>
      </w:r>
      <w:r w:rsidRPr="0094721A">
        <w:t xml:space="preserve"> Government </w:t>
      </w:r>
      <w:r>
        <w:t xml:space="preserve">had </w:t>
      </w:r>
      <w:r w:rsidRPr="0094721A">
        <w:t xml:space="preserve">decided a Redress Design Group supported by an Advisory Group would lead the high-level design of the new scheme. It decided not to establish the </w:t>
      </w:r>
      <w:r>
        <w:t>c</w:t>
      </w:r>
      <w:r w:rsidRPr="0094721A">
        <w:t xml:space="preserve">ollectives </w:t>
      </w:r>
      <w:r>
        <w:t>the Inquiry</w:t>
      </w:r>
      <w:r w:rsidRPr="0094721A">
        <w:t xml:space="preserve"> recommended.  </w:t>
      </w:r>
    </w:p>
    <w:p w14:paraId="33F40E0A" w14:textId="77777777" w:rsidR="00C3701E" w:rsidRDefault="00C3701E">
      <w:pPr>
        <w:spacing w:after="160"/>
        <w:rPr>
          <w:rFonts w:ascii="Arial" w:eastAsiaTheme="minorEastAsia" w:hAnsi="Arial" w:cs="Arial"/>
          <w:kern w:val="2"/>
          <w:lang w:eastAsia="en-NZ"/>
          <w14:ligatures w14:val="standardContextual"/>
        </w:rPr>
      </w:pPr>
      <w:r>
        <w:br w:type="page"/>
      </w:r>
    </w:p>
    <w:p w14:paraId="08ED98A0" w14:textId="678B62A8" w:rsidR="00C3701E" w:rsidRPr="0094721A" w:rsidRDefault="00C3701E" w:rsidP="003541C4">
      <w:pPr>
        <w:pStyle w:val="Vol4Numberedparas"/>
        <w:ind w:left="993" w:hanging="993"/>
      </w:pPr>
      <w:r>
        <w:lastRenderedPageBreak/>
        <w:t>The principles and purpose the Inquiry recommended were also included in the Design and Advisory Groups’ terms of reference.</w:t>
      </w:r>
      <w:r w:rsidRPr="0094721A">
        <w:rPr>
          <w:rStyle w:val="EndnoteReference"/>
        </w:rPr>
        <w:endnoteReference w:id="12"/>
      </w:r>
      <w:r w:rsidRPr="0094721A">
        <w:rPr>
          <w:rStyle w:val="EndnoteReference"/>
        </w:rPr>
        <w:t xml:space="preserve"> </w:t>
      </w:r>
      <w:r w:rsidRPr="0094721A">
        <w:t xml:space="preserve">The Government proposed that its new redress scheme </w:t>
      </w:r>
      <w:r>
        <w:t xml:space="preserve">would </w:t>
      </w:r>
      <w:r w:rsidRPr="0094721A">
        <w:t xml:space="preserve">cover abuse in </w:t>
      </w:r>
      <w:r>
        <w:t>S</w:t>
      </w:r>
      <w:r w:rsidRPr="0094721A">
        <w:t xml:space="preserve">tate, indirect </w:t>
      </w:r>
      <w:r>
        <w:t>S</w:t>
      </w:r>
      <w:r w:rsidRPr="0094721A">
        <w:t xml:space="preserve">tate and faith-based care, as </w:t>
      </w:r>
      <w:r>
        <w:t>the Inquiry</w:t>
      </w:r>
      <w:r w:rsidRPr="0094721A">
        <w:t xml:space="preserve"> recommended.</w:t>
      </w:r>
      <w:r w:rsidRPr="0094721A">
        <w:rPr>
          <w:rStyle w:val="EndnoteReference"/>
        </w:rPr>
        <w:endnoteReference w:id="13"/>
      </w:r>
      <w:r w:rsidRPr="0094721A">
        <w:t xml:space="preserve"> However, this </w:t>
      </w:r>
      <w:r>
        <w:t>was</w:t>
      </w:r>
      <w:r w:rsidRPr="0094721A">
        <w:t xml:space="preserve"> subject to the Government agreeing suitable funding arrangements for the new scheme with faith-based and other relevant institutions.</w:t>
      </w:r>
      <w:r w:rsidRPr="0094721A">
        <w:rPr>
          <w:rStyle w:val="EndnoteReference"/>
        </w:rPr>
        <w:endnoteReference w:id="14"/>
      </w:r>
      <w:r w:rsidRPr="0094721A">
        <w:rPr>
          <w:rStyle w:val="EndnoteReference"/>
        </w:rPr>
        <w:t xml:space="preserve">  </w:t>
      </w:r>
      <w:r w:rsidRPr="0094721A">
        <w:t xml:space="preserve">The Government also stated that the Design Group </w:t>
      </w:r>
      <w:r>
        <w:t xml:space="preserve">would </w:t>
      </w:r>
      <w:r w:rsidRPr="0094721A">
        <w:t>need to consider phasing non-</w:t>
      </w:r>
      <w:r>
        <w:t>S</w:t>
      </w:r>
      <w:r w:rsidRPr="0094721A">
        <w:t>tate care survivors into the new scheme.</w:t>
      </w:r>
      <w:r w:rsidRPr="0094721A">
        <w:rPr>
          <w:rStyle w:val="EndnoteReference"/>
        </w:rPr>
        <w:endnoteReference w:id="15"/>
      </w:r>
    </w:p>
    <w:p w14:paraId="1E04F0FE" w14:textId="7543C91E" w:rsidR="00C3701E" w:rsidRDefault="00C3701E" w:rsidP="003541C4">
      <w:pPr>
        <w:pStyle w:val="Vol4Numberedparas"/>
        <w:ind w:left="993" w:hanging="993"/>
      </w:pPr>
      <w:r w:rsidRPr="0094721A">
        <w:t xml:space="preserve">As </w:t>
      </w:r>
      <w:r>
        <w:t>the Inquiry</w:t>
      </w:r>
      <w:r w:rsidRPr="0094721A">
        <w:t xml:space="preserve"> recommended,</w:t>
      </w:r>
      <w:r w:rsidRPr="0094721A">
        <w:rPr>
          <w:rStyle w:val="EndnoteReference"/>
        </w:rPr>
        <w:endnoteReference w:id="16"/>
      </w:r>
      <w:r w:rsidRPr="0094721A">
        <w:t xml:space="preserve"> the Government proposed that the new scheme include current and future survivors</w:t>
      </w:r>
      <w:r>
        <w:t xml:space="preserve"> of abuse and neglect</w:t>
      </w:r>
      <w:r w:rsidRPr="0094721A">
        <w:t>.</w:t>
      </w:r>
      <w:r w:rsidRPr="0094721A">
        <w:rPr>
          <w:rStyle w:val="EndnoteReference"/>
        </w:rPr>
        <w:endnoteReference w:id="17"/>
      </w:r>
    </w:p>
    <w:p w14:paraId="4685BFBB" w14:textId="37D515D4" w:rsidR="00C3701E" w:rsidRDefault="00C3701E" w:rsidP="003541C4">
      <w:pPr>
        <w:pStyle w:val="Vol4Numberedparas"/>
        <w:ind w:left="993" w:hanging="993"/>
      </w:pPr>
      <w:r w:rsidRPr="0094721A">
        <w:t xml:space="preserve">One of the </w:t>
      </w:r>
      <w:r>
        <w:t>d</w:t>
      </w:r>
      <w:r w:rsidRPr="0094721A">
        <w:t xml:space="preserve">esign </w:t>
      </w:r>
      <w:r>
        <w:t>g</w:t>
      </w:r>
      <w:r w:rsidRPr="0094721A">
        <w:t xml:space="preserve">roup’s </w:t>
      </w:r>
      <w:r>
        <w:t>c</w:t>
      </w:r>
      <w:r w:rsidRPr="0094721A">
        <w:t>o-</w:t>
      </w:r>
      <w:r>
        <w:t>c</w:t>
      </w:r>
      <w:r w:rsidRPr="0094721A">
        <w:t xml:space="preserve">hairs </w:t>
      </w:r>
      <w:r>
        <w:t>was</w:t>
      </w:r>
      <w:r w:rsidRPr="0094721A">
        <w:t xml:space="preserve"> a survivor, and both </w:t>
      </w:r>
      <w:r>
        <w:t>c</w:t>
      </w:r>
      <w:r w:rsidRPr="0094721A">
        <w:t>o-</w:t>
      </w:r>
      <w:r>
        <w:t>c</w:t>
      </w:r>
      <w:r w:rsidRPr="0094721A">
        <w:t xml:space="preserve">hairs </w:t>
      </w:r>
      <w:r>
        <w:t xml:space="preserve">were </w:t>
      </w:r>
      <w:r w:rsidRPr="0094721A">
        <w:t>Māori.</w:t>
      </w:r>
      <w:r w:rsidRPr="0094721A">
        <w:rPr>
          <w:rStyle w:val="EndnoteReference"/>
        </w:rPr>
        <w:endnoteReference w:id="18"/>
      </w:r>
      <w:r w:rsidRPr="0094721A">
        <w:t xml:space="preserve"> The </w:t>
      </w:r>
      <w:r>
        <w:t>d</w:t>
      </w:r>
      <w:r w:rsidRPr="0094721A">
        <w:t xml:space="preserve">esign and </w:t>
      </w:r>
      <w:r>
        <w:t>a</w:t>
      </w:r>
      <w:r w:rsidRPr="0094721A">
        <w:t xml:space="preserve">dvisory </w:t>
      </w:r>
      <w:r>
        <w:t>g</w:t>
      </w:r>
      <w:r w:rsidRPr="0094721A">
        <w:t xml:space="preserve">roups’ members </w:t>
      </w:r>
      <w:r>
        <w:t xml:space="preserve">were </w:t>
      </w:r>
      <w:r w:rsidRPr="0094721A">
        <w:t>predominantly survivors.</w:t>
      </w:r>
      <w:r w:rsidRPr="0094721A">
        <w:rPr>
          <w:rStyle w:val="EndnoteReference"/>
        </w:rPr>
        <w:endnoteReference w:id="19"/>
      </w:r>
      <w:r w:rsidRPr="0094721A">
        <w:t xml:space="preserve"> </w:t>
      </w:r>
      <w:r w:rsidRPr="001A1589">
        <w:t xml:space="preserve">The membership was also made up of representatives </w:t>
      </w:r>
      <w:r>
        <w:t>including</w:t>
      </w:r>
      <w:r w:rsidRPr="001A1589">
        <w:t xml:space="preserve"> Pacific </w:t>
      </w:r>
      <w:r>
        <w:t>P</w:t>
      </w:r>
      <w:r w:rsidRPr="001A1589">
        <w:t xml:space="preserve">eoples, disabled people, rangatahi and </w:t>
      </w:r>
      <w:r>
        <w:t>R</w:t>
      </w:r>
      <w:r w:rsidRPr="001A1589">
        <w:t>ainbow, academia and survivor advocates</w:t>
      </w:r>
      <w:r w:rsidRPr="0094721A">
        <w:t>.</w:t>
      </w:r>
      <w:r w:rsidRPr="0094721A">
        <w:rPr>
          <w:rStyle w:val="EndnoteReference"/>
        </w:rPr>
        <w:endnoteReference w:id="20"/>
      </w:r>
      <w:r w:rsidRPr="0094721A">
        <w:t xml:space="preserve">  </w:t>
      </w:r>
    </w:p>
    <w:p w14:paraId="7B580870" w14:textId="77777777" w:rsidR="00C3701E" w:rsidRDefault="00C3701E">
      <w:pPr>
        <w:spacing w:after="160"/>
        <w:rPr>
          <w:rFonts w:ascii="Arial" w:eastAsia="Arial" w:hAnsi="Arial" w:cs="Arial"/>
          <w:b/>
          <w:color w:val="385623" w:themeColor="accent6" w:themeShade="80"/>
          <w:sz w:val="26"/>
        </w:rPr>
      </w:pPr>
      <w:r>
        <w:br w:type="page"/>
      </w:r>
    </w:p>
    <w:p w14:paraId="3939EC1D" w14:textId="34CB6E6D" w:rsidR="00C3701E" w:rsidRPr="00641874" w:rsidRDefault="00C3701E" w:rsidP="00D30093">
      <w:pPr>
        <w:pStyle w:val="Heading3"/>
        <w:rPr>
          <w:i/>
          <w:iCs/>
        </w:rPr>
      </w:pPr>
      <w:bookmarkStart w:id="80" w:name="_Toc181080933"/>
      <w:r w:rsidRPr="00ED72D0">
        <w:lastRenderedPageBreak/>
        <w:t>Te takaroa o te whai whakatau mō te pūnaha whaitika</w:t>
      </w:r>
      <w:bookmarkEnd w:id="80"/>
    </w:p>
    <w:p w14:paraId="2AE3A66E" w14:textId="23B12CAD" w:rsidR="00C3701E" w:rsidRPr="00641874" w:rsidRDefault="00C3701E" w:rsidP="00D30093">
      <w:pPr>
        <w:pStyle w:val="Heading3"/>
        <w:rPr>
          <w:i/>
          <w:iCs/>
        </w:rPr>
      </w:pPr>
      <w:bookmarkStart w:id="81" w:name="_Toc181080934"/>
      <w:r w:rsidRPr="00ED72D0">
        <w:t>Delay</w:t>
      </w:r>
      <w:r w:rsidRPr="00641874">
        <w:t>s to decision making on Redress System</w:t>
      </w:r>
      <w:bookmarkEnd w:id="81"/>
    </w:p>
    <w:p w14:paraId="4700D1A3" w14:textId="123E86A6" w:rsidR="00C3701E" w:rsidRPr="00641874" w:rsidRDefault="00C3701E" w:rsidP="003541C4">
      <w:pPr>
        <w:pStyle w:val="Vol4Numberedparas"/>
        <w:ind w:left="993" w:hanging="993"/>
      </w:pPr>
      <w:r w:rsidRPr="002E018E">
        <w:t>The Government’s new scheme was not introduced in 2023, as was the stated aim in December 2021. By June 2023, the redress design group and advisory group had only just been established and their members formally welcomed.</w:t>
      </w:r>
      <w:r w:rsidRPr="002E018E">
        <w:rPr>
          <w:rStyle w:val="EndnoteReference"/>
        </w:rPr>
        <w:endnoteReference w:id="21"/>
      </w:r>
      <w:r w:rsidRPr="002E018E">
        <w:t xml:space="preserve"> As a result, Cabinet did not receive the design group’s high-level design proposals in July 2023. Hon Erica Stanford, the Minister Responsible for the Crown’s response to the Inquiry received the Design group’s advice in February 2024 to consider, following appointment as the responsible Minister</w:t>
      </w:r>
      <w:r w:rsidRPr="00641874">
        <w:t>.</w:t>
      </w:r>
      <w:r w:rsidRPr="00641874">
        <w:rPr>
          <w:rStyle w:val="EndnoteReference"/>
        </w:rPr>
        <w:endnoteReference w:id="22"/>
      </w:r>
      <w:r w:rsidRPr="00641874">
        <w:t xml:space="preserve"> </w:t>
      </w:r>
    </w:p>
    <w:p w14:paraId="7A749782" w14:textId="5D3E927D" w:rsidR="00C3701E" w:rsidRPr="00641874" w:rsidRDefault="00C3701E" w:rsidP="003541C4">
      <w:pPr>
        <w:pStyle w:val="Vol4Numberedparas"/>
        <w:ind w:left="993" w:hanging="993"/>
      </w:pPr>
      <w:r w:rsidRPr="00641874">
        <w:t>In March 2024 Hon Erica Stanford advised Cabinet that she intended to provide it with papers on options for progressing decisions on redress system design and that a ministerial group will also be established to assist in overseeing the Crown’s response to the Inquiry’s findings and recommendations.</w:t>
      </w:r>
      <w:r w:rsidRPr="00641874">
        <w:rPr>
          <w:rStyle w:val="EndnoteReference"/>
        </w:rPr>
        <w:endnoteReference w:id="23"/>
      </w:r>
      <w:r w:rsidRPr="00641874">
        <w:t xml:space="preserve"> At the date this report was finalised there was no set timeframe for introducing the new independent puretumu torowh</w:t>
      </w:r>
      <w:r w:rsidRPr="00641874">
        <w:rPr>
          <w:lang w:val="mi-NZ"/>
        </w:rPr>
        <w:t xml:space="preserve">ānui, </w:t>
      </w:r>
      <w:r w:rsidRPr="00641874">
        <w:t xml:space="preserve">holistic redress, scheme.  </w:t>
      </w:r>
    </w:p>
    <w:p w14:paraId="4B73FBA5" w14:textId="77777777" w:rsidR="00C3701E" w:rsidRDefault="00C3701E" w:rsidP="00D30093">
      <w:pPr>
        <w:pStyle w:val="Heading3"/>
      </w:pPr>
      <w:bookmarkStart w:id="82" w:name="_Toc181080935"/>
      <w:r w:rsidRPr="00ED72D0">
        <w:t>Kāore he kiritōpū, pērā i tūtohutia</w:t>
      </w:r>
      <w:bookmarkEnd w:id="82"/>
    </w:p>
    <w:p w14:paraId="65E5565A" w14:textId="3B89CBB3" w:rsidR="00C3701E" w:rsidRPr="00641874" w:rsidRDefault="00C3701E" w:rsidP="00D30093">
      <w:pPr>
        <w:pStyle w:val="Heading3"/>
        <w:rPr>
          <w:i/>
          <w:iCs/>
        </w:rPr>
      </w:pPr>
      <w:bookmarkStart w:id="83" w:name="_Toc181080936"/>
      <w:r w:rsidRPr="00ED72D0">
        <w:t xml:space="preserve">No </w:t>
      </w:r>
      <w:r w:rsidRPr="00641874">
        <w:t>collectives as recommended</w:t>
      </w:r>
      <w:bookmarkEnd w:id="83"/>
    </w:p>
    <w:p w14:paraId="2A2EABEA" w14:textId="1998A451" w:rsidR="00C3701E" w:rsidRPr="0094721A" w:rsidRDefault="00C3701E" w:rsidP="004A7BFA">
      <w:pPr>
        <w:pStyle w:val="Vol4Numberedparas"/>
        <w:ind w:left="993" w:hanging="993"/>
      </w:pPr>
      <w:r>
        <w:t>T</w:t>
      </w:r>
      <w:r w:rsidRPr="0094721A">
        <w:t xml:space="preserve">he process </w:t>
      </w:r>
      <w:r>
        <w:t>taken</w:t>
      </w:r>
      <w:r w:rsidRPr="0094721A">
        <w:t xml:space="preserve"> for designing the new scheme is inconsistent with </w:t>
      </w:r>
      <w:r>
        <w:t>the Inquiry’s</w:t>
      </w:r>
      <w:r w:rsidRPr="0094721A">
        <w:t xml:space="preserve"> recommendations.  </w:t>
      </w:r>
    </w:p>
    <w:p w14:paraId="5B85F517" w14:textId="27FACD2E" w:rsidR="00C3701E" w:rsidRPr="0094721A" w:rsidRDefault="00C3701E" w:rsidP="004A7BFA">
      <w:pPr>
        <w:pStyle w:val="Vol4Numberedparas"/>
        <w:ind w:left="993" w:hanging="993"/>
      </w:pPr>
      <w:r w:rsidRPr="0094721A">
        <w:t>The</w:t>
      </w:r>
      <w:r>
        <w:t xml:space="preserve"> Inquiry recommended that the</w:t>
      </w:r>
      <w:r w:rsidRPr="0094721A">
        <w:t xml:space="preserve"> role of the independent Māori </w:t>
      </w:r>
      <w:r>
        <w:t>c</w:t>
      </w:r>
      <w:r w:rsidRPr="0094721A">
        <w:t>ollective was to include leading the design of the puretumu torowhānui scheme and carrying out other work relevant to the puretumu torowhānui system. This included working with the Government on all the recommendations in He Purapura Ora, he Māra Tipu</w:t>
      </w:r>
      <w:r w:rsidRPr="0094721A">
        <w:rPr>
          <w:i/>
          <w:iCs/>
        </w:rPr>
        <w:t xml:space="preserve">, </w:t>
      </w:r>
      <w:r w:rsidRPr="0094721A">
        <w:t xml:space="preserve">and agreeing on any draft legislation required. The Māori </w:t>
      </w:r>
      <w:r>
        <w:t>c</w:t>
      </w:r>
      <w:r w:rsidRPr="0094721A">
        <w:t>ollective was also to consider whether there should be a separate puretumu torowhānui scheme for Māori.</w:t>
      </w:r>
      <w:r w:rsidRPr="0094721A">
        <w:rPr>
          <w:rStyle w:val="EndnoteReference"/>
        </w:rPr>
        <w:endnoteReference w:id="24"/>
      </w:r>
      <w:r>
        <w:t xml:space="preserve">  </w:t>
      </w:r>
    </w:p>
    <w:p w14:paraId="6A20203E" w14:textId="74E3797C" w:rsidR="00C3701E" w:rsidRDefault="00C3701E" w:rsidP="004A7BFA">
      <w:pPr>
        <w:pStyle w:val="Vol4Numberedparas"/>
        <w:ind w:left="993" w:hanging="993"/>
      </w:pPr>
      <w:r>
        <w:t>The Māori c</w:t>
      </w:r>
      <w:r w:rsidRPr="0094721A">
        <w:t xml:space="preserve">ollective was to </w:t>
      </w:r>
      <w:r>
        <w:t>comprise</w:t>
      </w:r>
      <w:r w:rsidRPr="0094721A">
        <w:t xml:space="preserve"> of Māori with relevant expertise and</w:t>
      </w:r>
      <w:r>
        <w:t xml:space="preserve"> </w:t>
      </w:r>
      <w:r w:rsidRPr="0094721A">
        <w:t xml:space="preserve">lived experience. The </w:t>
      </w:r>
      <w:r>
        <w:t>p</w:t>
      </w:r>
      <w:r w:rsidRPr="0094721A">
        <w:t xml:space="preserve">urapura </w:t>
      </w:r>
      <w:r>
        <w:t>o</w:t>
      </w:r>
      <w:r w:rsidRPr="0094721A">
        <w:t xml:space="preserve">ra </w:t>
      </w:r>
      <w:r>
        <w:t>c</w:t>
      </w:r>
      <w:r w:rsidRPr="0094721A">
        <w:t xml:space="preserve">ollective was to be a key </w:t>
      </w:r>
      <w:r>
        <w:t>way for survivors to</w:t>
      </w:r>
      <w:r w:rsidRPr="0094721A">
        <w:t xml:space="preserve"> be actively involved in the design of the puretumu torowhānui scheme and system on an ongoing basis. </w:t>
      </w:r>
      <w:r>
        <w:t>It</w:t>
      </w:r>
      <w:r w:rsidRPr="0094721A">
        <w:t xml:space="preserve"> would also advocate for survivors</w:t>
      </w:r>
      <w:r>
        <w:t xml:space="preserve"> and</w:t>
      </w:r>
      <w:r w:rsidRPr="0094721A">
        <w:t xml:space="preserve"> provide expert advice </w:t>
      </w:r>
      <w:r>
        <w:t>amongst</w:t>
      </w:r>
      <w:r w:rsidRPr="0094721A">
        <w:t xml:space="preserve"> other functions.</w:t>
      </w:r>
      <w:r w:rsidRPr="0094721A">
        <w:rPr>
          <w:rStyle w:val="EndnoteReference"/>
        </w:rPr>
        <w:endnoteReference w:id="25"/>
      </w:r>
      <w:r w:rsidRPr="0094721A">
        <w:t xml:space="preserve">  </w:t>
      </w:r>
    </w:p>
    <w:p w14:paraId="2BCB8E34" w14:textId="77777777" w:rsidR="00C3701E" w:rsidRDefault="00C3701E">
      <w:pPr>
        <w:spacing w:after="160"/>
        <w:rPr>
          <w:rFonts w:ascii="Arial" w:eastAsiaTheme="minorEastAsia" w:hAnsi="Arial" w:cs="Arial"/>
          <w:kern w:val="2"/>
          <w:lang w:eastAsia="en-NZ"/>
          <w14:ligatures w14:val="standardContextual"/>
        </w:rPr>
      </w:pPr>
      <w:r>
        <w:br w:type="page"/>
      </w:r>
    </w:p>
    <w:p w14:paraId="6B0DE989" w14:textId="7B489D68" w:rsidR="00C3701E" w:rsidRPr="0094721A" w:rsidRDefault="00C3701E" w:rsidP="004A7BFA">
      <w:pPr>
        <w:pStyle w:val="Vol4Numberedparas"/>
        <w:ind w:left="993" w:hanging="993"/>
      </w:pPr>
      <w:r>
        <w:lastRenderedPageBreak/>
        <w:t>The Inquiry</w:t>
      </w:r>
      <w:r w:rsidRPr="0094721A">
        <w:t xml:space="preserve"> considered this structure </w:t>
      </w:r>
      <w:r>
        <w:t>to be</w:t>
      </w:r>
      <w:r w:rsidRPr="0094721A">
        <w:t xml:space="preserve"> consistent with te Tiriti</w:t>
      </w:r>
      <w:r>
        <w:t xml:space="preserve"> o Waitangi. It </w:t>
      </w:r>
      <w:r w:rsidRPr="0094721A">
        <w:t>appropriately reflected the disproportionate number of tamariki</w:t>
      </w:r>
      <w:r>
        <w:t xml:space="preserve">, </w:t>
      </w:r>
      <w:r w:rsidRPr="0094721A">
        <w:t xml:space="preserve">rangatahi and pakeke Māori </w:t>
      </w:r>
      <w:r>
        <w:t xml:space="preserve">who </w:t>
      </w:r>
      <w:r w:rsidRPr="0094721A">
        <w:t>entered into care during the Inquiry period and the broader impacts on whānau, hap</w:t>
      </w:r>
      <w:r>
        <w:t>ū</w:t>
      </w:r>
      <w:r w:rsidRPr="0094721A">
        <w:t xml:space="preserve"> and iwi, </w:t>
      </w:r>
      <w:r>
        <w:t>which meant</w:t>
      </w:r>
      <w:r w:rsidRPr="0094721A">
        <w:t xml:space="preserve"> that Māori </w:t>
      </w:r>
      <w:r>
        <w:t>needed to influence</w:t>
      </w:r>
      <w:r w:rsidRPr="0094721A">
        <w:t xml:space="preserve"> </w:t>
      </w:r>
      <w:r>
        <w:t xml:space="preserve">the </w:t>
      </w:r>
      <w:r w:rsidRPr="0094721A">
        <w:t>scheme</w:t>
      </w:r>
      <w:r>
        <w:t>’s</w:t>
      </w:r>
      <w:r w:rsidRPr="0094721A">
        <w:t xml:space="preserve"> design. </w:t>
      </w:r>
      <w:r>
        <w:t>The Inquiry</w:t>
      </w:r>
      <w:r w:rsidRPr="0094721A">
        <w:t xml:space="preserve"> consider</w:t>
      </w:r>
      <w:r>
        <w:t>s</w:t>
      </w:r>
      <w:r w:rsidRPr="0094721A">
        <w:t xml:space="preserve"> that the right approach would have been for the </w:t>
      </w:r>
      <w:r>
        <w:t xml:space="preserve">Government </w:t>
      </w:r>
      <w:r w:rsidRPr="0094721A">
        <w:t xml:space="preserve">to agree that the scheme’s design </w:t>
      </w:r>
      <w:r>
        <w:t>be</w:t>
      </w:r>
      <w:r w:rsidRPr="0094721A">
        <w:t xml:space="preserve"> Māori-led across the board.</w:t>
      </w:r>
      <w:r w:rsidRPr="0094721A">
        <w:rPr>
          <w:rStyle w:val="EndnoteReference"/>
        </w:rPr>
        <w:endnoteReference w:id="26"/>
      </w:r>
      <w:r w:rsidRPr="0094721A">
        <w:t xml:space="preserve"> </w:t>
      </w:r>
      <w:r>
        <w:t>The Inquiry</w:t>
      </w:r>
      <w:r w:rsidRPr="0094721A">
        <w:t xml:space="preserve"> also considered that, with the </w:t>
      </w:r>
      <w:r>
        <w:t>p</w:t>
      </w:r>
      <w:r w:rsidRPr="0094721A">
        <w:t xml:space="preserve">urapura </w:t>
      </w:r>
      <w:r>
        <w:t>o</w:t>
      </w:r>
      <w:r w:rsidRPr="0094721A">
        <w:t xml:space="preserve">ra </w:t>
      </w:r>
      <w:r>
        <w:t>c</w:t>
      </w:r>
      <w:r w:rsidRPr="0094721A">
        <w:t xml:space="preserve">ollective’s involvement, </w:t>
      </w:r>
      <w:r>
        <w:t>its</w:t>
      </w:r>
      <w:r w:rsidRPr="0094721A">
        <w:t xml:space="preserve"> recommended structure would have contributed to strong survivor involvement, not only in the design of the puretumu torowhānui scheme but also </w:t>
      </w:r>
      <w:r>
        <w:t>in</w:t>
      </w:r>
      <w:r w:rsidRPr="0094721A">
        <w:t xml:space="preserve"> the wider puretumu torowhānui system.</w:t>
      </w:r>
    </w:p>
    <w:p w14:paraId="0FC52CAD" w14:textId="13C76C8C" w:rsidR="00C3701E" w:rsidRPr="0094721A" w:rsidRDefault="00C3701E" w:rsidP="004A7BFA">
      <w:pPr>
        <w:pStyle w:val="Vol4Numberedparas"/>
        <w:ind w:left="993" w:hanging="993"/>
      </w:pPr>
      <w:r w:rsidRPr="0094721A">
        <w:t xml:space="preserve">The structure the Government </w:t>
      </w:r>
      <w:r>
        <w:t>chose wa</w:t>
      </w:r>
      <w:r w:rsidRPr="0094721A">
        <w:t xml:space="preserve">s considerably more limited. The </w:t>
      </w:r>
      <w:r>
        <w:t>r</w:t>
      </w:r>
      <w:r w:rsidRPr="0094721A">
        <w:t xml:space="preserve">edress </w:t>
      </w:r>
      <w:r>
        <w:t>d</w:t>
      </w:r>
      <w:r w:rsidRPr="0094721A">
        <w:t xml:space="preserve">esign </w:t>
      </w:r>
      <w:r>
        <w:t>g</w:t>
      </w:r>
      <w:r w:rsidRPr="0094721A">
        <w:t xml:space="preserve">roup’s functions </w:t>
      </w:r>
      <w:r>
        <w:t xml:space="preserve">were </w:t>
      </w:r>
      <w:r w:rsidRPr="0094721A">
        <w:t xml:space="preserve">mostly restricted to providing the Government with high-level design proposals for the Government’s new redress scheme, </w:t>
      </w:r>
      <w:r>
        <w:t xml:space="preserve">which the </w:t>
      </w:r>
      <w:r w:rsidRPr="0094721A">
        <w:t xml:space="preserve">Government </w:t>
      </w:r>
      <w:r>
        <w:t xml:space="preserve">would </w:t>
      </w:r>
      <w:r w:rsidRPr="0094721A">
        <w:t>consider and make decisions on.</w:t>
      </w:r>
      <w:r w:rsidRPr="0094721A">
        <w:rPr>
          <w:rStyle w:val="EndnoteReference"/>
        </w:rPr>
        <w:endnoteReference w:id="27"/>
      </w:r>
      <w:r w:rsidRPr="0094721A">
        <w:t xml:space="preserve"> After this, detailed design work will be co</w:t>
      </w:r>
      <w:r>
        <w:t>-</w:t>
      </w:r>
      <w:r w:rsidRPr="0094721A">
        <w:t xml:space="preserve">ordinated by the Crown Response Unit, and it is unclear whether the </w:t>
      </w:r>
      <w:r>
        <w:t>r</w:t>
      </w:r>
      <w:r w:rsidRPr="0094721A">
        <w:t xml:space="preserve">edress </w:t>
      </w:r>
      <w:r>
        <w:t>d</w:t>
      </w:r>
      <w:r w:rsidRPr="0094721A">
        <w:t xml:space="preserve">esign </w:t>
      </w:r>
      <w:r>
        <w:t>g</w:t>
      </w:r>
      <w:r w:rsidRPr="0094721A">
        <w:t>roup will have any further role.</w:t>
      </w:r>
      <w:r w:rsidRPr="0094721A">
        <w:rPr>
          <w:rStyle w:val="EndnoteReference"/>
        </w:rPr>
        <w:endnoteReference w:id="28"/>
      </w:r>
      <w:r w:rsidRPr="0094721A">
        <w:t xml:space="preserve"> The </w:t>
      </w:r>
      <w:r>
        <w:t>a</w:t>
      </w:r>
      <w:r w:rsidRPr="0094721A">
        <w:t xml:space="preserve">dvisory </w:t>
      </w:r>
      <w:r>
        <w:t>g</w:t>
      </w:r>
      <w:r w:rsidRPr="0094721A">
        <w:t xml:space="preserve">roup’s role </w:t>
      </w:r>
      <w:r>
        <w:t xml:space="preserve">was </w:t>
      </w:r>
      <w:r w:rsidRPr="0094721A">
        <w:t xml:space="preserve">limited to commenting on “key elements” of the </w:t>
      </w:r>
      <w:r>
        <w:t>d</w:t>
      </w:r>
      <w:r w:rsidRPr="0094721A">
        <w:t xml:space="preserve">esign </w:t>
      </w:r>
      <w:r>
        <w:t>g</w:t>
      </w:r>
      <w:r w:rsidRPr="0094721A">
        <w:t>roup’s high-level design proposals.</w:t>
      </w:r>
      <w:r w:rsidRPr="0094721A">
        <w:rPr>
          <w:rStyle w:val="EndnoteReference"/>
        </w:rPr>
        <w:endnoteReference w:id="29"/>
      </w:r>
      <w:r w:rsidRPr="0094721A">
        <w:t xml:space="preserve"> </w:t>
      </w:r>
    </w:p>
    <w:p w14:paraId="40C5A996" w14:textId="77777777" w:rsidR="00C3701E" w:rsidRPr="00641874" w:rsidRDefault="00C3701E" w:rsidP="00D30093">
      <w:pPr>
        <w:pStyle w:val="Heading3"/>
        <w:rPr>
          <w:i/>
          <w:iCs/>
        </w:rPr>
      </w:pPr>
      <w:bookmarkStart w:id="84" w:name="_Toc181080937"/>
      <w:r w:rsidRPr="00ED72D0">
        <w:t>Te tono whakauru a te Kāwanatanga</w:t>
      </w:r>
      <w:bookmarkEnd w:id="84"/>
      <w:r w:rsidRPr="00ED72D0">
        <w:t xml:space="preserve"> </w:t>
      </w:r>
    </w:p>
    <w:p w14:paraId="73361F23" w14:textId="5CF86849" w:rsidR="00C3701E" w:rsidRPr="00641874" w:rsidRDefault="00C3701E" w:rsidP="00D30093">
      <w:pPr>
        <w:pStyle w:val="Heading3"/>
        <w:rPr>
          <w:i/>
          <w:iCs/>
        </w:rPr>
      </w:pPr>
      <w:bookmarkStart w:id="85" w:name="_Toc181080938"/>
      <w:r w:rsidRPr="00ED72D0">
        <w:t xml:space="preserve">The Government’s </w:t>
      </w:r>
      <w:r w:rsidRPr="00641874">
        <w:t>‘phasing in’ proposal</w:t>
      </w:r>
      <w:bookmarkEnd w:id="85"/>
    </w:p>
    <w:p w14:paraId="7E5568BD" w14:textId="59B3388D" w:rsidR="00C3701E" w:rsidRPr="0094721A" w:rsidRDefault="00C3701E" w:rsidP="007260AB">
      <w:pPr>
        <w:pStyle w:val="Vol4Numberedparas"/>
        <w:ind w:left="993" w:hanging="993"/>
      </w:pPr>
      <w:r>
        <w:t>The Inquiry</w:t>
      </w:r>
      <w:r w:rsidRPr="0094721A">
        <w:t xml:space="preserve"> </w:t>
      </w:r>
      <w:r>
        <w:t>is</w:t>
      </w:r>
      <w:r w:rsidRPr="0094721A">
        <w:t xml:space="preserve"> concerned that the Government’s new redress scheme may not be universal</w:t>
      </w:r>
      <w:r>
        <w:t>,</w:t>
      </w:r>
      <w:r w:rsidRPr="0094721A">
        <w:t xml:space="preserve"> in that it may not be open to survivors of faith-based institutions</w:t>
      </w:r>
      <w:r>
        <w:t xml:space="preserve"> from the outset</w:t>
      </w:r>
      <w:r w:rsidRPr="0094721A">
        <w:t xml:space="preserve">. It is also unclear whether it will be open to survivors of indirect State care institutions. </w:t>
      </w:r>
      <w:r w:rsidRPr="005D3B25">
        <w:t>Central to</w:t>
      </w:r>
      <w:r w:rsidRPr="00AC2FE1">
        <w:t xml:space="preserve"> the</w:t>
      </w:r>
      <w:r w:rsidRPr="0094721A">
        <w:t xml:space="preserve"> puretumu torowhānui scheme </w:t>
      </w:r>
      <w:r>
        <w:t>the Inquiry</w:t>
      </w:r>
      <w:r w:rsidRPr="0094721A">
        <w:t xml:space="preserve"> recommended is that it would be open to all survivors</w:t>
      </w:r>
      <w:r>
        <w:t xml:space="preserve"> of abuse in care</w:t>
      </w:r>
      <w:r w:rsidRPr="0094721A">
        <w:t xml:space="preserve"> </w:t>
      </w:r>
      <w:r>
        <w:t>regardless</w:t>
      </w:r>
      <w:r w:rsidRPr="0094721A">
        <w:t xml:space="preserve"> of </w:t>
      </w:r>
      <w:r>
        <w:t>where</w:t>
      </w:r>
      <w:r w:rsidRPr="0094721A">
        <w:t xml:space="preserve"> the abuse</w:t>
      </w:r>
      <w:r>
        <w:t xml:space="preserve"> and neglect</w:t>
      </w:r>
      <w:r w:rsidRPr="0094721A">
        <w:t xml:space="preserve"> occurred</w:t>
      </w:r>
      <w:r>
        <w:t xml:space="preserve"> (</w:t>
      </w:r>
      <w:r w:rsidRPr="0094721A">
        <w:t xml:space="preserve">whether </w:t>
      </w:r>
      <w:r>
        <w:t>in S</w:t>
      </w:r>
      <w:r w:rsidRPr="0094721A">
        <w:t>tate</w:t>
      </w:r>
      <w:r>
        <w:t xml:space="preserve">, indirect State, or faith-based care), and </w:t>
      </w:r>
      <w:r w:rsidRPr="0094721A">
        <w:t xml:space="preserve">from the </w:t>
      </w:r>
      <w:r>
        <w:t>date the scheme is introduced</w:t>
      </w:r>
      <w:r w:rsidRPr="0094721A">
        <w:t>.</w:t>
      </w:r>
      <w:r w:rsidRPr="0094721A">
        <w:rPr>
          <w:rStyle w:val="EndnoteReference"/>
        </w:rPr>
        <w:endnoteReference w:id="30"/>
      </w:r>
      <w:r w:rsidRPr="0094721A">
        <w:t xml:space="preserve"> If that does not occur, the new scheme’s introduction will not remedy the inconsistencies, complexity and confusion </w:t>
      </w:r>
      <w:r>
        <w:t xml:space="preserve">that </w:t>
      </w:r>
      <w:r w:rsidRPr="0094721A">
        <w:t xml:space="preserve">currently exist due to multiple redress schemes </w:t>
      </w:r>
      <w:r>
        <w:t xml:space="preserve">being </w:t>
      </w:r>
      <w:r w:rsidRPr="0094721A">
        <w:t xml:space="preserve">run by </w:t>
      </w:r>
      <w:r>
        <w:t>S</w:t>
      </w:r>
      <w:r w:rsidRPr="0094721A">
        <w:t xml:space="preserve">tate and faith-based institutions.  </w:t>
      </w:r>
    </w:p>
    <w:p w14:paraId="0386E685" w14:textId="2221B7E4" w:rsidR="00C3701E" w:rsidRPr="00641874" w:rsidRDefault="00C3701E" w:rsidP="00D30093">
      <w:pPr>
        <w:pStyle w:val="Heading3"/>
        <w:rPr>
          <w:i/>
          <w:iCs/>
        </w:rPr>
      </w:pPr>
      <w:bookmarkStart w:id="86" w:name="_Toc181080939"/>
      <w:r w:rsidRPr="00ED72D0">
        <w:t>Te whakamahinga o ngā whakatauritetanga taiwhenua, tāwāhi hoki e te Kāwanatanga</w:t>
      </w:r>
      <w:bookmarkEnd w:id="86"/>
      <w:r w:rsidRPr="00ED72D0">
        <w:t xml:space="preserve"> </w:t>
      </w:r>
    </w:p>
    <w:p w14:paraId="2DA01193" w14:textId="59E1E2F3" w:rsidR="00C3701E" w:rsidRPr="00641874" w:rsidRDefault="00C3701E" w:rsidP="00D30093">
      <w:pPr>
        <w:pStyle w:val="Heading3"/>
        <w:rPr>
          <w:i/>
          <w:iCs/>
        </w:rPr>
      </w:pPr>
      <w:bookmarkStart w:id="87" w:name="_Toc181080940"/>
      <w:r w:rsidRPr="00ED72D0">
        <w:t>Domestic and international comparators used</w:t>
      </w:r>
      <w:r w:rsidRPr="00641874">
        <w:t xml:space="preserve"> by the Government</w:t>
      </w:r>
      <w:bookmarkEnd w:id="87"/>
      <w:r w:rsidRPr="00641874">
        <w:t xml:space="preserve"> </w:t>
      </w:r>
    </w:p>
    <w:p w14:paraId="70CEF211" w14:textId="03C03A24" w:rsidR="00C3701E" w:rsidRPr="00E65EB7" w:rsidRDefault="00C3701E" w:rsidP="007260AB">
      <w:pPr>
        <w:pStyle w:val="Vol4Numberedparas"/>
        <w:ind w:left="993" w:hanging="993"/>
      </w:pPr>
      <w:r w:rsidRPr="00E65EB7">
        <w:t xml:space="preserve">The 1 December 2022 </w:t>
      </w:r>
      <w:r>
        <w:t>C</w:t>
      </w:r>
      <w:r w:rsidRPr="00E65EB7">
        <w:t xml:space="preserve">abinet </w:t>
      </w:r>
      <w:r>
        <w:t>p</w:t>
      </w:r>
      <w:r w:rsidRPr="00E65EB7">
        <w:t>aper setting out</w:t>
      </w:r>
      <w:r>
        <w:t xml:space="preserve"> the</w:t>
      </w:r>
      <w:r w:rsidRPr="00E65EB7">
        <w:t xml:space="preserve"> parameters for the new </w:t>
      </w:r>
      <w:r>
        <w:t xml:space="preserve">Government </w:t>
      </w:r>
      <w:r w:rsidRPr="00E65EB7">
        <w:t xml:space="preserve">redress scheme stated that its cost was difficult to estimate at that stage but was likely to be high, and </w:t>
      </w:r>
      <w:r>
        <w:t xml:space="preserve">payments would be </w:t>
      </w:r>
      <w:r w:rsidRPr="00E65EB7">
        <w:t>one of the factors affecting cost.</w:t>
      </w:r>
      <w:r w:rsidRPr="00E65EB7">
        <w:rPr>
          <w:rStyle w:val="EndnoteReference"/>
        </w:rPr>
        <w:endnoteReference w:id="31"/>
      </w:r>
      <w:r w:rsidRPr="00E65EB7">
        <w:t xml:space="preserve"> </w:t>
      </w:r>
      <w:r>
        <w:t>The paper included i</w:t>
      </w:r>
      <w:r w:rsidRPr="00E65EB7">
        <w:t>ndicative cost scenarios</w:t>
      </w:r>
      <w:r>
        <w:t xml:space="preserve">, for example, scenarios  </w:t>
      </w:r>
      <w:r w:rsidRPr="00E65EB7">
        <w:t xml:space="preserve">based on the average payment under the Ministry of Social Development’s redress process and the mid-point of the payment range in Scotland’s redress system, converted to New Zealand dollars.  </w:t>
      </w:r>
    </w:p>
    <w:p w14:paraId="7EF358A3" w14:textId="77777777" w:rsidR="00724544" w:rsidRDefault="00724544">
      <w:pPr>
        <w:spacing w:after="160"/>
        <w:rPr>
          <w:rFonts w:ascii="Arial" w:eastAsiaTheme="minorEastAsia" w:hAnsi="Arial" w:cs="Arial"/>
          <w:kern w:val="2"/>
          <w:lang w:eastAsia="en-NZ"/>
          <w14:ligatures w14:val="standardContextual"/>
        </w:rPr>
      </w:pPr>
      <w:r>
        <w:br w:type="page"/>
      </w:r>
    </w:p>
    <w:p w14:paraId="4E2962D2" w14:textId="5B87AC8C" w:rsidR="00C3701E" w:rsidRPr="00E65EB7" w:rsidRDefault="00C3701E" w:rsidP="007260AB">
      <w:pPr>
        <w:pStyle w:val="Vol4Numberedparas"/>
        <w:ind w:left="993" w:hanging="993"/>
      </w:pPr>
      <w:r w:rsidRPr="00E65EB7">
        <w:lastRenderedPageBreak/>
        <w:t xml:space="preserve">While the cost scenarios set out in the </w:t>
      </w:r>
      <w:r>
        <w:t>c</w:t>
      </w:r>
      <w:r w:rsidRPr="00E65EB7">
        <w:t xml:space="preserve">abinet </w:t>
      </w:r>
      <w:r>
        <w:t>p</w:t>
      </w:r>
      <w:r w:rsidRPr="00E65EB7">
        <w:t xml:space="preserve">aper </w:t>
      </w:r>
      <w:r>
        <w:t xml:space="preserve">were </w:t>
      </w:r>
      <w:r w:rsidRPr="00E65EB7">
        <w:t xml:space="preserve">referred to as “purely indicative”, it </w:t>
      </w:r>
      <w:r>
        <w:t>is of concern</w:t>
      </w:r>
      <w:r w:rsidRPr="00E65EB7">
        <w:t xml:space="preserve"> </w:t>
      </w:r>
      <w:r>
        <w:t xml:space="preserve">to the Inquiry </w:t>
      </w:r>
      <w:r w:rsidRPr="00E65EB7">
        <w:t xml:space="preserve">that the comparators used </w:t>
      </w:r>
      <w:r>
        <w:t xml:space="preserve">were </w:t>
      </w:r>
      <w:r w:rsidRPr="00E65EB7">
        <w:t>at the lowest ends of the range.</w:t>
      </w:r>
      <w:r>
        <w:t xml:space="preserve"> </w:t>
      </w:r>
      <w:r w:rsidRPr="00E65EB7">
        <w:t>In He Purapura Ora, he Māra Tipu</w:t>
      </w:r>
      <w:r w:rsidRPr="00E65EB7">
        <w:rPr>
          <w:i/>
          <w:iCs/>
        </w:rPr>
        <w:t xml:space="preserve"> </w:t>
      </w:r>
      <w:r>
        <w:t>the Inquiry</w:t>
      </w:r>
      <w:r w:rsidRPr="00E65EB7">
        <w:t xml:space="preserve"> found that </w:t>
      </w:r>
      <w:r>
        <w:t xml:space="preserve">the </w:t>
      </w:r>
      <w:r w:rsidRPr="00FB0063">
        <w:t>M</w:t>
      </w:r>
      <w:r w:rsidRPr="005D3B25">
        <w:t xml:space="preserve">inistry of </w:t>
      </w:r>
      <w:r w:rsidRPr="00FB0063">
        <w:t>S</w:t>
      </w:r>
      <w:r w:rsidRPr="005D3B25">
        <w:t xml:space="preserve">ocial </w:t>
      </w:r>
      <w:r w:rsidRPr="00FB0063">
        <w:t>D</w:t>
      </w:r>
      <w:r w:rsidRPr="005D3B25">
        <w:t>evelopment</w:t>
      </w:r>
      <w:r w:rsidRPr="00FB0063">
        <w:t>’s</w:t>
      </w:r>
      <w:r w:rsidRPr="00E65EB7">
        <w:t xml:space="preserve"> average payment was very low when compared with overseas redress schemes. </w:t>
      </w:r>
      <w:r>
        <w:t>The</w:t>
      </w:r>
      <w:r w:rsidRPr="00E65EB7">
        <w:t xml:space="preserve"> average payment predicted in Scotland’s redress scheme was </w:t>
      </w:r>
      <w:r>
        <w:t>also</w:t>
      </w:r>
      <w:r w:rsidRPr="00E65EB7">
        <w:t xml:space="preserve"> the lowest average payment of the international </w:t>
      </w:r>
      <w:r>
        <w:t>comparisons</w:t>
      </w:r>
      <w:r w:rsidRPr="00E65EB7">
        <w:t xml:space="preserve"> referred to in He Purapura Ora, he Māra Tipu.</w:t>
      </w:r>
      <w:r w:rsidRPr="00E65EB7">
        <w:rPr>
          <w:rStyle w:val="EndnoteReference"/>
        </w:rPr>
        <w:endnoteReference w:id="32"/>
      </w:r>
      <w:r w:rsidRPr="00E65EB7">
        <w:t xml:space="preserve"> </w:t>
      </w:r>
    </w:p>
    <w:p w14:paraId="666C15AC" w14:textId="35137AB5" w:rsidR="00C3701E" w:rsidRPr="00C870D6" w:rsidRDefault="00C3701E" w:rsidP="00C870D6">
      <w:pPr>
        <w:pStyle w:val="Heading2"/>
      </w:pPr>
      <w:bookmarkStart w:id="88" w:name="_Toc181080941"/>
      <w:r>
        <w:t>Te whakarite i tētahi whakapāha ā-motu me te tuku i roto i te tika</w:t>
      </w:r>
      <w:bookmarkEnd w:id="88"/>
      <w:r>
        <w:t xml:space="preserve"> </w:t>
      </w:r>
    </w:p>
    <w:p w14:paraId="24C0FAD1" w14:textId="0158F055" w:rsidR="00C3701E" w:rsidRPr="00C870D6" w:rsidRDefault="00C3701E" w:rsidP="00C870D6">
      <w:pPr>
        <w:pStyle w:val="Heading2"/>
      </w:pPr>
      <w:bookmarkStart w:id="89" w:name="_Toc181080942"/>
      <w:r>
        <w:t xml:space="preserve">Delivery </w:t>
      </w:r>
      <w:r w:rsidRPr="00C870D6">
        <w:t xml:space="preserve">of </w:t>
      </w:r>
      <w:r>
        <w:t>a meaningful national apology</w:t>
      </w:r>
      <w:bookmarkEnd w:id="89"/>
      <w:r>
        <w:t xml:space="preserve"> </w:t>
      </w:r>
    </w:p>
    <w:p w14:paraId="1A62E651" w14:textId="45C1713D" w:rsidR="00C3701E" w:rsidRPr="0094721A" w:rsidRDefault="00C3701E" w:rsidP="007260AB">
      <w:pPr>
        <w:pStyle w:val="Vol4Numberedparas"/>
        <w:ind w:left="993" w:hanging="993"/>
      </w:pPr>
      <w:r>
        <w:t>The Inquiry</w:t>
      </w:r>
      <w:r w:rsidRPr="0094721A">
        <w:t xml:space="preserve"> recommended that the Government, indirect </w:t>
      </w:r>
      <w:r>
        <w:t>S</w:t>
      </w:r>
      <w:r w:rsidRPr="0094721A">
        <w:t>tate care providers</w:t>
      </w:r>
      <w:r>
        <w:t xml:space="preserve"> and</w:t>
      </w:r>
      <w:r w:rsidRPr="0094721A">
        <w:t xml:space="preserve"> relevant faith-based institutions publicly acknowledge and apologise for the tūkino</w:t>
      </w:r>
      <w:r>
        <w:t xml:space="preserve"> – abuse, harm and trauma –</w:t>
      </w:r>
      <w:r w:rsidRPr="0094721A">
        <w:t xml:space="preserve"> inflicted on and suffered by survivors, communities and Aotearoa </w:t>
      </w:r>
      <w:r>
        <w:t>New Zealand</w:t>
      </w:r>
      <w:r w:rsidRPr="0094721A">
        <w:t>.</w:t>
      </w:r>
      <w:r w:rsidRPr="0094721A">
        <w:rPr>
          <w:rStyle w:val="EndnoteReference"/>
        </w:rPr>
        <w:endnoteReference w:id="33"/>
      </w:r>
      <w:r w:rsidRPr="0094721A">
        <w:t xml:space="preserve"> </w:t>
      </w:r>
      <w:r>
        <w:t>The Inquiry</w:t>
      </w:r>
      <w:r w:rsidRPr="0094721A">
        <w:t xml:space="preserve"> recommended this include a public apology to survivors by the Governor-General</w:t>
      </w:r>
      <w:r>
        <w:t>,</w:t>
      </w:r>
      <w:r w:rsidRPr="0094721A">
        <w:t xml:space="preserve"> the Prime Minister, and heads of </w:t>
      </w:r>
      <w:r>
        <w:t xml:space="preserve">faiths and </w:t>
      </w:r>
      <w:r w:rsidRPr="0094721A">
        <w:t xml:space="preserve">other institutions. </w:t>
      </w:r>
      <w:r>
        <w:t>The Inquiry</w:t>
      </w:r>
      <w:r w:rsidRPr="0094721A">
        <w:t xml:space="preserve"> stated that matters such as the content of the apology should be determined by the Government, the Māori </w:t>
      </w:r>
      <w:r>
        <w:t>c</w:t>
      </w:r>
      <w:r w:rsidRPr="0094721A">
        <w:t xml:space="preserve">ollective, the Purapura Ora </w:t>
      </w:r>
      <w:r>
        <w:t>c</w:t>
      </w:r>
      <w:r w:rsidRPr="0094721A">
        <w:t>ollective and relevant institutions, in collaboration with survivors.</w:t>
      </w:r>
    </w:p>
    <w:p w14:paraId="016527E5" w14:textId="3B1B1843" w:rsidR="00C3701E" w:rsidRDefault="00C3701E" w:rsidP="007260AB">
      <w:pPr>
        <w:pStyle w:val="Vol4Numberedparas"/>
        <w:ind w:left="993" w:hanging="993"/>
      </w:pPr>
      <w:r w:rsidRPr="0094721A">
        <w:t>On 8 March 2023, the C</w:t>
      </w:r>
      <w:r>
        <w:t xml:space="preserve">rown </w:t>
      </w:r>
      <w:r w:rsidRPr="0094721A">
        <w:t>R</w:t>
      </w:r>
      <w:r>
        <w:t xml:space="preserve">esponse </w:t>
      </w:r>
      <w:r w:rsidRPr="0094721A">
        <w:t>U</w:t>
      </w:r>
      <w:r>
        <w:t>nit</w:t>
      </w:r>
      <w:r w:rsidRPr="0094721A">
        <w:t xml:space="preserve"> advised that Cabinet had agreed that a public apology for abuse in care would be made in August 2023</w:t>
      </w:r>
      <w:r>
        <w:t>, two months after the Inquiry’s final report was initially due</w:t>
      </w:r>
      <w:r w:rsidRPr="0094721A">
        <w:t>.</w:t>
      </w:r>
      <w:r w:rsidRPr="0094721A">
        <w:rPr>
          <w:rStyle w:val="EndnoteReference"/>
        </w:rPr>
        <w:endnoteReference w:id="34"/>
      </w:r>
      <w:r w:rsidRPr="0094721A">
        <w:rPr>
          <w:rStyle w:val="EndnoteReference"/>
        </w:rPr>
        <w:t xml:space="preserve"> </w:t>
      </w:r>
      <w:r w:rsidRPr="0094721A">
        <w:t xml:space="preserve"> The C</w:t>
      </w:r>
      <w:r>
        <w:t xml:space="preserve">rown </w:t>
      </w:r>
      <w:r w:rsidRPr="0094721A">
        <w:t>R</w:t>
      </w:r>
      <w:r>
        <w:t xml:space="preserve">esponse </w:t>
      </w:r>
      <w:r w:rsidRPr="0094721A">
        <w:t>U</w:t>
      </w:r>
      <w:r>
        <w:t>nit</w:t>
      </w:r>
      <w:r w:rsidRPr="0094721A">
        <w:t xml:space="preserve"> was leading this work in consultation with other agencies, survivors, and groups including the National Iwi Chairs Forum.</w:t>
      </w:r>
      <w:r w:rsidRPr="0094721A">
        <w:rPr>
          <w:rStyle w:val="EndnoteReference"/>
        </w:rPr>
        <w:endnoteReference w:id="35"/>
      </w:r>
      <w:r w:rsidRPr="0094721A">
        <w:t xml:space="preserve"> Cross-</w:t>
      </w:r>
      <w:r>
        <w:t xml:space="preserve">political </w:t>
      </w:r>
      <w:r w:rsidRPr="0094721A">
        <w:t xml:space="preserve">party involvement was also being sought, in recognition that abuse in care has occurred across multiple </w:t>
      </w:r>
      <w:r>
        <w:t>G</w:t>
      </w:r>
      <w:r w:rsidRPr="0094721A">
        <w:t>overnment administrations.</w:t>
      </w:r>
      <w:r w:rsidRPr="0094721A">
        <w:rPr>
          <w:rStyle w:val="EndnoteReference"/>
        </w:rPr>
        <w:endnoteReference w:id="36"/>
      </w:r>
      <w:r w:rsidRPr="0094721A">
        <w:t xml:space="preserve"> In April 2023, the timeframe for the apology was deferred until after the Inquiry presents its final report to the Governor-General.</w:t>
      </w:r>
      <w:r w:rsidRPr="0094721A">
        <w:rPr>
          <w:rStyle w:val="EndnoteReference"/>
        </w:rPr>
        <w:endnoteReference w:id="37"/>
      </w:r>
      <w:r w:rsidRPr="0094721A">
        <w:t xml:space="preserve"> </w:t>
      </w:r>
    </w:p>
    <w:p w14:paraId="5F2A625A" w14:textId="5691260B" w:rsidR="00C3701E" w:rsidRPr="00641874" w:rsidRDefault="00C3701E" w:rsidP="007260AB">
      <w:pPr>
        <w:pStyle w:val="Vol4Numberedparas"/>
        <w:ind w:left="993" w:hanging="993"/>
      </w:pPr>
      <w:r w:rsidRPr="00641874">
        <w:t>In March 2024, the Cabinet Social Outcomes Committee agreed that a public apology would be delivered as soon as practicable after the final report is presented. Subject to Cabinet agreement, detailed planning for an apology to be delivered towards the end of 2024 will begin. Minister Responsible for the Crown Response to the Inquiry Hon Erica Stanford will work with the Prime Minister and Governor-General on the apology’s timing, wording and other details, and options for the apology’s wording will be brought to Cabinet.</w:t>
      </w:r>
      <w:r w:rsidRPr="00641874">
        <w:rPr>
          <w:rStyle w:val="EndnoteReference"/>
        </w:rPr>
        <w:endnoteReference w:id="38"/>
      </w:r>
    </w:p>
    <w:p w14:paraId="780C07FC" w14:textId="1D86F09A" w:rsidR="00C3701E" w:rsidRPr="005A02B9" w:rsidRDefault="00C3701E" w:rsidP="007260AB">
      <w:pPr>
        <w:pStyle w:val="Vol4Numberedparas"/>
        <w:ind w:left="993" w:hanging="993"/>
      </w:pPr>
      <w:r w:rsidRPr="005A02B9">
        <w:t xml:space="preserve">The Inquiry welcomes the Government’s intention to make a public apology and the work carried out to date on this. However, the Inquiry is concerned that the Māori collective and the purapura ora collective the Inquiry recommended will have no role in determining the content of this apology and related matters.  </w:t>
      </w:r>
      <w:r w:rsidRPr="00641874">
        <w:t>Also, it is not clear what role faith-based and indirect State care institutions will have.</w:t>
      </w:r>
      <w:r w:rsidRPr="005A02B9">
        <w:t xml:space="preserve"> </w:t>
      </w:r>
    </w:p>
    <w:p w14:paraId="02985BFC" w14:textId="77777777" w:rsidR="00C3701E" w:rsidRDefault="00C3701E">
      <w:pPr>
        <w:spacing w:after="160"/>
        <w:rPr>
          <w:rFonts w:ascii="Arial" w:eastAsiaTheme="majorEastAsia" w:hAnsi="Arial" w:cstheme="majorBidi"/>
          <w:b/>
          <w:color w:val="385623" w:themeColor="accent6" w:themeShade="80"/>
          <w:sz w:val="28"/>
          <w:szCs w:val="26"/>
        </w:rPr>
      </w:pPr>
      <w:r>
        <w:br w:type="page"/>
      </w:r>
    </w:p>
    <w:p w14:paraId="13D49CCF" w14:textId="2A9072FF" w:rsidR="00C3701E" w:rsidRPr="0094721A" w:rsidRDefault="00C3701E" w:rsidP="00C870D6">
      <w:pPr>
        <w:pStyle w:val="Heading2"/>
      </w:pPr>
      <w:bookmarkStart w:id="90" w:name="_Toc181080943"/>
      <w:r>
        <w:lastRenderedPageBreak/>
        <w:t>Te whakatū i tētahi ratonga whakarongo taupua</w:t>
      </w:r>
      <w:bookmarkEnd w:id="90"/>
      <w:r>
        <w:t xml:space="preserve"> </w:t>
      </w:r>
    </w:p>
    <w:p w14:paraId="009B40F7" w14:textId="4A162869" w:rsidR="00C3701E" w:rsidRPr="0094721A" w:rsidRDefault="00C3701E" w:rsidP="00C870D6">
      <w:pPr>
        <w:pStyle w:val="Heading2"/>
      </w:pPr>
      <w:bookmarkStart w:id="91" w:name="_Toc181080944"/>
      <w:r>
        <w:t>Establishing an interim listening service</w:t>
      </w:r>
      <w:bookmarkEnd w:id="91"/>
    </w:p>
    <w:p w14:paraId="5F18054B" w14:textId="60305BD1" w:rsidR="00C3701E" w:rsidRDefault="00C3701E" w:rsidP="00E24D02">
      <w:pPr>
        <w:pStyle w:val="Vol4Numberedparas"/>
        <w:ind w:left="993" w:hanging="993"/>
        <w:jc w:val="both"/>
      </w:pPr>
      <w:r>
        <w:t>The Inquiry</w:t>
      </w:r>
      <w:r w:rsidRPr="0094721A">
        <w:t xml:space="preserve"> recommended that the Government fund a listening service to cover the period between the end of the </w:t>
      </w:r>
      <w:r>
        <w:t>Inquiry</w:t>
      </w:r>
      <w:r w:rsidRPr="0094721A">
        <w:t xml:space="preserve"> and establishment of the new puretumu torowhānui scheme.</w:t>
      </w:r>
      <w:r w:rsidRPr="0094721A">
        <w:rPr>
          <w:rStyle w:val="EndnoteReference"/>
        </w:rPr>
        <w:endnoteReference w:id="39"/>
      </w:r>
      <w:r w:rsidRPr="0094721A">
        <w:t xml:space="preserve"> In response to that recommendation, the Government established an interim listening service, the Survivor Experience</w:t>
      </w:r>
      <w:r>
        <w:t>s</w:t>
      </w:r>
      <w:r w:rsidRPr="0094721A">
        <w:t xml:space="preserve"> Service</w:t>
      </w:r>
      <w:r>
        <w:t xml:space="preserve">. </w:t>
      </w:r>
      <w:r w:rsidRPr="008C5749">
        <w:t>This has been in operation since 1 July 2023 and will continue until the Government’s new redress scheme is established.</w:t>
      </w:r>
      <w:r w:rsidRPr="0094721A">
        <w:rPr>
          <w:rStyle w:val="EndnoteReference"/>
        </w:rPr>
        <w:endnoteReference w:id="40"/>
      </w:r>
    </w:p>
    <w:p w14:paraId="12BD470D" w14:textId="75E9A7DA" w:rsidR="00C3701E" w:rsidRPr="0094721A" w:rsidRDefault="00C3701E" w:rsidP="00C870D6">
      <w:pPr>
        <w:pStyle w:val="Heading2"/>
      </w:pPr>
      <w:bookmarkStart w:id="92" w:name="_Toc181080945"/>
      <w:r>
        <w:t>Te whakatika i ngā āheinga ki ngā mauhanga taurima</w:t>
      </w:r>
      <w:bookmarkEnd w:id="92"/>
      <w:r>
        <w:t xml:space="preserve"> </w:t>
      </w:r>
    </w:p>
    <w:p w14:paraId="378FE59D" w14:textId="1A1DF07E" w:rsidR="00C3701E" w:rsidRPr="0094721A" w:rsidRDefault="00C3701E" w:rsidP="00C870D6">
      <w:pPr>
        <w:pStyle w:val="Heading2"/>
      </w:pPr>
      <w:bookmarkStart w:id="93" w:name="_Toc181080946"/>
      <w:r>
        <w:t>Improving access to care records</w:t>
      </w:r>
      <w:bookmarkEnd w:id="93"/>
    </w:p>
    <w:p w14:paraId="29E8E6FE" w14:textId="035DE037" w:rsidR="00C3701E" w:rsidRDefault="00C3701E" w:rsidP="00E24D02">
      <w:pPr>
        <w:pStyle w:val="Vol4Numberedparas"/>
        <w:ind w:left="993" w:hanging="993"/>
        <w:jc w:val="both"/>
      </w:pPr>
      <w:r>
        <w:t>The Inquiry</w:t>
      </w:r>
      <w:r w:rsidRPr="0094721A">
        <w:t xml:space="preserve"> recommended that</w:t>
      </w:r>
      <w:r>
        <w:t xml:space="preserve"> the Government:</w:t>
      </w:r>
    </w:p>
    <w:p w14:paraId="5D4B57F5" w14:textId="05FAEA17" w:rsidR="00C3701E" w:rsidRDefault="00C3701E" w:rsidP="00355CE4">
      <w:pPr>
        <w:pStyle w:val="ListParagraph"/>
        <w:numPr>
          <w:ilvl w:val="0"/>
          <w:numId w:val="175"/>
        </w:numPr>
        <w:spacing w:before="0" w:after="120"/>
        <w:ind w:left="1984" w:hanging="357"/>
        <w:contextualSpacing w:val="0"/>
        <w:jc w:val="left"/>
      </w:pPr>
      <w:r>
        <w:t>D</w:t>
      </w:r>
      <w:r w:rsidRPr="0094721A">
        <w:t>evelop guidelines on responding to record requests by survivors and on redactions to those records.</w:t>
      </w:r>
      <w:r w:rsidRPr="0067242A">
        <w:rPr>
          <w:vertAlign w:val="superscript"/>
        </w:rPr>
        <w:endnoteReference w:id="41"/>
      </w:r>
      <w:r w:rsidRPr="0067242A">
        <w:rPr>
          <w:vertAlign w:val="superscript"/>
        </w:rPr>
        <w:t xml:space="preserve"> </w:t>
      </w:r>
    </w:p>
    <w:p w14:paraId="26689566" w14:textId="05F31E9E" w:rsidR="00C3701E" w:rsidRDefault="00C3701E" w:rsidP="00355CE4">
      <w:pPr>
        <w:pStyle w:val="ListParagraph"/>
        <w:numPr>
          <w:ilvl w:val="0"/>
          <w:numId w:val="175"/>
        </w:numPr>
        <w:spacing w:before="0" w:after="120"/>
        <w:ind w:left="1984" w:hanging="357"/>
        <w:contextualSpacing w:val="0"/>
        <w:jc w:val="left"/>
      </w:pPr>
      <w:r>
        <w:t xml:space="preserve">Complete its work on </w:t>
      </w:r>
      <w:r w:rsidRPr="0094721A">
        <w:t xml:space="preserve">a policy </w:t>
      </w:r>
      <w:r>
        <w:t>to streamline</w:t>
      </w:r>
      <w:r w:rsidRPr="0094721A">
        <w:t xml:space="preserve"> the way agencies handle survivor records. </w:t>
      </w:r>
      <w:r>
        <w:t>The Inquiry</w:t>
      </w:r>
      <w:r w:rsidRPr="0094721A">
        <w:t xml:space="preserve"> stated that the policy should also deal with </w:t>
      </w:r>
      <w:r>
        <w:t>storing records</w:t>
      </w:r>
      <w:r w:rsidRPr="0094721A">
        <w:t xml:space="preserve"> and the advantages and disadvantages of centralising records.</w:t>
      </w:r>
      <w:r w:rsidRPr="0067242A">
        <w:rPr>
          <w:vertAlign w:val="superscript"/>
        </w:rPr>
        <w:endnoteReference w:id="42"/>
      </w:r>
      <w:r w:rsidRPr="0094721A">
        <w:t xml:space="preserve"> The timeframe </w:t>
      </w:r>
      <w:r>
        <w:t>the Inquiry</w:t>
      </w:r>
      <w:r w:rsidRPr="0094721A">
        <w:t xml:space="preserve"> gave for the policy work was six months (</w:t>
      </w:r>
      <w:r>
        <w:t>that is,</w:t>
      </w:r>
      <w:r w:rsidRPr="0094721A">
        <w:t xml:space="preserve"> by June 2022).  </w:t>
      </w:r>
    </w:p>
    <w:p w14:paraId="052A41CF" w14:textId="5AEA57F5" w:rsidR="00C3701E" w:rsidRDefault="00C3701E" w:rsidP="00355CE4">
      <w:pPr>
        <w:pStyle w:val="ListParagraph"/>
        <w:numPr>
          <w:ilvl w:val="0"/>
          <w:numId w:val="175"/>
        </w:numPr>
        <w:spacing w:before="0" w:after="120"/>
        <w:ind w:left="1984" w:hanging="357"/>
        <w:contextualSpacing w:val="0"/>
        <w:jc w:val="left"/>
      </w:pPr>
      <w:r>
        <w:t>U</w:t>
      </w:r>
      <w:r w:rsidRPr="00FB12E8">
        <w:t>rgently review all disposal authorities</w:t>
      </w:r>
      <w:r w:rsidRPr="00355CE4">
        <w:rPr>
          <w:vertAlign w:val="superscript"/>
        </w:rPr>
        <w:endnoteReference w:id="43"/>
      </w:r>
      <w:r w:rsidRPr="00355CE4">
        <w:rPr>
          <w:vertAlign w:val="superscript"/>
        </w:rPr>
        <w:t xml:space="preserve"> </w:t>
      </w:r>
      <w:r w:rsidRPr="00FB12E8">
        <w:t xml:space="preserve">under the </w:t>
      </w:r>
      <w:r>
        <w:t>Public Records Act 2005</w:t>
      </w:r>
      <w:r w:rsidRPr="00FB12E8">
        <w:t xml:space="preserve"> </w:t>
      </w:r>
      <w:r>
        <w:t xml:space="preserve">(or predecessor legislation where relevant) that are </w:t>
      </w:r>
      <w:r w:rsidRPr="00FB12E8">
        <w:t>relevant to all care records and consider prohibiting the disposal of care records until its work on records was complete.</w:t>
      </w:r>
      <w:r w:rsidRPr="0067242A">
        <w:rPr>
          <w:vertAlign w:val="superscript"/>
        </w:rPr>
        <w:endnoteReference w:id="44"/>
      </w:r>
    </w:p>
    <w:p w14:paraId="7B47D75A" w14:textId="2A0D80A1" w:rsidR="00C3701E" w:rsidRDefault="00C3701E" w:rsidP="00355CE4">
      <w:pPr>
        <w:pStyle w:val="ListParagraph"/>
        <w:numPr>
          <w:ilvl w:val="0"/>
          <w:numId w:val="175"/>
        </w:numPr>
        <w:spacing w:before="0" w:after="120"/>
        <w:ind w:left="1984" w:hanging="357"/>
        <w:contextualSpacing w:val="0"/>
        <w:jc w:val="left"/>
      </w:pPr>
      <w:r>
        <w:t>D</w:t>
      </w:r>
      <w:r w:rsidRPr="00FB12E8">
        <w:t xml:space="preserve">ecide whether Aotearoa New Zealand </w:t>
      </w:r>
      <w:r>
        <w:t xml:space="preserve">should </w:t>
      </w:r>
      <w:r w:rsidRPr="00FB12E8">
        <w:t>introduce a service similar to</w:t>
      </w:r>
      <w:r w:rsidRPr="0094721A">
        <w:t xml:space="preserve"> Australia's Find and Connect service. This </w:t>
      </w:r>
      <w:r>
        <w:t xml:space="preserve">Australian </w:t>
      </w:r>
      <w:r w:rsidRPr="0094721A">
        <w:t xml:space="preserve">service helps people </w:t>
      </w:r>
      <w:r>
        <w:t xml:space="preserve">to </w:t>
      </w:r>
      <w:r w:rsidRPr="0094721A">
        <w:t xml:space="preserve">find historical information about institutional care and </w:t>
      </w:r>
      <w:r>
        <w:t>to</w:t>
      </w:r>
      <w:r w:rsidRPr="0094721A">
        <w:t xml:space="preserve"> connect with local support groups and services.</w:t>
      </w:r>
      <w:r w:rsidRPr="0067242A">
        <w:rPr>
          <w:vertAlign w:val="superscript"/>
        </w:rPr>
        <w:endnoteReference w:id="45"/>
      </w:r>
      <w:r w:rsidRPr="0067242A">
        <w:rPr>
          <w:vertAlign w:val="superscript"/>
        </w:rPr>
        <w:t xml:space="preserve"> </w:t>
      </w:r>
    </w:p>
    <w:p w14:paraId="7C14386A" w14:textId="7EB70C47" w:rsidR="00C3701E" w:rsidRDefault="00C3701E" w:rsidP="00355CE4">
      <w:pPr>
        <w:pStyle w:val="ListParagraph"/>
        <w:numPr>
          <w:ilvl w:val="0"/>
          <w:numId w:val="175"/>
        </w:numPr>
        <w:spacing w:before="0" w:after="120"/>
        <w:ind w:left="1984" w:hanging="357"/>
        <w:contextualSpacing w:val="0"/>
        <w:jc w:val="left"/>
      </w:pPr>
      <w:r>
        <w:t>R</w:t>
      </w:r>
      <w:r w:rsidRPr="0094721A">
        <w:t>eview care providers’ record</w:t>
      </w:r>
      <w:r>
        <w:t xml:space="preserve"> </w:t>
      </w:r>
      <w:r w:rsidRPr="0094721A">
        <w:t xml:space="preserve">keeping practices, consider whether to set a standard </w:t>
      </w:r>
      <w:r>
        <w:t>governing the</w:t>
      </w:r>
      <w:r w:rsidRPr="0094721A">
        <w:t xml:space="preserve"> records</w:t>
      </w:r>
      <w:r>
        <w:t xml:space="preserve"> that</w:t>
      </w:r>
      <w:r w:rsidRPr="0094721A">
        <w:t xml:space="preserve"> providers should create and keep, and consider whether those keeping records for care providers should receive training.</w:t>
      </w:r>
      <w:r w:rsidRPr="007C1956">
        <w:rPr>
          <w:rStyle w:val="EndnoteReference"/>
        </w:rPr>
        <w:endnoteReference w:id="46"/>
      </w:r>
    </w:p>
    <w:p w14:paraId="6540B026" w14:textId="477AC9E4" w:rsidR="00C3701E" w:rsidRPr="0094721A" w:rsidRDefault="00C3701E" w:rsidP="007A74C2">
      <w:pPr>
        <w:pStyle w:val="Vol4Numberedparas"/>
        <w:ind w:left="993" w:hanging="993"/>
      </w:pPr>
      <w:r w:rsidRPr="0094721A">
        <w:t>On 8 March 2023, the C</w:t>
      </w:r>
      <w:r>
        <w:t xml:space="preserve">rown </w:t>
      </w:r>
      <w:r w:rsidRPr="0094721A">
        <w:t>R</w:t>
      </w:r>
      <w:r>
        <w:t xml:space="preserve">esponse </w:t>
      </w:r>
      <w:r w:rsidRPr="0094721A">
        <w:t>U</w:t>
      </w:r>
      <w:r>
        <w:t>nit</w:t>
      </w:r>
      <w:r w:rsidRPr="0094721A">
        <w:t xml:space="preserve"> advised that Cabinet had agreed on five initiatives aimed at improving survivor access to</w:t>
      </w:r>
      <w:r>
        <w:t>,</w:t>
      </w:r>
      <w:r w:rsidRPr="0094721A">
        <w:t xml:space="preserve"> and control of</w:t>
      </w:r>
      <w:r>
        <w:t>,</w:t>
      </w:r>
      <w:r w:rsidRPr="0094721A">
        <w:t xml:space="preserve"> their care records</w:t>
      </w:r>
      <w:r>
        <w:t>, and</w:t>
      </w:r>
      <w:r w:rsidRPr="0094721A">
        <w:t xml:space="preserve"> that these initiatives </w:t>
      </w:r>
      <w:r>
        <w:t xml:space="preserve">would </w:t>
      </w:r>
      <w:r w:rsidRPr="0094721A">
        <w:t>be implemented in 2023.</w:t>
      </w:r>
      <w:r w:rsidRPr="0094721A">
        <w:rPr>
          <w:rStyle w:val="EndnoteReference"/>
        </w:rPr>
        <w:endnoteReference w:id="47"/>
      </w:r>
      <w:r w:rsidRPr="0094721A">
        <w:t xml:space="preserve"> The initiatives include</w:t>
      </w:r>
      <w:r>
        <w:t>d</w:t>
      </w:r>
      <w:r w:rsidRPr="0094721A">
        <w:t xml:space="preserve"> “Shared Redaction Guidance” for agencies (</w:t>
      </w:r>
      <w:r>
        <w:t>S</w:t>
      </w:r>
      <w:r w:rsidRPr="0094721A">
        <w:t>tate and non-</w:t>
      </w:r>
      <w:r>
        <w:t>S</w:t>
      </w:r>
      <w:r w:rsidRPr="0094721A">
        <w:t>tate) releasing personal information requested by people who have been in care.</w:t>
      </w:r>
      <w:r w:rsidRPr="0094721A">
        <w:rPr>
          <w:rStyle w:val="EndnoteReference"/>
        </w:rPr>
        <w:endnoteReference w:id="48"/>
      </w:r>
      <w:r w:rsidRPr="0094721A">
        <w:t xml:space="preserve"> The C</w:t>
      </w:r>
      <w:r>
        <w:t xml:space="preserve">rown </w:t>
      </w:r>
      <w:r w:rsidRPr="0094721A">
        <w:t>R</w:t>
      </w:r>
      <w:r>
        <w:t xml:space="preserve">esponse </w:t>
      </w:r>
      <w:r w:rsidRPr="0094721A">
        <w:t>U</w:t>
      </w:r>
      <w:r>
        <w:t>nit</w:t>
      </w:r>
      <w:r w:rsidRPr="0094721A">
        <w:t xml:space="preserve"> also provided online information for survivors about accessing their records.</w:t>
      </w:r>
      <w:r w:rsidRPr="0094721A">
        <w:rPr>
          <w:rStyle w:val="EndnoteReference"/>
        </w:rPr>
        <w:endnoteReference w:id="49"/>
      </w:r>
    </w:p>
    <w:p w14:paraId="4E306265" w14:textId="77777777" w:rsidR="00724544" w:rsidRDefault="00724544">
      <w:pPr>
        <w:spacing w:after="160"/>
        <w:rPr>
          <w:rFonts w:ascii="Arial" w:eastAsiaTheme="minorEastAsia" w:hAnsi="Arial" w:cs="Arial"/>
          <w:kern w:val="2"/>
          <w:lang w:eastAsia="en-NZ"/>
          <w14:ligatures w14:val="standardContextual"/>
        </w:rPr>
      </w:pPr>
      <w:r>
        <w:br w:type="page"/>
      </w:r>
    </w:p>
    <w:p w14:paraId="26AEE69D" w14:textId="5AE2E9CE" w:rsidR="00C3701E" w:rsidRPr="00E65EB7" w:rsidRDefault="00C3701E" w:rsidP="007A74C2">
      <w:pPr>
        <w:pStyle w:val="Vol4Numberedparas"/>
        <w:ind w:left="993" w:hanging="993"/>
      </w:pPr>
      <w:r w:rsidRPr="00E65EB7">
        <w:lastRenderedPageBreak/>
        <w:t>Other initiatives for implementation</w:t>
      </w:r>
      <w:r>
        <w:t xml:space="preserve"> by the Government </w:t>
      </w:r>
      <w:r w:rsidRPr="00E65EB7">
        <w:t xml:space="preserve">in 2023-2024 </w:t>
      </w:r>
      <w:r>
        <w:t xml:space="preserve">include </w:t>
      </w:r>
      <w:r w:rsidRPr="00E65EB7">
        <w:t>the design of a records support service</w:t>
      </w:r>
      <w:r>
        <w:t xml:space="preserve"> and the development of a central care records website. The Inquiry</w:t>
      </w:r>
      <w:r w:rsidRPr="00E65EB7">
        <w:t xml:space="preserve"> understand</w:t>
      </w:r>
      <w:r>
        <w:t>s</w:t>
      </w:r>
      <w:r w:rsidRPr="00E65EB7">
        <w:t xml:space="preserve"> </w:t>
      </w:r>
      <w:r>
        <w:t>that th</w:t>
      </w:r>
      <w:r w:rsidRPr="00E65EB7">
        <w:t xml:space="preserve">is is </w:t>
      </w:r>
      <w:r>
        <w:t xml:space="preserve">in </w:t>
      </w:r>
      <w:r w:rsidRPr="00E65EB7">
        <w:t xml:space="preserve">response to </w:t>
      </w:r>
      <w:r>
        <w:t>its</w:t>
      </w:r>
      <w:r w:rsidRPr="00E65EB7">
        <w:t xml:space="preserve"> recommendation relating to Find and Connect</w:t>
      </w:r>
      <w:r>
        <w:t>. These initiatives also include</w:t>
      </w:r>
      <w:r w:rsidRPr="00E65EB7">
        <w:t xml:space="preserve"> </w:t>
      </w:r>
      <w:r>
        <w:t xml:space="preserve">introducing </w:t>
      </w:r>
      <w:r w:rsidRPr="00E65EB7">
        <w:t>a records retention and disposal project</w:t>
      </w:r>
      <w:r>
        <w:t xml:space="preserve"> (encompassing </w:t>
      </w:r>
      <w:r w:rsidRPr="00E65EB7">
        <w:t>a review of disposal authorities</w:t>
      </w:r>
      <w:r>
        <w:t>)</w:t>
      </w:r>
      <w:r w:rsidRPr="00E65EB7">
        <w:t>, and further cataloguing</w:t>
      </w:r>
      <w:r w:rsidRPr="00A44838">
        <w:t xml:space="preserve"> and</w:t>
      </w:r>
      <w:r w:rsidRPr="00E65EB7">
        <w:t xml:space="preserve"> indexing care records to improve survivor access.</w:t>
      </w:r>
      <w:r w:rsidRPr="00E65EB7">
        <w:rPr>
          <w:rStyle w:val="EndnoteReference"/>
        </w:rPr>
        <w:endnoteReference w:id="50"/>
      </w:r>
      <w:r w:rsidRPr="00E65EB7">
        <w:t xml:space="preserve"> </w:t>
      </w:r>
      <w:r>
        <w:t xml:space="preserve">The cataloguing and indexing work </w:t>
      </w:r>
      <w:r w:rsidRPr="00B545A8">
        <w:t>was initially</w:t>
      </w:r>
      <w:r>
        <w:t xml:space="preserve"> referred to as including the digitising of care records.</w:t>
      </w:r>
      <w:r>
        <w:rPr>
          <w:rStyle w:val="EndnoteReference"/>
        </w:rPr>
        <w:endnoteReference w:id="51"/>
      </w:r>
      <w:r>
        <w:t xml:space="preserve"> However, the Archives New Zealand website only refers to increasing cataloguing and indexing of care records already held at Archives.</w:t>
      </w:r>
      <w:r>
        <w:rPr>
          <w:rStyle w:val="EndnoteReference"/>
        </w:rPr>
        <w:endnoteReference w:id="52"/>
      </w:r>
    </w:p>
    <w:p w14:paraId="1ED1CE82" w14:textId="6F118475" w:rsidR="00C3701E" w:rsidRPr="00E65EB7" w:rsidRDefault="00C3701E" w:rsidP="007A74C2">
      <w:pPr>
        <w:pStyle w:val="Vol4Numberedparas"/>
        <w:ind w:left="993" w:hanging="993"/>
      </w:pPr>
      <w:r>
        <w:t>While it is positive that these initiatives are in progress, the Inquiry</w:t>
      </w:r>
      <w:r w:rsidRPr="00E65EB7">
        <w:t xml:space="preserve"> </w:t>
      </w:r>
      <w:r>
        <w:t>is</w:t>
      </w:r>
      <w:r w:rsidRPr="00E65EB7">
        <w:t xml:space="preserve"> concerned that the timeframe </w:t>
      </w:r>
      <w:r>
        <w:t xml:space="preserve">it </w:t>
      </w:r>
      <w:r w:rsidRPr="00E65EB7">
        <w:t xml:space="preserve">recommended for the policy work referred to above </w:t>
      </w:r>
      <w:r>
        <w:t xml:space="preserve">was </w:t>
      </w:r>
      <w:r w:rsidRPr="00E65EB7">
        <w:t xml:space="preserve">not met. </w:t>
      </w:r>
      <w:r w:rsidRPr="005D3B25">
        <w:t>He Purapura Ora, he Māra Tipu</w:t>
      </w:r>
      <w:r>
        <w:t xml:space="preserve"> refers </w:t>
      </w:r>
      <w:r w:rsidRPr="005D3B25">
        <w:t>to the Crown as having advised the Inquiry that it had been working on “an integrated and seamless approach” to obtaining survivor records. The Inquiry’s view was that this work had been going on for a long time, needed to be prioritised and should be completed in six months, together with the other policy work referred to above.</w:t>
      </w:r>
      <w:r w:rsidRPr="005D3B25">
        <w:rPr>
          <w:rStyle w:val="EndnoteReference"/>
        </w:rPr>
        <w:endnoteReference w:id="53"/>
      </w:r>
      <w:r w:rsidRPr="00E65EB7">
        <w:t xml:space="preserve"> </w:t>
      </w:r>
      <w:r>
        <w:t>The Inquiry</w:t>
      </w:r>
      <w:r w:rsidRPr="00E65EB7">
        <w:t xml:space="preserve"> </w:t>
      </w:r>
      <w:r>
        <w:t>is</w:t>
      </w:r>
      <w:r w:rsidRPr="00E65EB7">
        <w:t xml:space="preserve"> also concerned that most of </w:t>
      </w:r>
      <w:r>
        <w:t>its</w:t>
      </w:r>
      <w:r w:rsidRPr="00E65EB7">
        <w:t xml:space="preserve"> other recommendations on records have not been implemented to date. </w:t>
      </w:r>
      <w:r>
        <w:t>There</w:t>
      </w:r>
      <w:r w:rsidRPr="00E65EB7">
        <w:t xml:space="preserve"> </w:t>
      </w:r>
      <w:r>
        <w:t>appears to be little, if</w:t>
      </w:r>
      <w:r w:rsidRPr="00E65EB7">
        <w:t xml:space="preserve"> any</w:t>
      </w:r>
      <w:r>
        <w:t>,</w:t>
      </w:r>
      <w:r w:rsidRPr="00E65EB7">
        <w:t xml:space="preserve"> work on the review of care providers’ record</w:t>
      </w:r>
      <w:r>
        <w:t xml:space="preserve"> </w:t>
      </w:r>
      <w:r w:rsidRPr="00E65EB7">
        <w:t xml:space="preserve">keeping practices. </w:t>
      </w:r>
      <w:r>
        <w:t>The Inquiry</w:t>
      </w:r>
      <w:r w:rsidRPr="00E65EB7">
        <w:t xml:space="preserve"> understand</w:t>
      </w:r>
      <w:r>
        <w:t>s</w:t>
      </w:r>
      <w:r w:rsidRPr="00E65EB7">
        <w:t xml:space="preserve"> that work is being done on long-term disposal authorities </w:t>
      </w:r>
      <w:r w:rsidRPr="005D3B25">
        <w:t xml:space="preserve">and that there is a </w:t>
      </w:r>
      <w:r>
        <w:t>c</w:t>
      </w:r>
      <w:r w:rsidRPr="005D3B25">
        <w:t xml:space="preserve">hief </w:t>
      </w:r>
      <w:r>
        <w:t>a</w:t>
      </w:r>
      <w:r w:rsidRPr="005D3B25">
        <w:t>rchivist’s moratorium in place until that work has been carried out. However, it is more than two years since the Inquiry made its recommendations and the work is yet to be completed.</w:t>
      </w:r>
      <w:r w:rsidRPr="000319AD">
        <w:rPr>
          <w:rStyle w:val="EndnoteReference"/>
        </w:rPr>
        <w:endnoteReference w:id="54"/>
      </w:r>
    </w:p>
    <w:p w14:paraId="7F42AD64" w14:textId="10FA07CD" w:rsidR="00C3701E" w:rsidRPr="0094721A" w:rsidRDefault="00C3701E" w:rsidP="00C870D6">
      <w:pPr>
        <w:pStyle w:val="Heading2"/>
      </w:pPr>
      <w:bookmarkStart w:id="94" w:name="_Toc181080947"/>
      <w:r>
        <w:t>Te whakarite me te taki i ngā utu wawe ki ētahi purapura ora</w:t>
      </w:r>
      <w:bookmarkEnd w:id="94"/>
      <w:r>
        <w:t xml:space="preserve"> </w:t>
      </w:r>
    </w:p>
    <w:p w14:paraId="71EC10EA" w14:textId="2384B37C" w:rsidR="00C3701E" w:rsidRPr="0094721A" w:rsidRDefault="00C3701E" w:rsidP="00C870D6">
      <w:pPr>
        <w:pStyle w:val="Heading2"/>
      </w:pPr>
      <w:bookmarkStart w:id="95" w:name="_Toc181080948"/>
      <w:r>
        <w:t>Establishing and processing advance payments to certain survivors</w:t>
      </w:r>
      <w:bookmarkEnd w:id="95"/>
      <w:r>
        <w:t xml:space="preserve"> </w:t>
      </w:r>
    </w:p>
    <w:p w14:paraId="149525A1" w14:textId="3B19BBCE" w:rsidR="00C3701E" w:rsidRPr="0094721A" w:rsidRDefault="00C3701E" w:rsidP="007A74C2">
      <w:pPr>
        <w:pStyle w:val="Vol4Numberedparas"/>
        <w:ind w:left="993" w:hanging="993"/>
      </w:pPr>
      <w:r>
        <w:t>The Inquiry</w:t>
      </w:r>
      <w:r w:rsidRPr="0094721A">
        <w:t xml:space="preserve"> recommended that the Government establish a mechanism to make advance payments to survivors </w:t>
      </w:r>
      <w:r>
        <w:t xml:space="preserve">who were </w:t>
      </w:r>
      <w:r w:rsidRPr="0094721A">
        <w:t xml:space="preserve">at significant risk of not being able to apply to the puretumu torowhānui scheme because of serious ill-health or age. </w:t>
      </w:r>
      <w:r>
        <w:t>The Inquiry</w:t>
      </w:r>
      <w:r w:rsidRPr="0094721A">
        <w:t xml:space="preserve"> said that the Government should establish and fund the mechanism, which would be available for all survivors regardless of whether they had been in </w:t>
      </w:r>
      <w:r>
        <w:t>S</w:t>
      </w:r>
      <w:r w:rsidRPr="0094721A">
        <w:t xml:space="preserve">tate or faith-based care. It would be for the Government to determine whether indirect </w:t>
      </w:r>
      <w:r>
        <w:t>S</w:t>
      </w:r>
      <w:r w:rsidRPr="0094721A">
        <w:t xml:space="preserve">tate care providers </w:t>
      </w:r>
      <w:r>
        <w:t xml:space="preserve">and </w:t>
      </w:r>
      <w:r w:rsidRPr="0094721A">
        <w:t xml:space="preserve">faith-based institutions should contribute funding. </w:t>
      </w:r>
      <w:r>
        <w:t>The Inquiry</w:t>
      </w:r>
      <w:r w:rsidRPr="0094721A">
        <w:t xml:space="preserve"> recommended that applicants for an advance payment should only have to provide a statutory declaration that they were abused rather than evidence. </w:t>
      </w:r>
      <w:r>
        <w:t>The Inquiry</w:t>
      </w:r>
      <w:r w:rsidRPr="0094721A">
        <w:t xml:space="preserve"> also stated that an advance payment should be the same amount for every survivor.</w:t>
      </w:r>
      <w:r w:rsidRPr="0094721A">
        <w:rPr>
          <w:rStyle w:val="EndnoteReference"/>
        </w:rPr>
        <w:endnoteReference w:id="55"/>
      </w:r>
    </w:p>
    <w:p w14:paraId="44BE8E74" w14:textId="20909169" w:rsidR="00C3701E" w:rsidRPr="0094721A" w:rsidRDefault="00C3701E" w:rsidP="007A74C2">
      <w:pPr>
        <w:pStyle w:val="Vol4Numberedparas"/>
        <w:ind w:left="993" w:hanging="993"/>
      </w:pPr>
      <w:r>
        <w:t>The Inquiry</w:t>
      </w:r>
      <w:r w:rsidRPr="0094721A">
        <w:t xml:space="preserve"> said that any survivor who received the payment should retain their right to make a claim to the new puretumu torowhānui scheme once the scheme had been established. </w:t>
      </w:r>
      <w:r>
        <w:t>The</w:t>
      </w:r>
      <w:r w:rsidRPr="0094721A">
        <w:t xml:space="preserve"> advance payment would be deducted from any financial payment the survivor received from the scheme.</w:t>
      </w:r>
      <w:r w:rsidRPr="0094721A">
        <w:rPr>
          <w:rStyle w:val="EndnoteReference"/>
        </w:rPr>
        <w:endnoteReference w:id="56"/>
      </w:r>
    </w:p>
    <w:p w14:paraId="73BDD0E8" w14:textId="3471CE7E" w:rsidR="00C3701E" w:rsidRPr="00796312" w:rsidRDefault="00C3701E" w:rsidP="007A74C2">
      <w:pPr>
        <w:pStyle w:val="Vol4Numberedparas"/>
        <w:ind w:left="993" w:hanging="993"/>
      </w:pPr>
      <w:r w:rsidRPr="00796312">
        <w:t xml:space="preserve">The Government </w:t>
      </w:r>
      <w:r w:rsidRPr="00331CE5">
        <w:t>h</w:t>
      </w:r>
      <w:r w:rsidRPr="00641874">
        <w:t>as not provided the advance payments recommended by the Inquiry.</w:t>
      </w:r>
      <w:r w:rsidRPr="00331CE5">
        <w:t xml:space="preserve"> Instead, the</w:t>
      </w:r>
      <w:r>
        <w:t xml:space="preserve"> Government has introduced two rapid payment schemes run by the Ministry of Social Development and the Ministry of Education, and a prioritised settlement payment run by the Ministry of Education. </w:t>
      </w:r>
    </w:p>
    <w:p w14:paraId="29EF4C99" w14:textId="2CF1F34C" w:rsidR="00C3701E" w:rsidRPr="00641874" w:rsidRDefault="00C3701E" w:rsidP="00C870D6">
      <w:pPr>
        <w:pStyle w:val="Heading3"/>
        <w:rPr>
          <w:i/>
          <w:iCs/>
          <w:color w:val="1F3864" w:themeColor="accent1" w:themeShade="80"/>
        </w:rPr>
      </w:pPr>
      <w:bookmarkStart w:id="96" w:name="_Toc181080949"/>
      <w:r w:rsidRPr="00ED72D0">
        <w:lastRenderedPageBreak/>
        <w:t>Te kaupapa utu tere a Te Manatū Whakahiato Ora</w:t>
      </w:r>
      <w:bookmarkEnd w:id="96"/>
      <w:r w:rsidRPr="00ED72D0">
        <w:t xml:space="preserve"> </w:t>
      </w:r>
    </w:p>
    <w:p w14:paraId="681692EF" w14:textId="761548F7" w:rsidR="00C3701E" w:rsidRPr="00641874" w:rsidRDefault="00C3701E" w:rsidP="00C870D6">
      <w:pPr>
        <w:pStyle w:val="Heading3"/>
        <w:rPr>
          <w:i/>
          <w:iCs/>
          <w:color w:val="1F3864" w:themeColor="accent1" w:themeShade="80"/>
        </w:rPr>
      </w:pPr>
      <w:bookmarkStart w:id="97" w:name="_Toc181080950"/>
      <w:r w:rsidRPr="00ED72D0">
        <w:t>Ministry of Social Development’s rapid payment scheme</w:t>
      </w:r>
      <w:bookmarkEnd w:id="97"/>
    </w:p>
    <w:p w14:paraId="0F181CB1" w14:textId="09E612F1" w:rsidR="00C3701E" w:rsidRPr="0094721A" w:rsidRDefault="00C3701E" w:rsidP="00FC6275">
      <w:pPr>
        <w:pStyle w:val="Vol4Numberedparas"/>
        <w:ind w:left="993" w:hanging="993"/>
      </w:pPr>
      <w:r w:rsidRPr="0094721A">
        <w:t xml:space="preserve">On 13 December 2022, the Government announced a rapid payment scheme, initially for survivors </w:t>
      </w:r>
      <w:r>
        <w:t>with</w:t>
      </w:r>
      <w:r w:rsidRPr="0094721A">
        <w:t xml:space="preserve"> claims with </w:t>
      </w:r>
      <w:r>
        <w:t>the Ministry of Social Development</w:t>
      </w:r>
      <w:r w:rsidRPr="0094721A">
        <w:t>.</w:t>
      </w:r>
      <w:r w:rsidRPr="0094721A">
        <w:rPr>
          <w:rStyle w:val="EndnoteReference"/>
        </w:rPr>
        <w:endnoteReference w:id="57"/>
      </w:r>
      <w:r w:rsidRPr="0094721A">
        <w:t xml:space="preserve"> The Government decided that </w:t>
      </w:r>
      <w:r w:rsidRPr="00417C3E">
        <w:t>the Ministry of Social Development</w:t>
      </w:r>
      <w:r>
        <w:t xml:space="preserve"> </w:t>
      </w:r>
      <w:r w:rsidRPr="0094721A">
        <w:t xml:space="preserve">should be the first agency to offer rapid payments </w:t>
      </w:r>
      <w:r>
        <w:t xml:space="preserve">as </w:t>
      </w:r>
      <w:r w:rsidRPr="0094721A">
        <w:t>it had more claims than the Ministry of Education, Oranga Tamariki and the Ministry of Health</w:t>
      </w:r>
      <w:r>
        <w:t xml:space="preserve">. In addition, </w:t>
      </w:r>
      <w:r w:rsidRPr="0094721A">
        <w:t>Oranga Tamariki and the Ministry of Health did not have long wait</w:t>
      </w:r>
      <w:r>
        <w:t xml:space="preserve"> </w:t>
      </w:r>
      <w:r w:rsidRPr="0094721A">
        <w:t>times for claims. The Government also stated that it understood a “large proportion” of other institutions had no or only a small number of claims.</w:t>
      </w:r>
      <w:r w:rsidRPr="0094721A">
        <w:rPr>
          <w:rStyle w:val="EndnoteReference"/>
        </w:rPr>
        <w:endnoteReference w:id="58"/>
      </w:r>
      <w:r w:rsidRPr="0094721A">
        <w:t xml:space="preserve">  </w:t>
      </w:r>
    </w:p>
    <w:p w14:paraId="560CEE5E" w14:textId="5BC6F62B" w:rsidR="00C3701E" w:rsidRPr="0094721A" w:rsidRDefault="00C3701E" w:rsidP="00E24D02">
      <w:pPr>
        <w:pStyle w:val="Vol4Numberedparas"/>
        <w:ind w:left="993" w:hanging="993"/>
        <w:jc w:val="both"/>
      </w:pPr>
      <w:r>
        <w:t>The Ministry of Social Developmen</w:t>
      </w:r>
      <w:r w:rsidRPr="0094721A">
        <w:t>t’s rapid payments are available to any survivor who has made a claim</w:t>
      </w:r>
      <w:r>
        <w:t>,</w:t>
      </w:r>
      <w:r w:rsidRPr="0094721A">
        <w:t xml:space="preserve"> not </w:t>
      </w:r>
      <w:r>
        <w:t>just</w:t>
      </w:r>
      <w:r w:rsidRPr="0094721A">
        <w:t xml:space="preserve"> survivors who are ill or elderly.</w:t>
      </w:r>
      <w:r w:rsidRPr="0094721A">
        <w:rPr>
          <w:rStyle w:val="EndnoteReference"/>
        </w:rPr>
        <w:endnoteReference w:id="59"/>
      </w:r>
      <w:r w:rsidRPr="0094721A">
        <w:rPr>
          <w:rStyle w:val="EndnoteReference"/>
        </w:rPr>
        <w:t xml:space="preserve"> </w:t>
      </w:r>
      <w:r w:rsidRPr="0094721A">
        <w:t xml:space="preserve"> A survivor may still choose to have a longer, individualised assessment. However, </w:t>
      </w:r>
      <w:r>
        <w:t>the ministry</w:t>
      </w:r>
      <w:r w:rsidRPr="0094721A">
        <w:t xml:space="preserve"> advises survivors that an individualised assessment “will take longer to complete given the assessment process requires a more detailed review of a person’s care records”.</w:t>
      </w:r>
      <w:r w:rsidRPr="0094721A">
        <w:rPr>
          <w:rStyle w:val="EndnoteReference"/>
        </w:rPr>
        <w:endnoteReference w:id="60"/>
      </w:r>
      <w:r w:rsidRPr="0094721A">
        <w:t xml:space="preserve"> A rapid payment is quicker to calculate as care records </w:t>
      </w:r>
      <w:r>
        <w:t>are only checked to confirm basic information and</w:t>
      </w:r>
      <w:r w:rsidRPr="0094721A">
        <w:t xml:space="preserve"> not checked to see if they support the survivor’s claims</w:t>
      </w:r>
      <w:r>
        <w:t xml:space="preserve"> of abuse</w:t>
      </w:r>
      <w:r w:rsidRPr="0094721A">
        <w:t xml:space="preserve">.  </w:t>
      </w:r>
    </w:p>
    <w:p w14:paraId="58AE4A88" w14:textId="36D2A917" w:rsidR="00C3701E" w:rsidRDefault="00C3701E" w:rsidP="00E24D02">
      <w:pPr>
        <w:pStyle w:val="Vol4Numberedparas"/>
        <w:ind w:left="993" w:hanging="993"/>
        <w:jc w:val="both"/>
      </w:pPr>
      <w:r w:rsidRPr="0094721A">
        <w:t xml:space="preserve">The rapid payment </w:t>
      </w:r>
      <w:r>
        <w:t>amount</w:t>
      </w:r>
      <w:r w:rsidRPr="0094721A">
        <w:t xml:space="preserve"> may differ from survivor to survivor, rather than being a fixed sum as </w:t>
      </w:r>
      <w:r>
        <w:t>the Inquiry</w:t>
      </w:r>
      <w:r w:rsidRPr="0094721A">
        <w:t xml:space="preserve"> recommended. The key criterion is the length of time the survivor spent in care. A survivor who spent</w:t>
      </w:r>
      <w:r>
        <w:t>:</w:t>
      </w:r>
      <w:r w:rsidRPr="0094721A">
        <w:t xml:space="preserve"> </w:t>
      </w:r>
    </w:p>
    <w:p w14:paraId="429EBAE9" w14:textId="5A71678A" w:rsidR="00C3701E" w:rsidRPr="008767CB" w:rsidRDefault="00C3701E" w:rsidP="00FC6275">
      <w:pPr>
        <w:pStyle w:val="ListParagraph"/>
        <w:numPr>
          <w:ilvl w:val="0"/>
          <w:numId w:val="167"/>
        </w:numPr>
        <w:spacing w:before="0" w:after="120"/>
        <w:ind w:left="1984" w:hanging="357"/>
        <w:contextualSpacing w:val="0"/>
        <w:rPr>
          <w:rFonts w:eastAsiaTheme="minorEastAsia"/>
          <w:kern w:val="2"/>
          <w14:ligatures w14:val="standardContextual"/>
        </w:rPr>
      </w:pPr>
      <w:r w:rsidRPr="008767CB">
        <w:rPr>
          <w:rFonts w:eastAsiaTheme="minorEastAsia"/>
          <w:kern w:val="2"/>
          <w14:ligatures w14:val="standardContextual"/>
        </w:rPr>
        <w:t>less than five years in care will receive $10,000</w:t>
      </w:r>
    </w:p>
    <w:p w14:paraId="5EE1B01C" w14:textId="4B9DF79E" w:rsidR="00C3701E" w:rsidRPr="008767CB" w:rsidRDefault="00C3701E" w:rsidP="00FC6275">
      <w:pPr>
        <w:pStyle w:val="ListParagraph"/>
        <w:numPr>
          <w:ilvl w:val="0"/>
          <w:numId w:val="167"/>
        </w:numPr>
        <w:spacing w:before="0" w:after="120"/>
        <w:ind w:left="1984" w:hanging="357"/>
        <w:contextualSpacing w:val="0"/>
        <w:rPr>
          <w:rFonts w:eastAsiaTheme="minorEastAsia"/>
          <w:kern w:val="2"/>
          <w14:ligatures w14:val="standardContextual"/>
        </w:rPr>
      </w:pPr>
      <w:r w:rsidRPr="008767CB">
        <w:rPr>
          <w:rFonts w:eastAsiaTheme="minorEastAsia"/>
          <w:kern w:val="2"/>
          <w14:ligatures w14:val="standardContextual"/>
        </w:rPr>
        <w:t>five to 15 years in care will receive $20,000</w:t>
      </w:r>
    </w:p>
    <w:p w14:paraId="4194595E" w14:textId="4D1CBFA5" w:rsidR="00C3701E" w:rsidRDefault="00C3701E" w:rsidP="00FC6275">
      <w:pPr>
        <w:pStyle w:val="ListParagraph"/>
        <w:numPr>
          <w:ilvl w:val="0"/>
          <w:numId w:val="167"/>
        </w:numPr>
        <w:spacing w:before="0" w:after="120"/>
        <w:ind w:left="1984" w:hanging="357"/>
        <w:contextualSpacing w:val="0"/>
      </w:pPr>
      <w:r w:rsidRPr="008767CB">
        <w:rPr>
          <w:rFonts w:eastAsiaTheme="minorEastAsia"/>
          <w:kern w:val="2"/>
          <w14:ligatures w14:val="standardContextual"/>
        </w:rPr>
        <w:t>15 years or more in care will receive $25,000</w:t>
      </w:r>
      <w:r w:rsidRPr="0094721A">
        <w:t>.</w:t>
      </w:r>
      <w:r w:rsidRPr="0094721A">
        <w:rPr>
          <w:rStyle w:val="EndnoteReference"/>
        </w:rPr>
        <w:endnoteReference w:id="61"/>
      </w:r>
      <w:r w:rsidRPr="008767CB">
        <w:rPr>
          <w:rStyle w:val="EndnoteReference"/>
        </w:rPr>
        <w:t xml:space="preserve"> </w:t>
      </w:r>
      <w:r w:rsidRPr="0094721A">
        <w:t xml:space="preserve"> </w:t>
      </w:r>
    </w:p>
    <w:p w14:paraId="56FEB81E" w14:textId="1B3F8D8A" w:rsidR="00C3701E" w:rsidRDefault="00C3701E" w:rsidP="00C462DE">
      <w:pPr>
        <w:pStyle w:val="Vol4Numberedparas"/>
        <w:ind w:left="993" w:hanging="993"/>
      </w:pPr>
      <w:r w:rsidRPr="0094721A">
        <w:t xml:space="preserve">This is based on </w:t>
      </w:r>
      <w:r>
        <w:t>the Ministry of Social Development</w:t>
      </w:r>
      <w:r w:rsidRPr="0094721A">
        <w:t xml:space="preserve">’s view that the longer a person spent in </w:t>
      </w:r>
      <w:r>
        <w:t>S</w:t>
      </w:r>
      <w:r w:rsidRPr="0094721A">
        <w:t>tate care, the more likely it is that they will have been harmed repeatedly.</w:t>
      </w:r>
      <w:r w:rsidRPr="0094721A">
        <w:rPr>
          <w:rStyle w:val="EndnoteReference"/>
        </w:rPr>
        <w:endnoteReference w:id="62"/>
      </w:r>
      <w:r w:rsidRPr="0094721A">
        <w:rPr>
          <w:rStyle w:val="EndnoteReference"/>
        </w:rPr>
        <w:t xml:space="preserve"> </w:t>
      </w:r>
      <w:r w:rsidRPr="0094721A">
        <w:t xml:space="preserve"> Additional amounts may be added where the survivor has raised concerns relat</w:t>
      </w:r>
      <w:r>
        <w:t>ing</w:t>
      </w:r>
      <w:r w:rsidRPr="0094721A">
        <w:t xml:space="preserve"> to</w:t>
      </w:r>
      <w:r>
        <w:t>:</w:t>
      </w:r>
      <w:r w:rsidRPr="0094721A">
        <w:t xml:space="preserve"> </w:t>
      </w:r>
    </w:p>
    <w:p w14:paraId="41E79574" w14:textId="0631441D" w:rsidR="00C3701E" w:rsidRPr="00FF63A5" w:rsidRDefault="00C3701E" w:rsidP="000F485B">
      <w:pPr>
        <w:pStyle w:val="ListParagraph"/>
        <w:numPr>
          <w:ilvl w:val="0"/>
          <w:numId w:val="167"/>
        </w:numPr>
        <w:spacing w:before="0" w:after="120"/>
        <w:ind w:left="1984" w:hanging="357"/>
        <w:contextualSpacing w:val="0"/>
        <w:jc w:val="left"/>
        <w:rPr>
          <w:rFonts w:eastAsiaTheme="minorEastAsia"/>
          <w:kern w:val="2"/>
          <w14:ligatures w14:val="standardContextual"/>
        </w:rPr>
      </w:pPr>
      <w:r w:rsidRPr="00FF63A5">
        <w:rPr>
          <w:rFonts w:eastAsiaTheme="minorEastAsia"/>
          <w:kern w:val="2"/>
          <w14:ligatures w14:val="standardContextual"/>
        </w:rPr>
        <w:t>an “NGO</w:t>
      </w:r>
      <w:r>
        <w:rPr>
          <w:rFonts w:eastAsiaTheme="minorEastAsia"/>
          <w:kern w:val="2"/>
          <w14:ligatures w14:val="standardContextual"/>
        </w:rPr>
        <w:t>-</w:t>
      </w:r>
      <w:r w:rsidRPr="00FF63A5">
        <w:rPr>
          <w:rFonts w:eastAsiaTheme="minorEastAsia"/>
          <w:kern w:val="2"/>
          <w14:ligatures w14:val="standardContextual"/>
        </w:rPr>
        <w:t>run bush programme”</w:t>
      </w:r>
      <w:r>
        <w:rPr>
          <w:rFonts w:eastAsiaTheme="minorEastAsia"/>
          <w:kern w:val="2"/>
          <w14:ligatures w14:val="standardContextual"/>
        </w:rPr>
        <w:t>.</w:t>
      </w:r>
      <w:r w:rsidRPr="00FF63A5">
        <w:rPr>
          <w:rFonts w:eastAsiaTheme="minorEastAsia"/>
          <w:kern w:val="2"/>
          <w14:ligatures w14:val="standardContextual"/>
        </w:rPr>
        <w:t xml:space="preserve"> These are defined by the Ministry of Social Development as meaning “bush programmes in isolated settings run by NGO providers who were contracted by Child, Youth and Family or its predecessor agencies to provide care for young people in </w:t>
      </w:r>
      <w:r>
        <w:rPr>
          <w:rFonts w:eastAsiaTheme="minorEastAsia"/>
          <w:kern w:val="2"/>
          <w14:ligatures w14:val="standardContextual"/>
        </w:rPr>
        <w:t>S</w:t>
      </w:r>
      <w:r w:rsidRPr="00FF63A5">
        <w:rPr>
          <w:rFonts w:eastAsiaTheme="minorEastAsia"/>
          <w:kern w:val="2"/>
          <w14:ligatures w14:val="standardContextual"/>
        </w:rPr>
        <w:t>tate care”</w:t>
      </w:r>
      <w:r>
        <w:rPr>
          <w:rFonts w:eastAsiaTheme="minorEastAsia"/>
          <w:kern w:val="2"/>
          <w14:ligatures w14:val="standardContextual"/>
        </w:rPr>
        <w:t>.</w:t>
      </w:r>
      <w:r w:rsidRPr="00FF63A5">
        <w:rPr>
          <w:rFonts w:eastAsiaTheme="minorEastAsia"/>
          <w:kern w:val="2"/>
          <w14:ligatures w14:val="standardContextual"/>
        </w:rPr>
        <w:t xml:space="preserve"> They include Whakapakari, Moerangi Treks, Eastland Rescue Youth Trust, Tarawera Treks/Tarawera Trust, Wairaka Kokiri and Whaakaro Kotahi Charitable Trust/ Te Tewha Tewha Trust</w:t>
      </w:r>
      <w:r w:rsidRPr="0003210B">
        <w:rPr>
          <w:rStyle w:val="EndnoteReference"/>
        </w:rPr>
        <w:endnoteReference w:id="63"/>
      </w:r>
      <w:r w:rsidRPr="0003210B">
        <w:rPr>
          <w:rStyle w:val="EndnoteReference"/>
        </w:rPr>
        <w:t xml:space="preserve"> </w:t>
      </w:r>
    </w:p>
    <w:p w14:paraId="6B36FEE8" w14:textId="4F09FBD6" w:rsidR="00C3701E" w:rsidRPr="00FF63A5" w:rsidRDefault="00C3701E" w:rsidP="000F485B">
      <w:pPr>
        <w:pStyle w:val="ListParagraph"/>
        <w:numPr>
          <w:ilvl w:val="0"/>
          <w:numId w:val="167"/>
        </w:numPr>
        <w:spacing w:before="0" w:after="120"/>
        <w:ind w:left="1984" w:hanging="357"/>
        <w:contextualSpacing w:val="0"/>
        <w:jc w:val="left"/>
        <w:rPr>
          <w:rFonts w:eastAsiaTheme="minorEastAsia"/>
          <w:kern w:val="2"/>
          <w14:ligatures w14:val="standardContextual"/>
        </w:rPr>
      </w:pPr>
      <w:r w:rsidRPr="00FF63A5">
        <w:rPr>
          <w:rFonts w:eastAsiaTheme="minorEastAsia"/>
          <w:kern w:val="2"/>
          <w14:ligatures w14:val="standardContextual"/>
        </w:rPr>
        <w:t xml:space="preserve">inappropriate detention </w:t>
      </w:r>
    </w:p>
    <w:p w14:paraId="45CDB14F" w14:textId="77777777" w:rsidR="00C3701E" w:rsidRDefault="00C3701E" w:rsidP="000F485B">
      <w:pPr>
        <w:pStyle w:val="ListParagraph"/>
        <w:numPr>
          <w:ilvl w:val="0"/>
          <w:numId w:val="167"/>
        </w:numPr>
        <w:spacing w:before="0" w:after="120"/>
        <w:ind w:left="1984" w:hanging="357"/>
        <w:contextualSpacing w:val="0"/>
        <w:jc w:val="left"/>
      </w:pPr>
      <w:r w:rsidRPr="00FF63A5">
        <w:rPr>
          <w:rFonts w:eastAsiaTheme="minorEastAsia"/>
          <w:kern w:val="2"/>
          <w14:ligatures w14:val="standardContextual"/>
        </w:rPr>
        <w:t>the New Zealand Bill of Rights Act 1990</w:t>
      </w:r>
      <w:r w:rsidRPr="0094721A">
        <w:t>.</w:t>
      </w:r>
      <w:r w:rsidRPr="0094721A">
        <w:rPr>
          <w:rStyle w:val="EndnoteReference"/>
        </w:rPr>
        <w:endnoteReference w:id="64"/>
      </w:r>
      <w:r w:rsidRPr="0094721A">
        <w:rPr>
          <w:rStyle w:val="EndnoteReference"/>
        </w:rPr>
        <w:t xml:space="preserve"> </w:t>
      </w:r>
      <w:r w:rsidRPr="0094721A">
        <w:t xml:space="preserve"> </w:t>
      </w:r>
    </w:p>
    <w:p w14:paraId="4921798B" w14:textId="735CAFB5" w:rsidR="00C3701E" w:rsidRPr="0094721A" w:rsidRDefault="00C3701E" w:rsidP="00D614E7">
      <w:pPr>
        <w:pStyle w:val="Vol4Numberedparas"/>
        <w:ind w:left="993" w:hanging="993"/>
      </w:pPr>
      <w:r w:rsidRPr="0094721A">
        <w:t xml:space="preserve">The maximum rapid payment available is $30,000.  </w:t>
      </w:r>
    </w:p>
    <w:p w14:paraId="2440AAD4" w14:textId="0F5FEB9E" w:rsidR="00C3701E" w:rsidRPr="0094721A" w:rsidRDefault="00C3701E" w:rsidP="00D614E7">
      <w:pPr>
        <w:pStyle w:val="Vol4Numberedparas"/>
        <w:ind w:left="993" w:hanging="993"/>
      </w:pPr>
      <w:r w:rsidRPr="0094721A">
        <w:t xml:space="preserve">A survivor who receives a rapid payment may also choose to receive their care records, access counselling, receive “an apology for their experience”, and tell </w:t>
      </w:r>
      <w:r>
        <w:t>the Ministry of Social Development</w:t>
      </w:r>
      <w:r w:rsidRPr="0094721A">
        <w:t xml:space="preserve"> what happened to them.</w:t>
      </w:r>
      <w:r w:rsidRPr="0094721A">
        <w:rPr>
          <w:rStyle w:val="EndnoteReference"/>
        </w:rPr>
        <w:endnoteReference w:id="65"/>
      </w:r>
      <w:r w:rsidRPr="0094721A">
        <w:t xml:space="preserve">  </w:t>
      </w:r>
    </w:p>
    <w:p w14:paraId="5FE65EFB" w14:textId="137FC9E1" w:rsidR="00C3701E" w:rsidRPr="0094721A" w:rsidRDefault="00C3701E" w:rsidP="00D614E7">
      <w:pPr>
        <w:pStyle w:val="Vol4Numberedparas"/>
        <w:ind w:left="993" w:hanging="993"/>
      </w:pPr>
      <w:r w:rsidRPr="0094721A">
        <w:lastRenderedPageBreak/>
        <w:t>According to the C</w:t>
      </w:r>
      <w:r>
        <w:t>rown Response Unit</w:t>
      </w:r>
      <w:r w:rsidRPr="0094721A">
        <w:t>, more than 80</w:t>
      </w:r>
      <w:r>
        <w:t xml:space="preserve"> percent</w:t>
      </w:r>
      <w:r w:rsidRPr="0094721A">
        <w:t xml:space="preserve"> of survivors who have been offered a rapid payment have chosen this option.</w:t>
      </w:r>
      <w:r w:rsidRPr="0094721A">
        <w:rPr>
          <w:rStyle w:val="EndnoteReference"/>
        </w:rPr>
        <w:endnoteReference w:id="66"/>
      </w:r>
      <w:r w:rsidRPr="0094721A">
        <w:t xml:space="preserve"> </w:t>
      </w:r>
      <w:r>
        <w:t>The Ministry of Social Development</w:t>
      </w:r>
      <w:r w:rsidRPr="0094721A">
        <w:t xml:space="preserve"> advised the </w:t>
      </w:r>
      <w:r>
        <w:t>Inquiry</w:t>
      </w:r>
      <w:r w:rsidRPr="0094721A">
        <w:t xml:space="preserve"> that survivors had regularly provided positive feedback about the process </w:t>
      </w:r>
      <w:r>
        <w:t>and</w:t>
      </w:r>
      <w:r w:rsidRPr="0094721A">
        <w:t xml:space="preserve"> </w:t>
      </w:r>
      <w:r>
        <w:t>the</w:t>
      </w:r>
      <w:r w:rsidRPr="0094721A">
        <w:t xml:space="preserve"> apologies they had received.</w:t>
      </w:r>
      <w:r w:rsidRPr="0094721A">
        <w:rPr>
          <w:rStyle w:val="EndnoteReference"/>
        </w:rPr>
        <w:endnoteReference w:id="67"/>
      </w:r>
      <w:r w:rsidRPr="0094721A">
        <w:t xml:space="preserve"> </w:t>
      </w:r>
    </w:p>
    <w:p w14:paraId="71B51229" w14:textId="7B29B978" w:rsidR="00C3701E" w:rsidRPr="0094721A" w:rsidRDefault="00C3701E" w:rsidP="00D614E7">
      <w:pPr>
        <w:pStyle w:val="Vol4Numberedparas"/>
        <w:ind w:left="993" w:hanging="993"/>
      </w:pPr>
      <w:r w:rsidRPr="0094721A">
        <w:t xml:space="preserve">As a general principle, </w:t>
      </w:r>
      <w:r>
        <w:t>the Inquiry</w:t>
      </w:r>
      <w:r w:rsidRPr="0094721A">
        <w:t xml:space="preserve"> agree</w:t>
      </w:r>
      <w:r>
        <w:t>s</w:t>
      </w:r>
      <w:r w:rsidRPr="0094721A">
        <w:t xml:space="preserve"> that the prompt determination of a claim is important. However, speed needs to be balanced with other considerations </w:t>
      </w:r>
      <w:r>
        <w:t xml:space="preserve">that </w:t>
      </w:r>
      <w:r w:rsidRPr="0094721A">
        <w:t xml:space="preserve">affect whether a determination will achieve or contribute to </w:t>
      </w:r>
      <w:r>
        <w:t>a survivor’s claim being resolved</w:t>
      </w:r>
      <w:r w:rsidRPr="0094721A">
        <w:t xml:space="preserve">. These include matters such as the integrity of the process and the outcome, and its ability to assist in the restoration of mana. </w:t>
      </w:r>
    </w:p>
    <w:p w14:paraId="078C7658" w14:textId="707AA3E1" w:rsidR="00C3701E" w:rsidRPr="0094721A" w:rsidRDefault="00C3701E" w:rsidP="00D614E7">
      <w:pPr>
        <w:pStyle w:val="Vol4Numberedparas"/>
        <w:ind w:left="993" w:hanging="993"/>
      </w:pPr>
      <w:r>
        <w:t>The Inquiry</w:t>
      </w:r>
      <w:r w:rsidRPr="0094721A">
        <w:t xml:space="preserve"> ha</w:t>
      </w:r>
      <w:r>
        <w:t>s</w:t>
      </w:r>
      <w:r w:rsidRPr="0094721A">
        <w:t xml:space="preserve"> the following concerns about the </w:t>
      </w:r>
      <w:r>
        <w:t xml:space="preserve">Ministry of Social Development’s </w:t>
      </w:r>
      <w:r w:rsidRPr="0094721A">
        <w:t>rapid payment scheme:</w:t>
      </w:r>
    </w:p>
    <w:p w14:paraId="23C43169" w14:textId="11B9A602" w:rsidR="00C3701E" w:rsidRPr="0094721A" w:rsidRDefault="00C3701E" w:rsidP="00781C67">
      <w:pPr>
        <w:pStyle w:val="Bulletos"/>
        <w:numPr>
          <w:ilvl w:val="0"/>
          <w:numId w:val="9"/>
        </w:numPr>
        <w:spacing w:before="0"/>
        <w:ind w:left="1701" w:hanging="567"/>
      </w:pPr>
      <w:r>
        <w:t>The</w:t>
      </w:r>
      <w:r w:rsidRPr="0094721A">
        <w:t xml:space="preserve"> </w:t>
      </w:r>
      <w:r>
        <w:t xml:space="preserve">Inquiry intended that </w:t>
      </w:r>
      <w:r w:rsidRPr="0094721A">
        <w:t xml:space="preserve">advance payments </w:t>
      </w:r>
      <w:r>
        <w:t xml:space="preserve">would </w:t>
      </w:r>
      <w:r w:rsidRPr="0094721A">
        <w:t>be available to all survivors who met the criteria proposed</w:t>
      </w:r>
      <w:r>
        <w:t xml:space="preserve"> by the Inquiry, </w:t>
      </w:r>
      <w:r w:rsidRPr="0094721A">
        <w:t>as they were under the Scotland Advance Payment scheme.</w:t>
      </w:r>
      <w:r w:rsidRPr="0094721A">
        <w:rPr>
          <w:rStyle w:val="EndnoteReference"/>
          <w:rFonts w:eastAsiaTheme="minorEastAsia"/>
          <w:kern w:val="2"/>
          <w14:ligatures w14:val="standardContextual"/>
        </w:rPr>
        <w:endnoteReference w:id="68"/>
      </w:r>
      <w:r w:rsidRPr="0094721A">
        <w:rPr>
          <w:rStyle w:val="EndnoteReference"/>
          <w:rFonts w:eastAsiaTheme="minorEastAsia"/>
          <w:kern w:val="2"/>
          <w14:ligatures w14:val="standardContextual"/>
        </w:rPr>
        <w:t xml:space="preserve"> </w:t>
      </w:r>
      <w:r w:rsidRPr="0094721A">
        <w:t xml:space="preserve">This </w:t>
      </w:r>
      <w:r>
        <w:t>i</w:t>
      </w:r>
      <w:r w:rsidRPr="0094721A">
        <w:t xml:space="preserve">s based on the principle that entitlements for survivors abused in </w:t>
      </w:r>
      <w:r w:rsidRPr="00AD50CE">
        <w:t xml:space="preserve">care should not depend on the institution they were in when they were abused. </w:t>
      </w:r>
      <w:r w:rsidRPr="00650118">
        <w:t xml:space="preserve">Contrary to this, </w:t>
      </w:r>
      <w:bookmarkStart w:id="99" w:name="_Hlk150264693"/>
      <w:r w:rsidRPr="00650118">
        <w:t>survivors who have claims with any institution other than the Ministry of Social Development, including faith-based institutions, do not have access to the rapid payment scheme</w:t>
      </w:r>
      <w:bookmarkEnd w:id="99"/>
      <w:r w:rsidRPr="00650118">
        <w:t xml:space="preserve"> (and as set out below, some survivors who have claims with the Ministry of Education have access to a different rapid payment scheme).</w:t>
      </w:r>
      <w:r w:rsidRPr="00AD50CE">
        <w:t xml:space="preserve"> Given</w:t>
      </w:r>
      <w:r w:rsidRPr="0094721A">
        <w:t xml:space="preserve"> the Government understood that many other institutions have only a limited number of claims, advance payments could have been made available on a universal basis as </w:t>
      </w:r>
      <w:r>
        <w:t>the Inquiry</w:t>
      </w:r>
      <w:r w:rsidRPr="0094721A">
        <w:t xml:space="preserve"> proposed.</w:t>
      </w:r>
    </w:p>
    <w:p w14:paraId="50E7A16C" w14:textId="4406F5CC" w:rsidR="00C3701E" w:rsidRPr="005D3B25" w:rsidRDefault="00C3701E" w:rsidP="00781C67">
      <w:pPr>
        <w:pStyle w:val="Bulletos"/>
        <w:numPr>
          <w:ilvl w:val="0"/>
          <w:numId w:val="9"/>
        </w:numPr>
        <w:spacing w:before="0"/>
        <w:ind w:left="1701" w:hanging="567"/>
      </w:pPr>
      <w:r w:rsidRPr="0094721A">
        <w:t xml:space="preserve">In He Purapura Ora, he Māra Tipu, </w:t>
      </w:r>
      <w:r>
        <w:t>the Inquiry</w:t>
      </w:r>
      <w:r w:rsidRPr="0094721A">
        <w:t xml:space="preserve"> found that a key component of puretumu</w:t>
      </w:r>
      <w:r>
        <w:t xml:space="preserve"> torowhānui, holistic redress,</w:t>
      </w:r>
      <w:r w:rsidRPr="0094721A">
        <w:t xml:space="preserve"> is a meaningful apology. </w:t>
      </w:r>
      <w:r>
        <w:t xml:space="preserve">Apologies that failed to squarely acknowledge the relevant abuse were meaningless. </w:t>
      </w:r>
      <w:r w:rsidRPr="0094721A">
        <w:t xml:space="preserve">While </w:t>
      </w:r>
      <w:r>
        <w:t>the Inquiry</w:t>
      </w:r>
      <w:r w:rsidRPr="0094721A">
        <w:t xml:space="preserve"> understand</w:t>
      </w:r>
      <w:r>
        <w:t>s</w:t>
      </w:r>
      <w:r w:rsidRPr="0094721A">
        <w:t xml:space="preserve"> that some survivors</w:t>
      </w:r>
      <w:r>
        <w:t xml:space="preserve"> have been positive about the </w:t>
      </w:r>
      <w:r w:rsidRPr="0094721A">
        <w:t>apologies</w:t>
      </w:r>
      <w:r>
        <w:t xml:space="preserve"> received</w:t>
      </w:r>
      <w:r w:rsidRPr="0094721A">
        <w:t xml:space="preserve"> from </w:t>
      </w:r>
      <w:r>
        <w:t xml:space="preserve">the Ministry </w:t>
      </w:r>
      <w:r w:rsidRPr="00641874">
        <w:t>of Social Development</w:t>
      </w:r>
      <w:r w:rsidRPr="00331CE5">
        <w:t xml:space="preserve"> as p</w:t>
      </w:r>
      <w:r w:rsidRPr="0094721A">
        <w:t xml:space="preserve">art of receiving a rapid payment, </w:t>
      </w:r>
      <w:r>
        <w:t xml:space="preserve">no </w:t>
      </w:r>
      <w:r w:rsidRPr="005D3B25">
        <w:t>determination is made</w:t>
      </w:r>
      <w:r>
        <w:t xml:space="preserve"> in the rapid payment process</w:t>
      </w:r>
      <w:r w:rsidRPr="005D3B25">
        <w:t xml:space="preserve"> </w:t>
      </w:r>
      <w:r>
        <w:t xml:space="preserve">about </w:t>
      </w:r>
      <w:r w:rsidRPr="005D3B25">
        <w:t xml:space="preserve">whether </w:t>
      </w:r>
      <w:r w:rsidRPr="00417C3E">
        <w:t>the Ministry of Social Development</w:t>
      </w:r>
      <w:r>
        <w:t xml:space="preserve"> </w:t>
      </w:r>
      <w:r w:rsidRPr="005D3B25">
        <w:t>accepts the survivor’s claims about that abuse. The actual abuse suffered by the survivor is irrelevant or mostly irrelevant to the amount received as a rapid payment.</w:t>
      </w:r>
      <w:r>
        <w:t xml:space="preserve"> It is difficult for the Inquiry to see how </w:t>
      </w:r>
      <w:r w:rsidRPr="00417C3E">
        <w:t>the Ministry of Social Development</w:t>
      </w:r>
      <w:r>
        <w:t xml:space="preserve"> can offer meaningful apologies to survivors for abuse if it has not accepted that the abuse occurred.</w:t>
      </w:r>
    </w:p>
    <w:p w14:paraId="32A4CB09" w14:textId="45723DF4" w:rsidR="00C3701E" w:rsidRPr="00AF2C8C" w:rsidRDefault="00C3701E" w:rsidP="00781C67">
      <w:pPr>
        <w:pStyle w:val="Bulletos"/>
        <w:numPr>
          <w:ilvl w:val="0"/>
          <w:numId w:val="9"/>
        </w:numPr>
        <w:spacing w:before="0"/>
        <w:ind w:left="1701" w:hanging="567"/>
      </w:pPr>
      <w:r w:rsidRPr="00AF2C8C">
        <w:t>The Inquiry also understands that the Ministry</w:t>
      </w:r>
      <w:r>
        <w:t xml:space="preserve"> of Social Development</w:t>
      </w:r>
      <w:r w:rsidRPr="00AF2C8C">
        <w:t xml:space="preserve"> advised Cooper Legal that survivors would be allowed to determine the content of its apology letters to them following a rapid payment.</w:t>
      </w:r>
      <w:r w:rsidRPr="00AF2C8C">
        <w:rPr>
          <w:rStyle w:val="EndnoteReference"/>
          <w:rFonts w:eastAsiaTheme="minorEastAsia"/>
          <w:kern w:val="2"/>
          <w14:ligatures w14:val="standardContextual"/>
        </w:rPr>
        <w:endnoteReference w:id="69"/>
      </w:r>
      <w:r w:rsidRPr="005D3B25">
        <w:rPr>
          <w:rStyle w:val="EndnoteReference"/>
          <w:rFonts w:eastAsiaTheme="minorEastAsia"/>
          <w:vertAlign w:val="baseline"/>
        </w:rPr>
        <w:t xml:space="preserve"> </w:t>
      </w:r>
      <w:r w:rsidRPr="00AF2C8C">
        <w:t xml:space="preserve">This is the case even though </w:t>
      </w:r>
      <w:r w:rsidRPr="00417C3E">
        <w:t>the Ministry of Social Development</w:t>
      </w:r>
      <w:r>
        <w:t xml:space="preserve"> </w:t>
      </w:r>
      <w:r w:rsidRPr="00AF2C8C">
        <w:t xml:space="preserve">will not have accepted that the abuse occurred, </w:t>
      </w:r>
      <w:r w:rsidRPr="005D3B25">
        <w:t>n</w:t>
      </w:r>
      <w:r w:rsidRPr="00AF2C8C">
        <w:t xml:space="preserve">or taken </w:t>
      </w:r>
      <w:r w:rsidRPr="005D3B25">
        <w:t>this</w:t>
      </w:r>
      <w:r w:rsidRPr="00AF2C8C">
        <w:t xml:space="preserve"> into account </w:t>
      </w:r>
      <w:r w:rsidRPr="005D3B25">
        <w:t>when</w:t>
      </w:r>
      <w:r w:rsidRPr="00AF2C8C">
        <w:t xml:space="preserve"> setting the payment amount. It is the Inquiry’s view that such an apology lacks integrity.  </w:t>
      </w:r>
    </w:p>
    <w:p w14:paraId="35063F39" w14:textId="77777777" w:rsidR="00724544" w:rsidRDefault="00724544">
      <w:pPr>
        <w:spacing w:after="160"/>
        <w:rPr>
          <w:rFonts w:ascii="Arial" w:eastAsia="Times New Roman" w:hAnsi="Arial" w:cs="Arial"/>
          <w:lang w:eastAsia="en-NZ"/>
        </w:rPr>
      </w:pPr>
      <w:r>
        <w:br w:type="page"/>
      </w:r>
    </w:p>
    <w:p w14:paraId="770DF387" w14:textId="33A3FBF9" w:rsidR="00C3701E" w:rsidRDefault="00C3701E" w:rsidP="00781C67">
      <w:pPr>
        <w:pStyle w:val="Bulletos"/>
        <w:numPr>
          <w:ilvl w:val="0"/>
          <w:numId w:val="9"/>
        </w:numPr>
        <w:spacing w:before="0"/>
        <w:ind w:left="1701" w:hanging="567"/>
      </w:pPr>
      <w:r>
        <w:lastRenderedPageBreak/>
        <w:t>For</w:t>
      </w:r>
      <w:r w:rsidRPr="00AF2C8C">
        <w:t xml:space="preserve"> many survivors</w:t>
      </w:r>
      <w:r>
        <w:t xml:space="preserve"> it</w:t>
      </w:r>
      <w:r w:rsidRPr="00AF2C8C">
        <w:t xml:space="preserve"> is</w:t>
      </w:r>
      <w:r>
        <w:t xml:space="preserve"> essential</w:t>
      </w:r>
      <w:r w:rsidRPr="00AF2C8C">
        <w:t xml:space="preserve"> that their claims of abuse are believed. It will be difficult for the Ministry</w:t>
      </w:r>
      <w:r>
        <w:t xml:space="preserve"> of Social Development</w:t>
      </w:r>
      <w:r w:rsidRPr="00AF2C8C">
        <w:t xml:space="preserve"> to tell survivors that it believes their claims of abuse, if it does not take the abuse into consideration when deciding whether a survivor should receive a rapid payment, or how much they receive. </w:t>
      </w:r>
    </w:p>
    <w:p w14:paraId="6D448B62" w14:textId="6924553F" w:rsidR="00C3701E" w:rsidRDefault="00C3701E" w:rsidP="00781C67">
      <w:pPr>
        <w:pStyle w:val="Bulletos"/>
        <w:numPr>
          <w:ilvl w:val="0"/>
          <w:numId w:val="9"/>
        </w:numPr>
        <w:spacing w:before="0"/>
        <w:ind w:left="1701" w:hanging="567"/>
      </w:pPr>
      <w:r>
        <w:t>The Ministry</w:t>
      </w:r>
      <w:r w:rsidRPr="0094721A">
        <w:t xml:space="preserve"> </w:t>
      </w:r>
      <w:r>
        <w:t xml:space="preserve">of Social Development </w:t>
      </w:r>
      <w:r w:rsidRPr="0094721A">
        <w:t xml:space="preserve">chose time spent in care as the main criterion for determining the amount of a rapid payment. This was based on its view that a survivor who had spent more time in care would be more likely to have suffered repeated harm. However, </w:t>
      </w:r>
      <w:r>
        <w:t>there is a risk</w:t>
      </w:r>
      <w:r w:rsidRPr="0094721A">
        <w:t xml:space="preserve"> that </w:t>
      </w:r>
      <w:r>
        <w:t>survivors</w:t>
      </w:r>
      <w:r w:rsidRPr="0094721A">
        <w:t xml:space="preserve"> who </w:t>
      </w:r>
      <w:r>
        <w:t xml:space="preserve">have </w:t>
      </w:r>
      <w:r w:rsidRPr="0094721A">
        <w:t xml:space="preserve">spent a long time in care </w:t>
      </w:r>
      <w:r>
        <w:t xml:space="preserve">and </w:t>
      </w:r>
      <w:r w:rsidRPr="0094721A">
        <w:t xml:space="preserve">experienced lower-level abuse will receive more </w:t>
      </w:r>
      <w:r>
        <w:t xml:space="preserve">(even substantially) </w:t>
      </w:r>
      <w:r w:rsidRPr="0094721A">
        <w:t xml:space="preserve">than </w:t>
      </w:r>
      <w:r>
        <w:t xml:space="preserve">survivors who have </w:t>
      </w:r>
      <w:r w:rsidRPr="0094721A">
        <w:t xml:space="preserve">spent a short time in care </w:t>
      </w:r>
      <w:r>
        <w:t>yet suffered higher-level abuse (such as multiple</w:t>
      </w:r>
      <w:r w:rsidRPr="0094721A">
        <w:t xml:space="preserve"> rapes</w:t>
      </w:r>
      <w:r>
        <w:t>)</w:t>
      </w:r>
      <w:r w:rsidRPr="0094721A">
        <w:t xml:space="preserve">. </w:t>
      </w:r>
      <w:r>
        <w:t xml:space="preserve">A survivor who experienced this type of abuse could choose an individualised assessment, but that would likely take years under </w:t>
      </w:r>
      <w:r w:rsidRPr="00417C3E">
        <w:t>the Ministry of Social Development</w:t>
      </w:r>
      <w:r>
        <w:t>’s timeframes.</w:t>
      </w:r>
      <w:r w:rsidRPr="2172DB08">
        <w:rPr>
          <w:rStyle w:val="EndnoteReference"/>
          <w:rFonts w:eastAsiaTheme="minorEastAsia"/>
          <w:kern w:val="2"/>
          <w14:ligatures w14:val="standardContextual"/>
        </w:rPr>
        <w:endnoteReference w:id="70"/>
      </w:r>
      <w:r w:rsidRPr="2172DB08">
        <w:rPr>
          <w:rStyle w:val="EndnoteReference"/>
          <w:rFonts w:eastAsiaTheme="minorEastAsia"/>
          <w:kern w:val="2"/>
          <w14:ligatures w14:val="standardContextual"/>
        </w:rPr>
        <w:t xml:space="preserve"> </w:t>
      </w:r>
      <w:r w:rsidRPr="2172DB08">
        <w:rPr>
          <w:rFonts w:eastAsiaTheme="minorEastAsia"/>
          <w:kern w:val="2"/>
          <w14:ligatures w14:val="standardContextual"/>
        </w:rPr>
        <w:t xml:space="preserve"> </w:t>
      </w:r>
      <w:r w:rsidRPr="2172DB08">
        <w:rPr>
          <w:rFonts w:eastAsiaTheme="minorEastAsia"/>
        </w:rPr>
        <w:t xml:space="preserve">Once a claim makes its way through the backlog for assessment, </w:t>
      </w:r>
      <w:r w:rsidRPr="00417C3E">
        <w:t>the Ministry of Social Development</w:t>
      </w:r>
      <w:r>
        <w:t xml:space="preserve"> </w:t>
      </w:r>
      <w:r w:rsidRPr="2172DB08">
        <w:rPr>
          <w:rFonts w:eastAsiaTheme="minorEastAsia"/>
        </w:rPr>
        <w:t xml:space="preserve">told the Inquiry that some claims can take as little as 3-6 months to resolve. </w:t>
      </w:r>
      <w:r>
        <w:t>S</w:t>
      </w:r>
      <w:r w:rsidRPr="0094721A">
        <w:t>urvivor</w:t>
      </w:r>
      <w:r>
        <w:t>s</w:t>
      </w:r>
      <w:r w:rsidRPr="0094721A">
        <w:t xml:space="preserve"> may feel aggrieved about the amount they have received as a rapid payment if they become aware of amounts received by other survivors who have suffered what they perceive to be lesser abuse. </w:t>
      </w:r>
      <w:r>
        <w:t>This</w:t>
      </w:r>
      <w:r w:rsidRPr="0094721A">
        <w:t xml:space="preserve"> </w:t>
      </w:r>
      <w:r>
        <w:t>may</w:t>
      </w:r>
      <w:r w:rsidRPr="0094721A">
        <w:t xml:space="preserve"> </w:t>
      </w:r>
      <w:r>
        <w:t xml:space="preserve">lead to </w:t>
      </w:r>
      <w:r w:rsidRPr="0094721A">
        <w:t>adverse perception</w:t>
      </w:r>
      <w:r>
        <w:t>s</w:t>
      </w:r>
      <w:r w:rsidRPr="0094721A">
        <w:t xml:space="preserve"> </w:t>
      </w:r>
      <w:r>
        <w:t>about the integrity</w:t>
      </w:r>
      <w:r w:rsidRPr="0094721A">
        <w:t xml:space="preserve"> of the scheme </w:t>
      </w:r>
      <w:r>
        <w:t>by survivors and</w:t>
      </w:r>
      <w:r w:rsidRPr="0094721A">
        <w:t xml:space="preserve"> </w:t>
      </w:r>
      <w:r>
        <w:t>the</w:t>
      </w:r>
      <w:r w:rsidRPr="0094721A">
        <w:t xml:space="preserve"> public. </w:t>
      </w:r>
    </w:p>
    <w:p w14:paraId="79A42CDA" w14:textId="26055615" w:rsidR="00C3701E" w:rsidRPr="0094721A" w:rsidRDefault="00C3701E" w:rsidP="00781C67">
      <w:pPr>
        <w:pStyle w:val="Bulletos"/>
        <w:numPr>
          <w:ilvl w:val="0"/>
          <w:numId w:val="9"/>
        </w:numPr>
        <w:spacing w:before="0"/>
        <w:ind w:left="1701" w:hanging="567"/>
      </w:pPr>
      <w:r w:rsidRPr="0094721A">
        <w:t>The rapid payment scheme has many similarities with a previous fast-track process</w:t>
      </w:r>
      <w:r>
        <w:t xml:space="preserve"> by the Ministry of Social Development</w:t>
      </w:r>
      <w:r w:rsidRPr="0094721A">
        <w:t>. He Purapura Ora, he Māra Tipu records survivors accepting fast</w:t>
      </w:r>
      <w:r>
        <w:t>-</w:t>
      </w:r>
      <w:r w:rsidRPr="0094721A">
        <w:t>track offers because they were struggling financially and did not want to wait years for a fuller assessment</w:t>
      </w:r>
      <w:r>
        <w:t>,</w:t>
      </w:r>
      <w:r w:rsidRPr="0094721A">
        <w:rPr>
          <w:rStyle w:val="EndnoteReference"/>
          <w:rFonts w:eastAsiaTheme="minorEastAsia"/>
          <w:kern w:val="2"/>
          <w14:ligatures w14:val="standardContextual"/>
        </w:rPr>
        <w:endnoteReference w:id="71"/>
      </w:r>
      <w:r w:rsidRPr="0094721A">
        <w:rPr>
          <w:rStyle w:val="EndnoteReference"/>
          <w:rFonts w:eastAsiaTheme="minorEastAsia"/>
          <w:kern w:val="2"/>
          <w14:ligatures w14:val="standardContextual"/>
        </w:rPr>
        <w:t xml:space="preserve"> </w:t>
      </w:r>
      <w:r>
        <w:t xml:space="preserve">and testimonies </w:t>
      </w:r>
      <w:r w:rsidRPr="0094721A">
        <w:t xml:space="preserve">from survivors </w:t>
      </w:r>
      <w:r>
        <w:t>who criticised</w:t>
      </w:r>
      <w:r w:rsidRPr="0094721A">
        <w:t xml:space="preserve"> this process.</w:t>
      </w:r>
      <w:r>
        <w:rPr>
          <w:rStyle w:val="EndnoteReference"/>
        </w:rPr>
        <w:endnoteReference w:id="72"/>
      </w:r>
      <w:r w:rsidRPr="0094721A">
        <w:rPr>
          <w:rStyle w:val="EndnoteReference"/>
          <w:rFonts w:eastAsiaTheme="minorEastAsia"/>
          <w:kern w:val="2"/>
          <w14:ligatures w14:val="standardContextual"/>
        </w:rPr>
        <w:t xml:space="preserve"> </w:t>
      </w:r>
      <w:r w:rsidRPr="0094721A">
        <w:t xml:space="preserve">It appears that little </w:t>
      </w:r>
      <w:r>
        <w:t xml:space="preserve">or no </w:t>
      </w:r>
      <w:r w:rsidRPr="0094721A">
        <w:t xml:space="preserve">weight has been given to these critiques in designing the rapid payment scheme.  </w:t>
      </w:r>
    </w:p>
    <w:p w14:paraId="0EABB852" w14:textId="57BC1F40" w:rsidR="00C3701E" w:rsidRPr="0094721A" w:rsidRDefault="00C3701E" w:rsidP="00781C67">
      <w:pPr>
        <w:pStyle w:val="Bulletos"/>
        <w:numPr>
          <w:ilvl w:val="0"/>
          <w:numId w:val="9"/>
        </w:numPr>
        <w:spacing w:before="0"/>
        <w:ind w:left="1701" w:hanging="567"/>
      </w:pPr>
      <w:r w:rsidRPr="0094721A">
        <w:t xml:space="preserve">A survivor who accepts a rapid payment from </w:t>
      </w:r>
      <w:r>
        <w:t xml:space="preserve">the Ministry of Social Development </w:t>
      </w:r>
      <w:r w:rsidRPr="0094721A">
        <w:t xml:space="preserve">has to sign an agreement settling their claims against </w:t>
      </w:r>
      <w:r>
        <w:t>the Ministry</w:t>
      </w:r>
      <w:r w:rsidRPr="0094721A">
        <w:t xml:space="preserve">. </w:t>
      </w:r>
      <w:r>
        <w:t>The Inquiry</w:t>
      </w:r>
      <w:r w:rsidRPr="0094721A">
        <w:t xml:space="preserve"> did not envisage that advance payments would be offered in settlement of a survivor’s claim </w:t>
      </w:r>
      <w:r>
        <w:t>but</w:t>
      </w:r>
      <w:r w:rsidRPr="0094721A">
        <w:t xml:space="preserve"> as an interim measure for seriously ill or elderly survivors. </w:t>
      </w:r>
      <w:r>
        <w:t>The Inquiry</w:t>
      </w:r>
      <w:r w:rsidRPr="0094721A">
        <w:t xml:space="preserve"> </w:t>
      </w:r>
      <w:r>
        <w:t xml:space="preserve">also </w:t>
      </w:r>
      <w:r w:rsidRPr="0094721A">
        <w:t>recommended that whānau should be able to make a claim on a deceased survivor’s behalf to the new puretumu torowhānui scheme</w:t>
      </w:r>
      <w:r>
        <w:t>,</w:t>
      </w:r>
      <w:r w:rsidRPr="0094721A">
        <w:t xml:space="preserve"> if there is clear evidence that the survivor </w:t>
      </w:r>
      <w:r>
        <w:t xml:space="preserve">had </w:t>
      </w:r>
      <w:r w:rsidRPr="0094721A">
        <w:t>intended to apply to the scheme or had taken other steps to make a claim.</w:t>
      </w:r>
      <w:r w:rsidRPr="0094721A">
        <w:rPr>
          <w:rStyle w:val="EndnoteReference"/>
          <w:rFonts w:eastAsiaTheme="minorEastAsia"/>
          <w:kern w:val="2"/>
          <w14:ligatures w14:val="standardContextual"/>
        </w:rPr>
        <w:endnoteReference w:id="73"/>
      </w:r>
      <w:r w:rsidRPr="0094721A">
        <w:rPr>
          <w:rStyle w:val="EndnoteReference"/>
          <w:rFonts w:eastAsiaTheme="minorEastAsia"/>
          <w:kern w:val="2"/>
          <w14:ligatures w14:val="standardContextual"/>
        </w:rPr>
        <w:t xml:space="preserve"> </w:t>
      </w:r>
      <w:r w:rsidRPr="0094721A">
        <w:t xml:space="preserve"> </w:t>
      </w:r>
    </w:p>
    <w:p w14:paraId="2C993353" w14:textId="585176A2" w:rsidR="00C3701E" w:rsidRPr="001A1589" w:rsidRDefault="00C3701E" w:rsidP="00781C67">
      <w:pPr>
        <w:pStyle w:val="Bulletos"/>
        <w:numPr>
          <w:ilvl w:val="0"/>
          <w:numId w:val="9"/>
        </w:numPr>
        <w:spacing w:before="0"/>
        <w:ind w:left="1701" w:hanging="567"/>
      </w:pPr>
      <w:r>
        <w:t>It is</w:t>
      </w:r>
      <w:r w:rsidRPr="0094721A">
        <w:t xml:space="preserve"> </w:t>
      </w:r>
      <w:r>
        <w:t>un</w:t>
      </w:r>
      <w:r w:rsidRPr="0094721A">
        <w:t xml:space="preserve">clear whether survivors who </w:t>
      </w:r>
      <w:r>
        <w:t xml:space="preserve">accept a rapid payment </w:t>
      </w:r>
      <w:r w:rsidRPr="0094721A">
        <w:t xml:space="preserve">will have access </w:t>
      </w:r>
      <w:r>
        <w:t xml:space="preserve">to </w:t>
      </w:r>
      <w:r w:rsidRPr="0094721A">
        <w:t>any new scheme.</w:t>
      </w:r>
      <w:r>
        <w:t xml:space="preserve"> The Inquiry</w:t>
      </w:r>
      <w:r w:rsidRPr="0094721A">
        <w:t xml:space="preserve"> understand</w:t>
      </w:r>
      <w:r>
        <w:t>s</w:t>
      </w:r>
      <w:r w:rsidRPr="0094721A">
        <w:t xml:space="preserve"> that </w:t>
      </w:r>
      <w:r>
        <w:t>the Ministry of Social Development’s</w:t>
      </w:r>
      <w:r w:rsidRPr="0094721A">
        <w:t xml:space="preserve"> settlement agreement states that the survivor will have access to any new redress scheme established, provided that the Government decides to make the new scheme available to survivors who have already settled. </w:t>
      </w:r>
      <w:r>
        <w:t>T</w:t>
      </w:r>
      <w:r w:rsidRPr="00417C3E">
        <w:t>he Ministry of Social Development</w:t>
      </w:r>
      <w:r>
        <w:t xml:space="preserve"> </w:t>
      </w:r>
      <w:r w:rsidRPr="0094721A">
        <w:t>advises survivors that the Government has not made “final decisions” on this.</w:t>
      </w:r>
      <w:r w:rsidRPr="0094721A">
        <w:rPr>
          <w:rStyle w:val="EndnoteReference"/>
          <w:rFonts w:eastAsiaTheme="minorEastAsia"/>
          <w:kern w:val="2"/>
          <w14:ligatures w14:val="standardContextual"/>
        </w:rPr>
        <w:endnoteReference w:id="74"/>
      </w:r>
      <w:r w:rsidRPr="0094721A">
        <w:rPr>
          <w:rStyle w:val="EndnoteReference"/>
          <w:rFonts w:eastAsiaTheme="minorEastAsia"/>
          <w:kern w:val="2"/>
          <w14:ligatures w14:val="standardContextual"/>
        </w:rPr>
        <w:t xml:space="preserve"> </w:t>
      </w:r>
    </w:p>
    <w:p w14:paraId="7F698465" w14:textId="320E843E" w:rsidR="00C3701E" w:rsidRPr="00641874" w:rsidRDefault="00C3701E" w:rsidP="00707D4A">
      <w:pPr>
        <w:pStyle w:val="Vol4Numberedparas"/>
        <w:ind w:left="993" w:hanging="993"/>
      </w:pPr>
      <w:r w:rsidRPr="00641874">
        <w:lastRenderedPageBreak/>
        <w:t xml:space="preserve">The Inquiry is also aware that the Ministry of Social Development is endeavouring to settle claims from a group of survivors made under the Privacy Act 2020 relating to </w:t>
      </w:r>
      <w:r w:rsidRPr="00417C3E">
        <w:t>the Ministry of Social Development</w:t>
      </w:r>
      <w:r w:rsidRPr="00641874">
        <w:t xml:space="preserve">’s alleged failure to provide their records in a timely manner. For the purposes of settling these claims, </w:t>
      </w:r>
      <w:r w:rsidRPr="00417C3E">
        <w:t>the Ministry of Social Development</w:t>
      </w:r>
      <w:r>
        <w:t xml:space="preserve"> </w:t>
      </w:r>
      <w:r w:rsidRPr="00641874">
        <w:t xml:space="preserve">has agreed that records should have been provided within four months from the date of request. Survivors from this group whose record requests took longer than that to be processed have received settlement offers based on a banding approach. Under that approach, </w:t>
      </w:r>
      <w:r w:rsidRPr="00417C3E">
        <w:t>the Ministry of Social Development</w:t>
      </w:r>
      <w:r>
        <w:t xml:space="preserve"> </w:t>
      </w:r>
      <w:r w:rsidRPr="00641874">
        <w:t>has offered to pay the following sums:</w:t>
      </w:r>
      <w:r w:rsidRPr="00641874">
        <w:rPr>
          <w:rStyle w:val="EndnoteReference"/>
        </w:rPr>
        <w:endnoteReference w:id="75"/>
      </w:r>
    </w:p>
    <w:p w14:paraId="4E3ED436" w14:textId="1D12CAD7" w:rsidR="00C3701E" w:rsidRPr="00641874" w:rsidRDefault="00C3701E" w:rsidP="00781C67">
      <w:pPr>
        <w:pStyle w:val="ListParagraph"/>
        <w:numPr>
          <w:ilvl w:val="0"/>
          <w:numId w:val="167"/>
        </w:numPr>
        <w:spacing w:before="0" w:after="120"/>
        <w:ind w:left="1701" w:hanging="567"/>
        <w:contextualSpacing w:val="0"/>
        <w:rPr>
          <w:rFonts w:eastAsiaTheme="minorEastAsia"/>
          <w:kern w:val="2"/>
          <w14:ligatures w14:val="standardContextual"/>
        </w:rPr>
      </w:pPr>
      <w:r w:rsidRPr="00641874">
        <w:rPr>
          <w:rFonts w:eastAsiaTheme="minorEastAsia"/>
          <w:kern w:val="2"/>
          <w14:ligatures w14:val="standardContextual"/>
        </w:rPr>
        <w:t>$5,000 for a delay of 0 to 3 months (that is, 0-3 months in excess of the four-month timeframe considered reasonable)</w:t>
      </w:r>
    </w:p>
    <w:p w14:paraId="706A0A48" w14:textId="74FC59B7" w:rsidR="00C3701E" w:rsidRPr="00641874" w:rsidRDefault="00C3701E" w:rsidP="00781C67">
      <w:pPr>
        <w:pStyle w:val="ListParagraph"/>
        <w:numPr>
          <w:ilvl w:val="0"/>
          <w:numId w:val="167"/>
        </w:numPr>
        <w:spacing w:before="0" w:after="120"/>
        <w:ind w:left="1701" w:hanging="567"/>
        <w:contextualSpacing w:val="0"/>
        <w:rPr>
          <w:rFonts w:eastAsiaTheme="minorEastAsia"/>
          <w:kern w:val="2"/>
          <w14:ligatures w14:val="standardContextual"/>
        </w:rPr>
      </w:pPr>
      <w:r w:rsidRPr="00641874">
        <w:rPr>
          <w:rFonts w:eastAsiaTheme="minorEastAsia"/>
          <w:kern w:val="2"/>
          <w14:ligatures w14:val="standardContextual"/>
        </w:rPr>
        <w:t>$7,000 for a delay of 3 to 5 months</w:t>
      </w:r>
    </w:p>
    <w:p w14:paraId="2B8EBFD7" w14:textId="100AC9DA" w:rsidR="00C3701E" w:rsidRPr="00641874" w:rsidRDefault="00C3701E" w:rsidP="00781C67">
      <w:pPr>
        <w:pStyle w:val="ListParagraph"/>
        <w:numPr>
          <w:ilvl w:val="0"/>
          <w:numId w:val="167"/>
        </w:numPr>
        <w:spacing w:before="0" w:after="120"/>
        <w:ind w:left="1701" w:hanging="567"/>
        <w:contextualSpacing w:val="0"/>
        <w:rPr>
          <w:rFonts w:eastAsiaTheme="minorEastAsia"/>
          <w:kern w:val="2"/>
          <w14:ligatures w14:val="standardContextual"/>
        </w:rPr>
      </w:pPr>
      <w:r w:rsidRPr="00641874">
        <w:rPr>
          <w:rFonts w:eastAsiaTheme="minorEastAsia"/>
          <w:kern w:val="2"/>
          <w14:ligatures w14:val="standardContextual"/>
        </w:rPr>
        <w:t>$9,000 for a delay of 5 to 8 months</w:t>
      </w:r>
    </w:p>
    <w:p w14:paraId="01EC2E27" w14:textId="08EE7A27" w:rsidR="00C3701E" w:rsidRPr="00641874" w:rsidRDefault="00C3701E" w:rsidP="00781C67">
      <w:pPr>
        <w:pStyle w:val="ListParagraph"/>
        <w:numPr>
          <w:ilvl w:val="0"/>
          <w:numId w:val="167"/>
        </w:numPr>
        <w:spacing w:before="0" w:after="120"/>
        <w:ind w:left="1701" w:hanging="567"/>
        <w:contextualSpacing w:val="0"/>
        <w:rPr>
          <w:rFonts w:eastAsiaTheme="minorEastAsia"/>
          <w:kern w:val="2"/>
          <w14:ligatures w14:val="standardContextual"/>
        </w:rPr>
      </w:pPr>
      <w:r w:rsidRPr="00641874">
        <w:rPr>
          <w:rFonts w:eastAsiaTheme="minorEastAsia"/>
          <w:kern w:val="2"/>
          <w14:ligatures w14:val="standardContextual"/>
        </w:rPr>
        <w:t>$11,000 for a delay of 8 to 11 months</w:t>
      </w:r>
    </w:p>
    <w:p w14:paraId="01D08CFA" w14:textId="3FD0E85C" w:rsidR="00C3701E" w:rsidRPr="00641874" w:rsidRDefault="00C3701E" w:rsidP="00781C67">
      <w:pPr>
        <w:pStyle w:val="ListParagraph"/>
        <w:numPr>
          <w:ilvl w:val="0"/>
          <w:numId w:val="167"/>
        </w:numPr>
        <w:spacing w:before="0" w:after="120"/>
        <w:ind w:left="1701" w:hanging="567"/>
        <w:contextualSpacing w:val="0"/>
        <w:rPr>
          <w:rFonts w:eastAsiaTheme="minorEastAsia"/>
          <w:kern w:val="2"/>
          <w14:ligatures w14:val="standardContextual"/>
        </w:rPr>
      </w:pPr>
      <w:r w:rsidRPr="00641874">
        <w:rPr>
          <w:rFonts w:eastAsiaTheme="minorEastAsia"/>
          <w:kern w:val="2"/>
          <w14:ligatures w14:val="standardContextual"/>
        </w:rPr>
        <w:t>$13,000 for a delay of 11 to 14 months</w:t>
      </w:r>
    </w:p>
    <w:p w14:paraId="58305DA9" w14:textId="54E58ACA" w:rsidR="00C3701E" w:rsidRPr="00641874" w:rsidRDefault="00C3701E" w:rsidP="00781C67">
      <w:pPr>
        <w:pStyle w:val="ListParagraph"/>
        <w:numPr>
          <w:ilvl w:val="0"/>
          <w:numId w:val="167"/>
        </w:numPr>
        <w:spacing w:before="0" w:after="120"/>
        <w:ind w:left="1701" w:hanging="567"/>
        <w:contextualSpacing w:val="0"/>
        <w:rPr>
          <w:rFonts w:eastAsiaTheme="minorEastAsia"/>
          <w:kern w:val="2"/>
          <w14:ligatures w14:val="standardContextual"/>
        </w:rPr>
      </w:pPr>
      <w:r w:rsidRPr="00641874">
        <w:rPr>
          <w:rFonts w:eastAsiaTheme="minorEastAsia"/>
          <w:kern w:val="2"/>
          <w14:ligatures w14:val="standardContextual"/>
        </w:rPr>
        <w:t>$15,000 for a delay of 14 to 17 months</w:t>
      </w:r>
    </w:p>
    <w:p w14:paraId="38699EBB" w14:textId="6D43AC28" w:rsidR="00C3701E" w:rsidRPr="00641874" w:rsidRDefault="00C3701E" w:rsidP="00781C67">
      <w:pPr>
        <w:pStyle w:val="ListParagraph"/>
        <w:numPr>
          <w:ilvl w:val="0"/>
          <w:numId w:val="167"/>
        </w:numPr>
        <w:spacing w:before="0" w:after="120"/>
        <w:ind w:left="1701" w:hanging="567"/>
        <w:contextualSpacing w:val="0"/>
        <w:rPr>
          <w:rFonts w:eastAsiaTheme="minorEastAsia"/>
          <w:kern w:val="2"/>
          <w14:ligatures w14:val="standardContextual"/>
        </w:rPr>
      </w:pPr>
      <w:r w:rsidRPr="00641874">
        <w:rPr>
          <w:rFonts w:eastAsiaTheme="minorEastAsia"/>
          <w:kern w:val="2"/>
          <w14:ligatures w14:val="standardContextual"/>
        </w:rPr>
        <w:t xml:space="preserve">$17,000 for a delay of 17 months or more.  </w:t>
      </w:r>
    </w:p>
    <w:p w14:paraId="1EA7972C" w14:textId="1735DB48" w:rsidR="00C3701E" w:rsidRDefault="00C3701E" w:rsidP="00F12E2A">
      <w:pPr>
        <w:pStyle w:val="Vol4Numberedparas"/>
        <w:ind w:left="993" w:hanging="993"/>
        <w:rPr>
          <w:i/>
          <w:iCs/>
        </w:rPr>
      </w:pPr>
      <w:r w:rsidRPr="00641874">
        <w:t xml:space="preserve">The Inquiry does not criticise the Ministry of Social Development for offering these sums in settlement of these privacy claims. The sums are presumably based, in part at least, on what </w:t>
      </w:r>
      <w:r w:rsidRPr="00417C3E">
        <w:t>the Ministry of Social Development</w:t>
      </w:r>
      <w:r>
        <w:t xml:space="preserve"> </w:t>
      </w:r>
      <w:r w:rsidRPr="00641874">
        <w:t xml:space="preserve">could expect to pay if the claims proceeded to the Human Rights Review Tribunal and damages were awarded against the ministry. However, the Inquiry is very concerned that a survivor from this group could receive more from </w:t>
      </w:r>
      <w:r w:rsidRPr="00417C3E">
        <w:t>the Ministry of Social Development</w:t>
      </w:r>
      <w:r>
        <w:t xml:space="preserve"> </w:t>
      </w:r>
      <w:r w:rsidRPr="00641874">
        <w:t xml:space="preserve">(or not much less) for a delay in providing records than the survivor could </w:t>
      </w:r>
      <w:r w:rsidRPr="00F12E2A">
        <w:t>receive as a rapid payment in return for settling the survivor’s abuse claims against the ministry. Such an outcome seems neither logical nor fair.</w:t>
      </w:r>
      <w:r w:rsidRPr="00F12E2A">
        <w:rPr>
          <w:rStyle w:val="EndnoteReference"/>
        </w:rPr>
        <w:endnoteReference w:id="76"/>
      </w:r>
    </w:p>
    <w:p w14:paraId="0A840F6B" w14:textId="6B8DE74F" w:rsidR="00C3701E" w:rsidRPr="00F12E2A" w:rsidRDefault="00C3701E" w:rsidP="00F12E2A">
      <w:pPr>
        <w:pStyle w:val="Vol4Numberedparas"/>
        <w:ind w:left="993" w:hanging="993"/>
        <w:rPr>
          <w:i/>
          <w:iCs/>
        </w:rPr>
      </w:pPr>
      <w:r w:rsidRPr="00641874">
        <w:t>Also, as set out above the highest sum offered in settlement for these privacy claims is $17,000. In He Purapura Ora, he Māra Tipu, the Inquiry found that the Ministry of Social Development’s average redress payment for abuse in care was $20,000 (that is, the average payment following an individualised assessment).</w:t>
      </w:r>
      <w:r w:rsidRPr="00331CE5">
        <w:rPr>
          <w:rStyle w:val="EndnoteReference"/>
        </w:rPr>
        <w:endnoteReference w:id="77"/>
      </w:r>
      <w:r w:rsidRPr="00641874">
        <w:t xml:space="preserve"> </w:t>
      </w:r>
    </w:p>
    <w:p w14:paraId="413016FE" w14:textId="0305E243" w:rsidR="00C3701E" w:rsidRPr="00641874" w:rsidRDefault="00C3701E" w:rsidP="00C870D6">
      <w:pPr>
        <w:pStyle w:val="Heading3"/>
        <w:rPr>
          <w:i/>
          <w:iCs/>
        </w:rPr>
      </w:pPr>
      <w:bookmarkStart w:id="100" w:name="_Toc181080951"/>
      <w:r w:rsidRPr="00ED72D0">
        <w:t>Te kaupapa utu tere a Te Tāhūhū o te Mātauranga</w:t>
      </w:r>
      <w:bookmarkEnd w:id="100"/>
    </w:p>
    <w:p w14:paraId="2A59A9F2" w14:textId="4BADAAF2" w:rsidR="00C3701E" w:rsidRPr="00641874" w:rsidRDefault="00C3701E" w:rsidP="00C870D6">
      <w:pPr>
        <w:pStyle w:val="Heading3"/>
        <w:rPr>
          <w:i/>
          <w:iCs/>
        </w:rPr>
      </w:pPr>
      <w:bookmarkStart w:id="101" w:name="_Toc181080952"/>
      <w:r w:rsidRPr="00ED72D0">
        <w:t xml:space="preserve">Ministry of Education’s </w:t>
      </w:r>
      <w:r w:rsidRPr="00641874">
        <w:t>rapid payment scheme</w:t>
      </w:r>
      <w:bookmarkEnd w:id="101"/>
      <w:r w:rsidRPr="00641874">
        <w:t xml:space="preserve"> </w:t>
      </w:r>
    </w:p>
    <w:p w14:paraId="1BF32065" w14:textId="70D7EED7" w:rsidR="00C3701E" w:rsidRPr="00641874" w:rsidRDefault="00C3701E" w:rsidP="0039351C">
      <w:pPr>
        <w:pStyle w:val="Vol4Numberedparas"/>
        <w:ind w:left="993" w:hanging="993"/>
      </w:pPr>
      <w:r w:rsidRPr="00641874">
        <w:t>In May 2024 the Ministry of Education introduced a rapid payment scheme (only) for survivors of Waimokoia Residential School. This scheme does not test a survivor’s particular claims.</w:t>
      </w:r>
      <w:r w:rsidRPr="00641874">
        <w:rPr>
          <w:rStyle w:val="EndnoteReference"/>
        </w:rPr>
        <w:endnoteReference w:id="78"/>
      </w:r>
      <w:r w:rsidRPr="00641874">
        <w:t xml:space="preserve"> Instead, the payments available are based on what the ministry refers to as “standard findings” it has made about abuse at Waimokoia between 1960-1969, 1970-1979, 1980-1989, 1990-1999, and 2000-2009. The maximum sum available in the ministry’s rapid payment scheme for any Waimokoia survivor is $20,000.</w:t>
      </w:r>
    </w:p>
    <w:p w14:paraId="264661EC" w14:textId="77777777" w:rsidR="00724544" w:rsidRDefault="00724544">
      <w:pPr>
        <w:spacing w:after="160"/>
        <w:rPr>
          <w:rFonts w:ascii="Arial" w:eastAsiaTheme="minorEastAsia" w:hAnsi="Arial" w:cs="Arial"/>
          <w:kern w:val="2"/>
          <w:lang w:eastAsia="en-NZ"/>
          <w14:ligatures w14:val="standardContextual"/>
        </w:rPr>
      </w:pPr>
      <w:r>
        <w:br w:type="page"/>
      </w:r>
    </w:p>
    <w:p w14:paraId="5B77EEB1" w14:textId="30757CED" w:rsidR="00C3701E" w:rsidRPr="00641874" w:rsidRDefault="00C3701E" w:rsidP="0039351C">
      <w:pPr>
        <w:pStyle w:val="Vol4Numberedparas"/>
        <w:ind w:left="993" w:hanging="993"/>
      </w:pPr>
      <w:r w:rsidRPr="00641874">
        <w:lastRenderedPageBreak/>
        <w:t xml:space="preserve">For example, a survivor who attended Waimokoia in the 1960s and was abused and suffered harm as a result will receive $5,000. This sum is based on the Ministry of Education’s standard findings relating to supervision and inappropriate use of time out during the 1960s. If the survivor attended between December 1960 and January 1961, they will receive an additional $10,000 based on other standard findings. These include a finding of sexual abuse by a handyman employed at Waimokoia between December 1960 and 16 January 1961 (although the description of this finding makes it unclear whether the ministry actually reached the view that sexual abuse occurred).  </w:t>
      </w:r>
    </w:p>
    <w:p w14:paraId="1299CDF0" w14:textId="0BF6F89E" w:rsidR="00C3701E" w:rsidRPr="00641874" w:rsidRDefault="00C3701E" w:rsidP="0039351C">
      <w:pPr>
        <w:pStyle w:val="Vol4Numberedparas"/>
        <w:ind w:left="993" w:hanging="993"/>
      </w:pPr>
      <w:r w:rsidRPr="00E85FF6">
        <w:t>A survivor who attended Waimokoia during the 2000s will receive $20,000, comprised of $10,000 for “ongoing issues with teaching and learning provision for</w:t>
      </w:r>
      <w:r w:rsidRPr="00641874">
        <w:t xml:space="preserve"> a significant amount of time and inappropriate behaviour management”, and $10,000 for “ongoing physical and sexual abuse occurring during the 2000s, including between students”. The Ministry of Education’s standard findings for the 2000s include that during this period Waimokoia “had a ‘terrifying and unhealthy’ environment for students, inappropriate use of timeout, practice failures and known and potentially abusive staff present throughout”.</w:t>
      </w:r>
      <w:r w:rsidRPr="0039351C">
        <w:rPr>
          <w:rStyle w:val="EndnoteReference"/>
        </w:rPr>
        <w:endnoteReference w:id="79"/>
      </w:r>
    </w:p>
    <w:p w14:paraId="5AFBEB27" w14:textId="323F090B" w:rsidR="00C3701E" w:rsidRPr="00641874" w:rsidRDefault="00C3701E" w:rsidP="0039351C">
      <w:pPr>
        <w:pStyle w:val="Vol4Numberedparas"/>
        <w:ind w:left="993" w:hanging="993"/>
      </w:pPr>
      <w:r w:rsidRPr="00641874">
        <w:t>A settlement offer under the Ministry of Education’s rapid payment scheme also includes an apology from the Secretary of Education and an offer to pay the survivor’s actual and reasonable legal costs. If the survivor chooses to accept an offer, they also agree that the settlement fully resolves their claims in relation to Waimokoia. The exception to this is that the survivor may still access any new redress scheme established by the Government, provided the Government chooses to make that scheme available to survivors who have previously settled their claims.</w:t>
      </w:r>
      <w:r w:rsidRPr="00641874">
        <w:rPr>
          <w:rStyle w:val="EndnoteReference"/>
        </w:rPr>
        <w:endnoteReference w:id="80"/>
      </w:r>
      <w:r w:rsidRPr="00641874">
        <w:t xml:space="preserve">  </w:t>
      </w:r>
    </w:p>
    <w:p w14:paraId="3D596BD3" w14:textId="3CFEEF52" w:rsidR="00C3701E" w:rsidRPr="00724544" w:rsidRDefault="00C3701E" w:rsidP="00724544">
      <w:pPr>
        <w:pStyle w:val="Vol4Numberedparas"/>
        <w:ind w:left="993" w:hanging="993"/>
      </w:pPr>
      <w:r w:rsidRPr="00641874">
        <w:t>A survivor of Waimokoia does not have to choose a rapid payment, and instead may opt for an individualised or ‘full’ assessment of their claims. Unlike the rapid payment scheme, the full assessment may include an interview with an assessor and includes an assessment of the survivor’s particular claims.</w:t>
      </w:r>
      <w:r w:rsidRPr="00641874">
        <w:rPr>
          <w:rStyle w:val="EndnoteReference"/>
        </w:rPr>
        <w:endnoteReference w:id="81"/>
      </w:r>
      <w:r w:rsidRPr="00641874">
        <w:t xml:space="preserve"> However, the Ministry of Education states that the full assessment process for a Waimokoia claim takes approximately six months, which can be extended if the claim is complicated or additional research is required. </w:t>
      </w:r>
      <w:r>
        <w:rPr>
          <w:lang w:val="en-US"/>
        </w:rPr>
        <w:t>T</w:t>
      </w:r>
      <w:r w:rsidRPr="00641874">
        <w:rPr>
          <w:lang w:val="en-US"/>
        </w:rPr>
        <w:t xml:space="preserve">he Inquiry understands that Waimokoia claims may be assessed more quickly than claims in relation to other schools because of the amount of information the ministry already has on Waimokoia. So, if a survivor has a claim relating to another institution for which the Ministry of Education is responsible, the Inquiry understands that the processing time for that claim may be longer than six months. </w:t>
      </w:r>
      <w:r w:rsidRPr="00641874">
        <w:t>Rapid payments, on the other hand, can be made in approximately four weeks.</w:t>
      </w:r>
      <w:r w:rsidRPr="0039351C">
        <w:rPr>
          <w:rStyle w:val="EndnoteReference"/>
        </w:rPr>
        <w:t xml:space="preserve"> </w:t>
      </w:r>
      <w:r w:rsidRPr="0039351C">
        <w:rPr>
          <w:rStyle w:val="EndnoteReference"/>
        </w:rPr>
        <w:endnoteReference w:id="82"/>
      </w:r>
      <w:r w:rsidRPr="00641874">
        <w:t xml:space="preserve"> Also, the rapid payments scheme has been designed so that it produces “broadly consistent” outcomes with the full assessment process. The Ministry of Education states that its own analysis indicates that average payments under the rapid payment scheme are likely to be slightly higher than the average payment of $16,000 under its full assessment process.</w:t>
      </w:r>
      <w:r w:rsidRPr="0039351C">
        <w:rPr>
          <w:rStyle w:val="EndnoteReference"/>
        </w:rPr>
        <w:endnoteReference w:id="83"/>
      </w:r>
      <w:r w:rsidRPr="00641874">
        <w:t xml:space="preserve"> Payments made under the full assessment process have been from $0 to $45,000 (“for extremely serious abuse by a convicted offender”).</w:t>
      </w:r>
      <w:r w:rsidRPr="0039351C">
        <w:rPr>
          <w:rStyle w:val="EndnoteReference"/>
        </w:rPr>
        <w:endnoteReference w:id="84"/>
      </w:r>
      <w:r w:rsidRPr="00641874">
        <w:t xml:space="preserve"> Survivors alleging more serious abuse “might choose to have [their] allegations assessed in full under [the Ministry of Education’s] usual process”.</w:t>
      </w:r>
      <w:r w:rsidRPr="0039351C">
        <w:rPr>
          <w:rStyle w:val="EndnoteReference"/>
        </w:rPr>
        <w:endnoteReference w:id="85"/>
      </w:r>
      <w:r>
        <w:br w:type="page"/>
      </w:r>
    </w:p>
    <w:p w14:paraId="75687EDA" w14:textId="4B5CACAE" w:rsidR="00C3701E" w:rsidRPr="00641874" w:rsidRDefault="00C3701E" w:rsidP="0039351C">
      <w:pPr>
        <w:pStyle w:val="Vol4Numberedparas"/>
        <w:ind w:left="993" w:hanging="993"/>
      </w:pPr>
      <w:r w:rsidRPr="00641874">
        <w:lastRenderedPageBreak/>
        <w:t>The Ministry of Education states that it will monitor its rapid payment scheme to ensure there are no “unintended negative consequences” for survivors.</w:t>
      </w:r>
      <w:r w:rsidRPr="0039351C">
        <w:rPr>
          <w:rStyle w:val="EndnoteReference"/>
        </w:rPr>
        <w:endnoteReference w:id="86"/>
      </w:r>
      <w:r w:rsidRPr="00641874">
        <w:t xml:space="preserve"> It intends to extend the scheme to survivors of McKenzie Residential School and Campbell Park Residential School once it has made “standard findings” on those schools.</w:t>
      </w:r>
      <w:r w:rsidRPr="00641874">
        <w:rPr>
          <w:rStyle w:val="EndnoteReference"/>
        </w:rPr>
        <w:endnoteReference w:id="87"/>
      </w:r>
      <w:r w:rsidRPr="00641874">
        <w:t xml:space="preserve"> Approximately 45 percent of the abuse in care claims made to the Ministry of Education involve Waimokoia, McKenzie and Campbell Park.</w:t>
      </w:r>
      <w:r w:rsidRPr="00641874">
        <w:rPr>
          <w:rStyle w:val="EndnoteReference"/>
        </w:rPr>
        <w:endnoteReference w:id="88"/>
      </w:r>
      <w:r w:rsidRPr="00641874">
        <w:t xml:space="preserve">  </w:t>
      </w:r>
    </w:p>
    <w:p w14:paraId="5BABB882" w14:textId="167A61D2" w:rsidR="00C3701E" w:rsidRPr="00641874" w:rsidRDefault="00C3701E" w:rsidP="00C870D6">
      <w:pPr>
        <w:pStyle w:val="Heading3"/>
        <w:rPr>
          <w:i/>
          <w:iCs/>
        </w:rPr>
      </w:pPr>
      <w:bookmarkStart w:id="102" w:name="_Toc181080953"/>
      <w:r w:rsidRPr="00ED72D0">
        <w:t>I whakaarotauhia ngā utu whakataunga e Te</w:t>
      </w:r>
      <w:r>
        <w:t xml:space="preserve"> Tāhūhū o te </w:t>
      </w:r>
      <w:r w:rsidRPr="00ED72D0">
        <w:t xml:space="preserve"> Mātauranga</w:t>
      </w:r>
      <w:bookmarkEnd w:id="102"/>
      <w:r w:rsidRPr="00ED72D0">
        <w:t xml:space="preserve"> </w:t>
      </w:r>
    </w:p>
    <w:p w14:paraId="75D5AF1C" w14:textId="25DE9057" w:rsidR="00C3701E" w:rsidRPr="00641874" w:rsidRDefault="00C3701E" w:rsidP="00C870D6">
      <w:pPr>
        <w:pStyle w:val="Heading3"/>
        <w:rPr>
          <w:i/>
          <w:iCs/>
        </w:rPr>
      </w:pPr>
      <w:bookmarkStart w:id="103" w:name="_Toc181080954"/>
      <w:r w:rsidRPr="00ED72D0">
        <w:t>Ministry of Education’s prioritised settlement payments</w:t>
      </w:r>
      <w:bookmarkEnd w:id="103"/>
    </w:p>
    <w:p w14:paraId="4954BD66" w14:textId="49CBF2F7" w:rsidR="00C3701E" w:rsidRPr="00641874" w:rsidRDefault="00C3701E" w:rsidP="0039351C">
      <w:pPr>
        <w:pStyle w:val="Vol4Numberedparas"/>
        <w:ind w:left="993" w:hanging="993"/>
      </w:pPr>
      <w:r w:rsidRPr="00641874">
        <w:t>The Ministry of Education has also introduced “prioritised settlement payments” of $10,000 for survivors who have a terminal illness and who are not expected to live more than 12 months, and whose claims have been accepted as eligible for assessment under the ministry’s normal process.</w:t>
      </w:r>
      <w:r w:rsidRPr="00641874">
        <w:rPr>
          <w:rStyle w:val="EndnoteReference"/>
        </w:rPr>
        <w:endnoteReference w:id="89"/>
      </w:r>
      <w:r w:rsidRPr="00641874">
        <w:t xml:space="preserve"> A survivor who accepts a prioritised settlement payment will have to sign a settlement agreement fully and finally settling their claim.</w:t>
      </w:r>
      <w:r w:rsidRPr="00641874">
        <w:rPr>
          <w:rStyle w:val="EndnoteReference"/>
        </w:rPr>
        <w:endnoteReference w:id="90"/>
      </w:r>
      <w:r w:rsidRPr="00641874">
        <w:t xml:space="preserve"> The Ministry of Education decided not to give survivors who receive this type of payment, or their whānau, the option of continuing to a full assessment. According to the ministry, providing that option would prolong the process for survivors and their whānau. Instead, the ministry wished to provide a “simple and fast option for terminally ill claimants to settle their claims before their death”.</w:t>
      </w:r>
      <w:r w:rsidRPr="0039351C">
        <w:rPr>
          <w:rStyle w:val="EndnoteReference"/>
        </w:rPr>
        <w:endnoteReference w:id="91"/>
      </w:r>
    </w:p>
    <w:p w14:paraId="2FF49C39" w14:textId="595FCA50" w:rsidR="00C3701E" w:rsidRPr="00641874" w:rsidRDefault="00C3701E" w:rsidP="0039351C">
      <w:pPr>
        <w:pStyle w:val="Vol4Numberedparas"/>
        <w:ind w:left="993" w:hanging="993"/>
      </w:pPr>
      <w:r w:rsidRPr="00641874">
        <w:t>A survivor who attended Waimokoia and is eligible for a rapid payment and for a prioritised settlement payment may choose either payment, but not both. Prioritised settlement payments, which are available for survivors who attended any school for which the ministry is responsible, are</w:t>
      </w:r>
      <w:r w:rsidRPr="00343D58">
        <w:t xml:space="preserve"> generally lower than the rapid payments available for Waimokoia survivors and may also end up being lower than rapid payments for McKenzie</w:t>
      </w:r>
      <w:r w:rsidRPr="00641874">
        <w:t xml:space="preserve"> and Campbell Park survivors. This is because the ministry does not have the same level of information about these other schools.</w:t>
      </w:r>
      <w:r w:rsidRPr="00641874">
        <w:rPr>
          <w:rStyle w:val="EndnoteReference"/>
        </w:rPr>
        <w:endnoteReference w:id="92"/>
      </w:r>
    </w:p>
    <w:p w14:paraId="0EBD085C" w14:textId="77777777" w:rsidR="00C3701E" w:rsidRDefault="00C3701E" w:rsidP="00C870D6">
      <w:pPr>
        <w:pStyle w:val="Heading3"/>
      </w:pPr>
      <w:bookmarkStart w:id="104" w:name="_Toc181080955"/>
      <w:r w:rsidRPr="00ED72D0">
        <w:t>He ratonga whakahauora hou</w:t>
      </w:r>
      <w:bookmarkEnd w:id="104"/>
    </w:p>
    <w:p w14:paraId="0B05DE8C" w14:textId="04F66DF8" w:rsidR="00C3701E" w:rsidRPr="00641874" w:rsidRDefault="00C3701E" w:rsidP="00C870D6">
      <w:pPr>
        <w:pStyle w:val="Heading3"/>
        <w:rPr>
          <w:i/>
          <w:iCs/>
        </w:rPr>
      </w:pPr>
      <w:bookmarkStart w:id="105" w:name="_Toc181080956"/>
      <w:r w:rsidRPr="00ED72D0">
        <w:t>New wellbeing support service</w:t>
      </w:r>
      <w:bookmarkEnd w:id="105"/>
    </w:p>
    <w:p w14:paraId="402F4D8B" w14:textId="722664B3" w:rsidR="00C3701E" w:rsidRPr="00641874" w:rsidRDefault="00C3701E" w:rsidP="006F109E">
      <w:pPr>
        <w:pStyle w:val="Vol4Numberedparas"/>
        <w:ind w:left="993" w:hanging="993"/>
      </w:pPr>
      <w:r w:rsidRPr="00641874">
        <w:t>A new wellbeing support service will also be introduced for survivors who have claims with the Ministry of Education, and for their whānau. The services available could include tattoo removal, literacy support, childcare or access to education for children, and budget support. Other services could include specialist counselling services, help to rebuild whānau, iwi or hapū connections, rongoā Māori, and job-seeking support. A kaupapa Māori approach is also available. An aim of the new support service is to provide claimants with practical support and help with the aspects of their lives they would like to improve while they are waiting for their claim to be processed.</w:t>
      </w:r>
      <w:r w:rsidRPr="00641874">
        <w:rPr>
          <w:rStyle w:val="EndnoteReference"/>
        </w:rPr>
        <w:endnoteReference w:id="93"/>
      </w:r>
    </w:p>
    <w:p w14:paraId="1B712084" w14:textId="77777777" w:rsidR="00724544" w:rsidRDefault="00724544">
      <w:pPr>
        <w:spacing w:after="160"/>
        <w:rPr>
          <w:rFonts w:ascii="Arial" w:eastAsia="Arial" w:hAnsi="Arial" w:cs="Arial"/>
          <w:b/>
          <w:color w:val="385623" w:themeColor="accent6" w:themeShade="80"/>
          <w:sz w:val="26"/>
        </w:rPr>
      </w:pPr>
      <w:r>
        <w:br w:type="page"/>
      </w:r>
    </w:p>
    <w:p w14:paraId="08A9A03C" w14:textId="1B2FFFB2" w:rsidR="00C3701E" w:rsidRDefault="00C3701E" w:rsidP="00C870D6">
      <w:pPr>
        <w:pStyle w:val="Heading3"/>
      </w:pPr>
      <w:bookmarkStart w:id="106" w:name="_Toc181080957"/>
      <w:r w:rsidRPr="00ED72D0">
        <w:lastRenderedPageBreak/>
        <w:t>Ngā tirohanga a te Pakirehua</w:t>
      </w:r>
      <w:bookmarkEnd w:id="106"/>
    </w:p>
    <w:p w14:paraId="7AE5CFAE" w14:textId="6E74CCC6" w:rsidR="00C3701E" w:rsidRPr="00641874" w:rsidRDefault="00C3701E" w:rsidP="00C870D6">
      <w:pPr>
        <w:pStyle w:val="Heading3"/>
        <w:rPr>
          <w:i/>
          <w:iCs/>
        </w:rPr>
      </w:pPr>
      <w:bookmarkStart w:id="107" w:name="_Toc181080958"/>
      <w:r w:rsidRPr="00ED72D0">
        <w:t>The Inquiry’s views</w:t>
      </w:r>
      <w:bookmarkEnd w:id="107"/>
    </w:p>
    <w:p w14:paraId="77E6C531" w14:textId="14AF7406" w:rsidR="00C3701E" w:rsidRPr="00EF13EF" w:rsidRDefault="00C3701E" w:rsidP="00D869F3">
      <w:pPr>
        <w:pStyle w:val="Vol4Numberedparas"/>
        <w:spacing w:after="160"/>
        <w:ind w:left="993" w:hanging="993"/>
      </w:pPr>
      <w:r w:rsidRPr="00641874">
        <w:t xml:space="preserve">The Inquiry welcomes the Ministry of Education’s new wellbeing support service. This is a positive initiative and the services provided align in a range of ways with services the Inquiry recommended the new puretumu torowhānui scheme should </w:t>
      </w:r>
      <w:r w:rsidRPr="00EF13EF">
        <w:t>enable survivors and their whānau to access.</w:t>
      </w:r>
      <w:r w:rsidRPr="00EF13EF">
        <w:rPr>
          <w:rStyle w:val="EndnoteReference"/>
        </w:rPr>
        <w:endnoteReference w:id="94"/>
      </w:r>
      <w:r w:rsidRPr="00EF13EF">
        <w:t xml:space="preserve"> </w:t>
      </w:r>
    </w:p>
    <w:p w14:paraId="4BEB97FE" w14:textId="082A13FB" w:rsidR="00C3701E" w:rsidRPr="00641874" w:rsidRDefault="00C3701E" w:rsidP="00D869F3">
      <w:pPr>
        <w:pStyle w:val="Vol4Numberedparas"/>
        <w:ind w:left="993" w:hanging="993"/>
      </w:pPr>
      <w:r w:rsidRPr="00641874">
        <w:t xml:space="preserve">The Ministry of Education’s prioritised settlement payment is more consistent with the Inquiry’s advance payment recommendation than </w:t>
      </w:r>
      <w:r w:rsidRPr="00417C3E">
        <w:t>the Ministry of Social Development</w:t>
      </w:r>
      <w:r w:rsidRPr="00641874">
        <w:t>’s rapid payment process. It involves the payment of the same sum to each survivor and is only available to survivors who are terminally ill rather than survivors generally. However, it is not available to survivors whose age gives rise to a serious risk that they will not be alive to see the outcome of their claim. The Ministry of Education states that it has a process by which the claims of elderly survivors are prioritised.</w:t>
      </w:r>
      <w:r w:rsidRPr="00641874">
        <w:rPr>
          <w:rStyle w:val="EndnoteReference"/>
        </w:rPr>
        <w:endnoteReference w:id="95"/>
      </w:r>
      <w:r w:rsidRPr="00641874">
        <w:t xml:space="preserve"> The Inquiry is not aware how long processing times are under this process. Its view remains that advance payments as it recommended should have been made available on a universal basis to survivors who met the criteria it proposed. This was the approach taken in Scotland, where advance payments were available to survivors of abuse in care who had a terminal illness or who were aged 68 or over (with the original age of 70 years or over being reduced to 68 after a review).</w:t>
      </w:r>
      <w:r w:rsidRPr="00D869F3">
        <w:rPr>
          <w:rStyle w:val="EndnoteReference"/>
        </w:rPr>
        <w:endnoteReference w:id="96"/>
      </w:r>
      <w:r w:rsidRPr="00641874">
        <w:t xml:space="preserve"> </w:t>
      </w:r>
    </w:p>
    <w:p w14:paraId="206CA75D" w14:textId="29BC1CEF" w:rsidR="00C3701E" w:rsidRPr="00641874" w:rsidRDefault="00C3701E" w:rsidP="00D869F3">
      <w:pPr>
        <w:pStyle w:val="Vol4Numberedparas"/>
        <w:ind w:left="993" w:hanging="993"/>
      </w:pPr>
      <w:r w:rsidRPr="00641874">
        <w:t>The requirement that survivors who receive a prioritised settlement payment fully and finally settle their claim is not consistent with the advance payments the Inquiry recommended. While the Ministry of Education’s view is that giving the option of progressing to a full assessment would prolong the process for survivors and their whānau, the Inquiry considers that is a choice the ministry should have left to those people.</w:t>
      </w:r>
    </w:p>
    <w:p w14:paraId="25375F7B" w14:textId="3AED31C8" w:rsidR="00C3701E" w:rsidRPr="00641874" w:rsidRDefault="00C3701E" w:rsidP="00D869F3">
      <w:pPr>
        <w:pStyle w:val="Vol4Numberedparas"/>
        <w:ind w:left="993" w:hanging="993"/>
      </w:pPr>
      <w:r w:rsidRPr="00641874">
        <w:t xml:space="preserve">Further, the wellbeing support service and the prioritised settlement payments are only available to survivors who have claims with the Ministry of Education. As the Inquiry has said before, the services and other forms of redress available for a survivor of abuse in care should not depend on the institution the survivor was in when they were abused. </w:t>
      </w:r>
    </w:p>
    <w:p w14:paraId="7145C998" w14:textId="11E0C3DD" w:rsidR="00C3701E" w:rsidRPr="00351BA6" w:rsidRDefault="00C3701E" w:rsidP="00351BA6">
      <w:pPr>
        <w:pStyle w:val="Vol4Numberedparas"/>
        <w:ind w:left="993" w:hanging="993"/>
      </w:pPr>
      <w:r w:rsidRPr="00641874">
        <w:t>The Inquiry has a series of concerns about the Ministry of Education’s rapid payment scheme for people who attended Waimokoia Residential School. In He Purapura Ora, he Māra Tipu, the Inquiry found that there was no principled basis for the payments provided by State redress schemes, including that of the Ministry of Education, and that the amounts set were arbitrary.</w:t>
      </w:r>
      <w:r w:rsidRPr="00641874">
        <w:rPr>
          <w:rStyle w:val="EndnoteReference"/>
        </w:rPr>
        <w:endnoteReference w:id="97"/>
      </w:r>
      <w:r w:rsidRPr="00641874">
        <w:t xml:space="preserve"> The Inquiry also found that redress payments available from the Ministry of Education were plainly inadequate.</w:t>
      </w:r>
      <w:r w:rsidRPr="00641874">
        <w:rPr>
          <w:rStyle w:val="EndnoteReference"/>
        </w:rPr>
        <w:endnoteReference w:id="98"/>
      </w:r>
      <w:r w:rsidRPr="00641874">
        <w:t xml:space="preserve"> The Ministry of Education’s rapid payment scheme provides another example of the same, serious problems. </w:t>
      </w:r>
    </w:p>
    <w:p w14:paraId="7CA523BB" w14:textId="77777777" w:rsidR="00724544" w:rsidRDefault="00724544">
      <w:pPr>
        <w:spacing w:after="160"/>
        <w:rPr>
          <w:rFonts w:ascii="Arial" w:eastAsiaTheme="minorEastAsia" w:hAnsi="Arial" w:cs="Arial"/>
          <w:kern w:val="2"/>
          <w:lang w:eastAsia="en-NZ"/>
          <w14:ligatures w14:val="standardContextual"/>
        </w:rPr>
      </w:pPr>
      <w:r>
        <w:br w:type="page"/>
      </w:r>
    </w:p>
    <w:p w14:paraId="723905DF" w14:textId="7D5D3AC9" w:rsidR="00C3701E" w:rsidRPr="00641874" w:rsidRDefault="00C3701E" w:rsidP="00351BA6">
      <w:pPr>
        <w:pStyle w:val="Vol4Numberedparas"/>
        <w:ind w:left="993" w:hanging="993"/>
      </w:pPr>
      <w:r w:rsidRPr="00641874">
        <w:lastRenderedPageBreak/>
        <w:t xml:space="preserve">The Inquiry can see no principled basis for the amounts available in the rapid payment scheme, particularly given the Ministry of Education’s extensive knowledge of what occurred at Waimokoia. This includes the ministry’s “standard finding” that, for example, in the 2000s the environment at Waimokoia Residential School was terrifying for students, there were known abusers amongst staff, and there were also other potential abusers. A survivor who attended Waimokoia during this period would be eligible for a maximum rapid payment of $20,000 in return for settling their claim. As set out above, this is only $3,000 more than the sum the Ministry of Social Development is offering to survivors who experienced a delay of 17 months or more in accessing their records. It is also $10,000 less than the maximum payment available in </w:t>
      </w:r>
      <w:r w:rsidRPr="00417C3E">
        <w:t>the Ministry of Social Development</w:t>
      </w:r>
      <w:r w:rsidRPr="00641874">
        <w:t xml:space="preserve">’s rapid payment scheme.  </w:t>
      </w:r>
    </w:p>
    <w:p w14:paraId="1FD26651" w14:textId="7E783AA5" w:rsidR="00C3701E" w:rsidRPr="00641874" w:rsidRDefault="00C3701E" w:rsidP="00351BA6">
      <w:pPr>
        <w:pStyle w:val="Vol4Numberedparas"/>
        <w:ind w:left="993" w:hanging="993"/>
      </w:pPr>
      <w:r w:rsidRPr="00641874">
        <w:t>A Waimokoia survivor may choose to have a full assessment rather than opting for a rapid payment from the Ministry of Education. But this will take longer, and those survivors living in poverty (as many are) may feel that they cannot wait, particularly when they may do no better financially under a full assessment. And, as set out above, the highest payment the Ministry of Education has made in its full assessment process is $45,000. This was for, in the ministry’s words, “extremely serious abuse by a convicted offender”. In the Inquiry’s view, if that was the only sum the survivor of such horrific abuse received, whether from the Ministry of Education, the Accident Compensation Corporation or any other source, that is a disgrace.</w:t>
      </w:r>
    </w:p>
    <w:p w14:paraId="03AFF2A1" w14:textId="40C8F58B" w:rsidR="00C3701E" w:rsidRPr="00641874" w:rsidRDefault="00C3701E" w:rsidP="00351BA6">
      <w:pPr>
        <w:pStyle w:val="Vol4Numberedparas"/>
        <w:ind w:left="993" w:hanging="993"/>
      </w:pPr>
      <w:r w:rsidRPr="00641874">
        <w:t>The Inquiry is also concerned by the Ministry of Education establishing processes that are different to the Ministry of Social Development’s processes (including in relation to eligibility, the basis on which payments are made, and the amounts available). This will increase complexity for survivors, particularly if they have claims with both ministries. In He Purapura Ora, he Māra Tipu, the Inquiry found that the Ministry of Social Development, Ministry of Education, Ministry of Health and Oranga Tamariki had not provided fair and consistent redress for abuse in care.</w:t>
      </w:r>
      <w:r w:rsidRPr="00641874">
        <w:rPr>
          <w:rStyle w:val="EndnoteReference"/>
        </w:rPr>
        <w:endnoteReference w:id="99"/>
      </w:r>
      <w:r w:rsidRPr="00641874">
        <w:t xml:space="preserve"> Rather than addressing the issues that led to this finding, the creation of two new processes by the Ministry of Education and the differing Ministry of Social Development rapid payment process is likely to exacerbate these issues. Such problems could have been avoided, and the benefits of an advance payment for seriously ill or elderly survivors maintained, if the Government had followed the Inquiry’s recommendation for an advance payment. </w:t>
      </w:r>
    </w:p>
    <w:p w14:paraId="54304160" w14:textId="44B5AD10" w:rsidR="00C3701E" w:rsidRPr="00641874" w:rsidRDefault="00C3701E" w:rsidP="00351BA6">
      <w:pPr>
        <w:pStyle w:val="Vol4Numberedparas"/>
        <w:ind w:left="993" w:hanging="993"/>
      </w:pPr>
      <w:r w:rsidRPr="00641874">
        <w:t>Also, the Ministry of Education stated that its main aim in introducing rapid payments was to address delay in its full assessment process, and issues relating to the level of evidence it required.</w:t>
      </w:r>
      <w:r w:rsidRPr="00641874">
        <w:rPr>
          <w:rStyle w:val="EndnoteReference"/>
        </w:rPr>
        <w:endnoteReference w:id="100"/>
      </w:r>
      <w:r w:rsidRPr="00641874">
        <w:t xml:space="preserve"> The Inquiry’s view is that the Government could have accelerated the Ministry of Education’s and the Ministry of Social Development’s normal claim processes for other survivors in ways that supported (rather than worked against) the principles and values in</w:t>
      </w:r>
      <w:r>
        <w:t xml:space="preserve"> the Inquiry’s 2021 report</w:t>
      </w:r>
      <w:r w:rsidRPr="00641874">
        <w:t xml:space="preserve"> He Purapura Ora, he Māra Tipu</w:t>
      </w:r>
      <w:r>
        <w:t>: From Redress to Puretumu Torowhānui</w:t>
      </w:r>
      <w:r w:rsidRPr="00641874">
        <w:t>.</w:t>
      </w:r>
    </w:p>
    <w:p w14:paraId="3E1AB90F" w14:textId="77777777" w:rsidR="00724544" w:rsidRDefault="00724544">
      <w:pPr>
        <w:spacing w:after="160"/>
        <w:rPr>
          <w:rFonts w:ascii="Arial" w:eastAsiaTheme="majorEastAsia" w:hAnsi="Arial" w:cstheme="majorBidi"/>
          <w:b/>
          <w:color w:val="385623" w:themeColor="accent6" w:themeShade="80"/>
          <w:sz w:val="28"/>
          <w:szCs w:val="26"/>
        </w:rPr>
      </w:pPr>
      <w:r>
        <w:br w:type="page"/>
      </w:r>
    </w:p>
    <w:p w14:paraId="4F2407B0" w14:textId="2E779EFA" w:rsidR="00C3701E" w:rsidRPr="0094721A" w:rsidRDefault="00C3701E" w:rsidP="00C870D6">
      <w:pPr>
        <w:pStyle w:val="Heading2"/>
      </w:pPr>
      <w:bookmarkStart w:id="108" w:name="_Toc181080959"/>
      <w:r>
        <w:lastRenderedPageBreak/>
        <w:t>Te whakatau take me te tiaki mōtika ki te whaiture</w:t>
      </w:r>
      <w:bookmarkEnd w:id="108"/>
      <w:r>
        <w:t xml:space="preserve"> </w:t>
      </w:r>
    </w:p>
    <w:p w14:paraId="07BD095E" w14:textId="13999BA8" w:rsidR="00C3701E" w:rsidRPr="0094721A" w:rsidRDefault="00C3701E" w:rsidP="00C870D6">
      <w:pPr>
        <w:pStyle w:val="Heading2"/>
      </w:pPr>
      <w:bookmarkStart w:id="109" w:name="_Toc181080960"/>
      <w:r>
        <w:t>Resolving claims and preserving rights to litigate</w:t>
      </w:r>
      <w:bookmarkEnd w:id="109"/>
    </w:p>
    <w:p w14:paraId="7A1D1A4F" w14:textId="0C489C4F" w:rsidR="00C3701E" w:rsidRPr="0094721A" w:rsidRDefault="00C3701E" w:rsidP="00351BA6">
      <w:pPr>
        <w:pStyle w:val="Vol4Numberedparas"/>
        <w:ind w:left="993" w:hanging="993"/>
      </w:pPr>
      <w:r>
        <w:t>The Inquiry</w:t>
      </w:r>
      <w:r w:rsidRPr="0094721A">
        <w:t xml:space="preserve"> recommended that the Government and other institutions use best endeavours to resolve claims before the </w:t>
      </w:r>
      <w:r>
        <w:t xml:space="preserve">establishment of the </w:t>
      </w:r>
      <w:r w:rsidRPr="0094721A">
        <w:t>puretumu torowhānui scheme</w:t>
      </w:r>
      <w:r w:rsidRPr="0094721A">
        <w:rPr>
          <w:i/>
          <w:iCs/>
        </w:rPr>
        <w:t xml:space="preserve">. </w:t>
      </w:r>
      <w:r>
        <w:t>The Inquiry</w:t>
      </w:r>
      <w:r w:rsidRPr="0094721A">
        <w:t xml:space="preserve"> also said </w:t>
      </w:r>
      <w:r>
        <w:t xml:space="preserve">that </w:t>
      </w:r>
      <w:r w:rsidRPr="0094721A">
        <w:t>the Government and other institutions should offer settlements that do not prejudice survivors’ rights under the new scheme or under any legislation enacted in response to</w:t>
      </w:r>
      <w:r>
        <w:t xml:space="preserve"> the Inquiry’s</w:t>
      </w:r>
      <w:r w:rsidRPr="0094721A">
        <w:t xml:space="preserve"> civil litigation recommendations</w:t>
      </w:r>
      <w:bookmarkStart w:id="110" w:name="_Hlk131421881"/>
      <w:r w:rsidRPr="0094721A">
        <w:t>.</w:t>
      </w:r>
      <w:r w:rsidRPr="0094721A">
        <w:rPr>
          <w:rStyle w:val="EndnoteReference"/>
        </w:rPr>
        <w:endnoteReference w:id="101"/>
      </w:r>
      <w:r w:rsidRPr="0094721A">
        <w:rPr>
          <w:rStyle w:val="EndnoteReference"/>
        </w:rPr>
        <w:t xml:space="preserve"> </w:t>
      </w:r>
      <w:bookmarkEnd w:id="110"/>
    </w:p>
    <w:p w14:paraId="02BAFEC9" w14:textId="7193D17B" w:rsidR="00C3701E" w:rsidRPr="0094721A" w:rsidRDefault="00C3701E" w:rsidP="00351BA6">
      <w:pPr>
        <w:pStyle w:val="Vol4Numberedparas"/>
        <w:ind w:left="993" w:hanging="993"/>
      </w:pPr>
      <w:r w:rsidRPr="0094721A">
        <w:t xml:space="preserve">Cooper Legal </w:t>
      </w:r>
      <w:r>
        <w:t>told the Inquiry</w:t>
      </w:r>
      <w:r w:rsidRPr="0094721A">
        <w:t xml:space="preserve"> that since He Purapura Ora, he Māra Tipu</w:t>
      </w:r>
      <w:r w:rsidRPr="00C9086E">
        <w:t>,</w:t>
      </w:r>
      <w:r w:rsidRPr="0094721A">
        <w:t xml:space="preserve"> Government and most faith-based </w:t>
      </w:r>
      <w:r w:rsidRPr="00C9086E">
        <w:t>institutions</w:t>
      </w:r>
      <w:r>
        <w:t xml:space="preserve">’ settlements </w:t>
      </w:r>
      <w:r w:rsidRPr="00C9086E">
        <w:t xml:space="preserve">allow survivors </w:t>
      </w:r>
      <w:r w:rsidRPr="0094721A">
        <w:t xml:space="preserve">access </w:t>
      </w:r>
      <w:r w:rsidRPr="00C9086E">
        <w:t xml:space="preserve">to </w:t>
      </w:r>
      <w:r>
        <w:t xml:space="preserve">the </w:t>
      </w:r>
      <w:r w:rsidRPr="0094721A">
        <w:t xml:space="preserve">puretumu torowhānui </w:t>
      </w:r>
      <w:r w:rsidRPr="00C9086E">
        <w:t>scheme</w:t>
      </w:r>
      <w:r w:rsidRPr="0094721A">
        <w:t xml:space="preserve"> </w:t>
      </w:r>
      <w:r>
        <w:t>(</w:t>
      </w:r>
      <w:r w:rsidRPr="0094721A">
        <w:t xml:space="preserve">or alternative scheme </w:t>
      </w:r>
      <w:r>
        <w:t xml:space="preserve">that might be </w:t>
      </w:r>
      <w:r w:rsidRPr="0094721A">
        <w:t>set up by the Government</w:t>
      </w:r>
      <w:r>
        <w:t>)</w:t>
      </w:r>
      <w:r w:rsidRPr="0094721A">
        <w:t>.</w:t>
      </w:r>
      <w:r w:rsidRPr="0094721A">
        <w:rPr>
          <w:rStyle w:val="EndnoteReference"/>
        </w:rPr>
        <w:endnoteReference w:id="102"/>
      </w:r>
      <w:r w:rsidRPr="0094721A">
        <w:rPr>
          <w:rStyle w:val="EndnoteReference"/>
        </w:rPr>
        <w:t xml:space="preserve"> </w:t>
      </w:r>
      <w:r w:rsidRPr="0094721A">
        <w:t xml:space="preserve"> </w:t>
      </w:r>
      <w:r>
        <w:t>However</w:t>
      </w:r>
      <w:r w:rsidRPr="0094721A">
        <w:t xml:space="preserve">, the Government has not made final decisions on the scope of any new scheme, including whether survivors who have previously accepted a settlement will be able to access it. </w:t>
      </w:r>
      <w:r>
        <w:t>The Inquiry</w:t>
      </w:r>
      <w:r w:rsidRPr="0094721A">
        <w:t xml:space="preserve"> also understand</w:t>
      </w:r>
      <w:r>
        <w:t>s</w:t>
      </w:r>
      <w:r w:rsidRPr="0094721A">
        <w:t xml:space="preserve"> that settlement agreements do not generally include similar </w:t>
      </w:r>
      <w:r>
        <w:t xml:space="preserve">exceptions </w:t>
      </w:r>
      <w:r w:rsidRPr="0094721A">
        <w:t xml:space="preserve">in relation to the civil litigation reform </w:t>
      </w:r>
      <w:r>
        <w:t>that</w:t>
      </w:r>
      <w:r w:rsidRPr="0094721A">
        <w:t xml:space="preserve"> </w:t>
      </w:r>
      <w:r>
        <w:t>the Inquiry</w:t>
      </w:r>
      <w:r w:rsidRPr="0094721A">
        <w:t xml:space="preserve"> recommended. </w:t>
      </w:r>
    </w:p>
    <w:p w14:paraId="5E814FED" w14:textId="0E631BF7" w:rsidR="00C3701E" w:rsidRPr="0094721A" w:rsidRDefault="00C3701E" w:rsidP="00351BA6">
      <w:pPr>
        <w:pStyle w:val="Vol4Numberedparas"/>
        <w:ind w:left="993" w:hanging="993"/>
      </w:pPr>
      <w:r w:rsidRPr="0094721A">
        <w:t xml:space="preserve">Cooper Legal </w:t>
      </w:r>
      <w:r>
        <w:t xml:space="preserve">also </w:t>
      </w:r>
      <w:r w:rsidRPr="0094721A">
        <w:t xml:space="preserve">advised </w:t>
      </w:r>
      <w:r>
        <w:t>the Inquiry</w:t>
      </w:r>
      <w:r w:rsidRPr="0094721A">
        <w:t xml:space="preserve"> that following He Purapura Ora, he Māra Tipu </w:t>
      </w:r>
      <w:r>
        <w:t xml:space="preserve">it has </w:t>
      </w:r>
      <w:r w:rsidRPr="0094721A">
        <w:t xml:space="preserve">seen </w:t>
      </w:r>
      <w:r>
        <w:t>an increase in</w:t>
      </w:r>
      <w:r w:rsidRPr="0094721A">
        <w:t xml:space="preserve"> </w:t>
      </w:r>
      <w:r>
        <w:t>the financial value of</w:t>
      </w:r>
      <w:r w:rsidRPr="0094721A">
        <w:t xml:space="preserve"> settlements offered by some faith-based institutions</w:t>
      </w:r>
      <w:r>
        <w:t xml:space="preserve"> </w:t>
      </w:r>
      <w:r w:rsidRPr="00816E41">
        <w:t>and other improvements to faith-based redress processes.</w:t>
      </w:r>
      <w:r w:rsidRPr="00816E41">
        <w:rPr>
          <w:rStyle w:val="EndnoteReference"/>
          <w:bCs/>
        </w:rPr>
        <w:endnoteReference w:id="103"/>
      </w:r>
      <w:r w:rsidRPr="0094721A">
        <w:rPr>
          <w:rStyle w:val="EndnoteReference"/>
          <w:bCs/>
        </w:rPr>
        <w:t xml:space="preserve"> </w:t>
      </w:r>
      <w:r w:rsidRPr="0094721A">
        <w:rPr>
          <w:rStyle w:val="EndnoteReference"/>
        </w:rPr>
        <w:t xml:space="preserve"> </w:t>
      </w:r>
    </w:p>
    <w:p w14:paraId="180A362F" w14:textId="1887E218" w:rsidR="00C3701E" w:rsidRPr="0094721A" w:rsidRDefault="00C3701E" w:rsidP="00C870D6">
      <w:pPr>
        <w:pStyle w:val="Heading2"/>
      </w:pPr>
      <w:bookmarkStart w:id="111" w:name="_Toc181080961"/>
      <w:r>
        <w:t>Te whakarite me te whakauru i tētahi rautaki whakawhanake ohu mahi</w:t>
      </w:r>
      <w:bookmarkEnd w:id="111"/>
      <w:r>
        <w:t xml:space="preserve"> </w:t>
      </w:r>
    </w:p>
    <w:p w14:paraId="234A2904" w14:textId="16819849" w:rsidR="00C3701E" w:rsidRPr="0094721A" w:rsidRDefault="00C3701E" w:rsidP="00C870D6">
      <w:pPr>
        <w:pStyle w:val="Heading2"/>
      </w:pPr>
      <w:bookmarkStart w:id="112" w:name="_Toc140149588"/>
      <w:bookmarkStart w:id="113" w:name="_Toc140567994"/>
      <w:bookmarkStart w:id="114" w:name="_Toc141958546"/>
      <w:bookmarkStart w:id="115" w:name="_Toc141971173"/>
      <w:bookmarkStart w:id="116" w:name="_Toc142044155"/>
      <w:bookmarkStart w:id="117" w:name="_Toc142313460"/>
      <w:bookmarkStart w:id="118" w:name="_Toc142991632"/>
      <w:bookmarkStart w:id="119" w:name="_Toc143014144"/>
      <w:bookmarkStart w:id="120" w:name="_Toc145415109"/>
      <w:bookmarkStart w:id="121" w:name="_Toc147850575"/>
      <w:bookmarkStart w:id="122" w:name="_Toc181080962"/>
      <w:bookmarkEnd w:id="61"/>
      <w:bookmarkEnd w:id="62"/>
      <w:bookmarkEnd w:id="63"/>
      <w:bookmarkEnd w:id="64"/>
      <w:bookmarkEnd w:id="65"/>
      <w:bookmarkEnd w:id="66"/>
      <w:bookmarkEnd w:id="67"/>
      <w:bookmarkEnd w:id="68"/>
      <w:bookmarkEnd w:id="69"/>
      <w:bookmarkEnd w:id="70"/>
      <w:r>
        <w:t>Developing and implementing a transformative workforce strategy</w:t>
      </w:r>
      <w:bookmarkEnd w:id="112"/>
      <w:bookmarkEnd w:id="113"/>
      <w:bookmarkEnd w:id="114"/>
      <w:bookmarkEnd w:id="115"/>
      <w:bookmarkEnd w:id="116"/>
      <w:bookmarkEnd w:id="117"/>
      <w:bookmarkEnd w:id="118"/>
      <w:bookmarkEnd w:id="119"/>
      <w:bookmarkEnd w:id="120"/>
      <w:bookmarkEnd w:id="121"/>
      <w:bookmarkEnd w:id="122"/>
    </w:p>
    <w:p w14:paraId="6F143453" w14:textId="4F276A44" w:rsidR="00C3701E" w:rsidRPr="0094721A" w:rsidRDefault="00C3701E" w:rsidP="00351BA6">
      <w:pPr>
        <w:pStyle w:val="Vol4Numberedparas"/>
        <w:ind w:left="993" w:hanging="993"/>
      </w:pPr>
      <w:r>
        <w:t>The Inquiry</w:t>
      </w:r>
      <w:r w:rsidRPr="0094721A">
        <w:t xml:space="preserve"> recommended that the Government ha</w:t>
      </w:r>
      <w:r>
        <w:t>s</w:t>
      </w:r>
      <w:r w:rsidRPr="0094721A">
        <w:t xml:space="preserve"> a transformative workforce strategy</w:t>
      </w:r>
      <w:r>
        <w:t>,</w:t>
      </w:r>
      <w:r w:rsidRPr="0094721A">
        <w:t xml:space="preserve"> as well as resourcing training and workforce skill development</w:t>
      </w:r>
      <w:r>
        <w:t>, t</w:t>
      </w:r>
      <w:r w:rsidRPr="0094721A">
        <w:t xml:space="preserve">o ensure that trained workforces are available to provide oranga </w:t>
      </w:r>
      <w:r>
        <w:t xml:space="preserve">(wellbeing) </w:t>
      </w:r>
      <w:r w:rsidRPr="0094721A">
        <w:t>services to survivors.</w:t>
      </w:r>
      <w:r w:rsidRPr="0094721A">
        <w:rPr>
          <w:rStyle w:val="EndnoteReference"/>
        </w:rPr>
        <w:endnoteReference w:id="104"/>
      </w:r>
      <w:r w:rsidRPr="0094721A">
        <w:rPr>
          <w:rStyle w:val="EndnoteReference"/>
        </w:rPr>
        <w:t xml:space="preserve"> </w:t>
      </w:r>
      <w:r w:rsidRPr="0094721A">
        <w:t xml:space="preserve">  </w:t>
      </w:r>
    </w:p>
    <w:p w14:paraId="752844FE" w14:textId="6362EBF6" w:rsidR="00C3701E" w:rsidRPr="0094721A" w:rsidRDefault="00C3701E" w:rsidP="00351BA6">
      <w:pPr>
        <w:pStyle w:val="Vol4Numberedparas"/>
        <w:ind w:left="993" w:hanging="993"/>
      </w:pPr>
      <w:r w:rsidRPr="0094721A">
        <w:t>The C</w:t>
      </w:r>
      <w:r>
        <w:t>rown Response Unit</w:t>
      </w:r>
      <w:r w:rsidRPr="0094721A">
        <w:t xml:space="preserve"> advised that Te Kawa Mataaho </w:t>
      </w:r>
      <w:r>
        <w:t>–</w:t>
      </w:r>
      <w:r w:rsidRPr="0094721A">
        <w:t xml:space="preserve"> the Public Service Commission is “leading work on exploring possible tools that could ensure the Public Service is best configured to respond to the issues being identified by the Royal Commission”</w:t>
      </w:r>
      <w:r>
        <w:t>.</w:t>
      </w:r>
      <w:r w:rsidRPr="0094721A">
        <w:rPr>
          <w:rStyle w:val="EndnoteReference"/>
        </w:rPr>
        <w:endnoteReference w:id="105"/>
      </w:r>
      <w:r w:rsidRPr="0094721A">
        <w:t xml:space="preserve"> </w:t>
      </w:r>
      <w:r>
        <w:t>It</w:t>
      </w:r>
      <w:r w:rsidRPr="0094721A">
        <w:t xml:space="preserve"> is not clear what that work is, or if it is relevant to </w:t>
      </w:r>
      <w:r>
        <w:t>the</w:t>
      </w:r>
      <w:r w:rsidRPr="0094721A">
        <w:t xml:space="preserve"> </w:t>
      </w:r>
      <w:r>
        <w:t xml:space="preserve">Inquiry’s </w:t>
      </w:r>
      <w:r w:rsidRPr="0094721A">
        <w:t xml:space="preserve">recommendations. </w:t>
      </w:r>
    </w:p>
    <w:p w14:paraId="24EBB365" w14:textId="78A9E89B" w:rsidR="00C3701E" w:rsidRPr="0094721A" w:rsidRDefault="00C3701E" w:rsidP="00351BA6">
      <w:pPr>
        <w:pStyle w:val="Vol4Numberedparas"/>
        <w:ind w:left="993" w:hanging="993"/>
      </w:pPr>
      <w:r w:rsidRPr="0094721A">
        <w:t xml:space="preserve">Similarly, </w:t>
      </w:r>
      <w:r>
        <w:t>the Inquiry’s</w:t>
      </w:r>
      <w:r w:rsidRPr="0094721A">
        <w:t xml:space="preserve"> recommendation that the Government immediately begin a stocktake of available oranga</w:t>
      </w:r>
      <w:r>
        <w:t xml:space="preserve"> (welfare)</w:t>
      </w:r>
      <w:r w:rsidRPr="0094721A">
        <w:t xml:space="preserve"> services has not been followed.</w:t>
      </w:r>
      <w:r w:rsidRPr="0094721A">
        <w:rPr>
          <w:rStyle w:val="EndnoteReference"/>
        </w:rPr>
        <w:endnoteReference w:id="106"/>
      </w:r>
      <w:r w:rsidRPr="0094721A">
        <w:t xml:space="preserve"> </w:t>
      </w:r>
      <w:r>
        <w:t>The Inquiry</w:t>
      </w:r>
      <w:r w:rsidRPr="0094721A">
        <w:t xml:space="preserve"> also recommended that the Māori </w:t>
      </w:r>
      <w:r>
        <w:t>c</w:t>
      </w:r>
      <w:r w:rsidRPr="0094721A">
        <w:t xml:space="preserve">ollective and the </w:t>
      </w:r>
      <w:r>
        <w:t>p</w:t>
      </w:r>
      <w:r w:rsidRPr="0094721A">
        <w:t xml:space="preserve">urapura </w:t>
      </w:r>
      <w:r>
        <w:t>o</w:t>
      </w:r>
      <w:r w:rsidRPr="0094721A">
        <w:t xml:space="preserve">ra </w:t>
      </w:r>
      <w:r>
        <w:t>c</w:t>
      </w:r>
      <w:r w:rsidRPr="0094721A">
        <w:t>ollective commission an expert review to evaluate the stocktake and make recommendations on any changes or extra services needed.</w:t>
      </w:r>
      <w:r w:rsidRPr="0094721A">
        <w:rPr>
          <w:rStyle w:val="EndnoteReference"/>
        </w:rPr>
        <w:endnoteReference w:id="107"/>
      </w:r>
      <w:r w:rsidRPr="0094721A">
        <w:rPr>
          <w:rStyle w:val="EndnoteReference"/>
        </w:rPr>
        <w:t xml:space="preserve"> </w:t>
      </w:r>
      <w:r w:rsidRPr="0094721A">
        <w:t xml:space="preserve"> This has not been done.</w:t>
      </w:r>
    </w:p>
    <w:p w14:paraId="487176BD" w14:textId="20E69867" w:rsidR="00C3701E" w:rsidRPr="0094721A" w:rsidRDefault="00C3701E" w:rsidP="00C870D6">
      <w:pPr>
        <w:pStyle w:val="Heading2"/>
      </w:pPr>
      <w:bookmarkStart w:id="123" w:name="_Toc181080963"/>
      <w:r>
        <w:lastRenderedPageBreak/>
        <w:t>Te whakamana i ngā purapura ora mā ngā whakamaharatanga, ngā hui whakanui, ngā kaupapa mahi, ngā whakahau aroā me te rangahau</w:t>
      </w:r>
      <w:bookmarkEnd w:id="123"/>
      <w:r>
        <w:t xml:space="preserve"> </w:t>
      </w:r>
    </w:p>
    <w:p w14:paraId="014DEB8F" w14:textId="08CA5BA2" w:rsidR="00C3701E" w:rsidRPr="0094721A" w:rsidRDefault="00C3701E" w:rsidP="00C870D6">
      <w:pPr>
        <w:pStyle w:val="Heading2"/>
      </w:pPr>
      <w:bookmarkStart w:id="124" w:name="_Toc140149589"/>
      <w:bookmarkStart w:id="125" w:name="_Toc140567995"/>
      <w:bookmarkStart w:id="126" w:name="_Toc141958547"/>
      <w:bookmarkStart w:id="127" w:name="_Toc141971174"/>
      <w:bookmarkStart w:id="128" w:name="_Toc142044156"/>
      <w:bookmarkStart w:id="129" w:name="_Toc142313461"/>
      <w:bookmarkStart w:id="130" w:name="_Toc142991633"/>
      <w:bookmarkStart w:id="131" w:name="_Toc143014145"/>
      <w:bookmarkStart w:id="132" w:name="_Toc145415110"/>
      <w:bookmarkStart w:id="133" w:name="_Toc147850576"/>
      <w:bookmarkStart w:id="134" w:name="_Toc181080964"/>
      <w:r>
        <w:t>Publicly acknowledging survivors through memorials, ceremonies and projects, awareness campaigns and research</w:t>
      </w:r>
      <w:bookmarkEnd w:id="124"/>
      <w:bookmarkEnd w:id="125"/>
      <w:bookmarkEnd w:id="126"/>
      <w:bookmarkEnd w:id="127"/>
      <w:bookmarkEnd w:id="128"/>
      <w:bookmarkEnd w:id="129"/>
      <w:bookmarkEnd w:id="130"/>
      <w:bookmarkEnd w:id="131"/>
      <w:bookmarkEnd w:id="132"/>
      <w:bookmarkEnd w:id="133"/>
      <w:bookmarkEnd w:id="134"/>
    </w:p>
    <w:p w14:paraId="34C8A558" w14:textId="2A8D6916" w:rsidR="00C3701E" w:rsidRPr="0094721A" w:rsidRDefault="00C3701E" w:rsidP="00F65866">
      <w:pPr>
        <w:pStyle w:val="Vol4Numberedparas"/>
        <w:ind w:left="993" w:hanging="993"/>
      </w:pPr>
      <w:r>
        <w:t>The Inquiry</w:t>
      </w:r>
      <w:r w:rsidRPr="0094721A">
        <w:t xml:space="preserve"> recommended that the Government consider funding memorials for survivors and removing memorials to abusers.</w:t>
      </w:r>
      <w:r w:rsidRPr="0094721A">
        <w:rPr>
          <w:rStyle w:val="EndnoteReference"/>
        </w:rPr>
        <w:endnoteReference w:id="108"/>
      </w:r>
      <w:r w:rsidRPr="0094721A">
        <w:t xml:space="preserve"> </w:t>
      </w:r>
      <w:r>
        <w:t xml:space="preserve">It also </w:t>
      </w:r>
      <w:r w:rsidRPr="0094721A">
        <w:t>recommended that Government, state care providers and faith-based institutions consider funding ceremonies (including citizenship ceremonies) and projects that remember survivors</w:t>
      </w:r>
      <w:r>
        <w:t>. It recommended</w:t>
      </w:r>
      <w:r w:rsidRPr="0094721A">
        <w:t xml:space="preserve"> that the Government consider funding a national project to investigate potential unmarked graves and urupā or graves at psychiatric hospitals and psychopaedic settings,</w:t>
      </w:r>
      <w:r w:rsidRPr="0094721A">
        <w:rPr>
          <w:rStyle w:val="EndnoteReference"/>
        </w:rPr>
        <w:endnoteReference w:id="109"/>
      </w:r>
      <w:r w:rsidRPr="0094721A">
        <w:t xml:space="preserve"> and that the Government take active steps to raise awareness about abuse in care.</w:t>
      </w:r>
      <w:r w:rsidRPr="0094721A">
        <w:rPr>
          <w:rStyle w:val="EndnoteReference"/>
        </w:rPr>
        <w:endnoteReference w:id="110"/>
      </w:r>
      <w:r w:rsidRPr="0094721A">
        <w:t xml:space="preserve"> A further recommendation was that the Government provide ongoing funding for Aotearoa</w:t>
      </w:r>
      <w:r>
        <w:t xml:space="preserve"> New Zealand</w:t>
      </w:r>
      <w:r w:rsidRPr="0094721A">
        <w:t xml:space="preserve">-specific research on the causes and effects of abuse in care, </w:t>
      </w:r>
      <w:r>
        <w:t>and</w:t>
      </w:r>
      <w:r w:rsidRPr="0094721A">
        <w:t xml:space="preserve"> social campaigns aimed at eliminating abuse.</w:t>
      </w:r>
      <w:r w:rsidRPr="0094721A">
        <w:rPr>
          <w:rStyle w:val="EndnoteReference"/>
        </w:rPr>
        <w:endnoteReference w:id="111"/>
      </w:r>
      <w:r w:rsidRPr="0094721A">
        <w:t xml:space="preserve">  </w:t>
      </w:r>
    </w:p>
    <w:p w14:paraId="52C5155A" w14:textId="062774AE" w:rsidR="00C3701E" w:rsidRDefault="00C3701E" w:rsidP="00120A3D">
      <w:pPr>
        <w:pStyle w:val="Vol4Numberedparas"/>
        <w:ind w:left="993" w:hanging="993"/>
      </w:pPr>
      <w:r w:rsidRPr="0094721A">
        <w:t xml:space="preserve">Cabinet </w:t>
      </w:r>
      <w:r>
        <w:t xml:space="preserve">considered in December 2022 </w:t>
      </w:r>
      <w:r w:rsidRPr="0094721A">
        <w:t>a limited number of national and/or local memorials, a public archive of survivor stories, research funding, and scholarships for survivors and their whānau.</w:t>
      </w:r>
      <w:r w:rsidRPr="0094721A">
        <w:rPr>
          <w:rStyle w:val="EndnoteReference"/>
        </w:rPr>
        <w:endnoteReference w:id="112"/>
      </w:r>
      <w:r w:rsidRPr="0094721A">
        <w:t xml:space="preserve"> Indicative costings for these proposals were provided.</w:t>
      </w:r>
      <w:r w:rsidRPr="0094721A">
        <w:rPr>
          <w:rStyle w:val="EndnoteReference"/>
        </w:rPr>
        <w:endnoteReference w:id="113"/>
      </w:r>
      <w:r w:rsidRPr="0094721A">
        <w:t xml:space="preserve"> </w:t>
      </w:r>
      <w:r>
        <w:t>T</w:t>
      </w:r>
      <w:r w:rsidRPr="0094721A">
        <w:t xml:space="preserve">he Government </w:t>
      </w:r>
      <w:r>
        <w:t xml:space="preserve">also </w:t>
      </w:r>
      <w:r w:rsidRPr="0094721A">
        <w:t xml:space="preserve">attempted to purchase the Lake Alice Hospital water tower, with the aim of turning it or the site into a memorial to survivors of the Lake Alice Hospital Child and Adolescent Unit. The </w:t>
      </w:r>
      <w:r>
        <w:t xml:space="preserve">Government </w:t>
      </w:r>
      <w:r w:rsidRPr="0094721A">
        <w:t>made two offers to the landowners,</w:t>
      </w:r>
      <w:r>
        <w:t xml:space="preserve"> but</w:t>
      </w:r>
      <w:r w:rsidRPr="0094721A">
        <w:t xml:space="preserve"> </w:t>
      </w:r>
      <w:r>
        <w:t>neither</w:t>
      </w:r>
      <w:r w:rsidRPr="0094721A">
        <w:t xml:space="preserve"> </w:t>
      </w:r>
      <w:r>
        <w:t xml:space="preserve">was </w:t>
      </w:r>
      <w:r w:rsidRPr="0094721A">
        <w:t>accepted.</w:t>
      </w:r>
      <w:r w:rsidRPr="0094721A">
        <w:rPr>
          <w:rStyle w:val="EndnoteReference"/>
        </w:rPr>
        <w:endnoteReference w:id="114"/>
      </w:r>
      <w:r w:rsidRPr="0094721A">
        <w:t xml:space="preserve"> </w:t>
      </w:r>
    </w:p>
    <w:p w14:paraId="25527377" w14:textId="21263287" w:rsidR="00C3701E" w:rsidRPr="0094721A" w:rsidRDefault="00C3701E" w:rsidP="00120A3D">
      <w:pPr>
        <w:pStyle w:val="Vol4Numberedparas"/>
        <w:ind w:left="993" w:hanging="993"/>
      </w:pPr>
      <w:r>
        <w:t xml:space="preserve">The Inquiry is unaware of any other steps having been taken or </w:t>
      </w:r>
      <w:r w:rsidRPr="0094721A">
        <w:t>decisions</w:t>
      </w:r>
      <w:r>
        <w:t xml:space="preserve"> made</w:t>
      </w:r>
      <w:r w:rsidRPr="0094721A">
        <w:t xml:space="preserve"> on these proposals.</w:t>
      </w:r>
      <w:r>
        <w:t xml:space="preserve"> It</w:t>
      </w:r>
      <w:r w:rsidRPr="0094721A">
        <w:t xml:space="preserve"> </w:t>
      </w:r>
      <w:r>
        <w:t>is also un</w:t>
      </w:r>
      <w:r w:rsidRPr="0094721A">
        <w:t>aware of any work on the ceremonies or the national project</w:t>
      </w:r>
      <w:r>
        <w:t xml:space="preserve"> to investigate </w:t>
      </w:r>
      <w:r w:rsidRPr="0094721A">
        <w:t>potential unmarked graves and urupā.</w:t>
      </w:r>
    </w:p>
    <w:p w14:paraId="09C93403" w14:textId="5BA0785A" w:rsidR="00C3701E" w:rsidRPr="0094721A" w:rsidRDefault="00C3701E" w:rsidP="00120A3D">
      <w:pPr>
        <w:pStyle w:val="Vol4Numberedparas"/>
        <w:ind w:left="993" w:hanging="993"/>
      </w:pPr>
      <w:r>
        <w:t>In early 2023 the Ministry of Social Development published r</w:t>
      </w:r>
      <w:r w:rsidRPr="0094721A">
        <w:t xml:space="preserve">esearch on </w:t>
      </w:r>
      <w:r>
        <w:t>factors that influence</w:t>
      </w:r>
      <w:r w:rsidRPr="0094721A">
        <w:t xml:space="preserve"> male abuse survivors </w:t>
      </w:r>
      <w:r>
        <w:t>in</w:t>
      </w:r>
      <w:r w:rsidRPr="0094721A">
        <w:t xml:space="preserve"> report</w:t>
      </w:r>
      <w:r>
        <w:t>ing</w:t>
      </w:r>
      <w:r w:rsidRPr="0094721A">
        <w:t xml:space="preserve"> abuse and access</w:t>
      </w:r>
      <w:r>
        <w:t>ing</w:t>
      </w:r>
      <w:r w:rsidRPr="0094721A">
        <w:t xml:space="preserve"> support services.</w:t>
      </w:r>
      <w:r w:rsidRPr="0094721A">
        <w:rPr>
          <w:rStyle w:val="EndnoteReference"/>
        </w:rPr>
        <w:endnoteReference w:id="115"/>
      </w:r>
      <w:r w:rsidRPr="0094721A">
        <w:t xml:space="preserve"> The report</w:t>
      </w:r>
      <w:r>
        <w:t xml:space="preserve"> found</w:t>
      </w:r>
      <w:r w:rsidRPr="0094721A">
        <w:t xml:space="preserve"> that survivors may take a long time to report</w:t>
      </w:r>
      <w:r>
        <w:t xml:space="preserve"> abuse</w:t>
      </w:r>
      <w:r w:rsidRPr="0094721A">
        <w:t xml:space="preserve"> and seek help. Barriers</w:t>
      </w:r>
      <w:r>
        <w:t xml:space="preserve"> faced by</w:t>
      </w:r>
      <w:r w:rsidRPr="0094721A">
        <w:t xml:space="preserve"> male survivors include misconceptions (such as that sexual violence does not happen to men) and limited availability or quality of social support. To encourage men to seek assistance, services must be visible, affordable and designed for </w:t>
      </w:r>
      <w:r>
        <w:t>males</w:t>
      </w:r>
      <w:r w:rsidRPr="0094721A">
        <w:t>. The report’s recommendations include training for service workers and “gender-inclusive education campaigns to enable and encourage men to reach out for help”.</w:t>
      </w:r>
      <w:r w:rsidRPr="0094721A">
        <w:rPr>
          <w:rStyle w:val="EndnoteReference"/>
        </w:rPr>
        <w:endnoteReference w:id="116"/>
      </w:r>
      <w:r w:rsidRPr="0094721A">
        <w:t xml:space="preserve">  This research reinforces the </w:t>
      </w:r>
      <w:r>
        <w:t xml:space="preserve">Inquiry’s </w:t>
      </w:r>
      <w:r w:rsidRPr="0094721A">
        <w:t>recommendations in He Purapura Ora, he Māra Tipu.</w:t>
      </w:r>
    </w:p>
    <w:p w14:paraId="653D33B1" w14:textId="77777777" w:rsidR="00724544" w:rsidRDefault="00724544">
      <w:pPr>
        <w:spacing w:after="160"/>
        <w:rPr>
          <w:rFonts w:ascii="Arial" w:eastAsia="Arial" w:hAnsi="Arial" w:cs="Arial"/>
          <w:b/>
          <w:color w:val="385623" w:themeColor="accent6" w:themeShade="80"/>
          <w:sz w:val="26"/>
        </w:rPr>
      </w:pPr>
      <w:r>
        <w:br w:type="page"/>
      </w:r>
    </w:p>
    <w:p w14:paraId="701F759C" w14:textId="16E18878" w:rsidR="00C3701E" w:rsidRDefault="00C3701E" w:rsidP="00C870D6">
      <w:pPr>
        <w:pStyle w:val="Heading3"/>
      </w:pPr>
      <w:bookmarkStart w:id="135" w:name="_Toc181080965"/>
      <w:r w:rsidRPr="00ED72D0">
        <w:lastRenderedPageBreak/>
        <w:t>Te panoni i ngā īngoa wāhi</w:t>
      </w:r>
      <w:bookmarkEnd w:id="135"/>
    </w:p>
    <w:p w14:paraId="6B5FC7B6" w14:textId="01EFE360" w:rsidR="00C3701E" w:rsidRPr="00641874" w:rsidRDefault="00C3701E" w:rsidP="00C870D6">
      <w:pPr>
        <w:pStyle w:val="Heading3"/>
        <w:rPr>
          <w:i/>
          <w:iCs/>
        </w:rPr>
      </w:pPr>
      <w:bookmarkStart w:id="136" w:name="_Toc181080966"/>
      <w:r w:rsidRPr="00ED72D0">
        <w:t>Place</w:t>
      </w:r>
      <w:r w:rsidRPr="00641874">
        <w:t xml:space="preserve"> name changes</w:t>
      </w:r>
      <w:bookmarkEnd w:id="136"/>
    </w:p>
    <w:p w14:paraId="421CEEC3" w14:textId="32B3D808" w:rsidR="00C3701E" w:rsidRPr="0094721A" w:rsidRDefault="00C3701E" w:rsidP="00120A3D">
      <w:pPr>
        <w:pStyle w:val="Vol4Numberedparas"/>
        <w:ind w:left="993" w:hanging="993"/>
      </w:pPr>
      <w:r w:rsidRPr="0094721A">
        <w:t>On 1 January 2023, Dunedin’s Kavanagh College was renamed Trinity Catholic College in response to an independent investigation requested by the Catholic Church’s National Office for Professional Standards. The investigation found that the former bishop of Dunedin, John Kavanagh, failed to take suitable action on</w:t>
      </w:r>
      <w:r>
        <w:t xml:space="preserve"> a</w:t>
      </w:r>
      <w:r w:rsidRPr="0094721A">
        <w:t xml:space="preserve"> complaint of sexual abuse by Father Freek Schokker</w:t>
      </w:r>
      <w:r>
        <w:t>,</w:t>
      </w:r>
      <w:r w:rsidRPr="0094721A">
        <w:t xml:space="preserve"> and </w:t>
      </w:r>
      <w:r>
        <w:t xml:space="preserve">that he took appropriate action for the time in respect of a complaint against </w:t>
      </w:r>
      <w:r w:rsidRPr="0094721A">
        <w:t xml:space="preserve">Father Magnus Murray while Father Murray was in office </w:t>
      </w:r>
      <w:r>
        <w:t>for 28 years</w:t>
      </w:r>
      <w:r w:rsidRPr="0094721A">
        <w:t xml:space="preserve"> (</w:t>
      </w:r>
      <w:r>
        <w:t xml:space="preserve">from </w:t>
      </w:r>
      <w:r w:rsidRPr="0094721A">
        <w:t>1957 until his death in 1985).</w:t>
      </w:r>
      <w:r w:rsidRPr="0094721A">
        <w:rPr>
          <w:rStyle w:val="EndnoteReference"/>
        </w:rPr>
        <w:endnoteReference w:id="117"/>
      </w:r>
      <w:r w:rsidRPr="0094721A">
        <w:rPr>
          <w:rStyle w:val="EndnoteReference"/>
        </w:rPr>
        <w:t xml:space="preserve"> </w:t>
      </w:r>
      <w:r w:rsidRPr="0094721A">
        <w:t>Father Murray was convicted of historical sexual offences against four boys in 2003, but was not laicised (stripped of his clerical status) by the Vatican until 2019. The Catholic Church has also requested that its organisations audit any names used for buildings, prizes and portraits.</w:t>
      </w:r>
      <w:r w:rsidRPr="0094721A">
        <w:rPr>
          <w:rStyle w:val="EndnoteReference"/>
        </w:rPr>
        <w:endnoteReference w:id="118"/>
      </w:r>
    </w:p>
    <w:p w14:paraId="0E2C5106" w14:textId="03CA8238" w:rsidR="00C3701E" w:rsidRPr="00DE6160" w:rsidRDefault="00C3701E" w:rsidP="00E1685B">
      <w:pPr>
        <w:pStyle w:val="Vol4Numberedparas"/>
        <w:ind w:left="993" w:hanging="993"/>
      </w:pPr>
      <w:r w:rsidRPr="00737603">
        <w:t xml:space="preserve">In </w:t>
      </w:r>
      <w:r w:rsidRPr="00DE6160">
        <w:t>Christchurch</w:t>
      </w:r>
      <w:r>
        <w:t xml:space="preserve"> in early 2024</w:t>
      </w:r>
      <w:r w:rsidRPr="00737603">
        <w:t>,</w:t>
      </w:r>
      <w:r w:rsidRPr="00DE6160">
        <w:t xml:space="preserve"> the Waihoro Spreydon-Cashmere-Heathcote Community Board agreed to change the name</w:t>
      </w:r>
      <w:r>
        <w:t>s</w:t>
      </w:r>
      <w:r w:rsidRPr="00DE6160">
        <w:t xml:space="preserve"> of Marylands Reserve and Marylands Place </w:t>
      </w:r>
      <w:r w:rsidRPr="00737603">
        <w:t>to Validation</w:t>
      </w:r>
      <w:r>
        <w:t xml:space="preserve"> Reserve and Validation Place. Both are located in Middleton, on one of the two former sites of </w:t>
      </w:r>
      <w:r w:rsidRPr="00DE6160">
        <w:t>Marylands School</w:t>
      </w:r>
      <w:r>
        <w:t xml:space="preserve">. </w:t>
      </w:r>
      <w:r w:rsidRPr="00DE6160">
        <w:t xml:space="preserve">The Inquiry’s </w:t>
      </w:r>
      <w:r>
        <w:t xml:space="preserve">interim </w:t>
      </w:r>
      <w:r w:rsidRPr="00DE6160">
        <w:t>report</w:t>
      </w:r>
      <w:r>
        <w:t>,</w:t>
      </w:r>
      <w:r w:rsidRPr="00DE6160">
        <w:t xml:space="preserve"> Stolen Lives, Marked Souls</w:t>
      </w:r>
      <w:r>
        <w:t>,</w:t>
      </w:r>
      <w:r w:rsidRPr="00DE6160">
        <w:t xml:space="preserve"> exposes the extensive and extreme abuse and neglect of tamariki that occurred at this school. </w:t>
      </w:r>
      <w:r>
        <w:t xml:space="preserve">The new names were proposed by </w:t>
      </w:r>
      <w:r w:rsidRPr="00DE6160">
        <w:t>Marylands survivors</w:t>
      </w:r>
      <w:r>
        <w:t>, following a process of consultation</w:t>
      </w:r>
      <w:r w:rsidRPr="00DE6160">
        <w:t>.</w:t>
      </w:r>
      <w:r w:rsidRPr="00DE6160">
        <w:rPr>
          <w:rStyle w:val="EndnoteReference"/>
        </w:rPr>
        <w:endnoteReference w:id="119"/>
      </w:r>
    </w:p>
    <w:p w14:paraId="05E2F1F7" w14:textId="6AF29D88" w:rsidR="00C3701E" w:rsidRPr="00DE6160" w:rsidRDefault="00C3701E" w:rsidP="00E24D02">
      <w:pPr>
        <w:pStyle w:val="Vol4Numberedparas"/>
        <w:ind w:left="993" w:hanging="993"/>
        <w:jc w:val="both"/>
      </w:pPr>
      <w:r w:rsidRPr="00737603">
        <w:t xml:space="preserve">The Inquiry is not aware of central </w:t>
      </w:r>
      <w:r>
        <w:t>G</w:t>
      </w:r>
      <w:r w:rsidRPr="00737603">
        <w:t>overnment having taken any similar steps</w:t>
      </w:r>
      <w:r w:rsidRPr="00DE6160">
        <w:t>.</w:t>
      </w:r>
    </w:p>
    <w:p w14:paraId="7C02A5CE" w14:textId="08C2D7B6" w:rsidR="00C3701E" w:rsidRPr="0094721A" w:rsidRDefault="00C3701E" w:rsidP="00C870D6">
      <w:pPr>
        <w:pStyle w:val="Heading2"/>
      </w:pPr>
      <w:bookmarkStart w:id="138" w:name="_Toc181080967"/>
      <w:r>
        <w:t>Te whakahoutanga whaiture raraupori, te arotake o Te Aka Matua o Te Ture me te whai wāhi o Mahi Haumaru Aoteroa</w:t>
      </w:r>
      <w:bookmarkEnd w:id="138"/>
      <w:r>
        <w:t xml:space="preserve"> </w:t>
      </w:r>
    </w:p>
    <w:p w14:paraId="552D1724" w14:textId="6C87B1FC" w:rsidR="00C3701E" w:rsidRPr="0094721A" w:rsidRDefault="00C3701E" w:rsidP="00C870D6">
      <w:pPr>
        <w:pStyle w:val="Heading2"/>
      </w:pPr>
      <w:bookmarkStart w:id="139" w:name="_Toc140149591"/>
      <w:bookmarkStart w:id="140" w:name="_Toc140567997"/>
      <w:bookmarkStart w:id="141" w:name="_Toc141958549"/>
      <w:bookmarkStart w:id="142" w:name="_Toc141971176"/>
      <w:bookmarkStart w:id="143" w:name="_Toc142044158"/>
      <w:bookmarkStart w:id="144" w:name="_Toc142313463"/>
      <w:bookmarkStart w:id="145" w:name="_Toc142991635"/>
      <w:bookmarkStart w:id="146" w:name="_Toc143014147"/>
      <w:bookmarkStart w:id="147" w:name="_Toc145415112"/>
      <w:bookmarkStart w:id="148" w:name="_Toc147850578"/>
      <w:bookmarkStart w:id="149" w:name="_Toc181080968"/>
      <w:r>
        <w:t>Civil litigation reform, Law Commission review and role for WorkSafe</w:t>
      </w:r>
      <w:bookmarkEnd w:id="139"/>
      <w:bookmarkEnd w:id="140"/>
      <w:bookmarkEnd w:id="141"/>
      <w:bookmarkEnd w:id="142"/>
      <w:bookmarkEnd w:id="143"/>
      <w:bookmarkEnd w:id="144"/>
      <w:bookmarkEnd w:id="145"/>
      <w:bookmarkEnd w:id="146"/>
      <w:bookmarkEnd w:id="147"/>
      <w:bookmarkEnd w:id="148"/>
      <w:bookmarkEnd w:id="149"/>
    </w:p>
    <w:p w14:paraId="3DDD9040" w14:textId="78F844CD" w:rsidR="00C3701E" w:rsidRPr="0094721A" w:rsidRDefault="00C3701E" w:rsidP="00B97A06">
      <w:pPr>
        <w:pStyle w:val="Vol4Numberedparas"/>
        <w:ind w:left="993" w:hanging="993"/>
      </w:pPr>
      <w:r>
        <w:t xml:space="preserve">In </w:t>
      </w:r>
      <w:r w:rsidRPr="0094721A">
        <w:t>He Purapura Ora, he Māra Tipu</w:t>
      </w:r>
      <w:r>
        <w:t>,</w:t>
      </w:r>
      <w:r w:rsidRPr="0094721A">
        <w:t xml:space="preserve"> </w:t>
      </w:r>
      <w:r>
        <w:t xml:space="preserve">the Inquiry recommended </w:t>
      </w:r>
      <w:r w:rsidRPr="0094721A">
        <w:t>a new right to be free from abuse in care, a related duty to protect that right,</w:t>
      </w:r>
      <w:r>
        <w:t xml:space="preserve"> </w:t>
      </w:r>
      <w:r w:rsidRPr="0094721A">
        <w:t xml:space="preserve">an exception to the </w:t>
      </w:r>
      <w:r>
        <w:t xml:space="preserve">accident compensation </w:t>
      </w:r>
      <w:r w:rsidRPr="0094721A">
        <w:t xml:space="preserve">bar </w:t>
      </w:r>
      <w:r>
        <w:t>(</w:t>
      </w:r>
      <w:r w:rsidRPr="0094721A">
        <w:t>so that survivors of abuse in care can seek compensation in the courts by taking civil cases</w:t>
      </w:r>
      <w:r>
        <w:t>)</w:t>
      </w:r>
      <w:r w:rsidRPr="0094721A">
        <w:t xml:space="preserve">, and the removal of limitation periods for abuse in care cases. </w:t>
      </w:r>
      <w:r>
        <w:t>The Inquiry</w:t>
      </w:r>
      <w:r w:rsidRPr="0094721A">
        <w:t xml:space="preserve"> recommended that the Government direct the Law Commission to review a range of obstacles for survivors taking civil cases and </w:t>
      </w:r>
      <w:r>
        <w:t xml:space="preserve">to </w:t>
      </w:r>
      <w:r w:rsidRPr="0094721A">
        <w:t xml:space="preserve">recommend any corrective steps by 1 December 2022. In addition, </w:t>
      </w:r>
      <w:r>
        <w:t>the Inquiry</w:t>
      </w:r>
      <w:r w:rsidRPr="0094721A">
        <w:t xml:space="preserve"> recommended that WorkSafe include abuse in care in its focus areas.</w:t>
      </w:r>
      <w:r w:rsidRPr="00737603">
        <w:rPr>
          <w:rStyle w:val="EndnoteReference"/>
        </w:rPr>
        <w:endnoteReference w:id="120"/>
      </w:r>
      <w:r w:rsidRPr="0094721A">
        <w:t xml:space="preserve">  </w:t>
      </w:r>
    </w:p>
    <w:p w14:paraId="77F3CEB9" w14:textId="7D143F38" w:rsidR="00C3701E" w:rsidRPr="0094721A" w:rsidRDefault="00C3701E" w:rsidP="00B97A06">
      <w:pPr>
        <w:pStyle w:val="Vol4Numberedparas"/>
        <w:ind w:left="993" w:hanging="993"/>
      </w:pPr>
      <w:r>
        <w:t>The Inquiry</w:t>
      </w:r>
      <w:r w:rsidRPr="0094721A">
        <w:t xml:space="preserve"> proposed two other options</w:t>
      </w:r>
      <w:r>
        <w:t xml:space="preserve"> if </w:t>
      </w:r>
      <w:r w:rsidRPr="0094721A">
        <w:t xml:space="preserve">the Government decided not to proceed with </w:t>
      </w:r>
      <w:r>
        <w:t xml:space="preserve">the Inquiry’s </w:t>
      </w:r>
      <w:r w:rsidRPr="0094721A">
        <w:t>civil litigation recommendations. One</w:t>
      </w:r>
      <w:r>
        <w:t xml:space="preserve"> option</w:t>
      </w:r>
      <w:r w:rsidRPr="0094721A">
        <w:t xml:space="preserve"> </w:t>
      </w:r>
      <w:r>
        <w:t>was</w:t>
      </w:r>
      <w:r w:rsidRPr="0094721A">
        <w:t xml:space="preserve"> </w:t>
      </w:r>
      <w:r>
        <w:t>to empower</w:t>
      </w:r>
      <w:r w:rsidRPr="0094721A">
        <w:t xml:space="preserve"> the puretumu torowhānui scheme to award compensation. The other </w:t>
      </w:r>
      <w:r>
        <w:t>was</w:t>
      </w:r>
      <w:r w:rsidRPr="0094721A">
        <w:t xml:space="preserve"> </w:t>
      </w:r>
      <w:r>
        <w:t>to reform</w:t>
      </w:r>
      <w:r w:rsidRPr="0094721A">
        <w:t xml:space="preserve"> </w:t>
      </w:r>
      <w:r>
        <w:t xml:space="preserve">the accident compensation scheme </w:t>
      </w:r>
      <w:r w:rsidRPr="0094721A">
        <w:t>so that it covers the same abuse as that covered by the new puretumu torowhānui scheme</w:t>
      </w:r>
      <w:r>
        <w:t xml:space="preserve"> and</w:t>
      </w:r>
      <w:r w:rsidRPr="0094721A">
        <w:t xml:space="preserve"> provides fair compensation and other remedy options for that abuse.</w:t>
      </w:r>
    </w:p>
    <w:p w14:paraId="13E8E913" w14:textId="2CFB2661" w:rsidR="00C3701E" w:rsidRPr="00724544" w:rsidRDefault="00C3701E" w:rsidP="00724544">
      <w:pPr>
        <w:pStyle w:val="Vol4Numberedparas"/>
        <w:ind w:left="993" w:hanging="993"/>
      </w:pPr>
      <w:r>
        <w:t>The Inquiry</w:t>
      </w:r>
      <w:r w:rsidRPr="0094721A">
        <w:t xml:space="preserve"> also recommended that the Minister for the Public Service make public the Government’s initial response to </w:t>
      </w:r>
      <w:r>
        <w:t xml:space="preserve">the </w:t>
      </w:r>
      <w:r w:rsidRPr="0094721A">
        <w:t xml:space="preserve">recommendations </w:t>
      </w:r>
      <w:r>
        <w:t xml:space="preserve">of the Inquiry, and </w:t>
      </w:r>
      <w:r w:rsidRPr="0094721A">
        <w:t>its likely timetable by 15 April 2022</w:t>
      </w:r>
      <w:r>
        <w:t>,</w:t>
      </w:r>
      <w:r w:rsidRPr="0094721A">
        <w:rPr>
          <w:rStyle w:val="EndnoteReference"/>
        </w:rPr>
        <w:endnoteReference w:id="121"/>
      </w:r>
      <w:r w:rsidRPr="0094721A">
        <w:rPr>
          <w:rStyle w:val="EndnoteReference"/>
        </w:rPr>
        <w:t xml:space="preserve"> </w:t>
      </w:r>
      <w:r w:rsidRPr="0094721A">
        <w:t xml:space="preserve"> </w:t>
      </w:r>
      <w:r>
        <w:t>and to</w:t>
      </w:r>
      <w:r w:rsidRPr="0094721A">
        <w:t xml:space="preserve"> include dates</w:t>
      </w:r>
      <w:r>
        <w:t xml:space="preserve"> to enact the recommended civil litigation reform</w:t>
      </w:r>
      <w:r w:rsidRPr="0094721A">
        <w:t>.</w:t>
      </w:r>
      <w:r w:rsidRPr="0094721A">
        <w:rPr>
          <w:rStyle w:val="EndnoteReference"/>
        </w:rPr>
        <w:endnoteReference w:id="122"/>
      </w:r>
      <w:r w:rsidRPr="0094721A">
        <w:t xml:space="preserve">  </w:t>
      </w:r>
      <w:r>
        <w:br w:type="page"/>
      </w:r>
    </w:p>
    <w:p w14:paraId="013AB307" w14:textId="705F5265" w:rsidR="00C3701E" w:rsidRPr="00641874" w:rsidRDefault="00C3701E" w:rsidP="00C870D6">
      <w:pPr>
        <w:pStyle w:val="Heading3"/>
        <w:rPr>
          <w:i/>
          <w:iCs/>
        </w:rPr>
      </w:pPr>
      <w:bookmarkStart w:id="150" w:name="_Toc181080969"/>
      <w:r w:rsidRPr="00ED72D0">
        <w:lastRenderedPageBreak/>
        <w:t>Ngā take mō ngā tūtohu a te Kōmihana</w:t>
      </w:r>
      <w:bookmarkEnd w:id="150"/>
      <w:r w:rsidRPr="00ED72D0">
        <w:t xml:space="preserve"> </w:t>
      </w:r>
    </w:p>
    <w:p w14:paraId="62FD6B08" w14:textId="5D68315D" w:rsidR="00C3701E" w:rsidRPr="00641874" w:rsidRDefault="00C3701E" w:rsidP="00C870D6">
      <w:pPr>
        <w:pStyle w:val="Heading3"/>
        <w:rPr>
          <w:i/>
          <w:iCs/>
        </w:rPr>
      </w:pPr>
      <w:bookmarkStart w:id="151" w:name="_Toc140149592"/>
      <w:bookmarkStart w:id="152" w:name="_Toc140567998"/>
      <w:bookmarkStart w:id="153" w:name="_Toc141958550"/>
      <w:bookmarkStart w:id="154" w:name="_Toc141971177"/>
      <w:bookmarkStart w:id="155" w:name="_Toc142044159"/>
      <w:bookmarkStart w:id="156" w:name="_Toc142313464"/>
      <w:bookmarkStart w:id="157" w:name="_Toc142991636"/>
      <w:bookmarkStart w:id="158" w:name="_Toc143014148"/>
      <w:bookmarkStart w:id="159" w:name="_Toc145415113"/>
      <w:bookmarkStart w:id="160" w:name="_Toc147850579"/>
      <w:bookmarkStart w:id="161" w:name="_Toc181080970"/>
      <w:r w:rsidRPr="00ED72D0">
        <w:t xml:space="preserve">The reasons for </w:t>
      </w:r>
      <w:r w:rsidRPr="00641874">
        <w:t>the Inquiry’s recommendations</w:t>
      </w:r>
      <w:bookmarkEnd w:id="151"/>
      <w:bookmarkEnd w:id="152"/>
      <w:bookmarkEnd w:id="153"/>
      <w:bookmarkEnd w:id="154"/>
      <w:bookmarkEnd w:id="155"/>
      <w:bookmarkEnd w:id="156"/>
      <w:bookmarkEnd w:id="157"/>
      <w:bookmarkEnd w:id="158"/>
      <w:bookmarkEnd w:id="159"/>
      <w:bookmarkEnd w:id="160"/>
      <w:bookmarkEnd w:id="161"/>
    </w:p>
    <w:p w14:paraId="2EFFFDF4" w14:textId="7BBCB42F" w:rsidR="00C3701E" w:rsidRPr="0094721A" w:rsidRDefault="00C3701E" w:rsidP="00B97A06">
      <w:pPr>
        <w:pStyle w:val="Vol4Numberedparas"/>
        <w:ind w:left="993" w:hanging="993"/>
      </w:pPr>
      <w:r w:rsidRPr="0094721A">
        <w:t xml:space="preserve">The </w:t>
      </w:r>
      <w:r>
        <w:t xml:space="preserve">accident compensation </w:t>
      </w:r>
      <w:r w:rsidRPr="0094721A">
        <w:t>scheme is intended to provide survivors with “fair compensation</w:t>
      </w:r>
      <w:r>
        <w:t>”</w:t>
      </w:r>
      <w:r w:rsidRPr="0094721A">
        <w:t>,</w:t>
      </w:r>
      <w:r w:rsidRPr="0094721A">
        <w:rPr>
          <w:rStyle w:val="EndnoteReference"/>
        </w:rPr>
        <w:endnoteReference w:id="123"/>
      </w:r>
      <w:r w:rsidRPr="0094721A">
        <w:t xml:space="preserve"> rehabilitation and other assistance. </w:t>
      </w:r>
      <w:r>
        <w:t>However, the Inquiry found that m</w:t>
      </w:r>
      <w:r w:rsidRPr="0094721A">
        <w:t xml:space="preserve">any survivors receive little to no </w:t>
      </w:r>
      <w:r>
        <w:t xml:space="preserve">financial </w:t>
      </w:r>
      <w:r w:rsidRPr="0094721A">
        <w:t xml:space="preserve">compensation from </w:t>
      </w:r>
      <w:r>
        <w:t>the scheme</w:t>
      </w:r>
      <w:r w:rsidRPr="0094721A">
        <w:t>.</w:t>
      </w:r>
      <w:r w:rsidRPr="0094721A">
        <w:rPr>
          <w:rStyle w:val="EndnoteReference"/>
        </w:rPr>
        <w:endnoteReference w:id="124"/>
      </w:r>
      <w:r w:rsidRPr="0094721A">
        <w:t xml:space="preserve"> For that</w:t>
      </w:r>
      <w:r>
        <w:t>,</w:t>
      </w:r>
      <w:r w:rsidRPr="0094721A">
        <w:t xml:space="preserve"> and other reasons, </w:t>
      </w:r>
      <w:r>
        <w:t>the Inquiry</w:t>
      </w:r>
      <w:r w:rsidRPr="0094721A">
        <w:t xml:space="preserve"> considered survivors should </w:t>
      </w:r>
      <w:r>
        <w:t>be able</w:t>
      </w:r>
      <w:r w:rsidRPr="0094721A">
        <w:t xml:space="preserve"> to seek a public decision from the courts and to have their claim for compensation assessed. Survivors in other countries including Australia have these rights, as well as access to out-of-court redress schemes. </w:t>
      </w:r>
    </w:p>
    <w:p w14:paraId="2DBE50A2" w14:textId="0C66B83B" w:rsidR="00C3701E" w:rsidRPr="0094721A" w:rsidRDefault="00C3701E" w:rsidP="00B97A06">
      <w:pPr>
        <w:pStyle w:val="Vol4Numberedparas"/>
        <w:ind w:left="993" w:hanging="993"/>
      </w:pPr>
      <w:r>
        <w:t>The Inquiry</w:t>
      </w:r>
      <w:r w:rsidRPr="0094721A">
        <w:t xml:space="preserve"> considered that court action by survivors has the potential to promote public accountability, reduce impunity, prevent abuse, and change institutional behaviour. The current system achieves little by way of public accountability, particularly in relation to institutional accountability. The loss caused by abuse in care is largely borne by survivors themselves, their families or the taxpayer. The </w:t>
      </w:r>
      <w:r>
        <w:t xml:space="preserve">accident compensation </w:t>
      </w:r>
      <w:r w:rsidRPr="0094721A">
        <w:t xml:space="preserve">bar may shield an institution from public assessment of its conduct or financial liability.  </w:t>
      </w:r>
    </w:p>
    <w:p w14:paraId="79282C44" w14:textId="42707D22" w:rsidR="00C3701E" w:rsidRPr="0094721A" w:rsidRDefault="00C3701E" w:rsidP="00B97A06">
      <w:pPr>
        <w:pStyle w:val="Vol4Numberedparas"/>
        <w:ind w:left="993" w:hanging="993"/>
      </w:pPr>
      <w:r w:rsidRPr="0094721A">
        <w:t xml:space="preserve">While criminal proceedings can provide accountability, survivors </w:t>
      </w:r>
      <w:r>
        <w:t>depend</w:t>
      </w:r>
      <w:r w:rsidRPr="0094721A">
        <w:t xml:space="preserve"> on the State to initiate prosecution. Also, while criminal prosecutions are more likely to be directed against individuals, survivors could take civil cases against both alleged abusers and institutions</w:t>
      </w:r>
      <w:r w:rsidRPr="001C7C73">
        <w:t xml:space="preserve"> </w:t>
      </w:r>
      <w:r w:rsidRPr="0094721A">
        <w:t xml:space="preserve">under </w:t>
      </w:r>
      <w:r>
        <w:t>the Inquiry’s</w:t>
      </w:r>
      <w:r w:rsidRPr="0094721A">
        <w:t xml:space="preserve"> proposed reforms.</w:t>
      </w:r>
    </w:p>
    <w:p w14:paraId="2E6F8541" w14:textId="77777777" w:rsidR="00C3701E" w:rsidRDefault="00C3701E" w:rsidP="00AB55E3">
      <w:pPr>
        <w:pStyle w:val="Heading3"/>
      </w:pPr>
      <w:bookmarkStart w:id="162" w:name="_Toc181080971"/>
      <w:r w:rsidRPr="00ED72D0">
        <w:t>Te urupare a te Kāwanatanga</w:t>
      </w:r>
      <w:bookmarkEnd w:id="162"/>
    </w:p>
    <w:p w14:paraId="15372F9B" w14:textId="0757C9BC" w:rsidR="00C3701E" w:rsidRPr="00641874" w:rsidRDefault="00C3701E" w:rsidP="00AB55E3">
      <w:pPr>
        <w:pStyle w:val="Heading3"/>
        <w:rPr>
          <w:i/>
          <w:iCs/>
        </w:rPr>
      </w:pPr>
      <w:bookmarkStart w:id="163" w:name="_Toc140149593"/>
      <w:bookmarkStart w:id="164" w:name="_Toc140567999"/>
      <w:bookmarkStart w:id="165" w:name="_Toc141958551"/>
      <w:bookmarkStart w:id="166" w:name="_Toc141971178"/>
      <w:bookmarkStart w:id="167" w:name="_Toc142044160"/>
      <w:bookmarkStart w:id="168" w:name="_Toc142313465"/>
      <w:bookmarkStart w:id="169" w:name="_Toc142991637"/>
      <w:bookmarkStart w:id="170" w:name="_Toc143014149"/>
      <w:bookmarkStart w:id="171" w:name="_Toc145415114"/>
      <w:bookmarkStart w:id="172" w:name="_Toc147850580"/>
      <w:bookmarkStart w:id="173" w:name="_Toc181080972"/>
      <w:r w:rsidRPr="00ED72D0">
        <w:t xml:space="preserve">The </w:t>
      </w:r>
      <w:r w:rsidRPr="00641874">
        <w:t>Government’s response</w:t>
      </w:r>
      <w:bookmarkEnd w:id="163"/>
      <w:bookmarkEnd w:id="164"/>
      <w:bookmarkEnd w:id="165"/>
      <w:bookmarkEnd w:id="166"/>
      <w:bookmarkEnd w:id="167"/>
      <w:bookmarkEnd w:id="168"/>
      <w:bookmarkEnd w:id="169"/>
      <w:bookmarkEnd w:id="170"/>
      <w:bookmarkEnd w:id="171"/>
      <w:bookmarkEnd w:id="172"/>
      <w:bookmarkEnd w:id="173"/>
    </w:p>
    <w:p w14:paraId="321D8BB5" w14:textId="0A66ABF3" w:rsidR="00C3701E" w:rsidRDefault="00C3701E" w:rsidP="008D33D7">
      <w:pPr>
        <w:pStyle w:val="Vol4Numberedparas"/>
        <w:ind w:left="993" w:hanging="993"/>
      </w:pPr>
      <w:r>
        <w:t xml:space="preserve">Two and a half </w:t>
      </w:r>
      <w:r w:rsidRPr="0094721A">
        <w:t xml:space="preserve">years have passed since He Purapura Ora, he Māra Tipu was tabled in the House of Representatives. The Government has not provided </w:t>
      </w:r>
      <w:r>
        <w:t>a</w:t>
      </w:r>
      <w:r w:rsidRPr="0094721A">
        <w:t xml:space="preserve"> timetable </w:t>
      </w:r>
      <w:r>
        <w:t>to enact the</w:t>
      </w:r>
      <w:r w:rsidRPr="0094721A">
        <w:t xml:space="preserve"> </w:t>
      </w:r>
      <w:r>
        <w:t>recommended</w:t>
      </w:r>
      <w:r w:rsidRPr="0094721A">
        <w:t xml:space="preserve"> civil litigation reform. </w:t>
      </w:r>
      <w:r>
        <w:t xml:space="preserve">There has been no </w:t>
      </w:r>
      <w:r w:rsidRPr="0094721A">
        <w:t>referral to the Law Commission or any relevant change to WorkSafe’s focus areas.</w:t>
      </w:r>
    </w:p>
    <w:p w14:paraId="40A5BCC4" w14:textId="4DE2F0D6" w:rsidR="00C3701E" w:rsidRDefault="00C3701E" w:rsidP="008D33D7">
      <w:pPr>
        <w:pStyle w:val="Vol4Numberedparas"/>
        <w:ind w:left="993" w:hanging="993"/>
      </w:pPr>
      <w:r>
        <w:t xml:space="preserve">In July 2022, the then Minister for the Public Service advised Cabinet that the Ministry of Justice was continuing to review the Limitation Act 2010 in relation to historic claims of abuse in care, drawing on the findings in He Purapura Ora, </w:t>
      </w:r>
      <w:r w:rsidRPr="0094721A">
        <w:t>he Māra Tipu</w:t>
      </w:r>
      <w:r>
        <w:t>. The Minister proposed that the terms of a potential broader civil litigation policy project be examined after the high-level design of the new redress system was complete. It was also proposed that the Inquiry’s recommendations on the right to be free from abuse in care and WorkSafe’s focus areas be considered after the Inquiry had issued all its findings and recommendations on improvements to the care system, monitoring and accountability. Taking this course would allow for the comprehensive consideration of how care should be regulated.</w:t>
      </w:r>
      <w:r>
        <w:rPr>
          <w:rStyle w:val="EndnoteReference"/>
        </w:rPr>
        <w:endnoteReference w:id="125"/>
      </w:r>
      <w:r>
        <w:t xml:space="preserve"> These matters were noted by Cabinet in July 2022.</w:t>
      </w:r>
      <w:r>
        <w:rPr>
          <w:rStyle w:val="EndnoteReference"/>
        </w:rPr>
        <w:endnoteReference w:id="126"/>
      </w:r>
      <w:r>
        <w:t xml:space="preserve">  </w:t>
      </w:r>
    </w:p>
    <w:p w14:paraId="6F758320" w14:textId="77777777" w:rsidR="00724544" w:rsidRDefault="00724544">
      <w:pPr>
        <w:spacing w:after="160"/>
        <w:rPr>
          <w:rFonts w:ascii="Arial" w:eastAsiaTheme="minorEastAsia" w:hAnsi="Arial" w:cs="Arial"/>
          <w:kern w:val="2"/>
          <w:lang w:eastAsia="en-NZ"/>
          <w14:ligatures w14:val="standardContextual"/>
        </w:rPr>
      </w:pPr>
      <w:r>
        <w:br w:type="page"/>
      </w:r>
    </w:p>
    <w:p w14:paraId="3E4B9363" w14:textId="25600390" w:rsidR="00C3701E" w:rsidRDefault="00C3701E" w:rsidP="008D33D7">
      <w:pPr>
        <w:pStyle w:val="Vol4Numberedparas"/>
        <w:ind w:left="993" w:hanging="993"/>
      </w:pPr>
      <w:r>
        <w:lastRenderedPageBreak/>
        <w:t>In January 2024 the Inquiry was advised that, following a joint briefing dated 18 May 2023 to the Minister of Justice and the Minister for ACC, the then Ministers agreed to defer work on the Inquiry’s recommendations regarding limitation periods and other civil litigation obstacles for survivors of abuse until after the Inquiry had provided its final report. This would allow all redress-related recommendations to be considered together, along with a more developed puretumu torowh</w:t>
      </w:r>
      <w:r w:rsidRPr="0094721A">
        <w:t>ā</w:t>
      </w:r>
      <w:r>
        <w:t>nui scheme. It was stated that this approach would ensure a coherent and workable redress system.</w:t>
      </w:r>
      <w:r w:rsidRPr="008D33D7">
        <w:rPr>
          <w:rStyle w:val="EndnoteReference"/>
        </w:rPr>
        <w:endnoteReference w:id="127"/>
      </w:r>
    </w:p>
    <w:p w14:paraId="666510ED" w14:textId="47F28EAD" w:rsidR="00C3701E" w:rsidRDefault="00C3701E" w:rsidP="008D33D7">
      <w:pPr>
        <w:pStyle w:val="Vol4Numberedparas"/>
        <w:ind w:left="993" w:hanging="993"/>
      </w:pPr>
      <w:r>
        <w:t xml:space="preserve">The Inquiry is concerned with the approach the Government has taken to these recommendations. In August 2021, the Inquiry’s Terms of Reference were amended – the Inquiry had to provide </w:t>
      </w:r>
      <w:r w:rsidRPr="00836D34">
        <w:t>recommendations</w:t>
      </w:r>
      <w:r>
        <w:t xml:space="preserve"> </w:t>
      </w:r>
      <w:r w:rsidRPr="00836D34">
        <w:t>on redress processes</w:t>
      </w:r>
      <w:r>
        <w:t xml:space="preserve"> to </w:t>
      </w:r>
      <w:r w:rsidRPr="00F30713">
        <w:t>the Minister</w:t>
      </w:r>
      <w:r>
        <w:t xml:space="preserve"> of Internal Affairs</w:t>
      </w:r>
      <w:r w:rsidRPr="00836D34">
        <w:t xml:space="preserve"> by 1 October 2021 and </w:t>
      </w:r>
      <w:r>
        <w:t xml:space="preserve">a </w:t>
      </w:r>
      <w:r w:rsidRPr="00836D34">
        <w:t>redress report to the Minister by 1 De</w:t>
      </w:r>
      <w:r>
        <w:t>ce</w:t>
      </w:r>
      <w:r w:rsidRPr="00836D34">
        <w:t>mber 2021</w:t>
      </w:r>
      <w:r>
        <w:t>.</w:t>
      </w:r>
      <w:r w:rsidRPr="008D33D7">
        <w:rPr>
          <w:rStyle w:val="EndnoteReference"/>
        </w:rPr>
        <w:endnoteReference w:id="128"/>
      </w:r>
      <w:r>
        <w:t xml:space="preserve"> The then Minister of Internal Affairs stated that the reason for bringing the due date forward for the Inquiry’s redress report was “so Government can move more quickly to make improvements”. The Minister also said that the Government was keen to progress redress for survivors: “Bringing forward the report date for redress will allow this Government to make meaningful progress for survivors.”</w:t>
      </w:r>
      <w:r w:rsidRPr="008D33D7">
        <w:rPr>
          <w:rStyle w:val="EndnoteReference"/>
        </w:rPr>
        <w:endnoteReference w:id="129"/>
      </w:r>
    </w:p>
    <w:p w14:paraId="11ADB067" w14:textId="67E2F2BB" w:rsidR="00C3701E" w:rsidRDefault="00C3701E" w:rsidP="008D33D7">
      <w:pPr>
        <w:pStyle w:val="Vol4Numberedparas"/>
        <w:ind w:left="993" w:hanging="993"/>
      </w:pPr>
      <w:r>
        <w:t xml:space="preserve">Consequently, the Inquiry provided </w:t>
      </w:r>
      <w:r w:rsidRPr="0094721A">
        <w:t>He Purapura Ora, he Māra Tipu</w:t>
      </w:r>
      <w:r>
        <w:t xml:space="preserve"> to the Minister on 1 December 2021. In its report the Inquiry referred to its work as ongoing, but that the “</w:t>
      </w:r>
      <w:r w:rsidRPr="007E5979">
        <w:t>work of establishing a new and more effective puretumu torowhānui system and scheme cannot begin a moment too soon</w:t>
      </w:r>
      <w:r>
        <w:t>”.</w:t>
      </w:r>
      <w:r>
        <w:rPr>
          <w:rStyle w:val="EndnoteReference"/>
        </w:rPr>
        <w:endnoteReference w:id="130"/>
      </w:r>
      <w:r>
        <w:t xml:space="preserve"> The Government has not taken that approach: it has deferred work in relation to the Inquiry’s recommendations regarding the right to be free from abuse in care; other civil litigation recommendations; the Law </w:t>
      </w:r>
      <w:r w:rsidRPr="00DF42E6">
        <w:t>Commission referral</w:t>
      </w:r>
      <w:r>
        <w:t>;</w:t>
      </w:r>
      <w:r w:rsidRPr="00DF42E6">
        <w:t xml:space="preserve"> and WorkSafe. There is no reason why substantial work could not have progressed </w:t>
      </w:r>
      <w:r>
        <w:t xml:space="preserve">while also deferring </w:t>
      </w:r>
      <w:r w:rsidRPr="00DF42E6">
        <w:t xml:space="preserve">final decision-making on some matters until </w:t>
      </w:r>
      <w:r>
        <w:t>the Government</w:t>
      </w:r>
      <w:r w:rsidRPr="00DF42E6">
        <w:t xml:space="preserve"> </w:t>
      </w:r>
      <w:r>
        <w:t>had</w:t>
      </w:r>
      <w:r w:rsidRPr="00DF42E6">
        <w:t xml:space="preserve"> received </w:t>
      </w:r>
      <w:r>
        <w:t>the</w:t>
      </w:r>
      <w:r w:rsidRPr="00DF42E6">
        <w:t xml:space="preserve"> Inquiry’s final report. </w:t>
      </w:r>
    </w:p>
    <w:p w14:paraId="0B037BD9" w14:textId="5DE866CA" w:rsidR="00C3701E" w:rsidRPr="00781C67" w:rsidRDefault="00C3701E" w:rsidP="002908E7">
      <w:pPr>
        <w:pStyle w:val="Heading4"/>
      </w:pPr>
      <w:r w:rsidRPr="002908E7">
        <w:t xml:space="preserve">Ngā tūtohu a Te Tāhū o </w:t>
      </w:r>
      <w:r w:rsidRPr="00781C67">
        <w:t xml:space="preserve">te Ture e pā ana ki te whakahoutanga whāiti </w:t>
      </w:r>
    </w:p>
    <w:p w14:paraId="566C04F4" w14:textId="2AE25BAD" w:rsidR="00C3701E" w:rsidRPr="00641874" w:rsidRDefault="00C3701E" w:rsidP="002908E7">
      <w:pPr>
        <w:pStyle w:val="Heading4"/>
        <w:rPr>
          <w:rFonts w:eastAsia="Arial" w:cs="Arial"/>
          <w:b w:val="0"/>
          <w:bCs w:val="0"/>
          <w:color w:val="auto"/>
        </w:rPr>
      </w:pPr>
      <w:r w:rsidRPr="002908E7">
        <w:t>Ministry of Justice advice about limitation reform</w:t>
      </w:r>
    </w:p>
    <w:p w14:paraId="0C77EBBC" w14:textId="1CED08C2" w:rsidR="00C3701E" w:rsidRPr="00737603" w:rsidRDefault="00C3701E" w:rsidP="006D0C2F">
      <w:pPr>
        <w:pStyle w:val="Vol4Numberedparas"/>
        <w:ind w:left="993" w:hanging="993"/>
        <w:rPr>
          <w:rStyle w:val="EndnoteReference"/>
        </w:rPr>
      </w:pPr>
      <w:r w:rsidRPr="0094721A">
        <w:t>On 3 November 2022, the Secretary for Justice, Andrew Kibblewhite, wrote to Iona Holsted in her capacity as the Chair, Chief Executives Sponsoring Group of the C</w:t>
      </w:r>
      <w:r>
        <w:t>rown Response Unit</w:t>
      </w:r>
      <w:r w:rsidRPr="0094721A">
        <w:t xml:space="preserve">. In his letter, Mr Kibblewhite advised that Ministry of Justice officials had concluded that unless </w:t>
      </w:r>
      <w:r>
        <w:t>the accident compensation scheme</w:t>
      </w:r>
      <w:r w:rsidRPr="0094721A">
        <w:t xml:space="preserve"> is reformed </w:t>
      </w:r>
      <w:r>
        <w:t>(</w:t>
      </w:r>
      <w:r w:rsidRPr="0094721A">
        <w:t xml:space="preserve">as recommended </w:t>
      </w:r>
      <w:r>
        <w:t xml:space="preserve">by the Inquiry </w:t>
      </w:r>
      <w:r w:rsidRPr="0094721A">
        <w:t>in He Purapura Ora, he Māra Tipu</w:t>
      </w:r>
      <w:r>
        <w:t>)</w:t>
      </w:r>
      <w:r w:rsidRPr="0094721A">
        <w:t xml:space="preserve">, </w:t>
      </w:r>
      <w:r>
        <w:t>the Inquiry’s</w:t>
      </w:r>
      <w:r w:rsidRPr="0094721A">
        <w:t xml:space="preserve"> recommended limitation reform </w:t>
      </w:r>
      <w:r>
        <w:t xml:space="preserve">on its own </w:t>
      </w:r>
      <w:r w:rsidRPr="0094721A">
        <w:t>would likely have only a minimal impact on the ability of survivors to bring successful civil litigation cases</w:t>
      </w:r>
      <w:r>
        <w:t>.</w:t>
      </w:r>
      <w:r w:rsidRPr="00737603">
        <w:rPr>
          <w:rStyle w:val="EndnoteReference"/>
        </w:rPr>
        <w:t>.</w:t>
      </w:r>
      <w:r w:rsidRPr="00737603">
        <w:rPr>
          <w:rStyle w:val="EndnoteReference"/>
        </w:rPr>
        <w:endnoteReference w:id="131"/>
      </w:r>
    </w:p>
    <w:p w14:paraId="0C597A1D" w14:textId="77777777" w:rsidR="00660D9E" w:rsidRDefault="00660D9E">
      <w:pPr>
        <w:spacing w:after="160"/>
        <w:rPr>
          <w:rFonts w:ascii="Arial" w:eastAsiaTheme="minorEastAsia" w:hAnsi="Arial" w:cs="Arial"/>
          <w:kern w:val="2"/>
          <w:lang w:eastAsia="en-NZ"/>
          <w14:ligatures w14:val="standardContextual"/>
        </w:rPr>
      </w:pPr>
      <w:r>
        <w:br w:type="page"/>
      </w:r>
    </w:p>
    <w:p w14:paraId="3DEF0D23" w14:textId="1C15D357" w:rsidR="00C3701E" w:rsidRPr="00A2557C" w:rsidRDefault="00C3701E" w:rsidP="006D0C2F">
      <w:pPr>
        <w:pStyle w:val="Vol4Numberedparas"/>
        <w:ind w:left="993" w:hanging="993"/>
      </w:pPr>
      <w:r>
        <w:lastRenderedPageBreak/>
        <w:t>T</w:t>
      </w:r>
      <w:r w:rsidRPr="00A2557C">
        <w:t xml:space="preserve">here should be a right to be free from abuse in care and an exception to the </w:t>
      </w:r>
      <w:r>
        <w:t xml:space="preserve">accident compensation scheme </w:t>
      </w:r>
      <w:r w:rsidRPr="00A2557C">
        <w:t xml:space="preserve">bar for civil claims for abuse in care. </w:t>
      </w:r>
      <w:r>
        <w:t>The Inquiry</w:t>
      </w:r>
      <w:r w:rsidRPr="00A2557C">
        <w:t xml:space="preserve"> does not </w:t>
      </w:r>
      <w:r>
        <w:t xml:space="preserve">however </w:t>
      </w:r>
      <w:r w:rsidRPr="00A2557C">
        <w:t>agree with the Ministry of Justice’s view that, without such reform, there is no point in enacting the limitation reforms recommended by the Inquiry</w:t>
      </w:r>
      <w:r>
        <w:t xml:space="preserve"> as it would have limited impact</w:t>
      </w:r>
      <w:r w:rsidRPr="00A2557C">
        <w:t xml:space="preserve">. A principal reason for this is that the </w:t>
      </w:r>
      <w:r>
        <w:t xml:space="preserve">accident compensation scheme </w:t>
      </w:r>
      <w:r w:rsidRPr="00A2557C">
        <w:t xml:space="preserve">bar limits but does not prevent the courts from awarding compensation under the New Zealand Bill of Rights Act 1990. In addition, the </w:t>
      </w:r>
      <w:r>
        <w:t xml:space="preserve">accident compensation scheme </w:t>
      </w:r>
      <w:r w:rsidRPr="00A2557C">
        <w:t xml:space="preserve">bar does not prevent claims for exemplary damages. </w:t>
      </w:r>
      <w:r>
        <w:t xml:space="preserve">New Zealand Bill of Rights </w:t>
      </w:r>
      <w:r w:rsidRPr="00A2557C">
        <w:t>claims for abuse in care and claims for exemplary damages may</w:t>
      </w:r>
      <w:r>
        <w:t>,</w:t>
      </w:r>
      <w:r w:rsidRPr="00A2557C">
        <w:t xml:space="preserve"> however</w:t>
      </w:r>
      <w:r>
        <w:t>,</w:t>
      </w:r>
      <w:r w:rsidRPr="00A2557C">
        <w:t xml:space="preserve"> be prevented by limitation periods.</w:t>
      </w:r>
      <w:r w:rsidRPr="00A2557C">
        <w:rPr>
          <w:rStyle w:val="EndnoteReference"/>
        </w:rPr>
        <w:endnoteReference w:id="132"/>
      </w:r>
      <w:r w:rsidRPr="00A2557C">
        <w:t xml:space="preserve"> The Inquiry considers that although reforming </w:t>
      </w:r>
      <w:r>
        <w:t>the country’s</w:t>
      </w:r>
      <w:r w:rsidRPr="00A2557C">
        <w:t xml:space="preserve"> limitation law in accordance with its recommendations would be insufficient on its own, it is an important step in promoting the rights of survivors to an effective remedy, promoting accountability, and better aligning Aotearoa New Zealand’s law with countries it often compares itself with and with its international obligations.  </w:t>
      </w:r>
    </w:p>
    <w:p w14:paraId="16D7C4E5" w14:textId="2BC71873" w:rsidR="00C3701E" w:rsidRPr="0094721A" w:rsidRDefault="00C3701E" w:rsidP="006D0C2F">
      <w:pPr>
        <w:pStyle w:val="Vol4Numberedparas"/>
        <w:ind w:left="993" w:hanging="993"/>
      </w:pPr>
      <w:r w:rsidRPr="0094721A">
        <w:t>In that regard, UN human rights committees consider that where torture or cruel, inhuman or degrading treatment or punishment has occurred, complete legal immunities from civil liability are impermissible.</w:t>
      </w:r>
      <w:r w:rsidRPr="0094721A">
        <w:rPr>
          <w:rStyle w:val="EndnoteReference"/>
        </w:rPr>
        <w:endnoteReference w:id="133"/>
      </w:r>
      <w:r w:rsidRPr="0094721A">
        <w:t xml:space="preserve"> The United Nations Committee against Torture has said: </w:t>
      </w:r>
    </w:p>
    <w:p w14:paraId="049193A4" w14:textId="5AF6CF19" w:rsidR="00C3701E" w:rsidRPr="0094721A" w:rsidRDefault="00C3701E" w:rsidP="009855CC">
      <w:pPr>
        <w:pStyle w:val="Vol4Quotes"/>
      </w:pPr>
      <w:r>
        <w:t>“</w:t>
      </w:r>
      <w:r w:rsidRPr="0094721A">
        <w:t>On account of the continuous nature of the effects of torture, statutes of limitations should not be applicable as these deprive victims of the redress, compensation, and rehabilitation due to them. For many victims, passage of time does not attenuate the harm and in some cases the harm may increase as a result of post-traumatic stress that requires medical, psychological and social support, which is often inaccessible to those whom</w:t>
      </w:r>
      <w:r>
        <w:t xml:space="preserve"> [sic]</w:t>
      </w:r>
      <w:r w:rsidRPr="0094721A">
        <w:t xml:space="preserve"> have not received redress. States parties shall ensure that all victims of torture or ill-treatment, regardless of when the violation occurred or whether it was carried out by or with the acquiescence of a former regime, are able to access their rights to remedy and to obtain redress.</w:t>
      </w:r>
      <w:r>
        <w:t>”</w:t>
      </w:r>
      <w:r w:rsidRPr="0094721A">
        <w:rPr>
          <w:rStyle w:val="EndnoteReference"/>
        </w:rPr>
        <w:endnoteReference w:id="134"/>
      </w:r>
    </w:p>
    <w:p w14:paraId="4E6ACD54" w14:textId="77777777" w:rsidR="00660D9E" w:rsidRDefault="00660D9E">
      <w:pPr>
        <w:spacing w:after="160"/>
        <w:rPr>
          <w:rFonts w:ascii="Arial" w:eastAsia="Arial" w:hAnsi="Arial" w:cs="Arial"/>
          <w:b/>
          <w:color w:val="385623" w:themeColor="accent6" w:themeShade="80"/>
          <w:sz w:val="26"/>
        </w:rPr>
      </w:pPr>
      <w:r>
        <w:br w:type="page"/>
      </w:r>
    </w:p>
    <w:p w14:paraId="69BCB678" w14:textId="2D0FB3A0" w:rsidR="00C3701E" w:rsidRPr="00641874" w:rsidRDefault="00C3701E" w:rsidP="002908E7">
      <w:pPr>
        <w:pStyle w:val="Heading3"/>
        <w:rPr>
          <w:i/>
          <w:iCs/>
          <w:lang w:val="fr-FR"/>
        </w:rPr>
      </w:pPr>
      <w:bookmarkStart w:id="174" w:name="_Toc181080973"/>
      <w:r w:rsidRPr="00ED72D0">
        <w:lastRenderedPageBreak/>
        <w:t xml:space="preserve">Te utu paremata aituā me te matea </w:t>
      </w:r>
      <w:r w:rsidRPr="00641874">
        <w:rPr>
          <w:lang w:val="fr-FR"/>
        </w:rPr>
        <w:t>whai hua kia tika</w:t>
      </w:r>
      <w:bookmarkEnd w:id="174"/>
    </w:p>
    <w:p w14:paraId="5B8CB8C1" w14:textId="14EF58C5" w:rsidR="00C3701E" w:rsidRPr="00641874" w:rsidRDefault="00C3701E" w:rsidP="002908E7">
      <w:pPr>
        <w:pStyle w:val="Heading3"/>
        <w:rPr>
          <w:i/>
          <w:iCs/>
        </w:rPr>
      </w:pPr>
      <w:bookmarkStart w:id="175" w:name="_Toc181080974"/>
      <w:r w:rsidRPr="00ED72D0">
        <w:t xml:space="preserve">Accident </w:t>
      </w:r>
      <w:r w:rsidRPr="00641874">
        <w:t>compensation and the need for an effective remedy</w:t>
      </w:r>
      <w:bookmarkEnd w:id="175"/>
    </w:p>
    <w:p w14:paraId="79FB31E5" w14:textId="77777777" w:rsidR="00C3701E" w:rsidRDefault="00C3701E" w:rsidP="002908E7">
      <w:pPr>
        <w:pStyle w:val="Heading4"/>
      </w:pPr>
      <w:r>
        <w:t>Te wānanga i te utu paremata aituā</w:t>
      </w:r>
    </w:p>
    <w:p w14:paraId="06E5C2E8" w14:textId="4A4063B4" w:rsidR="00C3701E" w:rsidRPr="00EE6124" w:rsidRDefault="00C3701E" w:rsidP="002908E7">
      <w:pPr>
        <w:pStyle w:val="Heading4"/>
      </w:pPr>
      <w:r>
        <w:t>Wānanga on accident compensation</w:t>
      </w:r>
    </w:p>
    <w:p w14:paraId="4098ACDD" w14:textId="1949A594" w:rsidR="00C3701E" w:rsidRPr="0094721A" w:rsidRDefault="00C3701E" w:rsidP="00224C4B">
      <w:pPr>
        <w:pStyle w:val="Vol4Numberedparas"/>
        <w:ind w:left="993" w:hanging="993"/>
      </w:pPr>
      <w:r w:rsidRPr="0094721A">
        <w:t xml:space="preserve">On 9 February 2023, the </w:t>
      </w:r>
      <w:r>
        <w:t xml:space="preserve">Inquiry </w:t>
      </w:r>
      <w:r w:rsidRPr="0094721A">
        <w:t xml:space="preserve">held a wānanga </w:t>
      </w:r>
      <w:r>
        <w:t>about</w:t>
      </w:r>
      <w:r w:rsidRPr="0094721A">
        <w:t xml:space="preserve"> </w:t>
      </w:r>
      <w:r>
        <w:t xml:space="preserve">accident compensation </w:t>
      </w:r>
      <w:r w:rsidRPr="0094721A">
        <w:t xml:space="preserve">with representatives from </w:t>
      </w:r>
      <w:r>
        <w:t xml:space="preserve">the </w:t>
      </w:r>
      <w:bookmarkStart w:id="176" w:name="_Hlk178354748"/>
      <w:r>
        <w:t>Accident Compensation Corporation</w:t>
      </w:r>
      <w:bookmarkEnd w:id="176"/>
      <w:r w:rsidRPr="0094721A">
        <w:t xml:space="preserve">, the Ministry of Business, Innovation and Employment (responsible for policy advice to the Minister for ACC), and other </w:t>
      </w:r>
      <w:r>
        <w:t>G</w:t>
      </w:r>
      <w:r w:rsidRPr="0094721A">
        <w:t xml:space="preserve">overnment agencies. At the wānanga, </w:t>
      </w:r>
      <w:r>
        <w:t>the Inquiry</w:t>
      </w:r>
      <w:r w:rsidRPr="0094721A">
        <w:t xml:space="preserve"> asked whether it was accepted that there is </w:t>
      </w:r>
      <w:r>
        <w:t>no</w:t>
      </w:r>
      <w:r w:rsidRPr="0094721A">
        <w:t xml:space="preserve"> adequate compensation process for survivors of abuse in care through </w:t>
      </w:r>
      <w:r>
        <w:t>the accident compensation scheme</w:t>
      </w:r>
      <w:r w:rsidRPr="0094721A">
        <w:t>.</w:t>
      </w:r>
      <w:r w:rsidRPr="0094721A">
        <w:rPr>
          <w:rStyle w:val="EndnoteReference"/>
        </w:rPr>
        <w:endnoteReference w:id="135"/>
      </w:r>
      <w:r w:rsidRPr="0094721A">
        <w:t xml:space="preserve"> </w:t>
      </w:r>
      <w:r>
        <w:t>The Inquiry</w:t>
      </w:r>
      <w:r w:rsidRPr="0094721A">
        <w:t xml:space="preserve"> also referred to high levels of compensation being obtained by survivors overseas. </w:t>
      </w:r>
      <w:r>
        <w:t>The Inquiry</w:t>
      </w:r>
      <w:r w:rsidRPr="0094721A">
        <w:t xml:space="preserve"> asked if </w:t>
      </w:r>
      <w:r w:rsidRPr="00344FE8">
        <w:t>the Ministry of Business, Innovation and Employment</w:t>
      </w:r>
      <w:r w:rsidRPr="0094721A" w:rsidDel="00344FE8">
        <w:t xml:space="preserve"> </w:t>
      </w:r>
      <w:r w:rsidRPr="0094721A">
        <w:t xml:space="preserve">compares what is available under the </w:t>
      </w:r>
      <w:r>
        <w:t xml:space="preserve">accident compensation </w:t>
      </w:r>
      <w:r w:rsidRPr="0094721A">
        <w:t xml:space="preserve">scheme with what may be available overseas, including through court cases, when </w:t>
      </w:r>
      <w:r>
        <w:t>advising</w:t>
      </w:r>
      <w:r w:rsidRPr="0094721A">
        <w:t xml:space="preserve"> Government on what might amount to fair compensation for a particular type of injury.</w:t>
      </w:r>
      <w:r w:rsidRPr="0094721A">
        <w:rPr>
          <w:rStyle w:val="EndnoteReference"/>
        </w:rPr>
        <w:endnoteReference w:id="136"/>
      </w:r>
      <w:r w:rsidRPr="0094721A">
        <w:t xml:space="preserve">  </w:t>
      </w:r>
    </w:p>
    <w:p w14:paraId="3C2C7194" w14:textId="233DCDAE" w:rsidR="00C3701E" w:rsidRPr="0094721A" w:rsidRDefault="00C3701E" w:rsidP="00224C4B">
      <w:pPr>
        <w:pStyle w:val="Vol4Numberedparas"/>
        <w:ind w:left="993" w:hanging="993"/>
      </w:pPr>
      <w:r>
        <w:t>T</w:t>
      </w:r>
      <w:r w:rsidRPr="00344FE8">
        <w:t>he Ministry of Business, Innovation and Employment</w:t>
      </w:r>
      <w:r w:rsidRPr="0094721A" w:rsidDel="00344FE8">
        <w:t xml:space="preserve"> </w:t>
      </w:r>
      <w:r w:rsidRPr="0094721A">
        <w:t>stated that “at the centre of the [</w:t>
      </w:r>
      <w:r>
        <w:t>accident compensation</w:t>
      </w:r>
      <w:r w:rsidRPr="0094721A">
        <w:t xml:space="preserve">] scheme is the social contract by which </w:t>
      </w:r>
      <w:r>
        <w:t>the Accident Compensation Corporation</w:t>
      </w:r>
      <w:r w:rsidRPr="0094721A">
        <w:t xml:space="preserve"> provides no fault compensation in exchange for the removal of the right to sue for compensatory damages due to injury”.</w:t>
      </w:r>
      <w:r w:rsidRPr="0094721A">
        <w:rPr>
          <w:rStyle w:val="EndnoteReference"/>
        </w:rPr>
        <w:endnoteReference w:id="137"/>
      </w:r>
      <w:r w:rsidRPr="0094721A">
        <w:t xml:space="preserve"> </w:t>
      </w:r>
      <w:r>
        <w:t>T</w:t>
      </w:r>
      <w:r w:rsidRPr="00344FE8">
        <w:t>he Ministry of Business, Innovation and Employment</w:t>
      </w:r>
      <w:r w:rsidRPr="0094721A" w:rsidDel="00344FE8">
        <w:t xml:space="preserve"> </w:t>
      </w:r>
      <w:r w:rsidRPr="0094721A">
        <w:t xml:space="preserve">stated that it monitors overseas developments and that the </w:t>
      </w:r>
      <w:r>
        <w:t xml:space="preserve">accident compensation </w:t>
      </w:r>
      <w:r w:rsidRPr="0094721A">
        <w:t>scheme’s entitlements are more generous than many others.</w:t>
      </w:r>
      <w:r w:rsidRPr="0094721A">
        <w:rPr>
          <w:rStyle w:val="EndnoteReference"/>
        </w:rPr>
        <w:endnoteReference w:id="138"/>
      </w:r>
      <w:r w:rsidRPr="0094721A">
        <w:t xml:space="preserve"> </w:t>
      </w:r>
      <w:r>
        <w:t>T</w:t>
      </w:r>
      <w:r w:rsidRPr="00344FE8">
        <w:t>he Ministry of Business, Innovation and Employment</w:t>
      </w:r>
      <w:r w:rsidRPr="0094721A" w:rsidDel="00344FE8">
        <w:t xml:space="preserve"> </w:t>
      </w:r>
      <w:r w:rsidRPr="0094721A">
        <w:t xml:space="preserve">recognised that it is through court action that people can access some of the greater remedies being seen overseas. </w:t>
      </w:r>
      <w:r>
        <w:t>Its</w:t>
      </w:r>
      <w:r w:rsidRPr="0094721A">
        <w:t xml:space="preserve"> view was that it is difficult to compare the </w:t>
      </w:r>
      <w:r>
        <w:t xml:space="preserve">accident compensation </w:t>
      </w:r>
      <w:r w:rsidRPr="0094721A">
        <w:t>scheme’s entitlements with what could be obtained by court action overseas</w:t>
      </w:r>
      <w:r>
        <w:t>, and</w:t>
      </w:r>
      <w:r w:rsidRPr="0094721A">
        <w:t xml:space="preserve"> that this is because court action is highly unpredictable, varied, and costly. It stated that </w:t>
      </w:r>
      <w:r>
        <w:t xml:space="preserve">accident compensation </w:t>
      </w:r>
      <w:r w:rsidRPr="0094721A">
        <w:t xml:space="preserve">scheme cover and entitlements are more certain and prescribed. </w:t>
      </w:r>
    </w:p>
    <w:p w14:paraId="4806ED46" w14:textId="0D524ED3" w:rsidR="00C3701E" w:rsidRPr="00EE6124" w:rsidRDefault="00C3701E" w:rsidP="00505D6B">
      <w:pPr>
        <w:pStyle w:val="Vol4Numberedparas"/>
        <w:ind w:left="993" w:hanging="993"/>
      </w:pPr>
      <w:r>
        <w:t>T</w:t>
      </w:r>
      <w:r w:rsidRPr="00344FE8">
        <w:t>he Ministry of Business, Innovation and Employment</w:t>
      </w:r>
      <w:r w:rsidRPr="0094721A">
        <w:t xml:space="preserve"> told </w:t>
      </w:r>
      <w:r>
        <w:t>the Inquiry</w:t>
      </w:r>
      <w:r w:rsidRPr="0094721A">
        <w:t xml:space="preserve"> that when </w:t>
      </w:r>
      <w:r>
        <w:t>decisions have previously been made that a</w:t>
      </w:r>
      <w:r w:rsidRPr="0094721A">
        <w:t xml:space="preserve"> particular group </w:t>
      </w:r>
      <w:r>
        <w:t xml:space="preserve">requires </w:t>
      </w:r>
      <w:r w:rsidRPr="0094721A">
        <w:t xml:space="preserve">different compensation or other support than what is available in the </w:t>
      </w:r>
      <w:r>
        <w:t xml:space="preserve">accident compensation </w:t>
      </w:r>
      <w:r w:rsidRPr="0094721A">
        <w:t xml:space="preserve">scheme, a bespoke scheme has been established for that group </w:t>
      </w:r>
      <w:r>
        <w:t>instead of changes</w:t>
      </w:r>
      <w:r w:rsidRPr="0094721A">
        <w:t xml:space="preserve"> </w:t>
      </w:r>
      <w:r>
        <w:t xml:space="preserve">being made </w:t>
      </w:r>
      <w:r w:rsidRPr="0094721A">
        <w:t xml:space="preserve">to the </w:t>
      </w:r>
      <w:r>
        <w:t xml:space="preserve">accident compensation </w:t>
      </w:r>
      <w:r w:rsidRPr="0094721A">
        <w:t xml:space="preserve">scheme. </w:t>
      </w:r>
      <w:r>
        <w:t>T</w:t>
      </w:r>
      <w:r w:rsidRPr="00344FE8">
        <w:t>he Ministry of Business, Innovation and Employment</w:t>
      </w:r>
      <w:r w:rsidRPr="0094721A">
        <w:t xml:space="preserve"> referred to the compensation and other support available for veterans under the Veterans’ Support Act 2014 as an example of this.</w:t>
      </w:r>
      <w:r w:rsidRPr="0094721A">
        <w:rPr>
          <w:rStyle w:val="EndnoteReference"/>
        </w:rPr>
        <w:endnoteReference w:id="139"/>
      </w:r>
      <w:r w:rsidRPr="0094721A">
        <w:t xml:space="preserve"> </w:t>
      </w:r>
      <w:r>
        <w:t>The Inquiry</w:t>
      </w:r>
      <w:r w:rsidRPr="0094721A">
        <w:t xml:space="preserve"> asked whether </w:t>
      </w:r>
      <w:r w:rsidRPr="00344FE8">
        <w:t>the Ministry of Business, Innovation and Employment</w:t>
      </w:r>
      <w:r w:rsidRPr="0094721A">
        <w:t xml:space="preserve"> had considered a bespoke, compensatory scheme for survivors of abuse in care. </w:t>
      </w:r>
      <w:r>
        <w:t>T</w:t>
      </w:r>
      <w:r w:rsidRPr="00344FE8">
        <w:t>he Ministry of Business, Innovation and Employment</w:t>
      </w:r>
      <w:r w:rsidRPr="0094721A" w:rsidDel="00344FE8">
        <w:t xml:space="preserve"> </w:t>
      </w:r>
      <w:r w:rsidRPr="0094721A">
        <w:t>replied that it had not provided advice to the Government</w:t>
      </w:r>
      <w:r>
        <w:t xml:space="preserve"> on this</w:t>
      </w:r>
      <w:r w:rsidRPr="0094721A">
        <w:t xml:space="preserve">, but it was an option for any </w:t>
      </w:r>
      <w:r>
        <w:t>G</w:t>
      </w:r>
      <w:r w:rsidRPr="0094721A">
        <w:t>overnment to consider.</w:t>
      </w:r>
      <w:r w:rsidRPr="00737603">
        <w:rPr>
          <w:rStyle w:val="EndnoteReference"/>
        </w:rPr>
        <w:endnoteReference w:id="140"/>
      </w:r>
      <w:r w:rsidRPr="00737603">
        <w:rPr>
          <w:rStyle w:val="EndnoteReference"/>
        </w:rPr>
        <w:t xml:space="preserve"> </w:t>
      </w:r>
    </w:p>
    <w:p w14:paraId="56B7B014" w14:textId="77777777" w:rsidR="00C3701E" w:rsidRDefault="00C3701E">
      <w:pPr>
        <w:spacing w:after="160"/>
        <w:rPr>
          <w:rFonts w:ascii="Arial" w:eastAsiaTheme="minorEastAsia" w:hAnsi="Arial" w:cs="Arial"/>
          <w:kern w:val="2"/>
          <w:lang w:eastAsia="en-NZ"/>
          <w14:ligatures w14:val="standardContextual"/>
        </w:rPr>
      </w:pPr>
      <w:r>
        <w:br w:type="page"/>
      </w:r>
    </w:p>
    <w:p w14:paraId="0DD1182A" w14:textId="7951EB2A" w:rsidR="00C3701E" w:rsidRPr="0094721A" w:rsidRDefault="00C3701E" w:rsidP="00505D6B">
      <w:pPr>
        <w:pStyle w:val="Vol4Numberedparas"/>
        <w:ind w:left="993" w:hanging="993"/>
      </w:pPr>
      <w:r>
        <w:lastRenderedPageBreak/>
        <w:t>The Inquiry</w:t>
      </w:r>
      <w:r w:rsidRPr="0094721A">
        <w:t xml:space="preserve"> also noted the absence of a clause in the </w:t>
      </w:r>
      <w:r>
        <w:t>accident compensation</w:t>
      </w:r>
      <w:r w:rsidRPr="0094721A" w:rsidDel="00E6389D">
        <w:t xml:space="preserve"> </w:t>
      </w:r>
      <w:r w:rsidRPr="0094721A">
        <w:t xml:space="preserve">scheme’s legislation </w:t>
      </w:r>
      <w:r>
        <w:t xml:space="preserve">clearly setting </w:t>
      </w:r>
      <w:r w:rsidRPr="0094721A">
        <w:t xml:space="preserve">out </w:t>
      </w:r>
      <w:r>
        <w:t xml:space="preserve">the </w:t>
      </w:r>
      <w:r w:rsidRPr="0094721A">
        <w:t>roles and responsibilities</w:t>
      </w:r>
      <w:r>
        <w:t xml:space="preserve"> of the Accident Compensation Corporation under te Tiriti o</w:t>
      </w:r>
      <w:r w:rsidRPr="000D33FE">
        <w:t xml:space="preserve"> Waitangi</w:t>
      </w:r>
      <w:r w:rsidRPr="0094721A">
        <w:t xml:space="preserve">. </w:t>
      </w:r>
      <w:r>
        <w:t>T</w:t>
      </w:r>
      <w:r w:rsidRPr="00344FE8">
        <w:t>he Ministry of Business, Innovation and Employment</w:t>
      </w:r>
      <w:r w:rsidRPr="0094721A" w:rsidDel="00344FE8">
        <w:t xml:space="preserve"> </w:t>
      </w:r>
      <w:r w:rsidRPr="0094721A">
        <w:t xml:space="preserve">advised that while it has not done any work on including such a clause, a minister could decide this work should be done as part of their policy work programme. </w:t>
      </w:r>
      <w:r>
        <w:t>The Accident Compensation Corporation</w:t>
      </w:r>
      <w:r w:rsidRPr="0094721A">
        <w:t xml:space="preserve"> advised that its </w:t>
      </w:r>
      <w:r>
        <w:t>s</w:t>
      </w:r>
      <w:r w:rsidRPr="0094721A">
        <w:t xml:space="preserve">tatement of </w:t>
      </w:r>
      <w:r>
        <w:t>i</w:t>
      </w:r>
      <w:r w:rsidRPr="0094721A">
        <w:t xml:space="preserve">ntent </w:t>
      </w:r>
      <w:r w:rsidRPr="007049D3">
        <w:t xml:space="preserve">refers to the Crown being a </w:t>
      </w:r>
      <w:r>
        <w:t>Tiriti</w:t>
      </w:r>
      <w:r w:rsidRPr="007049D3">
        <w:t xml:space="preserve"> </w:t>
      </w:r>
      <w:r>
        <w:t>o Waitangi</w:t>
      </w:r>
      <w:r w:rsidRPr="007049D3">
        <w:t xml:space="preserve"> partner, and that </w:t>
      </w:r>
      <w:r>
        <w:t>it</w:t>
      </w:r>
      <w:r w:rsidRPr="007049D3">
        <w:t xml:space="preserve"> will support the Crown in this in the way it operates. </w:t>
      </w:r>
      <w:r>
        <w:t>The Accident Compensation Corporation</w:t>
      </w:r>
      <w:r w:rsidRPr="007049D3">
        <w:t xml:space="preserve"> also advised that its legislation requires it to comply with its </w:t>
      </w:r>
      <w:r>
        <w:t>s</w:t>
      </w:r>
      <w:r w:rsidRPr="007049D3">
        <w:t xml:space="preserve">tatement of </w:t>
      </w:r>
      <w:r>
        <w:t>i</w:t>
      </w:r>
      <w:r w:rsidRPr="007049D3">
        <w:t xml:space="preserve">ntent, and that effectively </w:t>
      </w:r>
      <w:r>
        <w:t>it</w:t>
      </w:r>
      <w:r w:rsidRPr="007049D3">
        <w:t xml:space="preserve"> is operating as if there were a </w:t>
      </w:r>
      <w:r>
        <w:t>Tiriti</w:t>
      </w:r>
      <w:r w:rsidRPr="007049D3">
        <w:t xml:space="preserve"> </w:t>
      </w:r>
      <w:r>
        <w:t>o Waitangi</w:t>
      </w:r>
      <w:r w:rsidRPr="007049D3">
        <w:t xml:space="preserve"> clause in its legislation.</w:t>
      </w:r>
      <w:r w:rsidRPr="007049D3">
        <w:rPr>
          <w:rStyle w:val="EndnoteReference"/>
        </w:rPr>
        <w:endnoteReference w:id="141"/>
      </w:r>
    </w:p>
    <w:p w14:paraId="5E1EA692" w14:textId="6D90A263" w:rsidR="00C3701E" w:rsidRPr="002908E7" w:rsidRDefault="00C3701E" w:rsidP="002908E7">
      <w:pPr>
        <w:pStyle w:val="Heading4"/>
      </w:pPr>
      <w:r w:rsidRPr="002908E7">
        <w:t xml:space="preserve">He nui ngā utu me ngā tatūnga i Ahitereiria, me te ngoikoretanga o ngā mōtika me ngā tutukinga i Aotearoa </w:t>
      </w:r>
    </w:p>
    <w:p w14:paraId="04FD49B8" w14:textId="3864FB14" w:rsidR="00C3701E" w:rsidRPr="002908E7" w:rsidRDefault="00C3701E" w:rsidP="002908E7">
      <w:pPr>
        <w:pStyle w:val="Heading4"/>
      </w:pPr>
      <w:r w:rsidRPr="002908E7">
        <w:t>High awards and settlements in Australia, and limited rights and prospects in Aotearoa New Zealand</w:t>
      </w:r>
    </w:p>
    <w:p w14:paraId="67549AAB" w14:textId="77777777" w:rsidR="00C3701E" w:rsidRPr="0094721A" w:rsidRDefault="00C3701E" w:rsidP="00505D6B">
      <w:pPr>
        <w:pStyle w:val="Vol4Numberedparas"/>
        <w:ind w:left="993" w:hanging="993"/>
      </w:pPr>
      <w:r w:rsidRPr="0094721A">
        <w:t>In Australia, the implementation of civil litigation reforms recommended by the Australian Royal Commission into Institutional Responses to Child Sex Abuse has caused an uplift in the number of civil claims being brought by survivors</w:t>
      </w:r>
      <w:r w:rsidRPr="0094721A">
        <w:rPr>
          <w:rStyle w:val="EndnoteReference"/>
        </w:rPr>
        <w:endnoteReference w:id="142"/>
      </w:r>
      <w:r w:rsidRPr="0094721A">
        <w:rPr>
          <w:rStyle w:val="EndnoteReference"/>
        </w:rPr>
        <w:t xml:space="preserve"> </w:t>
      </w:r>
      <w:r w:rsidRPr="0094721A">
        <w:t xml:space="preserve">and the amount of compensation received. </w:t>
      </w:r>
    </w:p>
    <w:p w14:paraId="29DEC9F6" w14:textId="5FEAD8FD" w:rsidR="00C3701E" w:rsidRPr="0094721A" w:rsidRDefault="00C3701E" w:rsidP="00505D6B">
      <w:pPr>
        <w:pStyle w:val="Vol4Numberedparas"/>
        <w:ind w:left="993" w:hanging="993"/>
      </w:pPr>
      <w:r w:rsidRPr="0094721A">
        <w:t xml:space="preserve">For example, </w:t>
      </w:r>
      <w:r>
        <w:t xml:space="preserve">in 2023 </w:t>
      </w:r>
      <w:r w:rsidRPr="0094721A">
        <w:t>Australian juries awarded abuse survivors compensation of AU$5.9 million</w:t>
      </w:r>
      <w:r w:rsidRPr="0094721A">
        <w:rPr>
          <w:rStyle w:val="EndnoteReference"/>
        </w:rPr>
        <w:endnoteReference w:id="143"/>
      </w:r>
      <w:r w:rsidRPr="0094721A">
        <w:t xml:space="preserve"> and AU$3.3 million.</w:t>
      </w:r>
      <w:r w:rsidRPr="0094721A">
        <w:rPr>
          <w:rStyle w:val="EndnoteReference"/>
        </w:rPr>
        <w:endnoteReference w:id="144"/>
      </w:r>
      <w:r w:rsidRPr="0094721A">
        <w:t xml:space="preserve"> In 2021 and in 2022</w:t>
      </w:r>
      <w:r>
        <w:t>,</w:t>
      </w:r>
      <w:r w:rsidRPr="0094721A">
        <w:t xml:space="preserve"> Australian courts ordered that abuse survivors be paid awards of AU$2,632,319 (NZ$2,823,328),</w:t>
      </w:r>
      <w:r w:rsidRPr="0094721A">
        <w:rPr>
          <w:rStyle w:val="EndnoteReference"/>
        </w:rPr>
        <w:endnoteReference w:id="145"/>
      </w:r>
      <w:r w:rsidRPr="0094721A">
        <w:t xml:space="preserve"> AU$1,498,122 (NZ$1,606,747)</w:t>
      </w:r>
      <w:r w:rsidRPr="0094721A">
        <w:rPr>
          <w:rStyle w:val="EndnoteReference"/>
        </w:rPr>
        <w:endnoteReference w:id="146"/>
      </w:r>
      <w:r w:rsidRPr="0094721A">
        <w:rPr>
          <w:rStyle w:val="EndnoteReference"/>
        </w:rPr>
        <w:t xml:space="preserve"> </w:t>
      </w:r>
      <w:r w:rsidRPr="0094721A">
        <w:t>and AU$1,908,647 (NZ$2,046,957).</w:t>
      </w:r>
      <w:r w:rsidRPr="0094721A">
        <w:rPr>
          <w:rStyle w:val="EndnoteReference"/>
        </w:rPr>
        <w:endnoteReference w:id="147"/>
      </w:r>
      <w:r w:rsidRPr="0094721A">
        <w:t xml:space="preserve"> </w:t>
      </w:r>
      <w:r>
        <w:t>The Inquiry</w:t>
      </w:r>
      <w:r w:rsidRPr="0094721A">
        <w:t xml:space="preserve"> </w:t>
      </w:r>
      <w:r>
        <w:t>is</w:t>
      </w:r>
      <w:r w:rsidRPr="0094721A">
        <w:t xml:space="preserve"> aware of 16 other Australian cases </w:t>
      </w:r>
      <w:r>
        <w:t>since</w:t>
      </w:r>
      <w:r w:rsidRPr="0094721A">
        <w:t xml:space="preserve"> 2017 in which Australian courts ordered payments ranging from AU$230,000 (NZ$247,612) to over AU$3.5 million (NZ$3,768,083) to survivors of abuse. The majority of the awards were </w:t>
      </w:r>
      <w:r>
        <w:t>more than</w:t>
      </w:r>
      <w:r w:rsidRPr="0094721A">
        <w:t xml:space="preserve"> AU$800,000 ($NZ861,222).</w:t>
      </w:r>
      <w:r w:rsidRPr="0094721A">
        <w:rPr>
          <w:rStyle w:val="EndnoteReference"/>
        </w:rPr>
        <w:endnoteReference w:id="148"/>
      </w:r>
      <w:r w:rsidRPr="0094721A">
        <w:t xml:space="preserve"> The types of loss for which compensation was awarded include pain and suffering, loss of past and future earnings, superannuation contributions, past and future medical expenses, and travel costs. Interest was added to the compensation awarded. </w:t>
      </w:r>
    </w:p>
    <w:p w14:paraId="26E0B480" w14:textId="51476F13" w:rsidR="00C3701E" w:rsidRPr="0094721A" w:rsidRDefault="00C3701E" w:rsidP="00505D6B">
      <w:pPr>
        <w:pStyle w:val="Vol4Numberedparas"/>
        <w:ind w:left="993" w:hanging="993"/>
      </w:pPr>
      <w:r w:rsidRPr="0094721A">
        <w:t>It is the case that some defendants will not be able to pay an award of compensation, and so a survivor who brings a successful case in Australia may still not receive compensation.</w:t>
      </w:r>
      <w:r w:rsidRPr="0094721A">
        <w:rPr>
          <w:rStyle w:val="EndnoteReference"/>
        </w:rPr>
        <w:endnoteReference w:id="149"/>
      </w:r>
      <w:r w:rsidRPr="0094721A">
        <w:t xml:space="preserve"> </w:t>
      </w:r>
      <w:r>
        <w:t>Further</w:t>
      </w:r>
      <w:r w:rsidRPr="0094721A">
        <w:t>, a survivor who brings a case in Australia may not succeed if the case goes to trial. However, survivors have had very significant successes in court, and many civil cases settle before trial. As appears to be the Australian experience, high compensation awards in some court cases are likely to contribute to higher settlements for other survivors.</w:t>
      </w:r>
      <w:r w:rsidRPr="00A44838">
        <w:rPr>
          <w:rStyle w:val="EndnoteReference"/>
        </w:rPr>
        <w:endnoteReference w:id="150"/>
      </w:r>
      <w:r w:rsidRPr="00A44838">
        <w:rPr>
          <w:rStyle w:val="EndnoteReference"/>
        </w:rPr>
        <w:t xml:space="preserve"> </w:t>
      </w:r>
      <w:r w:rsidRPr="0094721A">
        <w:t xml:space="preserve">That is because the risk for defendants is increased.  </w:t>
      </w:r>
    </w:p>
    <w:p w14:paraId="27F613D0" w14:textId="601A12E4" w:rsidR="00C3701E" w:rsidRPr="0094721A" w:rsidRDefault="00C3701E" w:rsidP="00505D6B">
      <w:pPr>
        <w:pStyle w:val="Vol4Numberedparas"/>
        <w:ind w:left="993" w:hanging="993"/>
      </w:pPr>
      <w:r w:rsidRPr="0094721A">
        <w:t xml:space="preserve">In contrast, there is little scope </w:t>
      </w:r>
      <w:r>
        <w:t xml:space="preserve">in Aotearoa New Zealand </w:t>
      </w:r>
      <w:r w:rsidRPr="0094721A">
        <w:t>to bring a case to court for abuse in care</w:t>
      </w:r>
      <w:r>
        <w:t xml:space="preserve"> outside of the accident compensation scheme</w:t>
      </w:r>
      <w:r w:rsidRPr="0094721A">
        <w:t>.</w:t>
      </w:r>
      <w:r>
        <w:rPr>
          <w:rStyle w:val="EndnoteReference"/>
        </w:rPr>
        <w:endnoteReference w:id="151"/>
      </w:r>
      <w:r w:rsidRPr="0094721A">
        <w:t xml:space="preserve"> As a result, very few cases have been brought, there are no recent high compensation awards, and </w:t>
      </w:r>
      <w:r>
        <w:t xml:space="preserve">the </w:t>
      </w:r>
      <w:r w:rsidRPr="0094721A">
        <w:t>risk for defendants is generally low. These factors impact on the comparatively low amounts offered in settlements.</w:t>
      </w:r>
      <w:r w:rsidRPr="0094721A">
        <w:rPr>
          <w:rStyle w:val="EndnoteReference"/>
        </w:rPr>
        <w:endnoteReference w:id="152"/>
      </w:r>
    </w:p>
    <w:p w14:paraId="55820F3A" w14:textId="77777777" w:rsidR="00660D9E" w:rsidRDefault="00660D9E">
      <w:pPr>
        <w:spacing w:after="160"/>
        <w:rPr>
          <w:rFonts w:ascii="Arial" w:eastAsiaTheme="minorEastAsia" w:hAnsi="Arial" w:cs="Arial"/>
          <w:kern w:val="2"/>
          <w:lang w:eastAsia="en-NZ"/>
          <w14:ligatures w14:val="standardContextual"/>
        </w:rPr>
      </w:pPr>
      <w:r>
        <w:br w:type="page"/>
      </w:r>
    </w:p>
    <w:p w14:paraId="6E0E396C" w14:textId="764523F9" w:rsidR="00C3701E" w:rsidRPr="0094721A" w:rsidRDefault="00C3701E" w:rsidP="00505D6B">
      <w:pPr>
        <w:pStyle w:val="Vol4Numberedparas"/>
        <w:ind w:left="993" w:hanging="993"/>
      </w:pPr>
      <w:r w:rsidRPr="0094721A">
        <w:lastRenderedPageBreak/>
        <w:t xml:space="preserve">In 2022, the High Court found that people who suffered the effects of a mental injury due to sexual abuse before they turned 18 can apply to </w:t>
      </w:r>
      <w:r>
        <w:t xml:space="preserve">the accident compensation scheme </w:t>
      </w:r>
      <w:r w:rsidRPr="0094721A">
        <w:t>for loss of potential earnings, even if they received treatment after turning 18.</w:t>
      </w:r>
      <w:r w:rsidRPr="0094721A">
        <w:rPr>
          <w:rStyle w:val="EndnoteReference"/>
        </w:rPr>
        <w:endnoteReference w:id="153"/>
      </w:r>
      <w:r w:rsidRPr="0094721A">
        <w:t xml:space="preserve"> The High Court outcome mitigate</w:t>
      </w:r>
      <w:r>
        <w:t>s</w:t>
      </w:r>
      <w:r w:rsidRPr="0094721A">
        <w:t xml:space="preserve"> a long-standing issue of survivors who suffered abuse before 18 years of age and who subsequently received treatment having no entitlement to </w:t>
      </w:r>
      <w:r>
        <w:t>loss of potential earnings</w:t>
      </w:r>
      <w:r w:rsidRPr="0094721A">
        <w:t xml:space="preserve">. These survivors may also have had no entitlement to weekly compensation because they were not </w:t>
      </w:r>
      <w:r>
        <w:t>earning</w:t>
      </w:r>
      <w:r w:rsidRPr="0094721A">
        <w:t xml:space="preserve"> when they became incapacitated. </w:t>
      </w:r>
      <w:r>
        <w:t>The Accident Compensation Corporation</w:t>
      </w:r>
      <w:r w:rsidRPr="0094721A">
        <w:t xml:space="preserve"> appealed the High Court’s decision</w:t>
      </w:r>
      <w:r>
        <w:t>, but the decision was upheld by the Court of Appeal in late December 2023</w:t>
      </w:r>
      <w:r w:rsidRPr="0094721A">
        <w:t>.</w:t>
      </w:r>
      <w:r>
        <w:rPr>
          <w:rStyle w:val="EndnoteReference"/>
        </w:rPr>
        <w:endnoteReference w:id="154"/>
      </w:r>
      <w:r w:rsidRPr="0094721A">
        <w:t xml:space="preserve"> </w:t>
      </w:r>
      <w:r>
        <w:t>This outcome seems significant, in that it appears to open up the possibility of loss of potential earnings to a much wider group of survivors. At the time of writing, however, the Inquiry did not have information about the potential number of survivors affected, and it is not clear whether the High Court and Court of Appeal’s interpretation of the law may have downsides for different groups of survivors.</w:t>
      </w:r>
      <w:r>
        <w:rPr>
          <w:rStyle w:val="EndnoteReference"/>
        </w:rPr>
        <w:endnoteReference w:id="155"/>
      </w:r>
      <w:r>
        <w:t xml:space="preserve"> Also, the amounts payable by the Accident Compensation Corporation for loss of potential earnings are less than the minimum wage.</w:t>
      </w:r>
      <w:r>
        <w:rPr>
          <w:rStyle w:val="EndnoteReference"/>
        </w:rPr>
        <w:endnoteReference w:id="156"/>
      </w:r>
    </w:p>
    <w:p w14:paraId="2662DA1F" w14:textId="7AB0BB4D" w:rsidR="00C3701E" w:rsidRPr="0094721A" w:rsidRDefault="00C3701E" w:rsidP="00505D6B">
      <w:pPr>
        <w:pStyle w:val="Vol4Numberedparas"/>
        <w:ind w:left="993" w:hanging="993"/>
      </w:pPr>
      <w:r>
        <w:t xml:space="preserve">The Inquiry has also considered the point </w:t>
      </w:r>
      <w:r w:rsidRPr="00344FE8">
        <w:t>the Ministry of Business, Innovation and Employment</w:t>
      </w:r>
      <w:r w:rsidDel="00344FE8">
        <w:t xml:space="preserve"> </w:t>
      </w:r>
      <w:r>
        <w:t xml:space="preserve">made about court action being unpredictable and costly. However, as the case above demonstrates, the </w:t>
      </w:r>
      <w:r w:rsidRPr="0094721A">
        <w:t xml:space="preserve">existence of the </w:t>
      </w:r>
      <w:r>
        <w:t xml:space="preserve">accident compensation </w:t>
      </w:r>
      <w:r w:rsidRPr="0094721A">
        <w:t>scheme does not mean that survivors can always avoid going to court</w:t>
      </w:r>
      <w:r>
        <w:t>. Th</w:t>
      </w:r>
      <w:r w:rsidRPr="00A574CB">
        <w:t>ere</w:t>
      </w:r>
      <w:r w:rsidRPr="0094721A">
        <w:t xml:space="preserve"> are many court cases on </w:t>
      </w:r>
      <w:r>
        <w:t xml:space="preserve">accident compensation scheme </w:t>
      </w:r>
      <w:r w:rsidRPr="0094721A">
        <w:t xml:space="preserve">cover and entitlements. </w:t>
      </w:r>
    </w:p>
    <w:p w14:paraId="22F9D0E9" w14:textId="1BFEB4F8" w:rsidR="00C3701E" w:rsidRPr="00641874" w:rsidRDefault="00C3701E" w:rsidP="00BF29F1">
      <w:pPr>
        <w:pStyle w:val="Heading3"/>
        <w:rPr>
          <w:i/>
          <w:iCs/>
          <w:color w:val="auto"/>
        </w:rPr>
      </w:pPr>
      <w:bookmarkStart w:id="177" w:name="_Toc181080975"/>
      <w:r w:rsidRPr="00ED72D0">
        <w:t xml:space="preserve">Te korenga o te </w:t>
      </w:r>
      <w:r w:rsidRPr="00641874">
        <w:t>whai hua kia tika mō ngā purapura ora i Aotearoa</w:t>
      </w:r>
      <w:bookmarkEnd w:id="177"/>
      <w:r w:rsidRPr="00641874">
        <w:t xml:space="preserve"> </w:t>
      </w:r>
    </w:p>
    <w:p w14:paraId="6AAE5D9D" w14:textId="3D148499" w:rsidR="00C3701E" w:rsidRPr="00641874" w:rsidRDefault="00C3701E" w:rsidP="00BF29F1">
      <w:pPr>
        <w:pStyle w:val="Heading3"/>
        <w:rPr>
          <w:i/>
          <w:iCs/>
          <w:color w:val="auto"/>
        </w:rPr>
      </w:pPr>
      <w:bookmarkStart w:id="178" w:name="_Toc181080976"/>
      <w:r w:rsidRPr="00ED72D0">
        <w:t>Lack of an effective remedy for survivors</w:t>
      </w:r>
      <w:r w:rsidRPr="00641874">
        <w:t xml:space="preserve"> in Aotearoa New Zealand</w:t>
      </w:r>
      <w:bookmarkEnd w:id="178"/>
    </w:p>
    <w:p w14:paraId="39569CA5" w14:textId="0DAF798E" w:rsidR="00C3701E" w:rsidRDefault="00C3701E" w:rsidP="00397726">
      <w:pPr>
        <w:pStyle w:val="Vol4Numberedparas"/>
        <w:ind w:left="993" w:hanging="993"/>
      </w:pPr>
      <w:r>
        <w:t xml:space="preserve">The above </w:t>
      </w:r>
      <w:r w:rsidRPr="00A574CB">
        <w:t>reinforces</w:t>
      </w:r>
      <w:r w:rsidRPr="0094721A">
        <w:t xml:space="preserve"> the serious issues </w:t>
      </w:r>
      <w:r w:rsidRPr="00A574CB">
        <w:t xml:space="preserve">presented </w:t>
      </w:r>
      <w:r w:rsidRPr="0094721A">
        <w:t xml:space="preserve">in He Purapura Ora, he Māra Tipu about whether Aotearoa </w:t>
      </w:r>
      <w:r>
        <w:t>New Zealand</w:t>
      </w:r>
      <w:r w:rsidRPr="0094721A">
        <w:t xml:space="preserve"> is in breach of its international law obligations to provide survivors with an effective remedy. </w:t>
      </w:r>
      <w:r>
        <w:t>D</w:t>
      </w:r>
      <w:r w:rsidRPr="0094721A">
        <w:t xml:space="preserve">espite the </w:t>
      </w:r>
      <w:r w:rsidRPr="00A574CB">
        <w:t xml:space="preserve">gravity </w:t>
      </w:r>
      <w:r w:rsidRPr="0094721A">
        <w:t>of these issues</w:t>
      </w:r>
      <w:r w:rsidRPr="00A574CB">
        <w:t>,</w:t>
      </w:r>
      <w:r w:rsidRPr="0094721A">
        <w:t xml:space="preserve"> it </w:t>
      </w:r>
      <w:r>
        <w:t>remains</w:t>
      </w:r>
      <w:r w:rsidRPr="0094721A">
        <w:t xml:space="preserve"> unclear whether the Government accepts there is a problem</w:t>
      </w:r>
      <w:r>
        <w:t xml:space="preserve"> in relation to civil litigation settings and the accident compensation scheme. It is </w:t>
      </w:r>
      <w:r w:rsidRPr="00A574CB">
        <w:t>concerning</w:t>
      </w:r>
      <w:r>
        <w:t xml:space="preserve"> that </w:t>
      </w:r>
      <w:r w:rsidRPr="00A574CB">
        <w:t xml:space="preserve">while He Purapura Ora, he Māra Tipu was tabled in December 2021, </w:t>
      </w:r>
      <w:r>
        <w:t xml:space="preserve">work </w:t>
      </w:r>
      <w:r w:rsidRPr="00A574CB">
        <w:t>to address these issues has continued to be</w:t>
      </w:r>
      <w:r>
        <w:t xml:space="preserve"> deferred until the Inquiry issues its final report.  </w:t>
      </w:r>
    </w:p>
    <w:p w14:paraId="46858C68" w14:textId="3C7D061E" w:rsidR="00C3701E" w:rsidRDefault="00C3701E" w:rsidP="00397726">
      <w:pPr>
        <w:pStyle w:val="Vol4Numberedparas"/>
        <w:ind w:left="993" w:hanging="993"/>
      </w:pPr>
      <w:r>
        <w:t xml:space="preserve">The Inquiry considers that the accident compensation scheme has generally not provided survivors with adequate compensation. The Inquiry’s view is that, together with other relevant matters, the Government </w:t>
      </w:r>
      <w:r w:rsidRPr="0094721A">
        <w:t xml:space="preserve">should compare what most survivors in Aotearoa </w:t>
      </w:r>
      <w:r>
        <w:t xml:space="preserve">New Zealand </w:t>
      </w:r>
      <w:r w:rsidRPr="0094721A">
        <w:t xml:space="preserve">receive through </w:t>
      </w:r>
      <w:r>
        <w:t xml:space="preserve">the accident compensation scheme </w:t>
      </w:r>
      <w:r w:rsidRPr="0094721A">
        <w:t xml:space="preserve">with what survivors overseas </w:t>
      </w:r>
      <w:r>
        <w:t xml:space="preserve">in comparable countries such as Australia </w:t>
      </w:r>
      <w:r w:rsidRPr="0094721A">
        <w:t xml:space="preserve">can access through court cases. </w:t>
      </w:r>
      <w:r>
        <w:t>Such comparisons would provide reliable, objective evidence relevant to whether survivors in this country have an effective remedy.</w:t>
      </w:r>
    </w:p>
    <w:p w14:paraId="7FAC46C0" w14:textId="77777777" w:rsidR="00660D9E" w:rsidRDefault="00660D9E">
      <w:pPr>
        <w:spacing w:after="160"/>
        <w:rPr>
          <w:rFonts w:ascii="Arial" w:eastAsiaTheme="minorEastAsia" w:hAnsi="Arial" w:cs="Arial"/>
          <w:kern w:val="2"/>
          <w:lang w:eastAsia="en-NZ"/>
          <w14:ligatures w14:val="standardContextual"/>
        </w:rPr>
      </w:pPr>
      <w:r>
        <w:br w:type="page"/>
      </w:r>
    </w:p>
    <w:p w14:paraId="7BA503F3" w14:textId="211A0E88" w:rsidR="00C3701E" w:rsidRPr="00641874" w:rsidRDefault="00C3701E" w:rsidP="00397726">
      <w:pPr>
        <w:pStyle w:val="Vol4Numberedparas"/>
        <w:ind w:left="993" w:hanging="993"/>
      </w:pPr>
      <w:r w:rsidRPr="00641874">
        <w:lastRenderedPageBreak/>
        <w:t xml:space="preserve">If the Government decides not to proceed with the </w:t>
      </w:r>
      <w:r>
        <w:t xml:space="preserve">free </w:t>
      </w:r>
      <w:r w:rsidRPr="00641874">
        <w:t xml:space="preserve">civil litigation reforms the Inquiry recommended, including the right to be </w:t>
      </w:r>
      <w:r>
        <w:t xml:space="preserve">free </w:t>
      </w:r>
      <w:r w:rsidRPr="00641874">
        <w:t xml:space="preserve">from abuse in care, the Inquiry considers that there would be a strong case for the Government to provide a bespoke scheme of compensation for survivors of abuse in care. This scheme would need to meet their particular circumstances and the challenges they have faced in accessing appropriate compensation. In setting the levels of compensation provided by any bespoke scheme, a primary consideration should be what overseas survivors can access through court cases. </w:t>
      </w:r>
    </w:p>
    <w:p w14:paraId="35BD3552" w14:textId="77777777" w:rsidR="00C3701E" w:rsidRDefault="00C3701E" w:rsidP="00BF29F1">
      <w:pPr>
        <w:pStyle w:val="Heading2"/>
      </w:pPr>
      <w:bookmarkStart w:id="179" w:name="_Toc181080977"/>
      <w:r>
        <w:t>Nga whakakūiti kaiwawao</w:t>
      </w:r>
      <w:bookmarkEnd w:id="179"/>
    </w:p>
    <w:p w14:paraId="3B601F26" w14:textId="3C621D37" w:rsidR="00C3701E" w:rsidRPr="0094721A" w:rsidRDefault="00C3701E" w:rsidP="00BF29F1">
      <w:pPr>
        <w:pStyle w:val="Heading2"/>
      </w:pPr>
      <w:bookmarkStart w:id="180" w:name="_Toc181080978"/>
      <w:r>
        <w:t>Limitation defences</w:t>
      </w:r>
      <w:bookmarkEnd w:id="180"/>
      <w:r>
        <w:t xml:space="preserve"> </w:t>
      </w:r>
    </w:p>
    <w:p w14:paraId="20FB57AF" w14:textId="23607B0D" w:rsidR="00C3701E" w:rsidRDefault="00C3701E" w:rsidP="00397726">
      <w:pPr>
        <w:pStyle w:val="Vol4Numberedparas"/>
        <w:ind w:left="993" w:hanging="993"/>
      </w:pPr>
      <w:r w:rsidRPr="00B36262">
        <w:t>The Inquiry recommended that until limitation law is reformed,</w:t>
      </w:r>
      <w:r>
        <w:t xml:space="preserve"> </w:t>
      </w:r>
      <w:r w:rsidRPr="00737603">
        <w:t>institutions should “rely on limitation defences only in cases where they reasonably consider a fair trial will not be possible”</w:t>
      </w:r>
      <w:r>
        <w:t>.</w:t>
      </w:r>
      <w:r w:rsidRPr="00737603">
        <w:rPr>
          <w:rStyle w:val="EndnoteReference"/>
        </w:rPr>
        <w:endnoteReference w:id="157"/>
      </w:r>
      <w:r w:rsidRPr="00737603">
        <w:rPr>
          <w:rStyle w:val="EndnoteReference"/>
        </w:rPr>
        <w:t xml:space="preserve"> </w:t>
      </w:r>
      <w:r w:rsidRPr="00737603">
        <w:t xml:space="preserve"> </w:t>
      </w:r>
    </w:p>
    <w:p w14:paraId="227C1A74" w14:textId="1B078C84" w:rsidR="00C3701E" w:rsidRPr="00575888" w:rsidRDefault="00C3701E" w:rsidP="00397726">
      <w:pPr>
        <w:pStyle w:val="Vol4Numberedparas"/>
        <w:ind w:left="993" w:hanging="993"/>
      </w:pPr>
      <w:r>
        <w:t>The Inquiry notes</w:t>
      </w:r>
      <w:r w:rsidRPr="00575888">
        <w:t xml:space="preserve"> that the Attorney-General has pleaded a limitation defence in two cases brought by Cooper Legal clients. One of these defences was pleaded in 2019, before the Inquiry’s report He Purapura Ora, he Māra Tipu was delivered to the Governor-General in 2021. The other was pleaded in 2023.</w:t>
      </w:r>
      <w:r>
        <w:t xml:space="preserve"> The proceedings remain at a preliminary stage. Further amended pleadings are possible, discovery has not been completed, and evidence is yet to be filed.</w:t>
      </w:r>
      <w:r w:rsidRPr="00575888">
        <w:t xml:space="preserve"> Both cases are ongoing. The Crown explained that </w:t>
      </w:r>
      <w:r>
        <w:t>it pleads the limitation defence (where applicable) cases when required to file a defence in response to an historical abuse claim</w:t>
      </w:r>
      <w:r w:rsidRPr="00575888">
        <w:t xml:space="preserve"> to </w:t>
      </w:r>
      <w:r>
        <w:t>“</w:t>
      </w:r>
      <w:r w:rsidRPr="00575888">
        <w:t>protect its position</w:t>
      </w:r>
      <w:r>
        <w:t>”. The Crown told the Inquiry it does so because</w:t>
      </w:r>
      <w:r w:rsidRPr="00575888">
        <w:t xml:space="preserve"> it cannot decide whether to actually rely on the limitation defence </w:t>
      </w:r>
      <w:r>
        <w:t xml:space="preserve">at trial </w:t>
      </w:r>
      <w:r w:rsidRPr="00575888">
        <w:t>until later in its trial preparation.</w:t>
      </w:r>
      <w:r w:rsidRPr="00575888">
        <w:rPr>
          <w:rStyle w:val="EndnoteReference"/>
        </w:rPr>
        <w:endnoteReference w:id="158"/>
      </w:r>
      <w:r w:rsidRPr="00575888">
        <w:t xml:space="preserve"> The Crown has not advised the Inquiry or Cooper Legal that it will only rely on the limitation defence if it reasonably considers that a fair trial will not be possible. This falls short of accepting the Inquiry’s recommendation.</w:t>
      </w:r>
      <w:r w:rsidRPr="7EF1BE39">
        <w:rPr>
          <w:rStyle w:val="EndnoteReference"/>
        </w:rPr>
        <w:endnoteReference w:id="159"/>
      </w:r>
      <w:r w:rsidRPr="00575888">
        <w:t xml:space="preserve"> </w:t>
      </w:r>
    </w:p>
    <w:p w14:paraId="4AC4476C" w14:textId="7DB94780" w:rsidR="00C3701E" w:rsidRPr="00575888" w:rsidRDefault="00C3701E" w:rsidP="00397726">
      <w:pPr>
        <w:pStyle w:val="Vol4Numberedparas"/>
        <w:ind w:left="993" w:hanging="993"/>
      </w:pPr>
      <w:r w:rsidRPr="00575888">
        <w:t>Also, the Inquiry understands that the indications to date from the Crown in at least one of the cases are that the Crown will rely on limitation as a defence. In a recent Court document, the Crown referred to evidence for a pre-trial application as overlapping with the evidence required to determine liability and quantum in the substantive case. This included evidence which the Crown referred to as “closely related to evidence bearing on a number of issues relevant to the [Crown’s] limitation defences”.</w:t>
      </w:r>
      <w:r w:rsidRPr="00575888">
        <w:rPr>
          <w:rStyle w:val="EndnoteReference"/>
        </w:rPr>
        <w:endnoteReference w:id="160"/>
      </w:r>
      <w:r w:rsidRPr="00575888">
        <w:t>.</w:t>
      </w:r>
    </w:p>
    <w:p w14:paraId="3FC42F8D" w14:textId="0AB0C364" w:rsidR="00C3701E" w:rsidRPr="0094721A" w:rsidRDefault="00C3701E" w:rsidP="00BF29F1">
      <w:pPr>
        <w:pStyle w:val="Heading2"/>
      </w:pPr>
      <w:bookmarkStart w:id="181" w:name="_Toc181080979"/>
      <w:r>
        <w:t>Te pikinga o ngā utu āwhina ā-ture me te whakangungu</w:t>
      </w:r>
      <w:bookmarkEnd w:id="181"/>
      <w:r>
        <w:t xml:space="preserve"> </w:t>
      </w:r>
    </w:p>
    <w:p w14:paraId="3530FBB2" w14:textId="40DC4D6E" w:rsidR="00C3701E" w:rsidRPr="0094721A" w:rsidRDefault="00C3701E" w:rsidP="00BF29F1">
      <w:pPr>
        <w:pStyle w:val="Heading2"/>
      </w:pPr>
      <w:bookmarkStart w:id="182" w:name="_Toc181080980"/>
      <w:r>
        <w:t>Increase to legal aid rates and training</w:t>
      </w:r>
      <w:bookmarkEnd w:id="182"/>
    </w:p>
    <w:p w14:paraId="66F4E023" w14:textId="2BA2E425" w:rsidR="00C3701E" w:rsidRPr="0094721A" w:rsidRDefault="00C3701E" w:rsidP="00811011">
      <w:pPr>
        <w:pStyle w:val="Vol4Numberedparas"/>
        <w:ind w:left="993" w:hanging="993"/>
      </w:pPr>
      <w:r>
        <w:t>The Inquiry</w:t>
      </w:r>
      <w:r w:rsidRPr="0094721A">
        <w:t xml:space="preserve"> recommended that the Government </w:t>
      </w:r>
      <w:r>
        <w:t xml:space="preserve">review and </w:t>
      </w:r>
      <w:r w:rsidRPr="0094721A">
        <w:t xml:space="preserve">consider raising the legal aid rates for abuse in care cases and </w:t>
      </w:r>
      <w:r>
        <w:t xml:space="preserve">that </w:t>
      </w:r>
      <w:r w:rsidRPr="0094721A">
        <w:t>training be offered for lawyers interested in pursuing this work.</w:t>
      </w:r>
      <w:r w:rsidRPr="0094721A">
        <w:rPr>
          <w:rStyle w:val="EndnoteReference"/>
        </w:rPr>
        <w:endnoteReference w:id="161"/>
      </w:r>
      <w:r w:rsidRPr="0094721A">
        <w:rPr>
          <w:rStyle w:val="EndnoteReference"/>
        </w:rPr>
        <w:t xml:space="preserve"> </w:t>
      </w:r>
      <w:r w:rsidRPr="0094721A">
        <w:t xml:space="preserve"> The Government has not </w:t>
      </w:r>
      <w:r>
        <w:t>carried out any review specific to abuse in care cases or offered the training recommended</w:t>
      </w:r>
      <w:r w:rsidRPr="0094721A">
        <w:t>.</w:t>
      </w:r>
      <w:r w:rsidRPr="0094721A">
        <w:rPr>
          <w:rStyle w:val="EndnoteReference"/>
        </w:rPr>
        <w:endnoteReference w:id="162"/>
      </w:r>
      <w:r>
        <w:t xml:space="preserve"> In March 2024, the Ministry of Justice declined a request from Cooper Legal for an increased rate.</w:t>
      </w:r>
      <w:r>
        <w:rPr>
          <w:rStyle w:val="EndnoteReference"/>
        </w:rPr>
        <w:endnoteReference w:id="163"/>
      </w:r>
    </w:p>
    <w:p w14:paraId="30423731" w14:textId="0723A5DA" w:rsidR="00C3701E" w:rsidRPr="0094721A" w:rsidRDefault="00C3701E" w:rsidP="00BF29F1">
      <w:pPr>
        <w:pStyle w:val="Heading2"/>
      </w:pPr>
      <w:bookmarkStart w:id="183" w:name="_Toc181080981"/>
      <w:r>
        <w:lastRenderedPageBreak/>
        <w:t>Te kaupapahere kaitāwari tauira me te aratohu ki te urupare i ngā take tūkino me te whakahapa i ngā pūnaha taurima</w:t>
      </w:r>
      <w:bookmarkEnd w:id="183"/>
      <w:r>
        <w:t xml:space="preserve"> </w:t>
      </w:r>
    </w:p>
    <w:p w14:paraId="73AFBD9F" w14:textId="37EF2279" w:rsidR="00C3701E" w:rsidRPr="0094721A" w:rsidRDefault="00C3701E" w:rsidP="00BF29F1">
      <w:pPr>
        <w:pStyle w:val="Heading2"/>
      </w:pPr>
      <w:bookmarkStart w:id="184" w:name="_Toc181080982"/>
      <w:r>
        <w:t>Model litigant policy and guide for responding to abuse in care cases</w:t>
      </w:r>
      <w:bookmarkEnd w:id="184"/>
    </w:p>
    <w:p w14:paraId="5B4779C0" w14:textId="3C751C70" w:rsidR="00C3701E" w:rsidRPr="0094721A" w:rsidRDefault="00C3701E" w:rsidP="00811011">
      <w:pPr>
        <w:pStyle w:val="Vol4Numberedparas"/>
        <w:ind w:left="993" w:hanging="993"/>
      </w:pPr>
      <w:r>
        <w:t>The Inquiry</w:t>
      </w:r>
      <w:r w:rsidRPr="0094721A">
        <w:t xml:space="preserve"> recommended that by 1 December 2022</w:t>
      </w:r>
      <w:r>
        <w:t>,</w:t>
      </w:r>
      <w:r w:rsidRPr="0094721A">
        <w:rPr>
          <w:rStyle w:val="EndnoteReference"/>
        </w:rPr>
        <w:endnoteReference w:id="164"/>
      </w:r>
      <w:r w:rsidRPr="0094721A">
        <w:t xml:space="preserve"> the Government draft a </w:t>
      </w:r>
      <w:r>
        <w:t>m</w:t>
      </w:r>
      <w:r w:rsidRPr="0094721A">
        <w:t xml:space="preserve">odel </w:t>
      </w:r>
      <w:r>
        <w:t>l</w:t>
      </w:r>
      <w:r w:rsidRPr="0094721A">
        <w:t xml:space="preserve">itigant </w:t>
      </w:r>
      <w:r>
        <w:t>p</w:t>
      </w:r>
      <w:r w:rsidRPr="0094721A">
        <w:t>olicy to replace the Attorney</w:t>
      </w:r>
      <w:r>
        <w:t>-</w:t>
      </w:r>
      <w:r w:rsidRPr="0094721A">
        <w:t>General’s civil litigation values.</w:t>
      </w:r>
      <w:r w:rsidRPr="0094721A">
        <w:rPr>
          <w:rStyle w:val="EndnoteReference"/>
        </w:rPr>
        <w:endnoteReference w:id="165"/>
      </w:r>
      <w:r w:rsidRPr="0094721A">
        <w:rPr>
          <w:rStyle w:val="EndnoteReference"/>
        </w:rPr>
        <w:t xml:space="preserve"> </w:t>
      </w:r>
      <w:r w:rsidRPr="0094721A">
        <w:t xml:space="preserve"> </w:t>
      </w:r>
      <w:r>
        <w:t>The Inquiry</w:t>
      </w:r>
      <w:r w:rsidRPr="0094721A">
        <w:t xml:space="preserve"> also recommended that the Government, </w:t>
      </w:r>
      <w:r>
        <w:t>S</w:t>
      </w:r>
      <w:r w:rsidRPr="0094721A">
        <w:t>tate care providers and faith-based institutions develop principles to guide their conduct in abuse in care cases.</w:t>
      </w:r>
      <w:r w:rsidRPr="0094721A">
        <w:rPr>
          <w:rStyle w:val="EndnoteReference"/>
        </w:rPr>
        <w:endnoteReference w:id="166"/>
      </w:r>
      <w:r w:rsidRPr="0094721A">
        <w:t xml:space="preserve"> </w:t>
      </w:r>
      <w:r>
        <w:t>T</w:t>
      </w:r>
      <w:r w:rsidRPr="0094721A">
        <w:t>hese recommendations</w:t>
      </w:r>
      <w:r>
        <w:t xml:space="preserve"> have not been implemented. The Inquiry has been advised that work on these recommendations has been deferred until after the Inquiry’s final report is received</w:t>
      </w:r>
      <w:r w:rsidRPr="0094721A">
        <w:t>.</w:t>
      </w:r>
    </w:p>
    <w:p w14:paraId="5F2D766D" w14:textId="723F1B24" w:rsidR="00C3701E" w:rsidRPr="0094721A" w:rsidRDefault="00C3701E" w:rsidP="00BF29F1">
      <w:pPr>
        <w:pStyle w:val="Heading2"/>
      </w:pPr>
      <w:bookmarkStart w:id="185" w:name="_Toc181080983"/>
      <w:r>
        <w:t>Te whakatinanatanga i ngā pūnaha tūāpapa ā-whakapono</w:t>
      </w:r>
      <w:bookmarkEnd w:id="185"/>
      <w:r>
        <w:t xml:space="preserve"> </w:t>
      </w:r>
    </w:p>
    <w:p w14:paraId="23900D53" w14:textId="58253087" w:rsidR="00C3701E" w:rsidRPr="0094721A" w:rsidRDefault="00C3701E" w:rsidP="00BF29F1">
      <w:pPr>
        <w:pStyle w:val="Heading2"/>
      </w:pPr>
      <w:bookmarkStart w:id="186" w:name="_Toc140149549"/>
      <w:bookmarkStart w:id="187" w:name="_Toc140567921"/>
      <w:bookmarkStart w:id="188" w:name="_Toc141958535"/>
      <w:bookmarkStart w:id="189" w:name="_Toc141971162"/>
      <w:bookmarkStart w:id="190" w:name="_Toc142044144"/>
      <w:bookmarkStart w:id="191" w:name="_Toc142313466"/>
      <w:bookmarkStart w:id="192" w:name="_Toc142991638"/>
      <w:bookmarkStart w:id="193" w:name="_Toc143014150"/>
      <w:bookmarkStart w:id="194" w:name="_Toc145415115"/>
      <w:bookmarkStart w:id="195" w:name="_Toc147850581"/>
      <w:bookmarkStart w:id="196" w:name="_Toc140149594"/>
      <w:bookmarkStart w:id="197" w:name="_Toc140568000"/>
      <w:bookmarkStart w:id="198" w:name="_Toc141958552"/>
      <w:bookmarkStart w:id="199" w:name="_Toc141971179"/>
      <w:bookmarkStart w:id="200" w:name="_Toc142044161"/>
      <w:bookmarkStart w:id="201" w:name="_Toc181080984"/>
      <w:r>
        <w:t xml:space="preserve">Implementation by Faith-based </w:t>
      </w:r>
      <w:bookmarkEnd w:id="186"/>
      <w:bookmarkEnd w:id="187"/>
      <w:r>
        <w:t>institutions</w:t>
      </w:r>
      <w:bookmarkEnd w:id="188"/>
      <w:bookmarkEnd w:id="189"/>
      <w:bookmarkEnd w:id="190"/>
      <w:bookmarkEnd w:id="191"/>
      <w:bookmarkEnd w:id="192"/>
      <w:bookmarkEnd w:id="193"/>
      <w:bookmarkEnd w:id="194"/>
      <w:bookmarkEnd w:id="195"/>
      <w:bookmarkEnd w:id="201"/>
      <w:r>
        <w:t xml:space="preserve"> </w:t>
      </w:r>
    </w:p>
    <w:p w14:paraId="3B12514A" w14:textId="7E9CA53E" w:rsidR="00C3701E" w:rsidRDefault="00C3701E" w:rsidP="00811011">
      <w:pPr>
        <w:pStyle w:val="Vol4Numberedparas"/>
        <w:ind w:left="993" w:hanging="993"/>
      </w:pPr>
      <w:bookmarkStart w:id="202" w:name="_Toc140149550"/>
      <w:bookmarkStart w:id="203" w:name="_Toc140567922"/>
      <w:bookmarkStart w:id="204" w:name="_Toc141958536"/>
      <w:bookmarkStart w:id="205" w:name="_Toc141971163"/>
      <w:bookmarkStart w:id="206" w:name="_Toc142044145"/>
      <w:bookmarkStart w:id="207" w:name="_Toc142313467"/>
      <w:bookmarkStart w:id="208" w:name="_Toc142991639"/>
      <w:bookmarkStart w:id="209" w:name="_Toc143014151"/>
      <w:bookmarkStart w:id="210" w:name="_Toc145415116"/>
      <w:bookmarkStart w:id="211" w:name="_Toc147850582"/>
      <w:r>
        <w:t>Many of the recommendations in He Purapura Ora, he Māra Tipu were directed at the Government. These included that the Government should establish a new puretumu torowhānui scheme which covers abuse in the care of state, indirect state, and faith-based institutions.</w:t>
      </w:r>
      <w:r>
        <w:rPr>
          <w:rStyle w:val="EndnoteReference"/>
        </w:rPr>
        <w:endnoteReference w:id="167"/>
      </w:r>
      <w:r>
        <w:t xml:space="preserve"> The Inquiry also recommended that indirect state and faith-based institutions be given the opportunity to join the scheme voluntarily. If that opportunity was not taken up, the Inquiry recommended that the Government consider options to encourage or compel participation.</w:t>
      </w:r>
    </w:p>
    <w:p w14:paraId="1CFA7BF1" w14:textId="29A3539C" w:rsidR="00C3701E" w:rsidRDefault="00C3701E" w:rsidP="00781C67">
      <w:pPr>
        <w:pStyle w:val="Vol4Numberedparas"/>
        <w:ind w:left="993" w:hanging="993"/>
      </w:pPr>
      <w:r>
        <w:t>Amongst other recommendations, the Inquiry recommended that faith-based institutions contribute to the funding for the puretumu torowhānui scheme.</w:t>
      </w:r>
      <w:r>
        <w:rPr>
          <w:rStyle w:val="EndnoteReference"/>
        </w:rPr>
        <w:endnoteReference w:id="168"/>
      </w:r>
      <w:r>
        <w:t xml:space="preserve"> As with State institutions, the Inquiry considered that faith-based institutions should phase out their current claims processes for abuse in care. The Inquiry said that any State or faith-based institution which chose to continue their own claims process </w:t>
      </w:r>
      <w:r w:rsidRPr="00F276E5">
        <w:t>should direct survivors to the puretumu torowhānui scheme and give them information about it</w:t>
      </w:r>
      <w:r>
        <w:t>.</w:t>
      </w:r>
      <w:r>
        <w:rPr>
          <w:rStyle w:val="EndnoteReference"/>
        </w:rPr>
        <w:endnoteReference w:id="169"/>
      </w:r>
      <w:r>
        <w:t xml:space="preserve"> In addition, the Inquiry recommended that not only State but also faith-based institutions p</w:t>
      </w:r>
      <w:r w:rsidRPr="00086575">
        <w:t>ublicly acknowledge and apologise for</w:t>
      </w:r>
      <w:r>
        <w:t xml:space="preserve"> abuse in care,</w:t>
      </w:r>
      <w:r>
        <w:rPr>
          <w:rStyle w:val="EndnoteReference"/>
        </w:rPr>
        <w:endnoteReference w:id="170"/>
      </w:r>
      <w:r>
        <w:t xml:space="preserve"> and use their best endeavours to resolve claims in the lead-up to the establishment of the new scheme (including offering settlements which do not prejudice survivors’ rights under the new scheme or any legislation enacted in response to the Inquiry’s civil litigation recommendations).</w:t>
      </w:r>
      <w:r>
        <w:rPr>
          <w:rStyle w:val="EndnoteReference"/>
        </w:rPr>
        <w:endnoteReference w:id="171"/>
      </w:r>
    </w:p>
    <w:p w14:paraId="039372A7" w14:textId="5114733F" w:rsidR="00C3701E" w:rsidRPr="00E06E95" w:rsidRDefault="00C3701E" w:rsidP="00781C67">
      <w:pPr>
        <w:pStyle w:val="Vol4Numberedparas"/>
        <w:ind w:left="993" w:hanging="993"/>
      </w:pPr>
      <w:r>
        <w:t>The Government has not yet established the puretumu torowhānui scheme recommended. Because of that, faith-based institutions have not yet had the opportunity to join it or to take the other related steps the Inquiry recommended. The Inquiry has commented above on the settlement of claims by faith-based institutions since He Purapura Ora, he M</w:t>
      </w:r>
      <w:r w:rsidRPr="00EE2830">
        <w:t>ā</w:t>
      </w:r>
      <w:r>
        <w:t>ra Tipu. Some of the faith-based institutions the Inquiry investigated have made improvements to their redress processes and Dilworth School has established two new redress processes.</w:t>
      </w:r>
      <w:r>
        <w:rPr>
          <w:rStyle w:val="EndnoteReference"/>
        </w:rPr>
        <w:endnoteReference w:id="172"/>
      </w:r>
      <w:r>
        <w:t xml:space="preserve"> A number of the faith-based institutions the Inquiry investigated have issued formal apologies, and some other steps have been taken. </w:t>
      </w:r>
    </w:p>
    <w:p w14:paraId="2C041C07" w14:textId="77777777" w:rsidR="00C3701E" w:rsidRDefault="00C3701E">
      <w:pPr>
        <w:spacing w:after="160"/>
        <w:rPr>
          <w:rFonts w:ascii="Arial" w:eastAsia="Arial" w:hAnsi="Arial" w:cs="Arial"/>
          <w:b/>
          <w:color w:val="385623" w:themeColor="accent6" w:themeShade="80"/>
          <w:sz w:val="26"/>
        </w:rPr>
      </w:pPr>
      <w:r>
        <w:br w:type="page"/>
      </w:r>
    </w:p>
    <w:p w14:paraId="66804C2B" w14:textId="362E5F20" w:rsidR="00C3701E" w:rsidRDefault="00C3701E" w:rsidP="00BF29F1">
      <w:pPr>
        <w:pStyle w:val="Heading3"/>
      </w:pPr>
      <w:bookmarkStart w:id="212" w:name="_Toc181080985"/>
      <w:r w:rsidRPr="00ED72D0">
        <w:lastRenderedPageBreak/>
        <w:t>Katorika</w:t>
      </w:r>
      <w:bookmarkEnd w:id="212"/>
    </w:p>
    <w:p w14:paraId="685BF50D" w14:textId="62F6EEA7" w:rsidR="00C3701E" w:rsidRPr="00641874" w:rsidRDefault="00C3701E" w:rsidP="00BF29F1">
      <w:pPr>
        <w:pStyle w:val="Heading3"/>
        <w:rPr>
          <w:i/>
          <w:iCs/>
        </w:rPr>
      </w:pPr>
      <w:bookmarkStart w:id="213" w:name="_Toc181080986"/>
      <w:r w:rsidRPr="00ED72D0">
        <w:t>Catholic</w:t>
      </w:r>
      <w:bookmarkEnd w:id="202"/>
      <w:bookmarkEnd w:id="203"/>
      <w:bookmarkEnd w:id="204"/>
      <w:bookmarkEnd w:id="205"/>
      <w:bookmarkEnd w:id="206"/>
      <w:bookmarkEnd w:id="207"/>
      <w:bookmarkEnd w:id="208"/>
      <w:bookmarkEnd w:id="209"/>
      <w:bookmarkEnd w:id="210"/>
      <w:bookmarkEnd w:id="211"/>
      <w:bookmarkEnd w:id="213"/>
    </w:p>
    <w:p w14:paraId="2AD4F400" w14:textId="17CAD852" w:rsidR="00C3701E" w:rsidRPr="001A1589" w:rsidRDefault="00C3701E" w:rsidP="00811011">
      <w:pPr>
        <w:pStyle w:val="Vol4Numberedparas"/>
        <w:ind w:left="993" w:hanging="993"/>
      </w:pPr>
      <w:r w:rsidRPr="0049596D">
        <w:t>Since</w:t>
      </w:r>
      <w:r w:rsidRPr="001A1589">
        <w:t xml:space="preserve"> 1998, Catholic claims processes have been dealt with through the procedures set out in Te Houhanga Rongo – A Path to Healing. Te Houhanga Rongo only deals with reports of sexual abuse</w:t>
      </w:r>
      <w:r>
        <w:t>, sexual misconduct or failure to act on a complaint of secual abuse</w:t>
      </w:r>
      <w:r w:rsidRPr="001A1589">
        <w:t xml:space="preserve"> by clergy and religious</w:t>
      </w:r>
      <w:r>
        <w:t xml:space="preserve"> leaders</w:t>
      </w:r>
      <w:r w:rsidRPr="001A1589">
        <w:t xml:space="preserve">. </w:t>
      </w:r>
      <w:r>
        <w:t>The National Office of Professional Standards coordinates a response to complaints in accordance with Te Houhanga Rongo. Te Houhanga Rongo</w:t>
      </w:r>
      <w:r w:rsidRPr="001A1589">
        <w:t xml:space="preserve"> does not cover abuse claims against lay employees or volunteers</w:t>
      </w:r>
      <w:r>
        <w:t>,</w:t>
      </w:r>
      <w:r w:rsidRPr="001A1589">
        <w:rPr>
          <w:rStyle w:val="EndnoteReference"/>
        </w:rPr>
        <w:t xml:space="preserve"> </w:t>
      </w:r>
      <w:r w:rsidRPr="001A1589">
        <w:rPr>
          <w:rStyle w:val="EndnoteReference"/>
        </w:rPr>
        <w:endnoteReference w:id="173"/>
      </w:r>
      <w:r w:rsidRPr="001A1589">
        <w:t xml:space="preserve"> </w:t>
      </w:r>
      <w:r>
        <w:t>n</w:t>
      </w:r>
      <w:r w:rsidRPr="001A1589">
        <w:t>or does it cover other forms of abuse and neglect</w:t>
      </w:r>
      <w:r>
        <w:t>. Both</w:t>
      </w:r>
      <w:r w:rsidRPr="001A1589">
        <w:t xml:space="preserve"> are dealt with by the relevant church authority</w:t>
      </w:r>
      <w:r>
        <w:t>, rather than National Office of Professional Standards</w:t>
      </w:r>
      <w:r w:rsidRPr="001A1589">
        <w:t>. Te Houhanga Rongo was most recently updated in February 2020.</w:t>
      </w:r>
    </w:p>
    <w:p w14:paraId="46A17CA4" w14:textId="42B2E28E" w:rsidR="00C3701E" w:rsidRPr="0049596D" w:rsidRDefault="00C3701E" w:rsidP="00811011">
      <w:pPr>
        <w:pStyle w:val="Vol4Numberedparas"/>
        <w:ind w:left="993" w:hanging="993"/>
      </w:pPr>
      <w:r w:rsidRPr="0049596D">
        <w:t>In</w:t>
      </w:r>
      <w:r w:rsidRPr="001A1589">
        <w:t xml:space="preserve"> He Purapura Ora, he Māra Tipu the Inquiry found that, while the church has committed to biculturalism, it does not sufficiently involve Māori in its redress design, implementation, or reforms, or incorporate tikanga and te ao Māori values. The Inquiry also</w:t>
      </w:r>
      <w:r w:rsidRPr="001A1589">
        <w:rPr>
          <w:rStyle w:val="normaltextrun"/>
          <w:shd w:val="clear" w:color="auto" w:fill="FFFFFF"/>
        </w:rPr>
        <w:t xml:space="preserve"> reported that the </w:t>
      </w:r>
      <w:r w:rsidRPr="001A1589">
        <w:t xml:space="preserve">church had committed to a research project into the experiences of Māori in its care. The Inquiry has not been advised of the </w:t>
      </w:r>
      <w:r w:rsidRPr="0049596D">
        <w:t>outcome of this project.</w:t>
      </w:r>
      <w:r w:rsidRPr="001A1589">
        <w:rPr>
          <w:rStyle w:val="EndnoteReference"/>
        </w:rPr>
        <w:endnoteReference w:id="174"/>
      </w:r>
      <w:r w:rsidRPr="001A1589">
        <w:rPr>
          <w:rStyle w:val="EndnoteReference"/>
        </w:rPr>
        <w:t xml:space="preserve"> </w:t>
      </w:r>
    </w:p>
    <w:p w14:paraId="3C3774D9" w14:textId="610DB6C0" w:rsidR="00C3701E" w:rsidRDefault="00C3701E" w:rsidP="00811011">
      <w:pPr>
        <w:pStyle w:val="Vol4Numberedparas"/>
        <w:ind w:left="993" w:hanging="993"/>
      </w:pPr>
      <w:r w:rsidRPr="001A1589">
        <w:t>The Catholic bishops first jointly apologised for abuse by clergy and religious</w:t>
      </w:r>
      <w:r>
        <w:t xml:space="preserve"> leaders</w:t>
      </w:r>
      <w:r w:rsidRPr="001A1589">
        <w:t xml:space="preserve"> in 2002.</w:t>
      </w:r>
      <w:r w:rsidRPr="001A1589">
        <w:rPr>
          <w:rStyle w:val="EndnoteReference"/>
        </w:rPr>
        <w:endnoteReference w:id="175"/>
      </w:r>
      <w:r w:rsidRPr="001A1589">
        <w:t xml:space="preserve"> Cardinal John Dew apologised publicly on behalf of the bishops and religious leaders at the Inquiry’s public hearings in March 2021 and October 2022.</w:t>
      </w:r>
      <w:r w:rsidRPr="001A1589">
        <w:rPr>
          <w:rStyle w:val="EndnoteReference"/>
        </w:rPr>
        <w:endnoteReference w:id="176"/>
      </w:r>
    </w:p>
    <w:p w14:paraId="2B007CD5" w14:textId="48CAE42C" w:rsidR="00C3701E" w:rsidRPr="0059081F" w:rsidRDefault="00C3701E" w:rsidP="00811011">
      <w:pPr>
        <w:pStyle w:val="Vol4Numberedparas"/>
        <w:ind w:left="993" w:hanging="993"/>
      </w:pPr>
      <w:r w:rsidRPr="0059081F">
        <w:t>In January 2023, the bishops and congregational leaders of the Catholic Church in Aotearoa New Zealand stated they had agreed to “support the option of an independent entity for survivors to report abuse and gain redress where they wish to do so.”</w:t>
      </w:r>
      <w:r w:rsidRPr="0059081F">
        <w:rPr>
          <w:rStyle w:val="EndnoteReference"/>
        </w:rPr>
        <w:endnoteReference w:id="177"/>
      </w:r>
      <w:r w:rsidRPr="0059081F">
        <w:t xml:space="preserve"> They also stated that they supported establishing an independent entity to review and monitor the Church’s redress processes for survivors who took this option.</w:t>
      </w:r>
      <w:r w:rsidRPr="0059081F">
        <w:rPr>
          <w:rStyle w:val="EndnoteReference"/>
        </w:rPr>
        <w:t xml:space="preserve"> </w:t>
      </w:r>
      <w:r w:rsidRPr="0059081F">
        <w:rPr>
          <w:rStyle w:val="EndnoteReference"/>
        </w:rPr>
        <w:endnoteReference w:id="178"/>
      </w:r>
      <w:r w:rsidRPr="0059081F">
        <w:t xml:space="preserve"> It appears therefore that the Church does not intend to phase out its own claims processes if and when a puretumu torowhānui scheme is established.</w:t>
      </w:r>
    </w:p>
    <w:p w14:paraId="3104B3A6" w14:textId="77777777" w:rsidR="002722C4" w:rsidRDefault="002722C4">
      <w:pPr>
        <w:spacing w:after="160"/>
        <w:rPr>
          <w:rFonts w:ascii="Arial" w:eastAsia="Arial" w:hAnsi="Arial" w:cs="Arial"/>
          <w:b/>
          <w:color w:val="385623" w:themeColor="accent6" w:themeShade="80"/>
          <w:sz w:val="26"/>
        </w:rPr>
      </w:pPr>
      <w:r>
        <w:br w:type="page"/>
      </w:r>
    </w:p>
    <w:p w14:paraId="621591BF" w14:textId="3B9A7EF1" w:rsidR="00C3701E" w:rsidRDefault="00C3701E" w:rsidP="00BF29F1">
      <w:pPr>
        <w:pStyle w:val="Heading3"/>
      </w:pPr>
      <w:bookmarkStart w:id="214" w:name="_Toc181080987"/>
      <w:r w:rsidRPr="00ED72D0">
        <w:lastRenderedPageBreak/>
        <w:t>Mihingare</w:t>
      </w:r>
      <w:bookmarkEnd w:id="214"/>
    </w:p>
    <w:p w14:paraId="368A776F" w14:textId="70852C71" w:rsidR="00C3701E" w:rsidRPr="00641874" w:rsidRDefault="00C3701E" w:rsidP="00BF29F1">
      <w:pPr>
        <w:pStyle w:val="Heading3"/>
        <w:rPr>
          <w:i/>
          <w:iCs/>
        </w:rPr>
      </w:pPr>
      <w:bookmarkStart w:id="215" w:name="_Toc140149551"/>
      <w:bookmarkStart w:id="216" w:name="_Toc140567926"/>
      <w:bookmarkStart w:id="217" w:name="_Toc141958537"/>
      <w:bookmarkStart w:id="218" w:name="_Toc141971164"/>
      <w:bookmarkStart w:id="219" w:name="_Toc142044146"/>
      <w:bookmarkStart w:id="220" w:name="_Toc142313468"/>
      <w:bookmarkStart w:id="221" w:name="_Toc142991640"/>
      <w:bookmarkStart w:id="222" w:name="_Toc143014152"/>
      <w:bookmarkStart w:id="223" w:name="_Toc145415117"/>
      <w:bookmarkStart w:id="224" w:name="_Toc147850583"/>
      <w:bookmarkStart w:id="225" w:name="_Toc181080988"/>
      <w:r w:rsidRPr="00ED72D0">
        <w:t>Anglican</w:t>
      </w:r>
      <w:bookmarkEnd w:id="215"/>
      <w:bookmarkEnd w:id="216"/>
      <w:bookmarkEnd w:id="217"/>
      <w:bookmarkEnd w:id="218"/>
      <w:bookmarkEnd w:id="219"/>
      <w:bookmarkEnd w:id="220"/>
      <w:bookmarkEnd w:id="221"/>
      <w:bookmarkEnd w:id="222"/>
      <w:bookmarkEnd w:id="223"/>
      <w:bookmarkEnd w:id="224"/>
      <w:bookmarkEnd w:id="225"/>
    </w:p>
    <w:p w14:paraId="5B124A62" w14:textId="77777777" w:rsidR="00C3701E" w:rsidRDefault="00C3701E" w:rsidP="006E7BC8">
      <w:pPr>
        <w:pStyle w:val="Vol4Numberedparas"/>
        <w:ind w:left="993" w:hanging="993"/>
      </w:pPr>
      <w:r w:rsidRPr="00981C53">
        <w:t xml:space="preserve">As noted in He Purapura Ora, he Māra Tipu, changes were made to the Anglican Church's Standards known as Title D in 2020. When the Church now receives complaints an Independent Registrar assesses them to determine whether there is sufficient substance to the complaint to make it deserving of further investigation and if so whether the allegation if proven would constitute 'misconduct' or 'unsatisfactory conduct'. The complaints that could amount to 'misconduct are heard by a tribunal. If the complaint is considered to be one of 'unsatisfactory conduct' then the further handling of the complaint is at the discretion of the licencing bishop or Archbishop. Previously complaints of 'misconduct' were dealt with by a Bishop. Claims for redress have continued to </w:t>
      </w:r>
      <w:r>
        <w:t>b</w:t>
      </w:r>
      <w:r w:rsidRPr="00981C53">
        <w:t xml:space="preserve">e considered by the Church on a case by case basis. </w:t>
      </w:r>
      <w:r>
        <w:t>The Church told the Inquiry that w</w:t>
      </w:r>
      <w:r w:rsidRPr="00981C53">
        <w:t>ork has continued to develop redress processes including a decision in 2023 to enter into a partnership agreement with Kooyoora from Victoria Australia to develop approaches to complaint handling and redress responses drawing on indigenous Māori and Pacifica knowledge and practice.</w:t>
      </w:r>
    </w:p>
    <w:p w14:paraId="28201653" w14:textId="18960E22" w:rsidR="00C3701E" w:rsidRPr="001A1589" w:rsidRDefault="00C3701E" w:rsidP="006E7BC8">
      <w:pPr>
        <w:pStyle w:val="Vol4Numberedparas"/>
        <w:ind w:left="993" w:hanging="993"/>
      </w:pPr>
      <w:r w:rsidRPr="0049596D">
        <w:t>In</w:t>
      </w:r>
      <w:r w:rsidRPr="001A1589">
        <w:rPr>
          <w:rStyle w:val="normaltextrun"/>
          <w:shd w:val="clear" w:color="auto" w:fill="FFFFFF"/>
        </w:rPr>
        <w:t xml:space="preserve"> </w:t>
      </w:r>
      <w:r w:rsidRPr="001A1589">
        <w:t>He Purapura Ora, he Māra Tipu</w:t>
      </w:r>
      <w:r w:rsidRPr="001A1589">
        <w:rPr>
          <w:rStyle w:val="normaltextrun"/>
          <w:shd w:val="clear" w:color="auto" w:fill="FFFFFF"/>
        </w:rPr>
        <w:t xml:space="preserve">, the Inquiry found that the church failed to honour commitments to Māori and Pacific </w:t>
      </w:r>
      <w:r>
        <w:rPr>
          <w:rStyle w:val="normaltextrun"/>
          <w:shd w:val="clear" w:color="auto" w:fill="FFFFFF"/>
        </w:rPr>
        <w:t>P</w:t>
      </w:r>
      <w:r w:rsidRPr="001A1589">
        <w:rPr>
          <w:rStyle w:val="normaltextrun"/>
          <w:shd w:val="clear" w:color="auto" w:fill="FFFFFF"/>
        </w:rPr>
        <w:t>eoples in developing its response to abuse in care.</w:t>
      </w:r>
      <w:r>
        <w:rPr>
          <w:rStyle w:val="normaltextrun"/>
          <w:shd w:val="clear" w:color="auto" w:fill="FFFFFF"/>
        </w:rPr>
        <w:t xml:space="preserve"> The Inquiry is aware that Māori and Pacific Peoples are now involved in the Church’s ongoing development of responses to abuse in care.</w:t>
      </w:r>
    </w:p>
    <w:p w14:paraId="72052A9E" w14:textId="4FA8E473" w:rsidR="00C3701E" w:rsidRDefault="00C3701E" w:rsidP="006E7BC8">
      <w:pPr>
        <w:pStyle w:val="Vol4Numberedparas"/>
        <w:ind w:left="993" w:hanging="993"/>
      </w:pPr>
      <w:r w:rsidRPr="001A1589">
        <w:t>At the</w:t>
      </w:r>
      <w:r>
        <w:t xml:space="preserve"> Inquiry’s </w:t>
      </w:r>
      <w:r w:rsidRPr="001A1589">
        <w:t>Faith-</w:t>
      </w:r>
      <w:r>
        <w:t>b</w:t>
      </w:r>
      <w:r w:rsidRPr="001A1589">
        <w:t>ased Institution</w:t>
      </w:r>
      <w:r>
        <w:t xml:space="preserve">al </w:t>
      </w:r>
      <w:r w:rsidRPr="001A1589">
        <w:t xml:space="preserve">Response Hearing, Right Reverend Ross Bay acknowledged that survivors of abuse did not receive the genuine care to which they were entitled from the </w:t>
      </w:r>
      <w:r>
        <w:t>C</w:t>
      </w:r>
      <w:r w:rsidRPr="001A1589">
        <w:t>hurch, and that it had failed to respond to people who came forward with disclosures of abuse.</w:t>
      </w:r>
      <w:r w:rsidRPr="001A1589">
        <w:rPr>
          <w:vertAlign w:val="superscript"/>
        </w:rPr>
        <w:endnoteReference w:id="179"/>
      </w:r>
      <w:r w:rsidRPr="001A1589">
        <w:rPr>
          <w:vertAlign w:val="superscript"/>
        </w:rPr>
        <w:t xml:space="preserve"> </w:t>
      </w:r>
      <w:r w:rsidRPr="001A1589">
        <w:t xml:space="preserve"> </w:t>
      </w:r>
    </w:p>
    <w:p w14:paraId="3D31E3B1" w14:textId="1E487EFA" w:rsidR="00C3701E" w:rsidRDefault="00C3701E" w:rsidP="006E7BC8">
      <w:pPr>
        <w:pStyle w:val="Vol4Numberedparas"/>
        <w:ind w:left="993" w:hanging="993"/>
      </w:pPr>
      <w:r>
        <w:t>Other Anglican Church affiliated entities have made changes to their internal redress processes and have also issued apologies, such as St Peters School Cambridge, Christs College Christchurch, Dilworth School, and the Anglican Trust for Women and Children.</w:t>
      </w:r>
      <w:r w:rsidRPr="006E7BC8">
        <w:rPr>
          <w:rStyle w:val="EndnoteReference"/>
        </w:rPr>
        <w:endnoteReference w:id="180"/>
      </w:r>
    </w:p>
    <w:p w14:paraId="6865D586" w14:textId="6D806836" w:rsidR="00C3701E" w:rsidRPr="0059081F" w:rsidRDefault="00C3701E" w:rsidP="006E7BC8">
      <w:pPr>
        <w:pStyle w:val="Vol4Numberedparas"/>
        <w:ind w:left="993" w:hanging="993"/>
      </w:pPr>
      <w:r w:rsidRPr="0059081F">
        <w:t xml:space="preserve">The Inquiry understands that the Anglican Church supports </w:t>
      </w:r>
      <w:r>
        <w:t xml:space="preserve">an independent </w:t>
      </w:r>
      <w:r w:rsidRPr="0059081F">
        <w:t>and universal redress scheme in principle</w:t>
      </w:r>
      <w:r>
        <w:t xml:space="preserve"> but it also considers that survivors should have the option </w:t>
      </w:r>
      <w:r w:rsidRPr="0059081F">
        <w:t>of approaching faith-based and other institutions directly if they wish.</w:t>
      </w:r>
      <w:r w:rsidRPr="0059081F">
        <w:rPr>
          <w:rStyle w:val="EndnoteReference"/>
        </w:rPr>
        <w:endnoteReference w:id="181"/>
      </w:r>
      <w:r w:rsidRPr="0059081F">
        <w:t xml:space="preserve"> That would mean institutions would have to continue their own redress processes rather than phase them out, as the Inquiry recommended.</w:t>
      </w:r>
    </w:p>
    <w:p w14:paraId="78161790" w14:textId="77777777" w:rsidR="00C3701E" w:rsidRDefault="00C3701E" w:rsidP="00BF29F1">
      <w:pPr>
        <w:pStyle w:val="Heading3"/>
      </w:pPr>
      <w:bookmarkStart w:id="226" w:name="_Toc181080989"/>
      <w:r w:rsidRPr="00ED72D0">
        <w:t>Weteriana</w:t>
      </w:r>
      <w:bookmarkEnd w:id="226"/>
    </w:p>
    <w:p w14:paraId="4B40DFA4" w14:textId="0292F224" w:rsidR="00C3701E" w:rsidRPr="00641874" w:rsidRDefault="00C3701E" w:rsidP="00BF29F1">
      <w:pPr>
        <w:pStyle w:val="Heading3"/>
        <w:rPr>
          <w:i/>
          <w:iCs/>
        </w:rPr>
      </w:pPr>
      <w:bookmarkStart w:id="227" w:name="_Toc140149552"/>
      <w:bookmarkStart w:id="228" w:name="_Toc140567930"/>
      <w:bookmarkStart w:id="229" w:name="_Toc141958538"/>
      <w:bookmarkStart w:id="230" w:name="_Toc141971165"/>
      <w:bookmarkStart w:id="231" w:name="_Toc142044147"/>
      <w:bookmarkStart w:id="232" w:name="_Toc142313469"/>
      <w:bookmarkStart w:id="233" w:name="_Toc142991641"/>
      <w:bookmarkStart w:id="234" w:name="_Toc143014153"/>
      <w:bookmarkStart w:id="235" w:name="_Toc145415118"/>
      <w:bookmarkStart w:id="236" w:name="_Toc147850584"/>
      <w:bookmarkStart w:id="237" w:name="_Toc181080990"/>
      <w:r w:rsidRPr="00ED72D0">
        <w:t>Methodist</w:t>
      </w:r>
      <w:bookmarkEnd w:id="227"/>
      <w:bookmarkEnd w:id="228"/>
      <w:bookmarkEnd w:id="229"/>
      <w:bookmarkEnd w:id="230"/>
      <w:bookmarkEnd w:id="231"/>
      <w:bookmarkEnd w:id="232"/>
      <w:bookmarkEnd w:id="233"/>
      <w:bookmarkEnd w:id="234"/>
      <w:bookmarkEnd w:id="235"/>
      <w:bookmarkEnd w:id="236"/>
      <w:bookmarkEnd w:id="237"/>
    </w:p>
    <w:p w14:paraId="12D07451" w14:textId="44FF4D56" w:rsidR="00C3701E" w:rsidRPr="0059081F" w:rsidRDefault="00C3701E" w:rsidP="006E7BC8">
      <w:pPr>
        <w:pStyle w:val="Vol4Numberedparas"/>
        <w:ind w:left="993" w:hanging="993"/>
      </w:pPr>
      <w:r w:rsidRPr="0059081F">
        <w:t>In 2018, the Methodist Church developed a formal redress process to address claims of historical abuse in its care. Its intent was to adopt a less legalistic approach to redress. The redress scheme follows procedures in which a review panel (including two people independent of the church) considers allegations. An appeal process is also provided.</w:t>
      </w:r>
      <w:r w:rsidRPr="0059081F">
        <w:rPr>
          <w:rStyle w:val="EndnoteReference"/>
        </w:rPr>
        <w:endnoteReference w:id="182"/>
      </w:r>
    </w:p>
    <w:p w14:paraId="143A4E9B" w14:textId="77777777" w:rsidR="002722C4" w:rsidRDefault="002722C4">
      <w:pPr>
        <w:spacing w:after="160"/>
        <w:rPr>
          <w:rFonts w:ascii="Arial" w:eastAsiaTheme="minorEastAsia" w:hAnsi="Arial" w:cs="Arial"/>
          <w:kern w:val="2"/>
          <w:lang w:eastAsia="en-NZ"/>
          <w14:ligatures w14:val="standardContextual"/>
        </w:rPr>
      </w:pPr>
      <w:r>
        <w:br w:type="page"/>
      </w:r>
    </w:p>
    <w:p w14:paraId="620B03D1" w14:textId="1C6CC7D1" w:rsidR="00C3701E" w:rsidRPr="0059081F" w:rsidRDefault="00C3701E" w:rsidP="006E7BC8">
      <w:pPr>
        <w:pStyle w:val="Vol4Numberedparas"/>
        <w:ind w:left="993" w:hanging="993"/>
      </w:pPr>
      <w:r w:rsidRPr="0059081F">
        <w:lastRenderedPageBreak/>
        <w:t xml:space="preserve">At the </w:t>
      </w:r>
      <w:r>
        <w:t xml:space="preserve">Inquiry’s </w:t>
      </w:r>
      <w:r w:rsidRPr="0059081F">
        <w:t>Faith-based Institution</w:t>
      </w:r>
      <w:r>
        <w:t>al</w:t>
      </w:r>
      <w:r w:rsidRPr="0059081F">
        <w:t xml:space="preserve"> Response Hearing, the church indicated its desire to maintain responsibility for redress but stated that it would consider the Inquiry’s recommendations in He Purapura Ora, he Māra Tipu regarding an independent redress scheme.</w:t>
      </w:r>
      <w:r w:rsidRPr="0059081F">
        <w:rPr>
          <w:rStyle w:val="EndnoteReference"/>
        </w:rPr>
        <w:endnoteReference w:id="183"/>
      </w:r>
    </w:p>
    <w:p w14:paraId="5B9E5233" w14:textId="42DAE93F" w:rsidR="00C3701E" w:rsidRPr="001A1589" w:rsidRDefault="00C3701E" w:rsidP="006E7BC8">
      <w:pPr>
        <w:pStyle w:val="Vol4Numberedparas"/>
        <w:ind w:left="993" w:hanging="993"/>
      </w:pPr>
      <w:r w:rsidRPr="001A1589">
        <w:t>At that hearing, the church acknowledged that it carries the primary responsibility for ensuring the protection and wellbeing of people in its care, and that it failed in this. It apologised to every person who had been abused in its care. It accepted that during the Inquiry period it did not have safeguarding policies and processes in place and that “this led to unimaginable suffering of some children, young people and vulnerable adults”.</w:t>
      </w:r>
      <w:r w:rsidRPr="001A1589">
        <w:rPr>
          <w:rStyle w:val="EndnoteReference"/>
        </w:rPr>
        <w:endnoteReference w:id="184"/>
      </w:r>
      <w:r w:rsidRPr="001A1589">
        <w:rPr>
          <w:rStyle w:val="EndnoteReference"/>
        </w:rPr>
        <w:t xml:space="preserve"> </w:t>
      </w:r>
    </w:p>
    <w:p w14:paraId="1365D005" w14:textId="77777777" w:rsidR="00C3701E" w:rsidRPr="00641874" w:rsidRDefault="00C3701E" w:rsidP="00BF29F1">
      <w:pPr>
        <w:pStyle w:val="Heading3"/>
        <w:rPr>
          <w:i/>
          <w:iCs/>
        </w:rPr>
      </w:pPr>
      <w:bookmarkStart w:id="238" w:name="_Toc181080991"/>
      <w:r w:rsidRPr="00ED72D0">
        <w:t>Te Hāhi Perehipitīriana o Aotearoa</w:t>
      </w:r>
      <w:bookmarkEnd w:id="238"/>
      <w:r w:rsidRPr="00ED72D0">
        <w:t xml:space="preserve"> </w:t>
      </w:r>
    </w:p>
    <w:p w14:paraId="63C4503B" w14:textId="32B98D13" w:rsidR="00C3701E" w:rsidRPr="00641874" w:rsidRDefault="00C3701E" w:rsidP="00BF29F1">
      <w:pPr>
        <w:pStyle w:val="Heading3"/>
        <w:rPr>
          <w:i/>
          <w:iCs/>
        </w:rPr>
      </w:pPr>
      <w:bookmarkStart w:id="239" w:name="_Toc140149553"/>
      <w:bookmarkStart w:id="240" w:name="_Toc140567934"/>
      <w:bookmarkStart w:id="241" w:name="_Toc141958539"/>
      <w:bookmarkStart w:id="242" w:name="_Toc141971166"/>
      <w:bookmarkStart w:id="243" w:name="_Toc142044148"/>
      <w:bookmarkStart w:id="244" w:name="_Toc142313470"/>
      <w:bookmarkStart w:id="245" w:name="_Toc142991642"/>
      <w:bookmarkStart w:id="246" w:name="_Toc143014154"/>
      <w:bookmarkStart w:id="247" w:name="_Toc145415119"/>
      <w:bookmarkStart w:id="248" w:name="_Toc147850585"/>
      <w:bookmarkStart w:id="249" w:name="_Toc181080992"/>
      <w:r w:rsidRPr="00ED72D0">
        <w:t>Presbyterian</w:t>
      </w:r>
      <w:bookmarkEnd w:id="239"/>
      <w:bookmarkEnd w:id="240"/>
      <w:bookmarkEnd w:id="241"/>
      <w:bookmarkEnd w:id="242"/>
      <w:bookmarkEnd w:id="243"/>
      <w:bookmarkEnd w:id="244"/>
      <w:bookmarkEnd w:id="245"/>
      <w:bookmarkEnd w:id="246"/>
      <w:r w:rsidRPr="00ED72D0">
        <w:t xml:space="preserve"> Church</w:t>
      </w:r>
      <w:bookmarkEnd w:id="247"/>
      <w:bookmarkEnd w:id="248"/>
      <w:r w:rsidRPr="00641874">
        <w:t xml:space="preserve"> of Aotearoa New Zealand</w:t>
      </w:r>
      <w:bookmarkEnd w:id="249"/>
    </w:p>
    <w:p w14:paraId="7D46E23D" w14:textId="346ECD0E" w:rsidR="00C3701E" w:rsidRPr="001A1589" w:rsidRDefault="00C3701E" w:rsidP="00927D5C">
      <w:pPr>
        <w:pStyle w:val="Vol4Numberedparas"/>
        <w:ind w:left="993" w:hanging="993"/>
        <w:rPr>
          <w:rStyle w:val="normaltextrun"/>
          <w:color w:val="000000"/>
        </w:rPr>
      </w:pPr>
      <w:r w:rsidRPr="001A1589">
        <w:rPr>
          <w:rStyle w:val="normaltextrun"/>
          <w:color w:val="000000"/>
        </w:rPr>
        <w:t>The Presbyterian Church has a complaints process, which is outlined on its website.</w:t>
      </w:r>
      <w:r w:rsidRPr="001A1589">
        <w:rPr>
          <w:rStyle w:val="EndnoteReference"/>
          <w:color w:val="000000"/>
        </w:rPr>
        <w:endnoteReference w:id="185"/>
      </w:r>
      <w:r w:rsidRPr="001A1589">
        <w:t xml:space="preserve"> </w:t>
      </w:r>
      <w:r w:rsidRPr="001A1589">
        <w:rPr>
          <w:rStyle w:val="normaltextrun"/>
          <w:color w:val="000000"/>
        </w:rPr>
        <w:t xml:space="preserve">The church acknowledged during the </w:t>
      </w:r>
      <w:r>
        <w:rPr>
          <w:rStyle w:val="normaltextrun"/>
          <w:color w:val="000000"/>
        </w:rPr>
        <w:t>Inquiry’s F</w:t>
      </w:r>
      <w:r w:rsidRPr="001A1589">
        <w:rPr>
          <w:rStyle w:val="normaltextrun"/>
          <w:color w:val="000000"/>
        </w:rPr>
        <w:t xml:space="preserve">aith-based </w:t>
      </w:r>
      <w:r>
        <w:rPr>
          <w:rStyle w:val="normaltextrun"/>
          <w:color w:val="000000"/>
        </w:rPr>
        <w:t>Institutional</w:t>
      </w:r>
      <w:r w:rsidRPr="001A1589">
        <w:rPr>
          <w:rStyle w:val="normaltextrun"/>
          <w:color w:val="000000"/>
        </w:rPr>
        <w:t xml:space="preserve"> </w:t>
      </w:r>
      <w:r>
        <w:rPr>
          <w:rStyle w:val="normaltextrun"/>
          <w:color w:val="000000"/>
        </w:rPr>
        <w:t>R</w:t>
      </w:r>
      <w:r w:rsidRPr="001A1589">
        <w:rPr>
          <w:rStyle w:val="normaltextrun"/>
          <w:color w:val="000000"/>
        </w:rPr>
        <w:t xml:space="preserve">esponse </w:t>
      </w:r>
      <w:r>
        <w:rPr>
          <w:rStyle w:val="normaltextrun"/>
          <w:color w:val="000000"/>
        </w:rPr>
        <w:t>H</w:t>
      </w:r>
      <w:r w:rsidRPr="001A1589">
        <w:rPr>
          <w:rStyle w:val="normaltextrun"/>
          <w:color w:val="000000"/>
        </w:rPr>
        <w:t>earing that its complaints process is primarily a disciplinary process focused on the person who is the subject of the complaint. However, the church told the Inquiry that more recently it has incorporated the possibility of historical redress, and it intends to develop the process further to make it more survivor focused.</w:t>
      </w:r>
      <w:r w:rsidRPr="001A1589">
        <w:rPr>
          <w:rStyle w:val="EndnoteReference"/>
        </w:rPr>
        <w:endnoteReference w:id="186"/>
      </w:r>
      <w:r w:rsidRPr="001A1589">
        <w:rPr>
          <w:rStyle w:val="normaltextrun"/>
          <w:color w:val="000000"/>
        </w:rPr>
        <w:t xml:space="preserve"> There was a further commitment by the church to address how the complaints process can accommodate different cultural values. It acknowledged that tikanga Māori and Pacific cultural values are not currently accommodated.</w:t>
      </w:r>
      <w:r w:rsidRPr="001A1589">
        <w:rPr>
          <w:rStyle w:val="EndnoteReference"/>
        </w:rPr>
        <w:endnoteReference w:id="187"/>
      </w:r>
      <w:r w:rsidRPr="001A1589">
        <w:rPr>
          <w:rStyle w:val="normaltextrun"/>
          <w:color w:val="000000"/>
        </w:rPr>
        <w:t xml:space="preserve"> </w:t>
      </w:r>
    </w:p>
    <w:p w14:paraId="051136EE" w14:textId="5A60083F" w:rsidR="00C3701E" w:rsidRPr="001A1589" w:rsidRDefault="00C3701E" w:rsidP="00927D5C">
      <w:pPr>
        <w:pStyle w:val="Vol4Numberedparas"/>
        <w:ind w:left="993" w:hanging="993"/>
      </w:pPr>
      <w:r w:rsidRPr="001A1589">
        <w:t xml:space="preserve">The church also told the Inquiry that it has not yet addressed, at a governance level or at its </w:t>
      </w:r>
      <w:r>
        <w:t>g</w:t>
      </w:r>
      <w:r w:rsidRPr="001A1589">
        <w:t xml:space="preserve">eneral </w:t>
      </w:r>
      <w:r>
        <w:t>a</w:t>
      </w:r>
      <w:r w:rsidRPr="001A1589">
        <w:t>ssembly, whether the church should take ownership for abuse that took place in its related institutions.</w:t>
      </w:r>
      <w:r w:rsidRPr="001A1589">
        <w:rPr>
          <w:rStyle w:val="EndnoteReference"/>
        </w:rPr>
        <w:endnoteReference w:id="188"/>
      </w:r>
      <w:r w:rsidRPr="001A1589">
        <w:t xml:space="preserve"> The separation of the church from the autonomous Presbyterian support organisations has resulted in the absence of a centralised governance structure providing a final level of monitoring and oversight and a lack of information sharing. While Presbyterian Support Otago and Presbyterian Support Central no longer provide direct care to children, young people and adults in the way that they did during the Inquiry period, support organisations still receive complaints for abuse that occurred during that period. For example, Presbyterian Support Otago acknowledged it received complaints between 2004 to 2019</w:t>
      </w:r>
      <w:r>
        <w:t xml:space="preserve"> </w:t>
      </w:r>
      <w:r w:rsidRPr="001A1589">
        <w:t xml:space="preserve">of historical abuse </w:t>
      </w:r>
      <w:r>
        <w:t xml:space="preserve">that occurred </w:t>
      </w:r>
      <w:r w:rsidRPr="001A1589">
        <w:t>in its children’s homes between 1950</w:t>
      </w:r>
      <w:r>
        <w:t xml:space="preserve"> and </w:t>
      </w:r>
      <w:r w:rsidRPr="001A1589">
        <w:t>1999.</w:t>
      </w:r>
      <w:r w:rsidRPr="001A1589">
        <w:rPr>
          <w:vertAlign w:val="superscript"/>
        </w:rPr>
        <w:endnoteReference w:id="189"/>
      </w:r>
      <w:r w:rsidRPr="001A1589">
        <w:t xml:space="preserve"> </w:t>
      </w:r>
    </w:p>
    <w:p w14:paraId="4F6F4AED" w14:textId="2F2C08EB" w:rsidR="00C3701E" w:rsidRPr="001A1589" w:rsidRDefault="00C3701E" w:rsidP="00927D5C">
      <w:pPr>
        <w:pStyle w:val="Vol4Numberedparas"/>
        <w:ind w:left="993" w:hanging="993"/>
      </w:pPr>
      <w:r>
        <w:t>i</w:t>
      </w:r>
      <w:r w:rsidRPr="001A1589">
        <w:t>n 2017 or 2018, a senior decision</w:t>
      </w:r>
      <w:r>
        <w:t xml:space="preserve"> </w:t>
      </w:r>
      <w:r w:rsidRPr="001A1589">
        <w:t xml:space="preserve">maker within Presbyterian Support Otago reviewed records </w:t>
      </w:r>
      <w:r>
        <w:t>from</w:t>
      </w:r>
      <w:r w:rsidRPr="001A1589">
        <w:t xml:space="preserve"> the period children and young people stayed in its residential homes.</w:t>
      </w:r>
      <w:r w:rsidRPr="001A1589">
        <w:rPr>
          <w:vertAlign w:val="superscript"/>
        </w:rPr>
        <w:endnoteReference w:id="190"/>
      </w:r>
      <w:r w:rsidRPr="001A1589">
        <w:t xml:space="preserve"> Following this review, and legal advice from an advisor, the </w:t>
      </w:r>
      <w:r>
        <w:t xml:space="preserve">senior </w:t>
      </w:r>
      <w:r w:rsidRPr="001A1589">
        <w:t>decision</w:t>
      </w:r>
      <w:r>
        <w:t xml:space="preserve"> </w:t>
      </w:r>
      <w:r w:rsidRPr="001A1589">
        <w:t xml:space="preserve">maker </w:t>
      </w:r>
      <w:r>
        <w:t>instructed</w:t>
      </w:r>
      <w:r w:rsidRPr="001A1589">
        <w:t xml:space="preserve"> that all personal individual children’s records held should be destroyed (apart from the register of the names and dates) because the records were “too much of a risk”.</w:t>
      </w:r>
      <w:r w:rsidRPr="001A1589">
        <w:rPr>
          <w:rStyle w:val="EndnoteReference"/>
        </w:rPr>
        <w:endnoteReference w:id="191"/>
      </w:r>
      <w:r w:rsidRPr="001A1589">
        <w:t xml:space="preserve"> The Inquiry is not aware whether Presbyterian Support Otago is facing any formal consequences for destroying the documents. Presbyterian Support Otago </w:t>
      </w:r>
      <w:r>
        <w:t>CEO</w:t>
      </w:r>
      <w:r w:rsidRPr="001A1589">
        <w:t xml:space="preserve"> Jo O’Neill acknowledged the importance of those documents for survivors and told the Inquiry she would</w:t>
      </w:r>
      <w:r>
        <w:t xml:space="preserve"> not</w:t>
      </w:r>
      <w:r w:rsidRPr="001A1589">
        <w:t xml:space="preserve"> make that same decision today</w:t>
      </w:r>
      <w:r>
        <w:t>, were she in the decision making position</w:t>
      </w:r>
      <w:r w:rsidRPr="001A1589">
        <w:t>.</w:t>
      </w:r>
      <w:r w:rsidRPr="001A1589">
        <w:rPr>
          <w:rStyle w:val="EndnoteReference"/>
        </w:rPr>
        <w:endnoteReference w:id="192"/>
      </w:r>
      <w:r w:rsidRPr="001A1589">
        <w:t xml:space="preserve"> </w:t>
      </w:r>
    </w:p>
    <w:p w14:paraId="2AED45CF" w14:textId="77777777" w:rsidR="00E907AA" w:rsidRDefault="00E907AA">
      <w:pPr>
        <w:spacing w:after="160"/>
        <w:rPr>
          <w:rFonts w:ascii="Arial" w:eastAsiaTheme="minorEastAsia" w:hAnsi="Arial" w:cs="Arial"/>
          <w:kern w:val="2"/>
          <w:lang w:eastAsia="en-NZ"/>
          <w14:ligatures w14:val="standardContextual"/>
        </w:rPr>
      </w:pPr>
      <w:r>
        <w:br w:type="page"/>
      </w:r>
    </w:p>
    <w:p w14:paraId="7B9A40FB" w14:textId="404B7C53" w:rsidR="00C3701E" w:rsidRDefault="00C3701E" w:rsidP="00927D5C">
      <w:pPr>
        <w:pStyle w:val="Vol4Numberedparas"/>
        <w:ind w:left="993" w:hanging="993"/>
      </w:pPr>
      <w:r w:rsidRPr="001A1589">
        <w:lastRenderedPageBreak/>
        <w:t>The church told the Inquiry that it has a policy of zero tolerance of abuse. It has however, acknowledged that the church’s policy had not been consistently and thoroughly applied and apologised for that. The church has stated that it has worked to reach out to those affected to offer its apology, pastoral care and support.</w:t>
      </w:r>
      <w:r w:rsidRPr="001A1589">
        <w:rPr>
          <w:rStyle w:val="EndnoteReference"/>
        </w:rPr>
        <w:t xml:space="preserve"> </w:t>
      </w:r>
      <w:r w:rsidRPr="001A1589">
        <w:rPr>
          <w:rStyle w:val="EndnoteReference"/>
        </w:rPr>
        <w:endnoteReference w:id="193"/>
      </w:r>
      <w:r w:rsidRPr="001A1589">
        <w:t xml:space="preserve"> </w:t>
      </w:r>
    </w:p>
    <w:p w14:paraId="56ACB8CA" w14:textId="17F2EB10" w:rsidR="00C3701E" w:rsidRPr="001A1589" w:rsidRDefault="00C3701E" w:rsidP="00927D5C">
      <w:pPr>
        <w:pStyle w:val="Vol4Numberedparas"/>
        <w:ind w:left="993" w:hanging="993"/>
      </w:pPr>
      <w:r w:rsidRPr="0059081F">
        <w:t>It is unclear whether the Presbyterian Church supports the Inquiry’s recommendations in He Purapura Ora, he Māra Tipu, including that a new puretumu torowhānui scheme should be established.</w:t>
      </w:r>
      <w:r>
        <w:t xml:space="preserve"> Presbyterian Support Otago advised the Inquiry that it would support an independent redress scheme and the recommendations made in He Purapura Ora.</w:t>
      </w:r>
      <w:r w:rsidRPr="00927D5C">
        <w:rPr>
          <w:rStyle w:val="EndnoteReference"/>
        </w:rPr>
        <w:endnoteReference w:id="194"/>
      </w:r>
      <w:r>
        <w:t xml:space="preserve"> The Chief Executive and former Chief Executive of Presbyterian Support Central did not support there being a single entity responsible for providing a redress scheme for abuse in care independent of the institutions in which the abuse occurred. This was on the basis that those responsible for the abuse should take accountability for it and that having a centralised agency for redress risks resulting in a lack of empathy, caring and understanding towards survivors.</w:t>
      </w:r>
      <w:r>
        <w:rPr>
          <w:rStyle w:val="EndnoteReference"/>
        </w:rPr>
        <w:endnoteReference w:id="195"/>
      </w:r>
      <w:r>
        <w:t xml:space="preserve"> As the Inquiry stated in He Purapura Ora, he Māra Tipu, however, there is nothing in the puretumu torowhānui scheme it recommended which would stop faith-based institutions </w:t>
      </w:r>
      <w:r w:rsidRPr="002740F0">
        <w:t xml:space="preserve">from ensuring accountability by acknowledging and apologising for </w:t>
      </w:r>
      <w:r>
        <w:t xml:space="preserve">abuse and </w:t>
      </w:r>
      <w:r w:rsidRPr="002740F0">
        <w:t>contributing to the cost of puretumu torowhānui</w:t>
      </w:r>
      <w:r>
        <w:t>.</w:t>
      </w:r>
      <w:r>
        <w:rPr>
          <w:rStyle w:val="EndnoteReference"/>
        </w:rPr>
        <w:endnoteReference w:id="196"/>
      </w:r>
    </w:p>
    <w:p w14:paraId="4782A59B" w14:textId="77777777" w:rsidR="00C3701E" w:rsidRDefault="00C3701E" w:rsidP="00BF29F1">
      <w:pPr>
        <w:pStyle w:val="Heading3"/>
      </w:pPr>
      <w:bookmarkStart w:id="250" w:name="_Toc181080993"/>
      <w:r w:rsidRPr="00ED72D0">
        <w:t>Te Ope Whakaora</w:t>
      </w:r>
      <w:bookmarkEnd w:id="250"/>
    </w:p>
    <w:p w14:paraId="67BBEA0C" w14:textId="7A17FA21" w:rsidR="00C3701E" w:rsidRPr="00641874" w:rsidRDefault="00C3701E" w:rsidP="00BF29F1">
      <w:pPr>
        <w:pStyle w:val="Heading3"/>
        <w:rPr>
          <w:i/>
          <w:iCs/>
        </w:rPr>
      </w:pPr>
      <w:bookmarkStart w:id="251" w:name="_Toc140149554"/>
      <w:bookmarkStart w:id="252" w:name="_Toc140567938"/>
      <w:bookmarkStart w:id="253" w:name="_Toc141958540"/>
      <w:bookmarkStart w:id="254" w:name="_Toc141971167"/>
      <w:bookmarkStart w:id="255" w:name="_Toc142044149"/>
      <w:bookmarkStart w:id="256" w:name="_Toc142313471"/>
      <w:bookmarkStart w:id="257" w:name="_Toc142991643"/>
      <w:bookmarkStart w:id="258" w:name="_Toc143014155"/>
      <w:bookmarkStart w:id="259" w:name="_Toc145415120"/>
      <w:bookmarkStart w:id="260" w:name="_Toc147850586"/>
      <w:bookmarkStart w:id="261" w:name="_Toc181080994"/>
      <w:r w:rsidRPr="00ED72D0">
        <w:t>The Salvation Army</w:t>
      </w:r>
      <w:bookmarkEnd w:id="251"/>
      <w:bookmarkEnd w:id="252"/>
      <w:bookmarkEnd w:id="253"/>
      <w:bookmarkEnd w:id="254"/>
      <w:bookmarkEnd w:id="255"/>
      <w:bookmarkEnd w:id="256"/>
      <w:bookmarkEnd w:id="257"/>
      <w:bookmarkEnd w:id="258"/>
      <w:bookmarkEnd w:id="259"/>
      <w:bookmarkEnd w:id="260"/>
      <w:bookmarkEnd w:id="261"/>
      <w:r w:rsidRPr="00ED72D0">
        <w:t xml:space="preserve"> </w:t>
      </w:r>
    </w:p>
    <w:p w14:paraId="2F0EBAC8" w14:textId="6DEEF653" w:rsidR="00C3701E" w:rsidRPr="001A1589" w:rsidRDefault="00C3701E" w:rsidP="005412A5">
      <w:pPr>
        <w:pStyle w:val="Vol4Numberedparas"/>
        <w:ind w:left="993" w:hanging="993"/>
      </w:pPr>
      <w:r w:rsidRPr="001A1589">
        <w:t>As noted in He Purapura Ora, he Māra Tipu, The Salvation Army</w:t>
      </w:r>
      <w:r>
        <w:t xml:space="preserve"> has an established process that has evolved over time as its understanding of the impact of abuse has changed. </w:t>
      </w:r>
      <w:r w:rsidRPr="001A1589">
        <w:t>One individual, Commercial Manager and Manager Royal Commission Response Murray Houston, makes decisions about all redress claims relating to abuse in children’s homes.</w:t>
      </w:r>
      <w:r w:rsidRPr="001A1589">
        <w:rPr>
          <w:rStyle w:val="EndnoteReference"/>
        </w:rPr>
        <w:t xml:space="preserve"> </w:t>
      </w:r>
      <w:r w:rsidRPr="001A1589">
        <w:rPr>
          <w:rStyle w:val="EndnoteReference"/>
        </w:rPr>
        <w:endnoteReference w:id="197"/>
      </w:r>
      <w:r w:rsidRPr="001A1589">
        <w:t xml:space="preserve"> In February 2022, The Salvation Army published a two-page summary document on </w:t>
      </w:r>
      <w:r>
        <w:t>its</w:t>
      </w:r>
      <w:r w:rsidRPr="001A1589">
        <w:t xml:space="preserve"> website listing </w:t>
      </w:r>
      <w:r>
        <w:t>its</w:t>
      </w:r>
      <w:r w:rsidRPr="001A1589">
        <w:t xml:space="preserve"> overarching redress principles and the forms of redress for survivors.</w:t>
      </w:r>
      <w:r w:rsidRPr="0003210B">
        <w:rPr>
          <w:rStyle w:val="EndnoteReference"/>
        </w:rPr>
        <w:endnoteReference w:id="198"/>
      </w:r>
      <w:r w:rsidRPr="0003210B">
        <w:rPr>
          <w:rStyle w:val="EndnoteReference"/>
        </w:rPr>
        <w:t xml:space="preserve"> </w:t>
      </w:r>
    </w:p>
    <w:p w14:paraId="63205E20" w14:textId="036CD148" w:rsidR="00C3701E" w:rsidRPr="001A1589" w:rsidRDefault="00C3701E" w:rsidP="005412A5">
      <w:pPr>
        <w:pStyle w:val="Vol4Numberedparas"/>
        <w:ind w:left="993" w:hanging="993"/>
      </w:pPr>
      <w:r w:rsidRPr="001A1589">
        <w:t>The Inquiry reported in He Purapura Ora, he Māra Tipu that while The Salvation Army has policies that emphasise its commitment to biculturalism, it does not involve Māori in designing its claims process nor does it incorporate tikanga Māori or te ao Māori values into that process.</w:t>
      </w:r>
      <w:r w:rsidRPr="001A1589">
        <w:rPr>
          <w:rStyle w:val="EndnoteReference"/>
        </w:rPr>
        <w:endnoteReference w:id="199"/>
      </w:r>
      <w:r w:rsidRPr="001A1589">
        <w:t xml:space="preserve"> </w:t>
      </w:r>
    </w:p>
    <w:p w14:paraId="6BC7D8CD" w14:textId="18283D93" w:rsidR="00C3701E" w:rsidRPr="00E06E95" w:rsidRDefault="00C3701E" w:rsidP="005412A5">
      <w:pPr>
        <w:pStyle w:val="Vol4Numberedparas"/>
        <w:ind w:left="993" w:hanging="993"/>
        <w:rPr>
          <w:rStyle w:val="normaltextrun"/>
        </w:rPr>
      </w:pPr>
      <w:r w:rsidRPr="001A1589">
        <w:t xml:space="preserve">The Salvation Army has issued public apologies. At the </w:t>
      </w:r>
      <w:r>
        <w:t xml:space="preserve">Inquiry’s </w:t>
      </w:r>
      <w:r w:rsidRPr="001A1589">
        <w:t xml:space="preserve">Faith-based Redress Hearing, The Salvation Army </w:t>
      </w:r>
      <w:r w:rsidRPr="001A1589">
        <w:rPr>
          <w:rStyle w:val="normaltextrun"/>
          <w:color w:val="000000"/>
          <w:shd w:val="clear" w:color="auto" w:fill="FFFFFF"/>
        </w:rPr>
        <w:t>apologised for abuse occurring in its care and acknowledged at times it had not done as well as it could.</w:t>
      </w:r>
      <w:r w:rsidRPr="001A1589">
        <w:rPr>
          <w:rStyle w:val="EndnoteReference"/>
          <w:color w:val="000000"/>
          <w:shd w:val="clear" w:color="auto" w:fill="FFFFFF"/>
        </w:rPr>
        <w:endnoteReference w:id="200"/>
      </w:r>
      <w:r w:rsidRPr="001A1589">
        <w:rPr>
          <w:rStyle w:val="normaltextrun"/>
          <w:color w:val="000000"/>
          <w:shd w:val="clear" w:color="auto" w:fill="FFFFFF"/>
        </w:rPr>
        <w:t xml:space="preserve"> </w:t>
      </w:r>
    </w:p>
    <w:p w14:paraId="1198C1EB" w14:textId="04E3C77E" w:rsidR="00C3701E" w:rsidRPr="001A1589" w:rsidRDefault="00C3701E" w:rsidP="005412A5">
      <w:pPr>
        <w:pStyle w:val="Vol4Numberedparas"/>
        <w:ind w:left="993" w:hanging="993"/>
      </w:pPr>
      <w:r>
        <w:t xml:space="preserve">The Salvation Army told the Inquiry that it supports the Inquiry’s recommendations in </w:t>
      </w:r>
      <w:r w:rsidRPr="001A1589">
        <w:t>He Purapura Ora, he Māra Tipu</w:t>
      </w:r>
      <w:r>
        <w:t>, including those related to a new puretumu torowhānui scheme but that the creation of such a scheme and the continued existence of the Army’s own scheme should not be mutually exclusive.</w:t>
      </w:r>
    </w:p>
    <w:p w14:paraId="719EFCE3" w14:textId="77777777" w:rsidR="00E907AA" w:rsidRDefault="00E907AA">
      <w:pPr>
        <w:spacing w:after="160"/>
        <w:rPr>
          <w:rFonts w:ascii="Arial" w:eastAsia="Arial" w:hAnsi="Arial" w:cs="Arial"/>
          <w:b/>
          <w:color w:val="385623" w:themeColor="accent6" w:themeShade="80"/>
          <w:sz w:val="26"/>
        </w:rPr>
      </w:pPr>
      <w:r>
        <w:br w:type="page"/>
      </w:r>
    </w:p>
    <w:p w14:paraId="5FAD8B5E" w14:textId="2EDD0F41" w:rsidR="00C3701E" w:rsidRDefault="00C3701E" w:rsidP="00BF29F1">
      <w:pPr>
        <w:pStyle w:val="Heading3"/>
      </w:pPr>
      <w:bookmarkStart w:id="262" w:name="_Toc181080995"/>
      <w:r w:rsidRPr="00ED72D0">
        <w:lastRenderedPageBreak/>
        <w:t xml:space="preserve">Te </w:t>
      </w:r>
      <w:r>
        <w:t xml:space="preserve">Hāpori </w:t>
      </w:r>
      <w:r w:rsidRPr="00ED72D0">
        <w:t>Karaitiana o Gloriavale</w:t>
      </w:r>
      <w:bookmarkEnd w:id="262"/>
    </w:p>
    <w:p w14:paraId="6CD50EE1" w14:textId="1FC88625" w:rsidR="00C3701E" w:rsidRPr="00641874" w:rsidRDefault="00C3701E" w:rsidP="00BF29F1">
      <w:pPr>
        <w:pStyle w:val="Heading3"/>
        <w:rPr>
          <w:i/>
          <w:iCs/>
        </w:rPr>
      </w:pPr>
      <w:bookmarkStart w:id="263" w:name="_Toc140149555"/>
      <w:bookmarkStart w:id="264" w:name="_Toc140567942"/>
      <w:bookmarkStart w:id="265" w:name="_Toc141958541"/>
      <w:bookmarkStart w:id="266" w:name="_Toc141971168"/>
      <w:bookmarkStart w:id="267" w:name="_Toc142044150"/>
      <w:bookmarkStart w:id="268" w:name="_Toc142313472"/>
      <w:bookmarkStart w:id="269" w:name="_Toc142991644"/>
      <w:bookmarkStart w:id="270" w:name="_Toc143014156"/>
      <w:bookmarkStart w:id="271" w:name="_Toc145415121"/>
      <w:bookmarkStart w:id="272" w:name="_Toc147850587"/>
      <w:bookmarkStart w:id="273" w:name="_Toc181080996"/>
      <w:r w:rsidRPr="00ED72D0">
        <w:t>Gloriavale Christian Community</w:t>
      </w:r>
      <w:bookmarkEnd w:id="263"/>
      <w:bookmarkEnd w:id="264"/>
      <w:bookmarkEnd w:id="265"/>
      <w:bookmarkEnd w:id="266"/>
      <w:bookmarkEnd w:id="267"/>
      <w:bookmarkEnd w:id="268"/>
      <w:bookmarkEnd w:id="269"/>
      <w:bookmarkEnd w:id="270"/>
      <w:bookmarkEnd w:id="271"/>
      <w:bookmarkEnd w:id="272"/>
      <w:bookmarkEnd w:id="273"/>
    </w:p>
    <w:p w14:paraId="44A8C8D8" w14:textId="79DED735" w:rsidR="00C3701E" w:rsidRPr="001A1589" w:rsidRDefault="00C3701E" w:rsidP="002147F4">
      <w:pPr>
        <w:pStyle w:val="Vol4Numberedparas"/>
        <w:ind w:left="993" w:hanging="993"/>
      </w:pPr>
      <w:r w:rsidRPr="001A1589">
        <w:t xml:space="preserve">Gloriavale does not have a redress process or any relevant policies. At the </w:t>
      </w:r>
      <w:r>
        <w:t xml:space="preserve">Inquiry’s </w:t>
      </w:r>
      <w:r w:rsidRPr="001A1589">
        <w:t xml:space="preserve">Faith-based Redress Hearing, </w:t>
      </w:r>
      <w:r>
        <w:t xml:space="preserve">Gloriavale leader </w:t>
      </w:r>
      <w:r w:rsidRPr="001A1589">
        <w:t>Howard Temple told the Inquiry that a redress and compensation package had been discussed but “</w:t>
      </w:r>
      <w:r>
        <w:t>we</w:t>
      </w:r>
      <w:r w:rsidRPr="001A1589">
        <w:t xml:space="preserve"> just don’t have the means of doing it at the present time”.</w:t>
      </w:r>
      <w:r w:rsidRPr="001A1589">
        <w:rPr>
          <w:rStyle w:val="EndnoteReference"/>
        </w:rPr>
        <w:endnoteReference w:id="201"/>
      </w:r>
      <w:r w:rsidRPr="001A1589">
        <w:t xml:space="preserve"> He said he would support a single independent redress scheme for survivors.</w:t>
      </w:r>
      <w:r w:rsidRPr="001A1589">
        <w:rPr>
          <w:rStyle w:val="EndnoteReference"/>
        </w:rPr>
        <w:endnoteReference w:id="202"/>
      </w:r>
    </w:p>
    <w:p w14:paraId="1A2DF118" w14:textId="30F11346" w:rsidR="00C3701E" w:rsidRPr="001A1589" w:rsidRDefault="00C3701E" w:rsidP="00E24D02">
      <w:pPr>
        <w:pStyle w:val="Vol4Numberedparas"/>
        <w:ind w:left="993" w:hanging="993"/>
        <w:jc w:val="both"/>
      </w:pPr>
      <w:r w:rsidRPr="001A1589">
        <w:t>In May 2022, Gloriavale leaders acknowledged their role in failing to prevent</w:t>
      </w:r>
      <w:r>
        <w:t xml:space="preserve"> abuse</w:t>
      </w:r>
      <w:r w:rsidRPr="001A1589">
        <w:t xml:space="preserve"> and protect victims of abuse.</w:t>
      </w:r>
      <w:r w:rsidRPr="001A1589">
        <w:rPr>
          <w:rStyle w:val="EndnoteReference"/>
        </w:rPr>
        <w:endnoteReference w:id="203"/>
      </w:r>
      <w:r w:rsidRPr="001A1589">
        <w:t xml:space="preserve"> </w:t>
      </w:r>
    </w:p>
    <w:p w14:paraId="239424F2" w14:textId="77777777" w:rsidR="00C3701E" w:rsidRPr="00641874" w:rsidRDefault="00C3701E" w:rsidP="008E3FA8">
      <w:pPr>
        <w:pStyle w:val="Heading3"/>
        <w:rPr>
          <w:i/>
          <w:iCs/>
        </w:rPr>
      </w:pPr>
      <w:bookmarkStart w:id="274" w:name="_Toc141958542"/>
      <w:bookmarkStart w:id="275" w:name="_Toc141971169"/>
      <w:bookmarkStart w:id="276" w:name="_Toc142044151"/>
      <w:bookmarkStart w:id="277" w:name="_Toc142313473"/>
      <w:bookmarkStart w:id="278" w:name="_Toc142991645"/>
      <w:bookmarkStart w:id="279" w:name="_Toc143014157"/>
      <w:bookmarkStart w:id="280" w:name="_Toc145415122"/>
      <w:bookmarkStart w:id="281" w:name="_Toc147850588"/>
      <w:bookmarkStart w:id="282" w:name="_Toc181080997"/>
      <w:r w:rsidRPr="00ED72D0">
        <w:t>Plymouth Brethren Christian Church</w:t>
      </w:r>
      <w:bookmarkEnd w:id="282"/>
    </w:p>
    <w:p w14:paraId="6F86EB66" w14:textId="17D9B179" w:rsidR="00C3701E" w:rsidRPr="00641874" w:rsidRDefault="00C3701E" w:rsidP="00BF29F1">
      <w:pPr>
        <w:pStyle w:val="Heading3"/>
        <w:rPr>
          <w:i/>
          <w:iCs/>
        </w:rPr>
      </w:pPr>
      <w:bookmarkStart w:id="283" w:name="_Toc181080998"/>
      <w:r w:rsidRPr="00ED72D0">
        <w:t>Plymouth Brethren Christian Church</w:t>
      </w:r>
      <w:bookmarkEnd w:id="274"/>
      <w:bookmarkEnd w:id="275"/>
      <w:bookmarkEnd w:id="276"/>
      <w:bookmarkEnd w:id="277"/>
      <w:bookmarkEnd w:id="278"/>
      <w:bookmarkEnd w:id="279"/>
      <w:bookmarkEnd w:id="280"/>
      <w:bookmarkEnd w:id="281"/>
      <w:bookmarkEnd w:id="283"/>
    </w:p>
    <w:p w14:paraId="19A17A17" w14:textId="55B98238" w:rsidR="00C3701E" w:rsidRPr="002147F4" w:rsidRDefault="00C3701E" w:rsidP="002147F4">
      <w:pPr>
        <w:pStyle w:val="Vol4Numberedparas"/>
        <w:ind w:left="993" w:hanging="993"/>
      </w:pPr>
      <w:r w:rsidRPr="001A1589">
        <w:t>The Plymouth Brethren Christian Church does not have, nor has ever had, any national policies relating to redress claims. The church told the Inquiry that “matters are dealt with as they arise under the guidance of the current elders in accordance with the teachings of the Holy Bible”.</w:t>
      </w:r>
      <w:r w:rsidRPr="001A1589">
        <w:rPr>
          <w:rStyle w:val="EndnoteReference"/>
        </w:rPr>
        <w:endnoteReference w:id="204"/>
      </w:r>
      <w:r w:rsidRPr="001A1589">
        <w:t xml:space="preserve">  </w:t>
      </w:r>
      <w:r>
        <w:t xml:space="preserve">It is also not clear whether the church supports the </w:t>
      </w:r>
      <w:r w:rsidRPr="001A1589">
        <w:t>He Purapura Ora, he Māra Tipu</w:t>
      </w:r>
      <w:r>
        <w:t xml:space="preserve"> recommendations.</w:t>
      </w:r>
      <w:bookmarkStart w:id="284" w:name="_Toc142313475"/>
      <w:bookmarkStart w:id="285" w:name="_Toc142991647"/>
      <w:bookmarkStart w:id="286" w:name="_Toc143014159"/>
      <w:bookmarkStart w:id="287" w:name="_Toc145415124"/>
      <w:bookmarkStart w:id="288" w:name="_Toc147850589"/>
    </w:p>
    <w:p w14:paraId="3AE0B96E" w14:textId="2A4FC1A8" w:rsidR="00C3701E" w:rsidRPr="00641874" w:rsidRDefault="00C3701E" w:rsidP="00BF29F1">
      <w:pPr>
        <w:pStyle w:val="Heading3"/>
        <w:rPr>
          <w:i/>
          <w:iCs/>
        </w:rPr>
      </w:pPr>
      <w:bookmarkStart w:id="289" w:name="_Toc181080999"/>
      <w:r w:rsidRPr="00ED72D0">
        <w:t xml:space="preserve">Te Ratonga </w:t>
      </w:r>
      <w:r w:rsidRPr="00641874">
        <w:t xml:space="preserve">Whakarongo o Dilworth, </w:t>
      </w:r>
      <w:r w:rsidRPr="4E30EAFA">
        <w:t>t</w:t>
      </w:r>
      <w:r w:rsidRPr="00641874">
        <w:t>e Pakirehua Motuhake me te Kaupapa Puretumu</w:t>
      </w:r>
      <w:bookmarkEnd w:id="289"/>
    </w:p>
    <w:p w14:paraId="283382A4" w14:textId="5B3E8DA2" w:rsidR="00C3701E" w:rsidRPr="00641874" w:rsidRDefault="00C3701E" w:rsidP="00BF29F1">
      <w:pPr>
        <w:pStyle w:val="Heading3"/>
        <w:rPr>
          <w:i/>
          <w:iCs/>
        </w:rPr>
      </w:pPr>
      <w:bookmarkStart w:id="290" w:name="_Toc181081000"/>
      <w:r w:rsidRPr="00ED72D0">
        <w:t>Dilworth Listening Service, Independent Inquiry and Redress Programme</w:t>
      </w:r>
      <w:bookmarkEnd w:id="196"/>
      <w:bookmarkEnd w:id="197"/>
      <w:bookmarkEnd w:id="198"/>
      <w:bookmarkEnd w:id="199"/>
      <w:bookmarkEnd w:id="200"/>
      <w:bookmarkEnd w:id="284"/>
      <w:bookmarkEnd w:id="285"/>
      <w:bookmarkEnd w:id="286"/>
      <w:bookmarkEnd w:id="287"/>
      <w:bookmarkEnd w:id="288"/>
      <w:bookmarkEnd w:id="290"/>
    </w:p>
    <w:p w14:paraId="764DD094" w14:textId="6440A2CC" w:rsidR="00C3701E" w:rsidRDefault="00C3701E" w:rsidP="002147F4">
      <w:pPr>
        <w:pStyle w:val="Vol4Numberedparas"/>
        <w:ind w:left="993" w:hanging="993"/>
      </w:pPr>
      <w:r>
        <w:t>In September 2019, the Dilworth Trust Board launched an independent Listening Service for former students and their families. This allowed them to speak with an independent clinical psychologist. Over 170 former students and / or their family members have received psychological support.</w:t>
      </w:r>
    </w:p>
    <w:p w14:paraId="5B278AB8" w14:textId="6ACEE99E" w:rsidR="00C3701E" w:rsidRPr="003C0782" w:rsidRDefault="00C3701E" w:rsidP="002147F4">
      <w:pPr>
        <w:pStyle w:val="Vol4Numberedparas"/>
        <w:ind w:left="993" w:hanging="993"/>
      </w:pPr>
      <w:r w:rsidRPr="003C0782">
        <w:t>In 2022, Dilworth School established the Dilworth Independent Inquiry into Abuse at Dilworth School and the Dilworth Redress Programme. The Dilworth Independent Inquiry, chaired by Dame Silvia Cartwright with Frances Joychild KC as Co-Inquirer, reviewed the nature and extent of sexual and serious physical abuse of Dilworth students between 1 January 1950 and 1 July 2023.</w:t>
      </w:r>
      <w:r w:rsidRPr="003C0782">
        <w:rPr>
          <w:rStyle w:val="EndnoteReference"/>
        </w:rPr>
        <w:endnoteReference w:id="205"/>
      </w:r>
      <w:r w:rsidRPr="003C0782">
        <w:t xml:space="preserve"> </w:t>
      </w:r>
      <w:r>
        <w:t xml:space="preserve">Dilworth </w:t>
      </w:r>
      <w:r w:rsidRPr="003C0782">
        <w:t xml:space="preserve">Independent Inquiry’s report was released on 18 September 2023. </w:t>
      </w:r>
    </w:p>
    <w:p w14:paraId="62EF4A5C" w14:textId="77777777" w:rsidR="00C3701E" w:rsidRDefault="00C3701E" w:rsidP="00E24D02">
      <w:pPr>
        <w:pStyle w:val="Vol4Numberedparas"/>
        <w:ind w:left="993" w:hanging="993"/>
        <w:jc w:val="both"/>
      </w:pPr>
      <w:r w:rsidRPr="003C0782">
        <w:t>Survivors of</w:t>
      </w:r>
      <w:r>
        <w:t xml:space="preserve">: </w:t>
      </w:r>
    </w:p>
    <w:p w14:paraId="33EA20F7" w14:textId="64097F8D" w:rsidR="00C3701E" w:rsidRDefault="00C3701E" w:rsidP="003D1F79">
      <w:pPr>
        <w:pStyle w:val="Vol4Numberedparas"/>
        <w:numPr>
          <w:ilvl w:val="4"/>
          <w:numId w:val="4"/>
        </w:numPr>
        <w:ind w:left="1418" w:hanging="425"/>
        <w:mirrorIndents w:val="0"/>
      </w:pPr>
      <w:r w:rsidRPr="003C0782">
        <w:t xml:space="preserve">sexual abuse or serious physical abuse by a Dilworth representative or by a person who had access to the survivor through a Dilworth representative, or </w:t>
      </w:r>
    </w:p>
    <w:p w14:paraId="005FE140" w14:textId="77777777" w:rsidR="00C3701E" w:rsidRDefault="00C3701E" w:rsidP="003D1F79">
      <w:pPr>
        <w:pStyle w:val="Vol4Numberedparas"/>
        <w:numPr>
          <w:ilvl w:val="4"/>
          <w:numId w:val="4"/>
        </w:numPr>
        <w:ind w:left="1418" w:hanging="425"/>
        <w:mirrorIndents w:val="0"/>
      </w:pPr>
      <w:r w:rsidRPr="003C0782">
        <w:t xml:space="preserve">survivors of sexual abuse by another Dilworth student, </w:t>
      </w:r>
    </w:p>
    <w:p w14:paraId="00CFD265" w14:textId="1F43A00D" w:rsidR="00C3701E" w:rsidRDefault="00C3701E" w:rsidP="00781C67">
      <w:pPr>
        <w:pStyle w:val="Vol4Numberedparas"/>
        <w:numPr>
          <w:ilvl w:val="0"/>
          <w:numId w:val="0"/>
        </w:numPr>
        <w:ind w:left="993"/>
        <w:mirrorIndents w:val="0"/>
      </w:pPr>
      <w:r w:rsidRPr="003C0782">
        <w:t xml:space="preserve">can apply to the Dilworth Redress Programme for financial and other redress. </w:t>
      </w:r>
    </w:p>
    <w:p w14:paraId="17019714" w14:textId="008B5A05" w:rsidR="00C3701E" w:rsidRPr="003C0782" w:rsidRDefault="00C3701E" w:rsidP="00E06E95">
      <w:pPr>
        <w:pStyle w:val="Vol4Numberedparas"/>
        <w:ind w:left="993" w:right="-188" w:hanging="993"/>
      </w:pPr>
      <w:r w:rsidRPr="003C0782">
        <w:t>In all cases, the survivor must have been a student of Dilworth School and suffered the abuse while studying there. Applications may also be made by the families or estates of deceased survivors.</w:t>
      </w:r>
      <w:r w:rsidRPr="003C0782">
        <w:rPr>
          <w:rStyle w:val="EndnoteReference"/>
        </w:rPr>
        <w:endnoteReference w:id="206"/>
      </w:r>
    </w:p>
    <w:p w14:paraId="07718761" w14:textId="77777777" w:rsidR="00E907AA" w:rsidRDefault="00E907AA">
      <w:pPr>
        <w:spacing w:after="160"/>
        <w:rPr>
          <w:rFonts w:ascii="Arial" w:eastAsiaTheme="minorEastAsia" w:hAnsi="Arial" w:cs="Arial"/>
          <w:kern w:val="2"/>
          <w:lang w:eastAsia="en-NZ"/>
          <w14:ligatures w14:val="standardContextual"/>
        </w:rPr>
      </w:pPr>
      <w:r>
        <w:br w:type="page"/>
      </w:r>
    </w:p>
    <w:p w14:paraId="330D92C3" w14:textId="071D3B1D" w:rsidR="00C3701E" w:rsidRPr="0094721A" w:rsidRDefault="00C3701E" w:rsidP="00827A96">
      <w:pPr>
        <w:pStyle w:val="Vol4Numberedparas"/>
        <w:ind w:left="993" w:hanging="993"/>
      </w:pPr>
      <w:r w:rsidRPr="0094721A">
        <w:lastRenderedPageBreak/>
        <w:t xml:space="preserve">The </w:t>
      </w:r>
      <w:r>
        <w:t>redress p</w:t>
      </w:r>
      <w:r w:rsidRPr="0094721A">
        <w:t xml:space="preserve">rogramme has redress facilitators to assist survivors in making applications. Their role includes preparing a report for the </w:t>
      </w:r>
      <w:r>
        <w:t>I</w:t>
      </w:r>
      <w:r w:rsidRPr="0094721A">
        <w:t xml:space="preserve">ndependent </w:t>
      </w:r>
      <w:r>
        <w:t>R</w:t>
      </w:r>
      <w:r w:rsidRPr="0094721A">
        <w:t xml:space="preserve">edress </w:t>
      </w:r>
      <w:r>
        <w:t>P</w:t>
      </w:r>
      <w:r w:rsidRPr="0094721A">
        <w:t xml:space="preserve">anel on each claim, which the relevant survivor may review for factual errors. The </w:t>
      </w:r>
      <w:r>
        <w:t>redress p</w:t>
      </w:r>
      <w:r w:rsidRPr="0094721A">
        <w:t xml:space="preserve">rogramme funds survivors’ reasonable legal costs for preparing their applications and advice on whether to accept a determination by the </w:t>
      </w:r>
      <w:r>
        <w:t>redress p</w:t>
      </w:r>
      <w:r w:rsidRPr="0094721A">
        <w:t xml:space="preserve">anel. The </w:t>
      </w:r>
      <w:r>
        <w:t>redress p</w:t>
      </w:r>
      <w:r w:rsidRPr="0094721A">
        <w:t>rogramme may also fund counselling and other support for survivors during the application process.</w:t>
      </w:r>
    </w:p>
    <w:p w14:paraId="2AC41B08" w14:textId="53F5A4CA" w:rsidR="00C3701E" w:rsidRPr="0094721A" w:rsidRDefault="00C3701E" w:rsidP="00827A96">
      <w:pPr>
        <w:pStyle w:val="Vol4Numberedparas"/>
        <w:ind w:left="993" w:hanging="993"/>
      </w:pPr>
      <w:r w:rsidRPr="0094721A">
        <w:t xml:space="preserve">The </w:t>
      </w:r>
      <w:r>
        <w:t>redress p</w:t>
      </w:r>
      <w:r w:rsidRPr="0094721A">
        <w:t>rogramme’s terms of reference state that it will recognise and promote survivors’ cultural needs, the principles of te Tiriti</w:t>
      </w:r>
      <w:r w:rsidRPr="00294622">
        <w:t xml:space="preserve"> o Waitangi</w:t>
      </w:r>
      <w:r w:rsidRPr="0094721A">
        <w:t>, and tikanga Māori. This requirement applies to the application process and the redress provided.</w:t>
      </w:r>
    </w:p>
    <w:p w14:paraId="404DD3BA" w14:textId="5335BC1F" w:rsidR="00C3701E" w:rsidRPr="0094721A" w:rsidRDefault="00C3701E" w:rsidP="00827A96">
      <w:pPr>
        <w:pStyle w:val="Vol4Numberedparas"/>
        <w:ind w:left="993" w:hanging="993"/>
      </w:pPr>
      <w:r w:rsidRPr="0094721A">
        <w:t xml:space="preserve">The </w:t>
      </w:r>
      <w:r>
        <w:t>redress p</w:t>
      </w:r>
      <w:r w:rsidRPr="0094721A">
        <w:t xml:space="preserve">anel is independent from Dilworth. </w:t>
      </w:r>
      <w:r>
        <w:t>Its current members are a former High Court judge, a clinical psychologist and a governance expert.</w:t>
      </w:r>
      <w:r>
        <w:rPr>
          <w:rStyle w:val="EndnoteReference"/>
        </w:rPr>
        <w:endnoteReference w:id="207"/>
      </w:r>
      <w:r>
        <w:t xml:space="preserve"> </w:t>
      </w:r>
      <w:r w:rsidRPr="0094721A">
        <w:t xml:space="preserve">It will assess applications on the </w:t>
      </w:r>
      <w:r>
        <w:t>‘</w:t>
      </w:r>
      <w:r w:rsidRPr="0094721A">
        <w:t>reasonable likelihood</w:t>
      </w:r>
      <w:r>
        <w:t>’</w:t>
      </w:r>
      <w:r w:rsidRPr="0094721A">
        <w:t xml:space="preserve"> standard of proof. The starting point is that survivors should be believed, subject to there being compelling contrary evidence. The </w:t>
      </w:r>
      <w:r>
        <w:t>redress p</w:t>
      </w:r>
      <w:r w:rsidRPr="0094721A">
        <w:t>anel may award redress including counselling and other psychological support paid for by Dilworth, an apology from Dilworth, financial redress, and any other form of personalised redress requested by the survivor</w:t>
      </w:r>
      <w:r>
        <w:t xml:space="preserve"> that the panel considers</w:t>
      </w:r>
      <w:r w:rsidRPr="0094721A">
        <w:t xml:space="preserve"> fitting. The maximum amount the </w:t>
      </w:r>
      <w:r>
        <w:t>p</w:t>
      </w:r>
      <w:r w:rsidRPr="0094721A">
        <w:t>anel may award is $200,000</w:t>
      </w:r>
      <w:r>
        <w:t>, but</w:t>
      </w:r>
      <w:r w:rsidRPr="0094721A">
        <w:t xml:space="preserve"> </w:t>
      </w:r>
      <w:r>
        <w:t>in</w:t>
      </w:r>
      <w:r w:rsidRPr="0094721A">
        <w:t xml:space="preserve"> exceptional circumstances up to $300,000 may be awarded.</w:t>
      </w:r>
    </w:p>
    <w:p w14:paraId="544FB8C9" w14:textId="5B38BAA7" w:rsidR="00C3701E" w:rsidRDefault="00C3701E" w:rsidP="00E24D02">
      <w:pPr>
        <w:pStyle w:val="Vol4Numberedparas"/>
        <w:ind w:left="993" w:hanging="993"/>
        <w:jc w:val="both"/>
      </w:pPr>
      <w:r w:rsidRPr="0094721A">
        <w:t xml:space="preserve">A </w:t>
      </w:r>
      <w:r>
        <w:t>redress p</w:t>
      </w:r>
      <w:r w:rsidRPr="0094721A">
        <w:t xml:space="preserve">anel determination is binding on Dilworth if the survivor accepts it. Acceptance by a survivor amounts to a full and final settlement of their claim against Dilworth, except that the survivor may still apply to any puretumu torowhānui scheme introduced by the Government. </w:t>
      </w:r>
    </w:p>
    <w:p w14:paraId="6AB2D051" w14:textId="404DE062" w:rsidR="00C3701E" w:rsidRDefault="00C3701E" w:rsidP="00F81668">
      <w:pPr>
        <w:pStyle w:val="Vol4Numberedparas"/>
        <w:ind w:left="993" w:hanging="993"/>
      </w:pPr>
      <w:r>
        <w:t>The redress programme’s terms of reference provide that the redress panel may appoint an independent clinical psychologist to review the redress programme.</w:t>
      </w:r>
      <w:r w:rsidRPr="00F81668">
        <w:rPr>
          <w:rStyle w:val="EndnoteReference"/>
        </w:rPr>
        <w:endnoteReference w:id="208"/>
      </w:r>
      <w:r>
        <w:t xml:space="preserve"> Following a review and consultation with survivors and Dilworth, the redress panel may decide to amend its operational procedures. The redress panel may also recommend to Dilworth that the redress programme’s terms on eligibility, scope and financial redress be amended.</w:t>
      </w:r>
      <w:r w:rsidRPr="00F81668">
        <w:rPr>
          <w:rStyle w:val="EndnoteReference"/>
        </w:rPr>
        <w:endnoteReference w:id="209"/>
      </w:r>
    </w:p>
    <w:p w14:paraId="04C06DE6" w14:textId="1D5DF0CA" w:rsidR="00C3701E" w:rsidRPr="0094721A" w:rsidRDefault="00C3701E" w:rsidP="00F81668">
      <w:pPr>
        <w:pStyle w:val="Vol4Numberedparas"/>
        <w:ind w:left="993" w:hanging="993"/>
      </w:pPr>
      <w:r w:rsidRPr="0094721A">
        <w:t>If the Government introduces a puretumu torowhānui scheme</w:t>
      </w:r>
      <w:r>
        <w:t xml:space="preserve"> as recommended by the Inquiry in </w:t>
      </w:r>
      <w:r w:rsidRPr="0094721A">
        <w:t xml:space="preserve">He Purapura Ora, he Māra Tipu, Dilworth may decide to </w:t>
      </w:r>
      <w:r>
        <w:t>terminate</w:t>
      </w:r>
      <w:r w:rsidRPr="0094721A">
        <w:t xml:space="preserve"> the </w:t>
      </w:r>
      <w:r>
        <w:t>redress p</w:t>
      </w:r>
      <w:r w:rsidRPr="0094721A">
        <w:t>rogramme.</w:t>
      </w:r>
      <w:r w:rsidRPr="00F81668">
        <w:rPr>
          <w:rStyle w:val="EndnoteReference"/>
        </w:rPr>
        <w:endnoteReference w:id="210"/>
      </w:r>
      <w:r w:rsidRPr="0094721A">
        <w:t xml:space="preserve"> </w:t>
      </w:r>
      <w:r>
        <w:t>Otherwise, after three years and on a yearly basis after then, the redress panel will consider whether the redress programme should be wound up after current claims are determined. Any decision in this regard by either Dilworth or the redress panel may only be taken once certain conditions have been met. These include a period of notice and a period of consultation with survivors.</w:t>
      </w:r>
      <w:r w:rsidRPr="00F81668">
        <w:rPr>
          <w:rStyle w:val="EndnoteReference"/>
        </w:rPr>
        <w:endnoteReference w:id="211"/>
      </w:r>
    </w:p>
    <w:p w14:paraId="4C02C108" w14:textId="77777777" w:rsidR="00E907AA" w:rsidRDefault="00E907AA">
      <w:pPr>
        <w:spacing w:after="160"/>
        <w:rPr>
          <w:rFonts w:ascii="Arial" w:eastAsiaTheme="minorEastAsia" w:hAnsi="Arial" w:cs="Arial"/>
          <w:kern w:val="2"/>
          <w:lang w:eastAsia="en-NZ"/>
          <w14:ligatures w14:val="standardContextual"/>
        </w:rPr>
      </w:pPr>
      <w:r>
        <w:br w:type="page"/>
      </w:r>
    </w:p>
    <w:p w14:paraId="43FD5727" w14:textId="4B27AC1D" w:rsidR="00C3701E" w:rsidRPr="0094721A" w:rsidRDefault="00C3701E" w:rsidP="00F81668">
      <w:pPr>
        <w:pStyle w:val="Vol4Numberedparas"/>
        <w:ind w:left="993" w:hanging="993"/>
      </w:pPr>
      <w:r>
        <w:lastRenderedPageBreak/>
        <w:t>The redress panel began making redress determinations in March 2024.</w:t>
      </w:r>
      <w:r w:rsidRPr="00F81668">
        <w:rPr>
          <w:rStyle w:val="EndnoteReference"/>
        </w:rPr>
        <w:endnoteReference w:id="212"/>
      </w:r>
      <w:r>
        <w:t xml:space="preserve"> Before then, the panel made two </w:t>
      </w:r>
      <w:r w:rsidRPr="0094721A">
        <w:t>interim payments to survivors</w:t>
      </w:r>
      <w:r>
        <w:t>.</w:t>
      </w:r>
      <w:r w:rsidRPr="00F81668">
        <w:rPr>
          <w:rStyle w:val="EndnoteReference"/>
        </w:rPr>
        <w:endnoteReference w:id="213"/>
      </w:r>
      <w:r w:rsidRPr="0094721A">
        <w:t xml:space="preserve"> </w:t>
      </w:r>
      <w:r>
        <w:t>The Inquiry</w:t>
      </w:r>
      <w:r w:rsidRPr="0094721A">
        <w:t xml:space="preserve"> heard that </w:t>
      </w:r>
      <w:r>
        <w:t xml:space="preserve">the panel did not begin making determinations until March 2024, because </w:t>
      </w:r>
      <w:r w:rsidRPr="0094721A">
        <w:t xml:space="preserve">some survivors wanted to wait for the </w:t>
      </w:r>
      <w:r>
        <w:t>i</w:t>
      </w:r>
      <w:r w:rsidRPr="0094721A">
        <w:t xml:space="preserve">ndependent </w:t>
      </w:r>
      <w:r>
        <w:t>i</w:t>
      </w:r>
      <w:r w:rsidRPr="0094721A">
        <w:t xml:space="preserve">nquiry to report before applying to the </w:t>
      </w:r>
      <w:r>
        <w:t>r</w:t>
      </w:r>
      <w:r w:rsidRPr="0094721A">
        <w:t xml:space="preserve">edress </w:t>
      </w:r>
      <w:r>
        <w:t>p</w:t>
      </w:r>
      <w:r w:rsidRPr="0094721A">
        <w:t>rogramme</w:t>
      </w:r>
      <w:r>
        <w:t>. T</w:t>
      </w:r>
      <w:r w:rsidRPr="0094721A">
        <w:t xml:space="preserve">he </w:t>
      </w:r>
      <w:r>
        <w:t>redress p</w:t>
      </w:r>
      <w:r w:rsidRPr="0094721A">
        <w:t>anel wanted to have a reasonably large number of applications before making any awards so it could better ensure appropriate relativity between the financial and other redress it awards to survivors.</w:t>
      </w:r>
      <w:r>
        <w:rPr>
          <w:rStyle w:val="EndnoteReference"/>
        </w:rPr>
        <w:endnoteReference w:id="214"/>
      </w:r>
      <w:r w:rsidRPr="0094721A">
        <w:t xml:space="preserve"> </w:t>
      </w:r>
      <w:r>
        <w:t>Dilworth also advised the Inquiry that the redress panel had made an independent decision not to make awards until it had read the independent inquiry’s report.</w:t>
      </w:r>
    </w:p>
    <w:p w14:paraId="5AADC9B9" w14:textId="02804D5E" w:rsidR="00C3701E" w:rsidRDefault="00C3701E" w:rsidP="00C822D7">
      <w:pPr>
        <w:pStyle w:val="Heading3"/>
      </w:pPr>
      <w:bookmarkStart w:id="291" w:name="_Toc181081001"/>
      <w:r w:rsidRPr="00ED72D0">
        <w:t>Ngā arotakenga purapura ora</w:t>
      </w:r>
      <w:bookmarkEnd w:id="291"/>
    </w:p>
    <w:p w14:paraId="7EF0114A" w14:textId="038E3B29" w:rsidR="00C3701E" w:rsidRPr="00641874" w:rsidRDefault="00C3701E" w:rsidP="00C822D7">
      <w:pPr>
        <w:pStyle w:val="Heading3"/>
        <w:rPr>
          <w:i/>
          <w:iCs/>
        </w:rPr>
      </w:pPr>
      <w:bookmarkStart w:id="292" w:name="_Toc181081002"/>
      <w:r w:rsidRPr="00ED72D0">
        <w:t>Survivor critiques</w:t>
      </w:r>
      <w:bookmarkEnd w:id="292"/>
    </w:p>
    <w:p w14:paraId="4B9496FD" w14:textId="17D61BA4" w:rsidR="00C3701E" w:rsidRPr="0094721A" w:rsidRDefault="00C3701E" w:rsidP="00F81668">
      <w:pPr>
        <w:pStyle w:val="Vol4Numberedparas"/>
        <w:ind w:left="993" w:hanging="993"/>
      </w:pPr>
      <w:r w:rsidRPr="0094721A">
        <w:t xml:space="preserve">Some survivors expressed concerns about the </w:t>
      </w:r>
      <w:r>
        <w:t>redress p</w:t>
      </w:r>
      <w:r w:rsidRPr="0094721A">
        <w:t>anel’s approach</w:t>
      </w:r>
      <w:r>
        <w:t xml:space="preserve"> before March 2024</w:t>
      </w:r>
      <w:r w:rsidRPr="0094721A">
        <w:t>. These include</w:t>
      </w:r>
      <w:r>
        <w:t>d concerns</w:t>
      </w:r>
      <w:r w:rsidRPr="0094721A">
        <w:t xml:space="preserve"> that no </w:t>
      </w:r>
      <w:r>
        <w:t xml:space="preserve">redress </w:t>
      </w:r>
      <w:r w:rsidRPr="0094721A">
        <w:t xml:space="preserve">awards </w:t>
      </w:r>
      <w:r>
        <w:t>had been made before March 2024</w:t>
      </w:r>
      <w:r w:rsidRPr="0094721A">
        <w:t xml:space="preserve">, and </w:t>
      </w:r>
      <w:r>
        <w:t xml:space="preserve">concerns </w:t>
      </w:r>
      <w:r w:rsidRPr="0094721A">
        <w:t xml:space="preserve">that </w:t>
      </w:r>
      <w:r>
        <w:t>the panel’s approach</w:t>
      </w:r>
      <w:r w:rsidRPr="0094721A">
        <w:t xml:space="preserve"> </w:t>
      </w:r>
      <w:r>
        <w:t xml:space="preserve">was </w:t>
      </w:r>
      <w:r w:rsidRPr="0094721A">
        <w:t xml:space="preserve">inconsistent with the </w:t>
      </w:r>
      <w:r>
        <w:t>redress p</w:t>
      </w:r>
      <w:r w:rsidRPr="0094721A">
        <w:t>rogramme’s terms of reference. The terms of reference state</w:t>
      </w:r>
      <w:r>
        <w:t>d</w:t>
      </w:r>
      <w:r w:rsidRPr="0094721A">
        <w:t xml:space="preserve"> that a survivor may file their application and have it determined by the </w:t>
      </w:r>
      <w:r>
        <w:t>p</w:t>
      </w:r>
      <w:r w:rsidRPr="0094721A">
        <w:t xml:space="preserve">anel without waiting for the </w:t>
      </w:r>
      <w:r>
        <w:t>i</w:t>
      </w:r>
      <w:r w:rsidRPr="0094721A">
        <w:t xml:space="preserve">ndependent </w:t>
      </w:r>
      <w:r>
        <w:t>i</w:t>
      </w:r>
      <w:r w:rsidRPr="0094721A">
        <w:t xml:space="preserve">nquiry’s report. The </w:t>
      </w:r>
      <w:r>
        <w:t>redress p</w:t>
      </w:r>
      <w:r w:rsidRPr="0094721A">
        <w:t xml:space="preserve">anel </w:t>
      </w:r>
      <w:r>
        <w:t>was</w:t>
      </w:r>
      <w:r w:rsidRPr="0094721A">
        <w:t xml:space="preserve"> empowered to review any such determination and make a further award to the survivor if the </w:t>
      </w:r>
      <w:r>
        <w:t>p</w:t>
      </w:r>
      <w:r w:rsidRPr="0094721A">
        <w:t>anel consider</w:t>
      </w:r>
      <w:r>
        <w:t xml:space="preserve">ed </w:t>
      </w:r>
      <w:r w:rsidRPr="0094721A">
        <w:t xml:space="preserve">that appropriate in light of the </w:t>
      </w:r>
      <w:r>
        <w:t>i</w:t>
      </w:r>
      <w:r w:rsidRPr="0094721A">
        <w:t xml:space="preserve">ndependent </w:t>
      </w:r>
      <w:r>
        <w:t>i</w:t>
      </w:r>
      <w:r w:rsidRPr="0094721A">
        <w:t xml:space="preserve">nquiry’s findings. Alternatively, the survivor </w:t>
      </w:r>
      <w:r>
        <w:t xml:space="preserve">could </w:t>
      </w:r>
      <w:r w:rsidRPr="0094721A">
        <w:t xml:space="preserve">file their application and have it held until the </w:t>
      </w:r>
      <w:r>
        <w:t>redress p</w:t>
      </w:r>
      <w:r w:rsidRPr="0094721A">
        <w:t>anel ha</w:t>
      </w:r>
      <w:r>
        <w:t>d</w:t>
      </w:r>
      <w:r w:rsidRPr="0094721A">
        <w:t xml:space="preserve"> considered the </w:t>
      </w:r>
      <w:r>
        <w:t>i</w:t>
      </w:r>
      <w:r w:rsidRPr="0094721A">
        <w:t xml:space="preserve">ndependent </w:t>
      </w:r>
      <w:r>
        <w:t>i</w:t>
      </w:r>
      <w:r w:rsidRPr="0094721A">
        <w:t>nquiry’s findings</w:t>
      </w:r>
      <w:r>
        <w:t xml:space="preserve"> and any new information relevant to the survivor’s application</w:t>
      </w:r>
      <w:r w:rsidRPr="0094721A">
        <w:t>.</w:t>
      </w:r>
      <w:r w:rsidRPr="0094721A">
        <w:rPr>
          <w:rStyle w:val="EndnoteReference"/>
        </w:rPr>
        <w:endnoteReference w:id="215"/>
      </w:r>
      <w:r w:rsidRPr="0094721A">
        <w:t xml:space="preserve"> </w:t>
      </w:r>
    </w:p>
    <w:p w14:paraId="1B20E6B9" w14:textId="12D0A8F8" w:rsidR="00C3701E" w:rsidRPr="0094721A" w:rsidRDefault="00C3701E" w:rsidP="00F81668">
      <w:pPr>
        <w:pStyle w:val="Vol4Numberedparas"/>
        <w:ind w:left="993" w:hanging="993"/>
      </w:pPr>
      <w:r w:rsidRPr="0094721A">
        <w:t xml:space="preserve">There have also been other critiques of the </w:t>
      </w:r>
      <w:r>
        <w:t>r</w:t>
      </w:r>
      <w:r w:rsidRPr="0094721A">
        <w:t xml:space="preserve">edress </w:t>
      </w:r>
      <w:r>
        <w:t>p</w:t>
      </w:r>
      <w:r w:rsidRPr="0094721A">
        <w:t xml:space="preserve">rogramme, including </w:t>
      </w:r>
      <w:r>
        <w:t>how</w:t>
      </w:r>
      <w:r w:rsidRPr="0094721A">
        <w:t xml:space="preserve"> </w:t>
      </w:r>
      <w:r>
        <w:t xml:space="preserve">it </w:t>
      </w:r>
      <w:r w:rsidRPr="0094721A">
        <w:t xml:space="preserve">was designed and </w:t>
      </w:r>
      <w:r>
        <w:t>its</w:t>
      </w:r>
      <w:r w:rsidRPr="0094721A">
        <w:t xml:space="preserve"> financial maximums.</w:t>
      </w:r>
      <w:r w:rsidRPr="0094721A">
        <w:rPr>
          <w:rStyle w:val="EndnoteReference"/>
        </w:rPr>
        <w:endnoteReference w:id="216"/>
      </w:r>
      <w:r w:rsidRPr="0094721A">
        <w:t xml:space="preserve"> Some survivors have referred to the </w:t>
      </w:r>
      <w:r>
        <w:t>i</w:t>
      </w:r>
      <w:r w:rsidRPr="0094721A">
        <w:t xml:space="preserve">ndependent </w:t>
      </w:r>
      <w:r>
        <w:t>i</w:t>
      </w:r>
      <w:r w:rsidRPr="0094721A">
        <w:t xml:space="preserve">nquiry’s findings </w:t>
      </w:r>
      <w:r>
        <w:t>about</w:t>
      </w:r>
      <w:r w:rsidRPr="0094721A">
        <w:t xml:space="preserve"> the severe impacts on survivors </w:t>
      </w:r>
      <w:r>
        <w:t>of</w:t>
      </w:r>
      <w:r w:rsidRPr="0094721A">
        <w:t xml:space="preserve"> abuse at Dilworth, </w:t>
      </w:r>
      <w:r>
        <w:t>the school’s</w:t>
      </w:r>
      <w:r w:rsidRPr="0094721A">
        <w:t xml:space="preserve"> significant assets, and </w:t>
      </w:r>
      <w:r>
        <w:t>amounts survivors have been awarded</w:t>
      </w:r>
      <w:r w:rsidRPr="0094721A">
        <w:t xml:space="preserve"> in Australian courts, as justifying significantly higher </w:t>
      </w:r>
      <w:r>
        <w:t>amounts</w:t>
      </w:r>
      <w:r w:rsidRPr="0094721A">
        <w:t>.</w:t>
      </w:r>
      <w:r w:rsidRPr="0094721A">
        <w:rPr>
          <w:rStyle w:val="EndnoteReference"/>
        </w:rPr>
        <w:endnoteReference w:id="217"/>
      </w:r>
      <w:r w:rsidRPr="0094721A">
        <w:t xml:space="preserve"> Some survivors </w:t>
      </w:r>
      <w:r>
        <w:t>have said they feel as if</w:t>
      </w:r>
      <w:r w:rsidRPr="0094721A">
        <w:t xml:space="preserve"> they are second-class citizens when </w:t>
      </w:r>
      <w:r>
        <w:t xml:space="preserve">comparing </w:t>
      </w:r>
      <w:r w:rsidRPr="0094721A">
        <w:t xml:space="preserve">the amounts available under the </w:t>
      </w:r>
      <w:r>
        <w:t>redress p</w:t>
      </w:r>
      <w:r w:rsidRPr="0094721A">
        <w:t xml:space="preserve">rogramme with what survivors have </w:t>
      </w:r>
      <w:r>
        <w:t>been awarded</w:t>
      </w:r>
      <w:r w:rsidRPr="0094721A">
        <w:t xml:space="preserve"> through court action in Australia.</w:t>
      </w:r>
      <w:r w:rsidRPr="0094721A">
        <w:rPr>
          <w:rStyle w:val="EndnoteReference"/>
        </w:rPr>
        <w:endnoteReference w:id="218"/>
      </w:r>
      <w:r w:rsidRPr="0094721A">
        <w:t xml:space="preserve">  </w:t>
      </w:r>
    </w:p>
    <w:p w14:paraId="6C71B4BC" w14:textId="199E0D32" w:rsidR="00C3701E" w:rsidRPr="00641874" w:rsidRDefault="00C3701E" w:rsidP="00C822D7">
      <w:pPr>
        <w:pStyle w:val="Heading3"/>
        <w:rPr>
          <w:i/>
          <w:iCs/>
        </w:rPr>
      </w:pPr>
      <w:bookmarkStart w:id="293" w:name="_Toc181081003"/>
      <w:r w:rsidRPr="00ED72D0">
        <w:t>Ngā tūtohunga o te Pakirehua Motuhake o Dilworth me ā mātou kitenga</w:t>
      </w:r>
      <w:bookmarkEnd w:id="293"/>
      <w:r w:rsidRPr="00ED72D0">
        <w:t xml:space="preserve"> </w:t>
      </w:r>
    </w:p>
    <w:p w14:paraId="1B70F750" w14:textId="4F278E0A" w:rsidR="00C3701E" w:rsidRPr="00641874" w:rsidRDefault="00C3701E" w:rsidP="00C822D7">
      <w:pPr>
        <w:pStyle w:val="Heading3"/>
        <w:rPr>
          <w:i/>
          <w:iCs/>
        </w:rPr>
      </w:pPr>
      <w:bookmarkStart w:id="294" w:name="_Toc181081004"/>
      <w:r w:rsidRPr="00ED72D0">
        <w:t xml:space="preserve">Dilworth </w:t>
      </w:r>
      <w:r w:rsidRPr="00641874">
        <w:t xml:space="preserve">Independent Inquiry’s recommendation and </w:t>
      </w:r>
      <w:r>
        <w:t>the Inquiry’s</w:t>
      </w:r>
      <w:r w:rsidRPr="00641874">
        <w:t xml:space="preserve"> observations</w:t>
      </w:r>
      <w:bookmarkEnd w:id="294"/>
    </w:p>
    <w:p w14:paraId="6F6A5A0A" w14:textId="0FD821F6" w:rsidR="00C3701E" w:rsidRPr="0094721A" w:rsidRDefault="00C3701E" w:rsidP="00F81668">
      <w:pPr>
        <w:pStyle w:val="Vol4Numberedparas"/>
        <w:ind w:left="993" w:hanging="993"/>
      </w:pPr>
      <w:r w:rsidRPr="0094721A">
        <w:t xml:space="preserve">The </w:t>
      </w:r>
      <w:r>
        <w:t xml:space="preserve">Dilworth </w:t>
      </w:r>
      <w:r w:rsidRPr="0094721A">
        <w:t xml:space="preserve">Independent Inquiry recommended that the Dilworth Trust Board consult widely and collaborate with abused former students and families and whānau of deceased former students who were or were suspected of having been abused, to identify </w:t>
      </w:r>
      <w:r>
        <w:t>the steps</w:t>
      </w:r>
      <w:r w:rsidRPr="0094721A">
        <w:t xml:space="preserve"> required to supplement the </w:t>
      </w:r>
      <w:r>
        <w:t>r</w:t>
      </w:r>
      <w:r w:rsidRPr="0094721A">
        <w:t xml:space="preserve">edress </w:t>
      </w:r>
      <w:r>
        <w:t>p</w:t>
      </w:r>
      <w:r w:rsidRPr="0094721A">
        <w:t>rogramme and to help with healing and moving forward.</w:t>
      </w:r>
      <w:r w:rsidRPr="00F81668">
        <w:rPr>
          <w:rStyle w:val="EndnoteReference"/>
        </w:rPr>
        <w:endnoteReference w:id="219"/>
      </w:r>
      <w:r w:rsidRPr="0094721A">
        <w:t xml:space="preserve"> To assist with this, </w:t>
      </w:r>
      <w:r>
        <w:t>the Inquiry</w:t>
      </w:r>
      <w:r w:rsidRPr="0094721A">
        <w:t xml:space="preserve"> offer</w:t>
      </w:r>
      <w:r>
        <w:t>s</w:t>
      </w:r>
      <w:r w:rsidRPr="0094721A">
        <w:t xml:space="preserve"> the following observations.  </w:t>
      </w:r>
    </w:p>
    <w:p w14:paraId="6996FFAD" w14:textId="77777777" w:rsidR="00C3701E" w:rsidRDefault="00C3701E">
      <w:pPr>
        <w:spacing w:after="160"/>
        <w:rPr>
          <w:rFonts w:ascii="Arial" w:eastAsiaTheme="minorEastAsia" w:hAnsi="Arial" w:cs="Arial"/>
          <w:kern w:val="2"/>
          <w:lang w:eastAsia="en-NZ"/>
          <w14:ligatures w14:val="standardContextual"/>
        </w:rPr>
      </w:pPr>
      <w:r>
        <w:br w:type="page"/>
      </w:r>
    </w:p>
    <w:p w14:paraId="5723B9D4" w14:textId="121FD0B9" w:rsidR="00C3701E" w:rsidRPr="00293AF7" w:rsidRDefault="00C3701E" w:rsidP="00293AF7">
      <w:pPr>
        <w:pStyle w:val="Vol4Numberedparas"/>
        <w:ind w:left="993" w:hanging="993"/>
      </w:pPr>
      <w:r w:rsidRPr="0094721A">
        <w:lastRenderedPageBreak/>
        <w:t xml:space="preserve">The </w:t>
      </w:r>
      <w:r>
        <w:t>redress programme</w:t>
      </w:r>
      <w:r w:rsidRPr="0094721A">
        <w:t xml:space="preserve"> </w:t>
      </w:r>
      <w:r>
        <w:t xml:space="preserve">has a number of the features </w:t>
      </w:r>
      <w:r w:rsidRPr="0094721A">
        <w:t>recommend</w:t>
      </w:r>
      <w:r>
        <w:t xml:space="preserve">ed in </w:t>
      </w:r>
      <w:r w:rsidRPr="0094721A">
        <w:t>He Purapura Ora, he Māra Tipu. It was established some eight months after He Purapura Ora, he Māra Tipu was tabled</w:t>
      </w:r>
      <w:r>
        <w:t>. This</w:t>
      </w:r>
      <w:r w:rsidRPr="0094721A">
        <w:t xml:space="preserve"> compares favourably with the Government’s lack of progress to date on developing and establishing a new, universal redress scheme. While the </w:t>
      </w:r>
      <w:r>
        <w:t xml:space="preserve">redress panel did not start making awards until March 2024 </w:t>
      </w:r>
      <w:r w:rsidRPr="0094721A">
        <w:t xml:space="preserve">for the reasons set out above, </w:t>
      </w:r>
      <w:r>
        <w:t>the Inquiry understands awards are now being made</w:t>
      </w:r>
      <w:r w:rsidRPr="0094721A">
        <w:t xml:space="preserve">. The </w:t>
      </w:r>
      <w:r>
        <w:t>panel</w:t>
      </w:r>
      <w:r w:rsidRPr="0094721A">
        <w:t xml:space="preserve"> has a very broad discretion in terms of the types of redress it may award survivors</w:t>
      </w:r>
      <w:r>
        <w:t>.</w:t>
      </w:r>
    </w:p>
    <w:p w14:paraId="52930E14" w14:textId="5C308CFD" w:rsidR="00C3701E" w:rsidRDefault="00C3701E" w:rsidP="0079433E">
      <w:pPr>
        <w:pStyle w:val="Vol4Numberedparas"/>
        <w:ind w:left="993" w:hanging="993"/>
      </w:pPr>
      <w:r w:rsidRPr="0094721A">
        <w:t xml:space="preserve">The </w:t>
      </w:r>
      <w:r>
        <w:t>redress programme’s</w:t>
      </w:r>
      <w:r w:rsidRPr="0094721A">
        <w:t xml:space="preserve"> financial redress maximums are more generous than any previous out</w:t>
      </w:r>
      <w:r>
        <w:t>-</w:t>
      </w:r>
      <w:r w:rsidRPr="0094721A">
        <w:t>of</w:t>
      </w:r>
      <w:r>
        <w:t>-</w:t>
      </w:r>
      <w:r w:rsidRPr="0094721A">
        <w:t>court scheme for survivors of abuse in care in Aotearoa</w:t>
      </w:r>
      <w:r>
        <w:t xml:space="preserve"> New Zealand</w:t>
      </w:r>
      <w:r w:rsidRPr="0094721A">
        <w:t xml:space="preserve"> and </w:t>
      </w:r>
      <w:r>
        <w:t>many</w:t>
      </w:r>
      <w:r w:rsidRPr="0094721A">
        <w:t xml:space="preserve"> of the overseas schemes </w:t>
      </w:r>
      <w:r>
        <w:t>the Inquiry</w:t>
      </w:r>
      <w:r w:rsidRPr="0094721A">
        <w:t xml:space="preserve"> considered in He Purapura Ora, he Māra Tipu</w:t>
      </w:r>
      <w:r>
        <w:t>, or that have otherwise been developed in response to situations of abuse in institutional care</w:t>
      </w:r>
      <w:r w:rsidRPr="0094721A">
        <w:t xml:space="preserve">. </w:t>
      </w:r>
    </w:p>
    <w:p w14:paraId="406AD1B7" w14:textId="74EA9B73" w:rsidR="00C3701E" w:rsidRDefault="00C3701E" w:rsidP="0079433E">
      <w:pPr>
        <w:pStyle w:val="Vol4Numberedparas"/>
        <w:ind w:left="993" w:hanging="993"/>
      </w:pPr>
      <w:r>
        <w:t>However, t</w:t>
      </w:r>
      <w:r w:rsidRPr="0094721A">
        <w:t xml:space="preserve">here was a higher maximum in the Canadian Independent Assessment Process for Indian Residential Schools for </w:t>
      </w:r>
      <w:r>
        <w:t>“</w:t>
      </w:r>
      <w:r w:rsidRPr="0094721A">
        <w:t>standard track claims</w:t>
      </w:r>
      <w:r>
        <w:t>”</w:t>
      </w:r>
      <w:r w:rsidRPr="0094721A">
        <w:t xml:space="preserve"> ($C</w:t>
      </w:r>
      <w:r>
        <w:t>A</w:t>
      </w:r>
      <w:r w:rsidRPr="0094721A">
        <w:t xml:space="preserve">275,000 or NZ$315,000), and a considerably higher maximum in the </w:t>
      </w:r>
      <w:r>
        <w:t>“</w:t>
      </w:r>
      <w:r w:rsidRPr="0094721A">
        <w:t>complex track</w:t>
      </w:r>
      <w:r>
        <w:t>”</w:t>
      </w:r>
      <w:r w:rsidRPr="0094721A">
        <w:t xml:space="preserve"> where actual income loss could be proven (up to an additional $C</w:t>
      </w:r>
      <w:r>
        <w:t>A</w:t>
      </w:r>
      <w:r w:rsidRPr="0094721A">
        <w:t>250,000 or NZD$287,000).</w:t>
      </w:r>
      <w:r w:rsidRPr="0094721A">
        <w:rPr>
          <w:rStyle w:val="EndnoteReference"/>
        </w:rPr>
        <w:endnoteReference w:id="220"/>
      </w:r>
      <w:r w:rsidRPr="0094721A">
        <w:t xml:space="preserve"> In the Irish Residential Institutions redress scheme the maximum was €300,000 (NZ$488,000), </w:t>
      </w:r>
      <w:r>
        <w:t>with</w:t>
      </w:r>
      <w:r w:rsidRPr="0094721A">
        <w:t xml:space="preserve"> discretion to award more in exceptional cases.</w:t>
      </w:r>
      <w:r w:rsidRPr="0094721A">
        <w:rPr>
          <w:rStyle w:val="EndnoteReference"/>
        </w:rPr>
        <w:endnoteReference w:id="221"/>
      </w:r>
      <w:r w:rsidRPr="0094721A">
        <w:t xml:space="preserve"> </w:t>
      </w:r>
      <w:r>
        <w:t>The</w:t>
      </w:r>
      <w:r w:rsidRPr="0094721A">
        <w:t xml:space="preserve"> amounts available in the Irish Residential Institutions redress scheme were set in 2002 and the </w:t>
      </w:r>
      <w:r>
        <w:t>individual assessment process</w:t>
      </w:r>
      <w:r w:rsidRPr="0094721A">
        <w:t xml:space="preserve"> amounts in 2007. Accordingly, higher amounts would be required today to provide similar value. </w:t>
      </w:r>
    </w:p>
    <w:p w14:paraId="2191C33A" w14:textId="77777777" w:rsidR="00C3701E" w:rsidRDefault="00C3701E" w:rsidP="0079433E">
      <w:pPr>
        <w:pStyle w:val="Vol4Numberedparas"/>
        <w:ind w:left="993" w:hanging="993"/>
      </w:pPr>
      <w:r>
        <w:t>It is the case that the standard of proof (that is, the degree to which the survivor must prove their claim) was higher in some respects in the individual assessment process than in the redress programme. For example, in the ‘standard track’ of the individual assessment process, the abuse claimed and a particular harm claimed both had to be proven on the ‘balance of probabilities’ standard. That is the standard used in civil cases in the courts. Once those matters were proven, the survivor only had to show that it was ‘plausible’ (a lower standard of proof) that the abuse caused the harm.</w:t>
      </w:r>
      <w:r>
        <w:rPr>
          <w:rStyle w:val="EndnoteReference"/>
        </w:rPr>
        <w:endnoteReference w:id="222"/>
      </w:r>
      <w:r>
        <w:t xml:space="preserve"> </w:t>
      </w:r>
    </w:p>
    <w:p w14:paraId="7F8B4E91" w14:textId="60DB9212" w:rsidR="00C3701E" w:rsidRDefault="00C3701E" w:rsidP="0079433E">
      <w:pPr>
        <w:pStyle w:val="Vol4Numberedparas"/>
        <w:ind w:left="993" w:hanging="993"/>
      </w:pPr>
      <w:r>
        <w:t>In the redress programme, the standard of proof in relation to the abuse claimed is ‘reasonable likelihood’.</w:t>
      </w:r>
      <w:r>
        <w:rPr>
          <w:rStyle w:val="EndnoteReference"/>
        </w:rPr>
        <w:endnoteReference w:id="223"/>
      </w:r>
      <w:r>
        <w:t xml:space="preserve"> It appears likely that this standard also applies to other matters relevant to determining the level of any financial redress.</w:t>
      </w:r>
      <w:r>
        <w:rPr>
          <w:rStyle w:val="EndnoteReference"/>
        </w:rPr>
        <w:endnoteReference w:id="224"/>
      </w:r>
      <w:r>
        <w:t xml:space="preserve"> ‘Reasonable likelihood’ is a lower standard than ‘balance of probabilities’ but higher than ‘plausibility’.</w:t>
      </w:r>
      <w:r>
        <w:rPr>
          <w:rStyle w:val="EndnoteReference"/>
        </w:rPr>
        <w:endnoteReference w:id="225"/>
      </w:r>
      <w:r>
        <w:t xml:space="preserve"> Also, the starting point in the redress programme is that the survivor should be believed unless there is compelling evidence to the contrary.</w:t>
      </w:r>
      <w:r>
        <w:rPr>
          <w:rStyle w:val="EndnoteReference"/>
        </w:rPr>
        <w:endnoteReference w:id="226"/>
      </w:r>
    </w:p>
    <w:p w14:paraId="1E520D95" w14:textId="4B2CE2E8" w:rsidR="00C3701E" w:rsidRPr="004E5AFA" w:rsidRDefault="00C3701E" w:rsidP="00A92551">
      <w:pPr>
        <w:pStyle w:val="Vol4Numberedparas"/>
        <w:ind w:left="993" w:hanging="851"/>
      </w:pPr>
      <w:r w:rsidRPr="004E5AFA">
        <w:t xml:space="preserve">To </w:t>
      </w:r>
      <w:r>
        <w:t>the Inquiry’s</w:t>
      </w:r>
      <w:r w:rsidRPr="004E5AFA">
        <w:t xml:space="preserve"> knowledge, there is no publicly available information regarding what standard of proof was applied in the Irish Residential Institutions redress scheme. </w:t>
      </w:r>
      <w:r>
        <w:t>However, d</w:t>
      </w:r>
      <w:r w:rsidRPr="004E5AFA">
        <w:t>ifferences between the redress programme and the Irish scheme include that, for example, the Irish scheme gave a right of audience to alleged abusers. This included the right to cross-examine survivors.</w:t>
      </w:r>
      <w:r w:rsidRPr="00A92551">
        <w:rPr>
          <w:rStyle w:val="EndnoteReference"/>
        </w:rPr>
        <w:endnoteReference w:id="227"/>
      </w:r>
      <w:r w:rsidRPr="004E5AFA">
        <w:t xml:space="preserve"> There is no such right in the redress programme</w:t>
      </w:r>
      <w:r>
        <w:t xml:space="preserve"> </w:t>
      </w:r>
      <w:r w:rsidRPr="004E5AFA">
        <w:t xml:space="preserve">for an abuser to confront a survivor. The starting point in the Dilworth Redress Programme is that the survivor is believed unless there is compelling evidence to the contrary.  </w:t>
      </w:r>
    </w:p>
    <w:p w14:paraId="4D5D25D9" w14:textId="3199E0C8" w:rsidR="00C3701E" w:rsidRDefault="00C3701E" w:rsidP="00A92551">
      <w:pPr>
        <w:pStyle w:val="Vol4Numberedparas"/>
        <w:ind w:left="993" w:hanging="993"/>
      </w:pPr>
      <w:r>
        <w:lastRenderedPageBreak/>
        <w:t>It is also the case that redress schemes for abuse generally do not provide financial payments at the same levels that potentially could be obtained through the courts if a survivor took a successful case (that is, financial payments are not intended to be compensatory).</w:t>
      </w:r>
      <w:r w:rsidRPr="00A92551">
        <w:rPr>
          <w:rStyle w:val="EndnoteReference"/>
        </w:rPr>
        <w:endnoteReference w:id="228"/>
      </w:r>
      <w:r>
        <w:t xml:space="preserve"> This is based on factors such as the lower standards of proof required in some redress schemes and what can be the less traumatising and low-cost processes that redress schemes provide compared to court processes. </w:t>
      </w:r>
    </w:p>
    <w:p w14:paraId="49516755" w14:textId="0478909A" w:rsidR="00C3701E" w:rsidRPr="004E5AFA" w:rsidRDefault="00C3701E" w:rsidP="00A92551">
      <w:pPr>
        <w:pStyle w:val="Vol4Numberedparas"/>
        <w:ind w:left="993" w:hanging="993"/>
      </w:pPr>
      <w:r w:rsidRPr="004E5AFA">
        <w:t>However, survivors overseas have generally had the option to try to obtain a higher award through the courts if they did not wish to accept an award from a redress scheme. As already mentioned, limitation and other law reform has enabled some survivors to obtain very high awards, including in Australia. Survivors here, including survivors of abuse at Dilworth School, generally do not have the same option. Unless and until survivors’ options in this regard significantly improve here so that they can be seen as comparable to Australia or other jurisdictions</w:t>
      </w:r>
      <w:r w:rsidRPr="00DC607A">
        <w:t xml:space="preserve"> Aotearoa New Zealand</w:t>
      </w:r>
      <w:r w:rsidRPr="004E5AFA">
        <w:t xml:space="preserve"> often look</w:t>
      </w:r>
      <w:r>
        <w:t>s</w:t>
      </w:r>
      <w:r w:rsidRPr="004E5AFA">
        <w:t xml:space="preserve"> to, this should be reflected in higher financial payments being available in the puretumu torowhānui scheme, and in any other out-of-court scheme which institutions choose to introduce or continue in Aotearoa New Zealand, than in overseas schemes.</w:t>
      </w:r>
    </w:p>
    <w:p w14:paraId="430EF3CD" w14:textId="57B26B21" w:rsidR="00C3701E" w:rsidRPr="0094721A" w:rsidRDefault="00C3701E" w:rsidP="00A92551">
      <w:pPr>
        <w:pStyle w:val="Vol4Numberedparas"/>
        <w:ind w:left="993" w:hanging="993"/>
      </w:pPr>
      <w:r>
        <w:t xml:space="preserve">As referred to above, the redress panel has only been making redress determinations for a few months. It is not clear what survivors’ reactions have been to determinations made. It also remains to be seen whether and how many of the financial awards made by the redress panel reach the maximums provided for in the redress programme, how the average award made compares with overseas and Aotearoa New Zealand out-of-court schemes, and what the nature and extent of non-financial redress awarded by the redress panel will be (including the extent to which that aligns with the Inquiry’s recommendations in </w:t>
      </w:r>
      <w:r w:rsidRPr="0094721A">
        <w:t>He Purapura Ora, he Māra Tipu</w:t>
      </w:r>
      <w:r>
        <w:t>).</w:t>
      </w:r>
      <w:r>
        <w:rPr>
          <w:rStyle w:val="EndnoteReference"/>
        </w:rPr>
        <w:endnoteReference w:id="229"/>
      </w:r>
      <w:r>
        <w:t xml:space="preserve"> No doubt there will be an ongoing discussion between survivors, the redress panel and Dilworth about these matters, including potentially through the independent reviews referred to above. </w:t>
      </w:r>
    </w:p>
    <w:p w14:paraId="1F08EBAA" w14:textId="77777777" w:rsidR="00C3701E" w:rsidRDefault="00C3701E">
      <w:pPr>
        <w:spacing w:after="160"/>
        <w:rPr>
          <w:rFonts w:ascii="Arial" w:hAnsi="Arial" w:cs="Arial"/>
        </w:rPr>
      </w:pPr>
      <w:r>
        <w:br w:type="page"/>
      </w:r>
    </w:p>
    <w:p w14:paraId="2B6B70B2" w14:textId="7DA0DB45" w:rsidR="00C3701E" w:rsidRDefault="00C3701E" w:rsidP="00A94AE9">
      <w:pPr>
        <w:pStyle w:val="body"/>
      </w:pPr>
      <w:r>
        <w:lastRenderedPageBreak/>
        <w:t>[Survivor quote preceding survivor profile]</w:t>
      </w:r>
    </w:p>
    <w:p w14:paraId="0272BA14" w14:textId="0659328A" w:rsidR="00C3701E" w:rsidRDefault="00C3701E" w:rsidP="00A94AE9">
      <w:pPr>
        <w:pStyle w:val="body"/>
      </w:pPr>
    </w:p>
    <w:p w14:paraId="26F47E20" w14:textId="19CC42AF" w:rsidR="00C3701E" w:rsidRDefault="00C3701E" w:rsidP="00A94AE9">
      <w:pPr>
        <w:pStyle w:val="pop-outquote"/>
        <w:rPr>
          <w:rStyle w:val="normaltextrun"/>
        </w:rPr>
      </w:pPr>
      <w:r w:rsidRPr="00A94AE9">
        <w:rPr>
          <w:rStyle w:val="normaltextrun"/>
        </w:rPr>
        <w:t>“They tried to ‘shock’ me out of being gay</w:t>
      </w:r>
      <w:r>
        <w:rPr>
          <w:rStyle w:val="normaltextrun"/>
        </w:rPr>
        <w:t>.”</w:t>
      </w:r>
    </w:p>
    <w:p w14:paraId="4C26E8D9" w14:textId="11A660E1" w:rsidR="00C3701E" w:rsidRDefault="00C3701E" w:rsidP="00362971">
      <w:pPr>
        <w:pStyle w:val="pop-outquote"/>
        <w:rPr>
          <w:rStyle w:val="normaltextrun"/>
        </w:rPr>
      </w:pPr>
      <w:r w:rsidRPr="00362971">
        <w:rPr>
          <w:rStyle w:val="normaltextrun"/>
        </w:rPr>
        <w:t>Joshy Fitzgerald</w:t>
      </w:r>
    </w:p>
    <w:p w14:paraId="36DF539B" w14:textId="535F0AF4" w:rsidR="00C3701E" w:rsidRDefault="00C3701E" w:rsidP="00362971">
      <w:pPr>
        <w:pStyle w:val="pop-outquote"/>
        <w:rPr>
          <w:rStyle w:val="normaltextrun"/>
        </w:rPr>
      </w:pPr>
      <w:r w:rsidRPr="00073E1D">
        <w:rPr>
          <w:rStyle w:val="normaltextrun"/>
          <w:rFonts w:eastAsiaTheme="majorEastAsia"/>
        </w:rPr>
        <w:t>NZ European</w:t>
      </w:r>
      <w:r>
        <w:rPr>
          <w:rStyle w:val="normaltextrun"/>
          <w:rFonts w:eastAsiaTheme="majorEastAsia"/>
        </w:rPr>
        <w:t>,</w:t>
      </w:r>
      <w:r w:rsidRPr="00073E1D">
        <w:rPr>
          <w:rStyle w:val="normaltextrun"/>
          <w:rFonts w:eastAsiaTheme="majorEastAsia"/>
        </w:rPr>
        <w:t xml:space="preserve"> </w:t>
      </w:r>
      <w:r>
        <w:rPr>
          <w:rStyle w:val="normaltextrun"/>
          <w:rFonts w:eastAsiaTheme="majorEastAsia"/>
        </w:rPr>
        <w:t>Māori (</w:t>
      </w:r>
      <w:r w:rsidRPr="00073E1D">
        <w:rPr>
          <w:rStyle w:val="normaltextrun"/>
          <w:rFonts w:eastAsiaTheme="majorEastAsia"/>
        </w:rPr>
        <w:t>Te Arawa</w:t>
      </w:r>
      <w:r>
        <w:rPr>
          <w:rStyle w:val="normaltextrun"/>
          <w:rFonts w:eastAsiaTheme="majorEastAsia"/>
        </w:rPr>
        <w:t>)</w:t>
      </w:r>
      <w:r w:rsidRPr="00073E1D">
        <w:rPr>
          <w:rStyle w:val="normaltextrun"/>
          <w:rFonts w:eastAsiaTheme="majorEastAsia"/>
          <w:color w:val="4D5156"/>
          <w:sz w:val="21"/>
          <w:szCs w:val="21"/>
          <w:shd w:val="clear" w:color="auto" w:fill="FFFFFF"/>
        </w:rPr>
        <w:t> </w:t>
      </w:r>
      <w:r w:rsidRPr="00073E1D">
        <w:rPr>
          <w:rStyle w:val="eop"/>
          <w:color w:val="4D5156"/>
          <w:sz w:val="21"/>
          <w:szCs w:val="21"/>
        </w:rPr>
        <w:t> </w:t>
      </w:r>
    </w:p>
    <w:p w14:paraId="6F37096E" w14:textId="77777777" w:rsidR="00C3701E" w:rsidRPr="00362971" w:rsidRDefault="00C3701E" w:rsidP="00362971">
      <w:pPr>
        <w:pStyle w:val="pop-outquote"/>
        <w:rPr>
          <w:rFonts w:eastAsiaTheme="majorEastAsia"/>
        </w:rPr>
      </w:pPr>
    </w:p>
    <w:p w14:paraId="4F8602AE" w14:textId="77777777" w:rsidR="00C3701E" w:rsidRDefault="00C3701E" w:rsidP="006D7E44">
      <w:pPr>
        <w:pStyle w:val="Heading1"/>
        <w:rPr>
          <w:lang w:val="pt-BR"/>
        </w:rPr>
      </w:pPr>
      <w:bookmarkStart w:id="295" w:name="_Toc65885503"/>
      <w:bookmarkStart w:id="296" w:name="_Toc2053310981"/>
      <w:bookmarkStart w:id="297" w:name="_Toc181081005"/>
      <w:r w:rsidRPr="02397200">
        <w:rPr>
          <w:lang w:val="pt-BR"/>
        </w:rPr>
        <w:t>Ngā wheako o te purapura ora</w:t>
      </w:r>
      <w:bookmarkEnd w:id="295"/>
      <w:bookmarkEnd w:id="296"/>
      <w:bookmarkEnd w:id="297"/>
      <w:r w:rsidRPr="02397200">
        <w:rPr>
          <w:lang w:val="pt-BR"/>
        </w:rPr>
        <w:t xml:space="preserve"> </w:t>
      </w:r>
    </w:p>
    <w:p w14:paraId="123CC79B" w14:textId="6B9F8D1D" w:rsidR="00C3701E" w:rsidRPr="00E06E95" w:rsidRDefault="00C3701E" w:rsidP="006B4C05">
      <w:pPr>
        <w:pStyle w:val="Heading1"/>
      </w:pPr>
      <w:bookmarkStart w:id="298" w:name="_Toc2134321130"/>
      <w:bookmarkStart w:id="299" w:name="_Toc812188381"/>
      <w:bookmarkStart w:id="300" w:name="_Toc181081006"/>
      <w:r w:rsidRPr="00E06E95">
        <w:t xml:space="preserve">Survivor experience: </w:t>
      </w:r>
      <w:bookmarkEnd w:id="298"/>
      <w:bookmarkEnd w:id="299"/>
      <w:r w:rsidRPr="00E06E95">
        <w:t>Joshy Fitzgerald</w:t>
      </w:r>
      <w:bookmarkEnd w:id="300"/>
      <w:r w:rsidRPr="00E06E95">
        <w:t xml:space="preserve"> </w:t>
      </w:r>
    </w:p>
    <w:p w14:paraId="28EA7E0A" w14:textId="77777777" w:rsidR="00C3701E" w:rsidRPr="003E24CA" w:rsidRDefault="00C3701E" w:rsidP="003E24CA">
      <w:pPr>
        <w:pStyle w:val="paragraph"/>
        <w:spacing w:before="0" w:beforeAutospacing="0" w:after="200" w:afterAutospacing="0" w:line="276" w:lineRule="auto"/>
        <w:textAlignment w:val="baseline"/>
        <w:rPr>
          <w:rFonts w:ascii="Arial" w:hAnsi="Arial" w:cs="Arial"/>
          <w:sz w:val="22"/>
          <w:szCs w:val="22"/>
        </w:rPr>
      </w:pPr>
      <w:r w:rsidRPr="003E24CA">
        <w:rPr>
          <w:rStyle w:val="normaltextrun"/>
          <w:rFonts w:ascii="Arial" w:eastAsiaTheme="majorEastAsia" w:hAnsi="Arial" w:cs="Arial"/>
          <w:b/>
          <w:bCs/>
          <w:sz w:val="22"/>
          <w:szCs w:val="22"/>
        </w:rPr>
        <w:t>Age when entered care</w:t>
      </w:r>
      <w:r w:rsidRPr="003E24CA">
        <w:rPr>
          <w:rStyle w:val="normaltextrun"/>
          <w:rFonts w:ascii="Arial" w:eastAsiaTheme="majorEastAsia" w:hAnsi="Arial" w:cs="Arial"/>
          <w:sz w:val="22"/>
          <w:szCs w:val="22"/>
        </w:rPr>
        <w:t xml:space="preserve"> 14 years old</w:t>
      </w:r>
      <w:r w:rsidRPr="003E24CA">
        <w:rPr>
          <w:rStyle w:val="eop"/>
          <w:rFonts w:ascii="Arial" w:hAnsi="Arial" w:cs="Arial"/>
          <w:color w:val="D13438"/>
          <w:sz w:val="22"/>
          <w:szCs w:val="22"/>
        </w:rPr>
        <w:t> </w:t>
      </w:r>
    </w:p>
    <w:p w14:paraId="46F207DF" w14:textId="77777777" w:rsidR="00C3701E" w:rsidRPr="003E24CA" w:rsidRDefault="00C3701E" w:rsidP="003E24CA">
      <w:pPr>
        <w:pStyle w:val="paragraph"/>
        <w:spacing w:before="0" w:beforeAutospacing="0" w:after="200" w:afterAutospacing="0" w:line="276" w:lineRule="auto"/>
        <w:textAlignment w:val="baseline"/>
        <w:rPr>
          <w:rFonts w:ascii="Arial" w:hAnsi="Arial" w:cs="Arial"/>
          <w:sz w:val="22"/>
          <w:szCs w:val="22"/>
        </w:rPr>
      </w:pPr>
      <w:r w:rsidRPr="003E24CA">
        <w:rPr>
          <w:rStyle w:val="normaltextrun"/>
          <w:rFonts w:ascii="Arial" w:eastAsiaTheme="majorEastAsia" w:hAnsi="Arial" w:cs="Arial"/>
          <w:b/>
          <w:bCs/>
          <w:sz w:val="22"/>
          <w:szCs w:val="22"/>
        </w:rPr>
        <w:t>Year of birth</w:t>
      </w:r>
      <w:r w:rsidRPr="00073E1D">
        <w:rPr>
          <w:rStyle w:val="normaltextrun"/>
          <w:rFonts w:ascii="Arial" w:eastAsiaTheme="majorEastAsia" w:hAnsi="Arial" w:cs="Arial"/>
          <w:b/>
          <w:bCs/>
          <w:color w:val="D13438"/>
          <w:sz w:val="22"/>
          <w:szCs w:val="22"/>
        </w:rPr>
        <w:t xml:space="preserve"> </w:t>
      </w:r>
      <w:r w:rsidRPr="003E24CA">
        <w:rPr>
          <w:rStyle w:val="normaltextrun"/>
          <w:rFonts w:ascii="Arial" w:eastAsiaTheme="majorEastAsia" w:hAnsi="Arial" w:cs="Arial"/>
          <w:sz w:val="22"/>
          <w:szCs w:val="22"/>
        </w:rPr>
        <w:t>1969 </w:t>
      </w:r>
    </w:p>
    <w:p w14:paraId="6F52B117" w14:textId="6FCFD1AF" w:rsidR="00C3701E" w:rsidRPr="003E24CA" w:rsidRDefault="00C3701E" w:rsidP="003E24CA">
      <w:pPr>
        <w:pStyle w:val="paragraph"/>
        <w:spacing w:before="0" w:beforeAutospacing="0" w:after="200" w:afterAutospacing="0" w:line="276" w:lineRule="auto"/>
        <w:textAlignment w:val="baseline"/>
        <w:rPr>
          <w:rFonts w:ascii="Arial" w:hAnsi="Arial" w:cs="Arial"/>
          <w:sz w:val="22"/>
          <w:szCs w:val="22"/>
        </w:rPr>
      </w:pPr>
      <w:r w:rsidRPr="003E24CA">
        <w:rPr>
          <w:rStyle w:val="normaltextrun"/>
          <w:rFonts w:ascii="Arial" w:eastAsiaTheme="majorEastAsia" w:hAnsi="Arial" w:cs="Arial"/>
          <w:b/>
          <w:bCs/>
          <w:sz w:val="22"/>
          <w:szCs w:val="22"/>
        </w:rPr>
        <w:t>Hometown</w:t>
      </w:r>
      <w:r w:rsidRPr="003E24CA">
        <w:rPr>
          <w:rStyle w:val="normaltextrun"/>
          <w:rFonts w:ascii="Arial" w:eastAsiaTheme="majorEastAsia" w:hAnsi="Arial" w:cs="Arial"/>
          <w:sz w:val="22"/>
          <w:szCs w:val="22"/>
        </w:rPr>
        <w:t xml:space="preserve"> Tāmaki Makaurau Auckland</w:t>
      </w:r>
      <w:r w:rsidRPr="003E24CA">
        <w:rPr>
          <w:rStyle w:val="eop"/>
          <w:rFonts w:ascii="Arial" w:hAnsi="Arial" w:cs="Arial"/>
          <w:sz w:val="22"/>
          <w:szCs w:val="22"/>
        </w:rPr>
        <w:t> </w:t>
      </w:r>
    </w:p>
    <w:p w14:paraId="5260AE53" w14:textId="77777777" w:rsidR="00C3701E" w:rsidRPr="003E24CA" w:rsidRDefault="00C3701E" w:rsidP="003E24CA">
      <w:pPr>
        <w:pStyle w:val="paragraph"/>
        <w:spacing w:before="0" w:beforeAutospacing="0" w:after="200" w:afterAutospacing="0" w:line="276" w:lineRule="auto"/>
        <w:textAlignment w:val="baseline"/>
        <w:rPr>
          <w:rFonts w:ascii="Arial" w:hAnsi="Arial" w:cs="Arial"/>
          <w:sz w:val="22"/>
          <w:szCs w:val="22"/>
        </w:rPr>
      </w:pPr>
      <w:r w:rsidRPr="003E24CA">
        <w:rPr>
          <w:rStyle w:val="normaltextrun"/>
          <w:rFonts w:ascii="Arial" w:eastAsiaTheme="majorEastAsia" w:hAnsi="Arial" w:cs="Arial"/>
          <w:b/>
          <w:bCs/>
          <w:sz w:val="22"/>
          <w:szCs w:val="22"/>
        </w:rPr>
        <w:t>Time in care</w:t>
      </w:r>
      <w:r w:rsidRPr="003E24CA">
        <w:rPr>
          <w:rStyle w:val="normaltextrun"/>
          <w:rFonts w:ascii="Arial" w:eastAsiaTheme="majorEastAsia" w:hAnsi="Arial" w:cs="Arial"/>
          <w:sz w:val="22"/>
          <w:szCs w:val="22"/>
        </w:rPr>
        <w:t xml:space="preserve"> 1983–1985</w:t>
      </w:r>
      <w:r w:rsidRPr="003E24CA">
        <w:rPr>
          <w:rStyle w:val="eop"/>
          <w:rFonts w:ascii="Arial" w:hAnsi="Arial" w:cs="Arial"/>
          <w:sz w:val="22"/>
          <w:szCs w:val="22"/>
        </w:rPr>
        <w:t> </w:t>
      </w:r>
    </w:p>
    <w:p w14:paraId="620C8070" w14:textId="51DE0137" w:rsidR="00C3701E" w:rsidRPr="003E24CA" w:rsidRDefault="00C3701E" w:rsidP="003E24CA">
      <w:pPr>
        <w:pStyle w:val="paragraph"/>
        <w:spacing w:before="0" w:beforeAutospacing="0" w:after="200" w:afterAutospacing="0" w:line="276" w:lineRule="auto"/>
        <w:textAlignment w:val="baseline"/>
        <w:rPr>
          <w:rFonts w:ascii="Arial" w:hAnsi="Arial" w:cs="Arial"/>
          <w:sz w:val="22"/>
          <w:szCs w:val="22"/>
        </w:rPr>
      </w:pPr>
      <w:r w:rsidRPr="003E24CA">
        <w:rPr>
          <w:rStyle w:val="normaltextrun"/>
          <w:rFonts w:ascii="Arial" w:eastAsiaTheme="majorEastAsia" w:hAnsi="Arial" w:cs="Arial"/>
          <w:b/>
          <w:bCs/>
          <w:sz w:val="22"/>
          <w:szCs w:val="22"/>
        </w:rPr>
        <w:t>Type of care facility</w:t>
      </w:r>
      <w:r w:rsidRPr="003E24CA">
        <w:rPr>
          <w:rStyle w:val="normaltextrun"/>
          <w:rFonts w:ascii="Arial" w:eastAsiaTheme="majorEastAsia" w:hAnsi="Arial" w:cs="Arial"/>
          <w:sz w:val="22"/>
          <w:szCs w:val="22"/>
        </w:rPr>
        <w:t xml:space="preserve"> Boys’ home – Hamilton Boys’ Home in </w:t>
      </w:r>
      <w:r w:rsidRPr="003E24CA">
        <w:rPr>
          <w:rStyle w:val="normaltextrun"/>
          <w:rFonts w:ascii="Arial" w:eastAsia="Arial" w:hAnsi="Arial" w:cs="Arial"/>
          <w:color w:val="000000"/>
          <w:sz w:val="22"/>
          <w:szCs w:val="22"/>
          <w:shd w:val="clear" w:color="auto" w:fill="FFFFFF"/>
          <w:lang w:val="mi-NZ"/>
        </w:rPr>
        <w:t>Kirikiriroa Hamilton</w:t>
      </w:r>
      <w:r w:rsidRPr="003E24CA">
        <w:rPr>
          <w:rStyle w:val="normaltextrun"/>
          <w:rFonts w:ascii="Arial" w:eastAsiaTheme="majorEastAsia" w:hAnsi="Arial" w:cs="Arial"/>
          <w:sz w:val="22"/>
          <w:szCs w:val="22"/>
        </w:rPr>
        <w:t>; psychiatric hospital – Tokanui P</w:t>
      </w:r>
      <w:r w:rsidRPr="003E24CA">
        <w:rPr>
          <w:rStyle w:val="normaltextrun"/>
          <w:rFonts w:ascii="Arial" w:eastAsiaTheme="majorEastAsia" w:hAnsi="Arial" w:cs="Arial"/>
          <w:color w:val="000000"/>
          <w:sz w:val="22"/>
          <w:szCs w:val="22"/>
          <w:shd w:val="clear" w:color="auto" w:fill="FFFFFF"/>
        </w:rPr>
        <w:t>sychiatric Hospital l</w:t>
      </w:r>
      <w:r w:rsidRPr="003E24CA">
        <w:rPr>
          <w:rStyle w:val="normaltextrun"/>
          <w:rFonts w:ascii="Arial" w:eastAsia="Arial" w:hAnsi="Arial" w:cs="Arial"/>
          <w:color w:val="000000"/>
          <w:sz w:val="22"/>
          <w:szCs w:val="22"/>
          <w:shd w:val="clear" w:color="auto" w:fill="FFFFFF"/>
        </w:rPr>
        <w:t>ocated south of</w:t>
      </w:r>
      <w:r w:rsidRPr="003E24CA">
        <w:rPr>
          <w:rStyle w:val="normaltextrun"/>
          <w:rFonts w:ascii="Arial" w:eastAsia="Arial" w:hAnsi="Arial" w:cs="Arial"/>
          <w:color w:val="000000"/>
          <w:sz w:val="22"/>
          <w:szCs w:val="22"/>
          <w:shd w:val="clear" w:color="auto" w:fill="FFFFFF"/>
          <w:lang w:val="mi-NZ"/>
        </w:rPr>
        <w:t xml:space="preserve"> Te Awamutu</w:t>
      </w:r>
      <w:r w:rsidRPr="003E24CA">
        <w:rPr>
          <w:rStyle w:val="normaltextrun"/>
          <w:rFonts w:ascii="Arial" w:eastAsiaTheme="majorEastAsia" w:hAnsi="Arial" w:cs="Arial"/>
          <w:sz w:val="22"/>
          <w:szCs w:val="22"/>
        </w:rPr>
        <w:t>; Social Welfare family home; foster homes</w:t>
      </w:r>
      <w:r w:rsidRPr="003E24CA">
        <w:rPr>
          <w:rStyle w:val="eop"/>
          <w:rFonts w:ascii="Arial" w:hAnsi="Arial" w:cs="Arial"/>
          <w:sz w:val="22"/>
          <w:szCs w:val="22"/>
        </w:rPr>
        <w:t> </w:t>
      </w:r>
    </w:p>
    <w:p w14:paraId="14A8442C" w14:textId="077B7BCF" w:rsidR="00C3701E" w:rsidRPr="003E24CA" w:rsidRDefault="00C3701E" w:rsidP="003E24CA">
      <w:pPr>
        <w:pStyle w:val="paragraph"/>
        <w:spacing w:before="0" w:beforeAutospacing="0" w:after="200" w:afterAutospacing="0" w:line="276" w:lineRule="auto"/>
        <w:textAlignment w:val="baseline"/>
        <w:rPr>
          <w:rFonts w:ascii="Arial" w:hAnsi="Arial" w:cs="Arial"/>
          <w:sz w:val="22"/>
          <w:szCs w:val="22"/>
        </w:rPr>
      </w:pPr>
      <w:r w:rsidRPr="003E24CA">
        <w:rPr>
          <w:rStyle w:val="normaltextrun"/>
          <w:rFonts w:ascii="Arial" w:eastAsiaTheme="majorEastAsia" w:hAnsi="Arial" w:cs="Arial"/>
          <w:b/>
          <w:bCs/>
          <w:sz w:val="22"/>
          <w:szCs w:val="22"/>
        </w:rPr>
        <w:t>Ethnicity</w:t>
      </w:r>
      <w:r w:rsidRPr="003E24CA">
        <w:rPr>
          <w:rStyle w:val="normaltextrun"/>
          <w:rFonts w:ascii="Arial" w:eastAsiaTheme="majorEastAsia" w:hAnsi="Arial" w:cs="Arial"/>
          <w:sz w:val="22"/>
          <w:szCs w:val="22"/>
        </w:rPr>
        <w:t xml:space="preserve"> NZ </w:t>
      </w:r>
      <w:r w:rsidRPr="008E2FC7">
        <w:rPr>
          <w:rStyle w:val="normaltextrun"/>
          <w:rFonts w:ascii="Arial" w:eastAsiaTheme="majorEastAsia" w:hAnsi="Arial" w:cs="Arial"/>
          <w:color w:val="000000"/>
          <w:sz w:val="22"/>
          <w:szCs w:val="22"/>
          <w:shd w:val="clear" w:color="auto" w:fill="FFFFFF"/>
        </w:rPr>
        <w:t>European, Māori (Te Arawa)</w:t>
      </w:r>
    </w:p>
    <w:p w14:paraId="164C0CA6" w14:textId="77777777" w:rsidR="00C3701E" w:rsidRPr="003E24CA" w:rsidRDefault="00C3701E" w:rsidP="003E24CA">
      <w:pPr>
        <w:pStyle w:val="paragraph"/>
        <w:spacing w:before="0" w:beforeAutospacing="0" w:after="200" w:afterAutospacing="0" w:line="276" w:lineRule="auto"/>
        <w:textAlignment w:val="baseline"/>
        <w:rPr>
          <w:rFonts w:ascii="Arial" w:hAnsi="Arial" w:cs="Arial"/>
          <w:sz w:val="22"/>
          <w:szCs w:val="22"/>
        </w:rPr>
      </w:pPr>
      <w:r w:rsidRPr="003E24CA">
        <w:rPr>
          <w:rStyle w:val="normaltextrun"/>
          <w:rFonts w:ascii="Arial" w:eastAsiaTheme="majorEastAsia" w:hAnsi="Arial" w:cs="Arial"/>
          <w:b/>
          <w:bCs/>
          <w:sz w:val="22"/>
          <w:szCs w:val="22"/>
        </w:rPr>
        <w:t>Whānau background</w:t>
      </w:r>
      <w:r w:rsidRPr="003E24CA">
        <w:rPr>
          <w:rStyle w:val="normaltextrun"/>
          <w:rFonts w:ascii="Arial" w:eastAsiaTheme="majorEastAsia" w:hAnsi="Arial" w:cs="Arial"/>
          <w:sz w:val="22"/>
          <w:szCs w:val="22"/>
        </w:rPr>
        <w:t xml:space="preserve"> One of eight kids; other siblings also went into care. Dad left when Joshy was 4 years old, and his mum remarried when he was around 5 or 6 years old.  </w:t>
      </w:r>
      <w:r w:rsidRPr="003E24CA">
        <w:rPr>
          <w:rStyle w:val="eop"/>
          <w:rFonts w:ascii="Arial" w:hAnsi="Arial" w:cs="Arial"/>
          <w:sz w:val="22"/>
          <w:szCs w:val="22"/>
        </w:rPr>
        <w:t> </w:t>
      </w:r>
    </w:p>
    <w:p w14:paraId="017239CE" w14:textId="68546C5F" w:rsidR="00C3701E" w:rsidRPr="003E24CA" w:rsidRDefault="00C3701E" w:rsidP="003E24CA">
      <w:pPr>
        <w:spacing w:after="200" w:line="276" w:lineRule="auto"/>
        <w:rPr>
          <w:rStyle w:val="normaltextrun"/>
          <w:rFonts w:ascii="Arial" w:eastAsia="Times New Roman" w:hAnsi="Arial" w:cs="Arial"/>
          <w:lang w:eastAsia="en-NZ"/>
        </w:rPr>
      </w:pPr>
    </w:p>
    <w:p w14:paraId="6B57A22C" w14:textId="77777777" w:rsidR="00C3701E" w:rsidRPr="00073E1D" w:rsidRDefault="00C3701E" w:rsidP="003E24CA">
      <w:pPr>
        <w:spacing w:after="200" w:line="276" w:lineRule="auto"/>
        <w:rPr>
          <w:rFonts w:ascii="Arial" w:hAnsi="Arial" w:cs="Arial"/>
        </w:rPr>
      </w:pPr>
      <w:r w:rsidRPr="00073E1D">
        <w:rPr>
          <w:rFonts w:ascii="Arial" w:hAnsi="Arial" w:cs="Arial"/>
        </w:rPr>
        <w:t>I was a bit of a black sheep in my family growing up and was beaten constantly. There were times I couldn’t walk because my legs would be black and blue from bruises. It wasn’t a good childhood.</w:t>
      </w:r>
    </w:p>
    <w:p w14:paraId="1BF56DEB" w14:textId="136373D7" w:rsidR="00C3701E" w:rsidRPr="00073E1D" w:rsidRDefault="00C3701E" w:rsidP="003E24CA">
      <w:pPr>
        <w:spacing w:after="200" w:line="276" w:lineRule="auto"/>
        <w:rPr>
          <w:rFonts w:ascii="Arial" w:hAnsi="Arial" w:cs="Arial"/>
        </w:rPr>
      </w:pPr>
      <w:r w:rsidRPr="00073E1D">
        <w:rPr>
          <w:rFonts w:ascii="Arial" w:hAnsi="Arial" w:cs="Arial"/>
        </w:rPr>
        <w:t>I became a State ward and was initially placed in Hamilton Boys’ Home aged 14 years old. Some staff treated me okay, some didn’t. The staff who did the showers and night shifts were the creepy ones. There was sexual abuse at night, after we’d gone to bed when the staff would come to check on us. I’m sure everyone knew what was going on, but no one said anything.</w:t>
      </w:r>
    </w:p>
    <w:p w14:paraId="3186A005" w14:textId="70AF6285" w:rsidR="00C3701E" w:rsidRPr="00073E1D" w:rsidRDefault="00C3701E" w:rsidP="003E24CA">
      <w:pPr>
        <w:spacing w:after="200" w:line="276" w:lineRule="auto"/>
        <w:rPr>
          <w:rStyle w:val="eop"/>
          <w:rFonts w:ascii="Arial" w:hAnsi="Arial" w:cs="Arial"/>
          <w:color w:val="000000"/>
          <w:shd w:val="clear" w:color="auto" w:fill="FFFFFF"/>
        </w:rPr>
      </w:pPr>
      <w:r w:rsidRPr="00073E1D">
        <w:rPr>
          <w:rStyle w:val="normaltextrun"/>
          <w:rFonts w:ascii="Arial" w:hAnsi="Arial" w:cs="Arial"/>
          <w:color w:val="000000"/>
          <w:shd w:val="clear" w:color="auto" w:fill="FFFFFF"/>
        </w:rPr>
        <w:t>They always preyed on the quiet ones like me. Never the rowdy ones who would make a scene.</w:t>
      </w:r>
    </w:p>
    <w:p w14:paraId="14B5BCE1" w14:textId="24322694" w:rsidR="00C3701E" w:rsidRPr="00073E1D" w:rsidRDefault="00C3701E" w:rsidP="003E24CA">
      <w:pPr>
        <w:spacing w:after="200" w:line="276" w:lineRule="auto"/>
        <w:rPr>
          <w:rFonts w:ascii="Arial" w:hAnsi="Arial" w:cs="Arial"/>
        </w:rPr>
      </w:pPr>
      <w:r w:rsidRPr="00073E1D">
        <w:rPr>
          <w:rFonts w:ascii="Arial" w:hAnsi="Arial" w:cs="Arial"/>
        </w:rPr>
        <w:t>I told a staff member about it once, and I think he believed me, but nothing ever happened. I thought, what’s the point, so I didn’t tell anyone else after that.</w:t>
      </w:r>
    </w:p>
    <w:p w14:paraId="00B66061" w14:textId="77777777" w:rsidR="00C3701E" w:rsidRDefault="00C3701E">
      <w:pPr>
        <w:spacing w:after="160"/>
        <w:rPr>
          <w:rFonts w:ascii="Arial" w:hAnsi="Arial" w:cs="Arial"/>
        </w:rPr>
      </w:pPr>
      <w:r>
        <w:rPr>
          <w:rFonts w:ascii="Arial" w:hAnsi="Arial" w:cs="Arial"/>
        </w:rPr>
        <w:br w:type="page"/>
      </w:r>
    </w:p>
    <w:p w14:paraId="1B1BCE25" w14:textId="62AC228D" w:rsidR="00C3701E" w:rsidRPr="00073E1D" w:rsidRDefault="00C3701E" w:rsidP="003E24CA">
      <w:pPr>
        <w:spacing w:after="200" w:line="276" w:lineRule="auto"/>
        <w:rPr>
          <w:rFonts w:ascii="Arial" w:hAnsi="Arial" w:cs="Arial"/>
        </w:rPr>
      </w:pPr>
      <w:r w:rsidRPr="00073E1D">
        <w:rPr>
          <w:rFonts w:ascii="Arial" w:hAnsi="Arial" w:cs="Arial"/>
        </w:rPr>
        <w:lastRenderedPageBreak/>
        <w:t>It wasn’t long before they sent me to Tokanui Hospital. That happened after I tried to set fire to a doctor’s surgery in Rotorua. I’d been sent back home and I didn’t want to be there – I wanted to go back to the boys’ home, because I didn’t get beaten there. But nobody talked to me about what was happening or how long I was going to be there. Social workers never contacted me or came to see me.</w:t>
      </w:r>
    </w:p>
    <w:p w14:paraId="14C02315" w14:textId="2F7F7775" w:rsidR="00C3701E" w:rsidRPr="00073E1D" w:rsidRDefault="00C3701E" w:rsidP="003E24CA">
      <w:pPr>
        <w:spacing w:after="200" w:line="276" w:lineRule="auto"/>
        <w:rPr>
          <w:rFonts w:ascii="Arial" w:hAnsi="Arial" w:cs="Arial"/>
        </w:rPr>
      </w:pPr>
      <w:r w:rsidRPr="00073E1D">
        <w:rPr>
          <w:rFonts w:ascii="Arial" w:hAnsi="Arial" w:cs="Arial"/>
        </w:rPr>
        <w:t>I was a scared little kid. I felt like I didn’t belong in there. I felt I was being punished for my behaviour, but I didn’t know what I had done. I knew being in Tokanui wasn’t going to be good for my mental health in the long run. I started running away, but I’d get picked up and taken back, and put into seclusion. Complaining to police about the abuse wasn’t an option – I knew nobody was going to believe me anyway.</w:t>
      </w:r>
    </w:p>
    <w:p w14:paraId="2A0E949A" w14:textId="77777777" w:rsidR="00C3701E" w:rsidRPr="00073E1D" w:rsidRDefault="00C3701E" w:rsidP="003E24CA">
      <w:pPr>
        <w:spacing w:after="200" w:line="276" w:lineRule="auto"/>
        <w:rPr>
          <w:rFonts w:ascii="Arial" w:hAnsi="Arial" w:cs="Arial"/>
        </w:rPr>
      </w:pPr>
      <w:r w:rsidRPr="00073E1D">
        <w:rPr>
          <w:rFonts w:ascii="Arial" w:hAnsi="Arial" w:cs="Arial"/>
        </w:rPr>
        <w:t>They gave me electric shocks at Tokanui because I was gay. I remember asking, “Where are you taking me?” The male nurse said, “We’ve got to get this gay out of you.” I said, “Well, it’s not something that I choose to be.”</w:t>
      </w:r>
    </w:p>
    <w:p w14:paraId="0C67A5B9" w14:textId="250A1957" w:rsidR="00C3701E" w:rsidRPr="00073E1D" w:rsidRDefault="00C3701E" w:rsidP="003E24CA">
      <w:pPr>
        <w:spacing w:after="200" w:line="276" w:lineRule="auto"/>
        <w:rPr>
          <w:rFonts w:ascii="Arial" w:hAnsi="Arial" w:cs="Arial"/>
        </w:rPr>
      </w:pPr>
      <w:r w:rsidRPr="00073E1D">
        <w:rPr>
          <w:rFonts w:ascii="Arial" w:hAnsi="Arial" w:cs="Arial"/>
        </w:rPr>
        <w:t>That was it. Nobody ever talked to me about being diagnosed with anything. It was just when I mentioned I was gay that everything changed, and I got three sessions of electric shocks and then nothing was ever said.</w:t>
      </w:r>
    </w:p>
    <w:p w14:paraId="7F4D7282" w14:textId="4942DC4C" w:rsidR="00C3701E" w:rsidRPr="00073E1D" w:rsidRDefault="00C3701E" w:rsidP="003E24CA">
      <w:pPr>
        <w:spacing w:after="200" w:line="276" w:lineRule="auto"/>
        <w:rPr>
          <w:rFonts w:ascii="Arial" w:hAnsi="Arial" w:cs="Arial"/>
        </w:rPr>
      </w:pPr>
      <w:r w:rsidRPr="00073E1D">
        <w:rPr>
          <w:rFonts w:ascii="Arial" w:hAnsi="Arial" w:cs="Arial"/>
        </w:rPr>
        <w:t>The staff treated me differently because of my sexuality – they’d call me names. Some of the nurses would call me a faggot, like, “Go to bed, go have a shower, you faggot.” They were extremely homophobic.</w:t>
      </w:r>
    </w:p>
    <w:p w14:paraId="592EF04B" w14:textId="62469805" w:rsidR="00C3701E" w:rsidRPr="00073E1D" w:rsidRDefault="00C3701E" w:rsidP="003E24CA">
      <w:pPr>
        <w:spacing w:after="200" w:line="276" w:lineRule="auto"/>
        <w:rPr>
          <w:rFonts w:ascii="Arial" w:hAnsi="Arial" w:cs="Arial"/>
        </w:rPr>
      </w:pPr>
      <w:r w:rsidRPr="00073E1D">
        <w:rPr>
          <w:rFonts w:ascii="Arial" w:hAnsi="Arial" w:cs="Arial"/>
        </w:rPr>
        <w:t>I was sexually abused at Tokanui. It was constant – every night, a male staff member would come in, then a couple of hours later, another would come in. Sometimes I’d sleep under the bed, because I thought if they didn’t see me in bed when they opened the door, they might go away.</w:t>
      </w:r>
    </w:p>
    <w:p w14:paraId="78C54BE1" w14:textId="6AD40166" w:rsidR="00C3701E" w:rsidRPr="00073E1D" w:rsidRDefault="00C3701E" w:rsidP="003E24CA">
      <w:pPr>
        <w:spacing w:after="200" w:line="276" w:lineRule="auto"/>
        <w:rPr>
          <w:rFonts w:ascii="Arial" w:hAnsi="Arial" w:cs="Arial"/>
        </w:rPr>
      </w:pPr>
      <w:r w:rsidRPr="00073E1D">
        <w:rPr>
          <w:rFonts w:ascii="Arial" w:hAnsi="Arial" w:cs="Arial"/>
        </w:rPr>
        <w:t>I was raped by another patient there, and I got really upset about it, so the staff drugged me up to calm me down and I was out of it for about three days. That was it – it was never mentioned again.</w:t>
      </w:r>
    </w:p>
    <w:p w14:paraId="43FCE063" w14:textId="1C0AF133" w:rsidR="00C3701E" w:rsidRPr="00073E1D" w:rsidRDefault="00C3701E" w:rsidP="003E24CA">
      <w:pPr>
        <w:spacing w:after="200" w:line="276" w:lineRule="auto"/>
        <w:rPr>
          <w:rFonts w:ascii="Arial" w:hAnsi="Arial" w:cs="Arial"/>
        </w:rPr>
      </w:pPr>
      <w:r w:rsidRPr="00073E1D">
        <w:rPr>
          <w:rFonts w:ascii="Arial" w:hAnsi="Arial" w:cs="Arial"/>
        </w:rPr>
        <w:t>I think I was an easy target because I had no one to tell, and the staff wouldn’t listen. The staff at Tokanui didn’t like any trouble. If you started up, they’d bring you medicine or give you an injection. I started rebelling and got injections at night. I didn’t know what it was, but I’d sleep for hours and be really dozy when I woke up.</w:t>
      </w:r>
    </w:p>
    <w:p w14:paraId="5739144C" w14:textId="77777777" w:rsidR="00C3701E" w:rsidRPr="00073E1D" w:rsidRDefault="00C3701E" w:rsidP="003E24CA">
      <w:pPr>
        <w:spacing w:after="200" w:line="276" w:lineRule="auto"/>
        <w:rPr>
          <w:rFonts w:ascii="Arial" w:hAnsi="Arial" w:cs="Arial"/>
        </w:rPr>
      </w:pPr>
      <w:r w:rsidRPr="00073E1D">
        <w:rPr>
          <w:rFonts w:ascii="Arial" w:hAnsi="Arial" w:cs="Arial"/>
        </w:rPr>
        <w:t xml:space="preserve">After Tokanui I went to a Social Welfare family home and was abused there by the husband. I understand he was later arrested for sexually abusing children. He’d threaten me each time he sexually abused me, telling me I’d be locked up, I’d be taken back to Tokanui. </w:t>
      </w:r>
    </w:p>
    <w:p w14:paraId="43CC9BC0" w14:textId="77777777" w:rsidR="00C3701E" w:rsidRPr="00073E1D" w:rsidRDefault="00C3701E" w:rsidP="003E24CA">
      <w:pPr>
        <w:spacing w:after="200" w:line="276" w:lineRule="auto"/>
        <w:rPr>
          <w:rFonts w:ascii="Arial" w:hAnsi="Arial" w:cs="Arial"/>
        </w:rPr>
      </w:pPr>
      <w:r w:rsidRPr="00073E1D">
        <w:rPr>
          <w:rFonts w:ascii="Arial" w:hAnsi="Arial" w:cs="Arial"/>
        </w:rPr>
        <w:t>I ended up in foster homes too, just a constant back-and-forth between the boys’ home, foster homes, my mum’s place. Once I was 16 years old, I went back to my mum’s and she had my suitcases packed and was standing out the front of the house. I was just dumped off at a social worker’s place in Rotorua. I never heard from Social Welfare again once I turned 16 years old.</w:t>
      </w:r>
    </w:p>
    <w:p w14:paraId="1B7FDD0F" w14:textId="5D4430A4" w:rsidR="00C3701E" w:rsidRPr="00073E1D" w:rsidRDefault="00C3701E" w:rsidP="003E24CA">
      <w:pPr>
        <w:spacing w:after="200" w:line="276" w:lineRule="auto"/>
        <w:rPr>
          <w:rFonts w:ascii="Arial" w:hAnsi="Arial" w:cs="Arial"/>
        </w:rPr>
      </w:pPr>
      <w:r w:rsidRPr="00073E1D">
        <w:rPr>
          <w:rFonts w:ascii="Arial" w:hAnsi="Arial" w:cs="Arial"/>
        </w:rPr>
        <w:t>I just wanted to be somewhere that was safe.</w:t>
      </w:r>
    </w:p>
    <w:p w14:paraId="135046CB" w14:textId="7F042674" w:rsidR="00C3701E" w:rsidRPr="00073E1D" w:rsidRDefault="00C3701E" w:rsidP="003E24CA">
      <w:pPr>
        <w:spacing w:after="200" w:line="276" w:lineRule="auto"/>
        <w:rPr>
          <w:rFonts w:ascii="Arial" w:hAnsi="Arial" w:cs="Arial"/>
        </w:rPr>
      </w:pPr>
      <w:r w:rsidRPr="00073E1D">
        <w:rPr>
          <w:rFonts w:ascii="Arial" w:hAnsi="Arial" w:cs="Arial"/>
        </w:rPr>
        <w:lastRenderedPageBreak/>
        <w:t>I went to Christchurch and studied to be a pastry chef, and I’m now qualified as a chef and pastry chef. I had a really good tutor who helped me find accommodation and I got work. I went to Australia for a while too.</w:t>
      </w:r>
    </w:p>
    <w:p w14:paraId="09B89205" w14:textId="78DE30D4" w:rsidR="00C3701E" w:rsidRPr="00073E1D" w:rsidRDefault="00C3701E" w:rsidP="003E24CA">
      <w:pPr>
        <w:spacing w:after="200" w:line="276" w:lineRule="auto"/>
        <w:rPr>
          <w:rFonts w:ascii="Arial" w:hAnsi="Arial" w:cs="Arial"/>
        </w:rPr>
      </w:pPr>
      <w:r w:rsidRPr="00073E1D">
        <w:rPr>
          <w:rFonts w:ascii="Arial" w:hAnsi="Arial" w:cs="Arial"/>
        </w:rPr>
        <w:t>But the abuse has affected my relationships and my trust. I can’t let anyone touch me or hug me. I have a real fear of being hurt, so I push people away. I don’t go out – I stay by myself all the time because my health is so bad now.</w:t>
      </w:r>
    </w:p>
    <w:p w14:paraId="08C68D1B" w14:textId="3A44B4F0" w:rsidR="00C3701E" w:rsidRPr="00073E1D" w:rsidRDefault="00C3701E" w:rsidP="003E24CA">
      <w:pPr>
        <w:spacing w:after="200" w:line="276" w:lineRule="auto"/>
        <w:rPr>
          <w:rFonts w:ascii="Arial" w:hAnsi="Arial" w:cs="Arial"/>
        </w:rPr>
      </w:pPr>
      <w:r w:rsidRPr="00073E1D">
        <w:rPr>
          <w:rFonts w:ascii="Arial" w:hAnsi="Arial" w:cs="Arial"/>
        </w:rPr>
        <w:t>I believe that I contracted HIV when I was sexually abused at Tokanui, and I have full-blown AIDS now. I’m on borrowed time at the moment, anything can take me out. So, I’m just trying to cope with that. There’s a lot of stigma out there in relation to HIV and having to deal with that is a bit much sometimes.</w:t>
      </w:r>
    </w:p>
    <w:p w14:paraId="441FFCA1" w14:textId="0C412568" w:rsidR="00C3701E" w:rsidRPr="00073E1D" w:rsidRDefault="00C3701E" w:rsidP="003E24CA">
      <w:pPr>
        <w:spacing w:after="200" w:line="276" w:lineRule="auto"/>
        <w:rPr>
          <w:rFonts w:ascii="Arial" w:hAnsi="Arial" w:cs="Arial"/>
        </w:rPr>
      </w:pPr>
      <w:r w:rsidRPr="00073E1D">
        <w:rPr>
          <w:rFonts w:ascii="Arial" w:hAnsi="Arial" w:cs="Arial"/>
        </w:rPr>
        <w:t>At one point I was self-destroying – drinking and taking a lot of drugs. I had counselling, but it was hard to open up – nobody else had listened, so I wasn’t going to talk to other people, because they wouldn’t believe me.</w:t>
      </w:r>
    </w:p>
    <w:p w14:paraId="1A2B92B1" w14:textId="4E116449" w:rsidR="00C3701E" w:rsidRPr="00073E1D" w:rsidRDefault="00C3701E" w:rsidP="003E24CA">
      <w:pPr>
        <w:spacing w:after="200" w:line="276" w:lineRule="auto"/>
        <w:rPr>
          <w:rFonts w:ascii="Arial" w:hAnsi="Arial" w:cs="Arial"/>
        </w:rPr>
      </w:pPr>
      <w:r w:rsidRPr="00073E1D">
        <w:rPr>
          <w:rFonts w:ascii="Arial" w:hAnsi="Arial" w:cs="Arial"/>
        </w:rPr>
        <w:t>My neurological stuff isn’t good at the moment and I’m not sure if that’s because of the AIDS or the electric shocks. I’ve lost strength in my hands to pick things up. I’m not sure what the long-term effects of the electric shocks are.</w:t>
      </w:r>
    </w:p>
    <w:p w14:paraId="14A760DA" w14:textId="4550F69B" w:rsidR="00C3701E" w:rsidRPr="00073E1D" w:rsidRDefault="00C3701E" w:rsidP="003E24CA">
      <w:pPr>
        <w:spacing w:after="200" w:line="276" w:lineRule="auto"/>
        <w:rPr>
          <w:rFonts w:ascii="Arial" w:hAnsi="Arial" w:cs="Arial"/>
        </w:rPr>
      </w:pPr>
      <w:r w:rsidRPr="00073E1D">
        <w:rPr>
          <w:rFonts w:ascii="Arial" w:hAnsi="Arial" w:cs="Arial"/>
        </w:rPr>
        <w:t>I’ve been disconnected from my culture. I don’t go to my family marae, I just don’t feel like I belong. Māori culture never got brought up at Tokanui or the Hamilton Boys’ Home. I took a te reo course a few years ago – I wish I’d had more opportunity to learn it, that would at least give me a feeling of belonging, because I don’t feel like I belong anywhere. I feel like my innocence has been taken away.</w:t>
      </w:r>
    </w:p>
    <w:p w14:paraId="743B48C9" w14:textId="23D534A2" w:rsidR="00C3701E" w:rsidRPr="00073E1D" w:rsidRDefault="00C3701E" w:rsidP="003E24CA">
      <w:pPr>
        <w:spacing w:after="200" w:line="276" w:lineRule="auto"/>
        <w:rPr>
          <w:rFonts w:ascii="Arial" w:hAnsi="Arial" w:cs="Arial"/>
        </w:rPr>
      </w:pPr>
      <w:r w:rsidRPr="00073E1D">
        <w:rPr>
          <w:rFonts w:ascii="Arial" w:hAnsi="Arial" w:cs="Arial"/>
        </w:rPr>
        <w:t>There needs to be more support where young people can have somebody they can trust to talk to. If you’ve got someone you can trust, you know you’re not alone. As long as someone cares for our young people, that’s the main thing.</w:t>
      </w:r>
      <w:r w:rsidRPr="00073E1D">
        <w:rPr>
          <w:rStyle w:val="EndnoteReference"/>
          <w:rFonts w:cs="Arial"/>
        </w:rPr>
        <w:t xml:space="preserve"> </w:t>
      </w:r>
      <w:r w:rsidRPr="00073E1D">
        <w:rPr>
          <w:rStyle w:val="EndnoteReference"/>
          <w:rFonts w:cs="Arial"/>
        </w:rPr>
        <w:endnoteReference w:id="230"/>
      </w:r>
    </w:p>
    <w:p w14:paraId="63804810" w14:textId="0BA976A8" w:rsidR="00C3701E" w:rsidRDefault="00C3701E" w:rsidP="00B40C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0E2D33" w14:textId="0CB4717B" w:rsidR="00C3701E" w:rsidRDefault="00C3701E">
      <w:pPr>
        <w:spacing w:after="160"/>
        <w:rPr>
          <w:rFonts w:ascii="Arial" w:eastAsiaTheme="majorEastAsia" w:hAnsi="Arial" w:cstheme="majorBidi"/>
          <w:b/>
          <w:color w:val="385623" w:themeColor="accent6" w:themeShade="80"/>
          <w:sz w:val="28"/>
          <w:szCs w:val="26"/>
        </w:rPr>
      </w:pPr>
      <w:r>
        <w:br w:type="page"/>
      </w:r>
    </w:p>
    <w:p w14:paraId="00D77C3E" w14:textId="7BAC592C" w:rsidR="00C3701E" w:rsidRDefault="00C3701E" w:rsidP="00531899">
      <w:pPr>
        <w:pStyle w:val="body"/>
      </w:pPr>
      <w:r>
        <w:lastRenderedPageBreak/>
        <w:t>[Survivor quote]</w:t>
      </w:r>
    </w:p>
    <w:p w14:paraId="1DE5F368" w14:textId="19B7B187" w:rsidR="00C3701E" w:rsidRDefault="00C3701E" w:rsidP="00531899">
      <w:pPr>
        <w:pStyle w:val="body"/>
      </w:pPr>
    </w:p>
    <w:p w14:paraId="37224C3B" w14:textId="3D3B2E78" w:rsidR="00C3701E" w:rsidRDefault="00C3701E" w:rsidP="001D2085">
      <w:pPr>
        <w:pStyle w:val="pop-outquote"/>
      </w:pPr>
      <w:r>
        <w:t>“So as mōrehu (survivor) you want me to tell my story, you want me to heal myself, and really the question is, isn’t it the system that needs to be healed?”</w:t>
      </w:r>
    </w:p>
    <w:p w14:paraId="62375E69" w14:textId="4656C8DD" w:rsidR="00C3701E" w:rsidRDefault="00C3701E" w:rsidP="001D2085">
      <w:pPr>
        <w:pStyle w:val="pop-outquote"/>
      </w:pPr>
      <w:r>
        <w:t>Anonymous</w:t>
      </w:r>
    </w:p>
    <w:p w14:paraId="0A64AF30" w14:textId="726E80BE" w:rsidR="00C3701E" w:rsidRPr="00531899" w:rsidRDefault="00C3701E" w:rsidP="001D2085">
      <w:pPr>
        <w:pStyle w:val="pop-outquote"/>
      </w:pPr>
      <w:r>
        <w:t>Survivor</w:t>
      </w:r>
    </w:p>
    <w:p w14:paraId="5E49EC50" w14:textId="77777777" w:rsidR="00C3701E" w:rsidRDefault="00C3701E">
      <w:pPr>
        <w:spacing w:after="160"/>
        <w:rPr>
          <w:rFonts w:ascii="Arial" w:eastAsiaTheme="majorEastAsia" w:hAnsi="Arial" w:cstheme="majorBidi"/>
          <w:b/>
          <w:color w:val="385623" w:themeColor="accent6" w:themeShade="80"/>
          <w:sz w:val="28"/>
          <w:szCs w:val="26"/>
        </w:rPr>
      </w:pPr>
      <w:r>
        <w:br w:type="page"/>
      </w:r>
    </w:p>
    <w:p w14:paraId="227E4944" w14:textId="07334EC4" w:rsidR="00C3701E" w:rsidRPr="0094721A" w:rsidRDefault="00C3701E" w:rsidP="00C822D7">
      <w:pPr>
        <w:pStyle w:val="Heading1"/>
      </w:pPr>
      <w:bookmarkStart w:id="301" w:name="_Toc181081007"/>
      <w:r>
        <w:lastRenderedPageBreak/>
        <w:t>Ūpoko 3: Ngā whakataunga o te Kōmihana mō te whakatinanatanga o ngā tūtohunga i roto i He Purapura Ora, he Māra Tipu</w:t>
      </w:r>
      <w:bookmarkEnd w:id="301"/>
      <w:r>
        <w:t xml:space="preserve"> </w:t>
      </w:r>
    </w:p>
    <w:p w14:paraId="2A04828E" w14:textId="2C9B3092" w:rsidR="00C3701E" w:rsidRPr="0094721A" w:rsidRDefault="00C3701E" w:rsidP="00C822D7">
      <w:pPr>
        <w:pStyle w:val="Heading1"/>
      </w:pPr>
      <w:bookmarkStart w:id="302" w:name="_Toc181081008"/>
      <w:r>
        <w:t>Chapter 3:  The Inquiry’s conclusions on the implementation of the recommendations set out in He Purapura Ora, he Māra Tipu</w:t>
      </w:r>
      <w:bookmarkEnd w:id="302"/>
    </w:p>
    <w:p w14:paraId="23A10AD9" w14:textId="49C07967" w:rsidR="00C3701E" w:rsidRDefault="00C3701E" w:rsidP="006A00D0">
      <w:pPr>
        <w:pStyle w:val="Vol4Numberedparas"/>
        <w:ind w:left="993" w:hanging="993"/>
      </w:pPr>
      <w:r>
        <w:t xml:space="preserve">In 2021, the then Government amended the Inquiry’s Terms of Reference. This was on the basis that it would allow Government to receive the Inquiry’s recommendations on redress and make improvements more quickly. After receiving </w:t>
      </w:r>
      <w:r w:rsidRPr="0094721A">
        <w:t>He Purapura Ora, he Māra Tipu</w:t>
      </w:r>
      <w:r>
        <w:t xml:space="preserve"> in December 2021, the </w:t>
      </w:r>
      <w:r w:rsidRPr="0094721A">
        <w:t>Government expressed regret and</w:t>
      </w:r>
      <w:r>
        <w:t xml:space="preserve"> </w:t>
      </w:r>
      <w:r w:rsidRPr="0094721A">
        <w:t>recognise</w:t>
      </w:r>
      <w:r>
        <w:t>d</w:t>
      </w:r>
      <w:r w:rsidRPr="0094721A">
        <w:t xml:space="preserve"> a range of the problems </w:t>
      </w:r>
      <w:r>
        <w:t>set out in the Inquiry’s report</w:t>
      </w:r>
      <w:r w:rsidRPr="0094721A">
        <w:t xml:space="preserve">. </w:t>
      </w:r>
      <w:r>
        <w:t>The Government</w:t>
      </w:r>
      <w:r w:rsidRPr="0094721A">
        <w:t xml:space="preserve"> also stated that there </w:t>
      </w:r>
      <w:r>
        <w:t>was</w:t>
      </w:r>
      <w:r w:rsidRPr="0094721A">
        <w:t xml:space="preserve"> an urgent need for action. </w:t>
      </w:r>
    </w:p>
    <w:p w14:paraId="5E38845C" w14:textId="3127AAD5" w:rsidR="00C3701E" w:rsidRPr="0094721A" w:rsidRDefault="00C3701E" w:rsidP="006A00D0">
      <w:pPr>
        <w:pStyle w:val="Vol4Numberedparas"/>
        <w:ind w:left="993" w:hanging="993"/>
      </w:pPr>
      <w:r>
        <w:t xml:space="preserve">Since then, there has been </w:t>
      </w:r>
      <w:r w:rsidRPr="0094721A">
        <w:t xml:space="preserve">very little clear progress by the Government in implementing </w:t>
      </w:r>
      <w:r>
        <w:t>the Inquiry’s</w:t>
      </w:r>
      <w:r w:rsidRPr="0094721A">
        <w:t xml:space="preserve"> recommendations. Timeframes in He Purapura Ora, he Māra Tipu have not been met, and the Government has not met </w:t>
      </w:r>
      <w:r>
        <w:t xml:space="preserve">the </w:t>
      </w:r>
      <w:r w:rsidRPr="0094721A">
        <w:t xml:space="preserve">timeframes it set itself. The steps the Government has taken to date are inconsistent in important respects with </w:t>
      </w:r>
      <w:r>
        <w:t>the</w:t>
      </w:r>
      <w:r w:rsidRPr="0094721A">
        <w:t xml:space="preserve"> recommendations</w:t>
      </w:r>
      <w:r>
        <w:t xml:space="preserve"> of the Inquiry</w:t>
      </w:r>
      <w:r w:rsidRPr="0094721A">
        <w:t>.</w:t>
      </w:r>
    </w:p>
    <w:p w14:paraId="393AB3BC" w14:textId="54EA1046" w:rsidR="00C3701E" w:rsidRPr="0094721A" w:rsidRDefault="00C3701E" w:rsidP="006A00D0">
      <w:pPr>
        <w:pStyle w:val="Vol4Numberedparas"/>
        <w:ind w:left="993" w:hanging="993"/>
      </w:pPr>
      <w:r>
        <w:t>In 2023, t</w:t>
      </w:r>
      <w:r w:rsidRPr="0094721A">
        <w:t xml:space="preserve">he </w:t>
      </w:r>
      <w:r>
        <w:t xml:space="preserve">then </w:t>
      </w:r>
      <w:r w:rsidRPr="0094721A">
        <w:t>Government</w:t>
      </w:r>
      <w:r>
        <w:t xml:space="preserve"> deferred consideration of the civil litigation </w:t>
      </w:r>
      <w:r w:rsidRPr="0094721A">
        <w:t xml:space="preserve">reforms </w:t>
      </w:r>
      <w:r>
        <w:t xml:space="preserve">the Inquiry </w:t>
      </w:r>
      <w:r w:rsidRPr="0094721A">
        <w:t>recommended</w:t>
      </w:r>
      <w:r>
        <w:t xml:space="preserve"> until after the Inquiry’s final report is provided</w:t>
      </w:r>
      <w:r w:rsidRPr="0094721A">
        <w:t xml:space="preserve">. It is unclear whether the Government sees any problem with </w:t>
      </w:r>
      <w:r>
        <w:t>civil litigation settings or the accident compensation scheme</w:t>
      </w:r>
      <w:r w:rsidRPr="0094721A">
        <w:t xml:space="preserve"> as </w:t>
      </w:r>
      <w:r>
        <w:t>they</w:t>
      </w:r>
      <w:r w:rsidRPr="0094721A">
        <w:t xml:space="preserve"> relate to survivors of abuse in care, despite </w:t>
      </w:r>
      <w:r>
        <w:t>the Inquiry’s</w:t>
      </w:r>
      <w:r w:rsidRPr="0094721A">
        <w:t xml:space="preserve"> findings.</w:t>
      </w:r>
    </w:p>
    <w:p w14:paraId="1C0E05DF" w14:textId="4E6B0AC5" w:rsidR="00C3701E" w:rsidRPr="0094721A" w:rsidRDefault="00C3701E" w:rsidP="006A00D0">
      <w:pPr>
        <w:pStyle w:val="Vol4Numberedparas"/>
        <w:ind w:left="993" w:hanging="993"/>
      </w:pPr>
      <w:r>
        <w:t>There have been some positive initiatives. However, m</w:t>
      </w:r>
      <w:r w:rsidRPr="0094721A">
        <w:t>any survivors in Aotearoa New Zealand continue to have no effective remedy</w:t>
      </w:r>
      <w:r>
        <w:t>, and the puretumu torowhānui system which the Inquiry recommended has not been implemented</w:t>
      </w:r>
      <w:r w:rsidRPr="0094721A">
        <w:t>. In comparison to Australia,</w:t>
      </w:r>
      <w:r>
        <w:t xml:space="preserve"> many </w:t>
      </w:r>
      <w:r w:rsidRPr="0094721A">
        <w:t xml:space="preserve">survivors in Aotearoa New Zealand have a second or third-class system. Unless significant change occurs, this will continue to be the case. </w:t>
      </w:r>
    </w:p>
    <w:p w14:paraId="24013AC6" w14:textId="15419170" w:rsidR="00C3701E" w:rsidRDefault="00C3701E" w:rsidP="006A00D0">
      <w:pPr>
        <w:pStyle w:val="Vol4Numberedparas"/>
        <w:ind w:left="993" w:hanging="993"/>
      </w:pPr>
      <w:r w:rsidRPr="0094721A">
        <w:t>Meaningful reform which provides fair</w:t>
      </w:r>
      <w:r>
        <w:t>, holistic and comprehensive</w:t>
      </w:r>
      <w:r w:rsidRPr="0094721A">
        <w:t xml:space="preserve"> redress will inevitably be expensive for the Government and faith-based institutions. The alternative is </w:t>
      </w:r>
      <w:r>
        <w:t>for</w:t>
      </w:r>
      <w:r w:rsidRPr="0094721A">
        <w:t xml:space="preserve"> </w:t>
      </w:r>
      <w:r>
        <w:t xml:space="preserve">many </w:t>
      </w:r>
      <w:r w:rsidRPr="0094721A">
        <w:t>survivors and their whānau</w:t>
      </w:r>
      <w:r>
        <w:t>, and society at large</w:t>
      </w:r>
      <w:r w:rsidRPr="0094721A">
        <w:t xml:space="preserve"> to </w:t>
      </w:r>
      <w:r>
        <w:t xml:space="preserve">continue </w:t>
      </w:r>
      <w:r w:rsidRPr="00706B16">
        <w:t>bear</w:t>
      </w:r>
      <w:r>
        <w:t>ing</w:t>
      </w:r>
      <w:r w:rsidRPr="00706B16">
        <w:t xml:space="preserve"> th</w:t>
      </w:r>
      <w:r>
        <w:t>e</w:t>
      </w:r>
      <w:r w:rsidRPr="00706B16">
        <w:t>se</w:t>
      </w:r>
      <w:r w:rsidRPr="0094721A">
        <w:t xml:space="preserve"> costs, </w:t>
      </w:r>
      <w:r>
        <w:t xml:space="preserve">despite the abuse having taken place </w:t>
      </w:r>
      <w:r w:rsidRPr="00706B16">
        <w:t>in State and faith-based care</w:t>
      </w:r>
      <w:r>
        <w:t xml:space="preserve"> and the survivors not being at fault</w:t>
      </w:r>
      <w:r w:rsidRPr="0094721A">
        <w:t xml:space="preserve">.  </w:t>
      </w:r>
      <w:r>
        <w:t xml:space="preserve"> </w:t>
      </w:r>
    </w:p>
    <w:p w14:paraId="701DF20C" w14:textId="77777777" w:rsidR="00C3701E" w:rsidRDefault="00C3701E">
      <w:pPr>
        <w:spacing w:after="160"/>
        <w:rPr>
          <w:rFonts w:ascii="Arial" w:eastAsiaTheme="minorEastAsia" w:hAnsi="Arial" w:cs="Arial"/>
          <w:kern w:val="2"/>
          <w:lang w:eastAsia="en-NZ"/>
          <w14:ligatures w14:val="standardContextual"/>
        </w:rPr>
      </w:pPr>
      <w:r>
        <w:br w:type="page"/>
      </w:r>
    </w:p>
    <w:p w14:paraId="4DA54378" w14:textId="3445AD81" w:rsidR="00191397" w:rsidRPr="00A30F3E" w:rsidRDefault="00C3701E" w:rsidP="006A00D0">
      <w:pPr>
        <w:pStyle w:val="Vol4Numberedparas"/>
        <w:ind w:left="993" w:hanging="993"/>
      </w:pPr>
      <w:r w:rsidRPr="00A30F3E">
        <w:lastRenderedPageBreak/>
        <w:t xml:space="preserve">Positive change for survivors requires prioritisation by decision-makers, matching investment and political will (that is, there is committed support among key decision-makers for a particular policy solution to a particular problem).  </w:t>
      </w:r>
      <w:r w:rsidRPr="00A30F3E">
        <w:rPr>
          <w:rStyle w:val="EndnoteReference"/>
        </w:rPr>
        <w:endnoteReference w:id="231"/>
      </w:r>
      <w:r w:rsidRPr="00A30F3E">
        <w:t xml:space="preserve"> </w:t>
      </w:r>
      <w:r w:rsidR="00543863" w:rsidRPr="00A30F3E">
        <w:t xml:space="preserve">  All of these features will be required to achieve the puretumu torowhanui scheme recommended by the Inquiry.  </w:t>
      </w:r>
      <w:r w:rsidR="00C54D04" w:rsidRPr="00A30F3E">
        <w:t>A</w:t>
      </w:r>
      <w:r w:rsidR="00611212" w:rsidRPr="00A30F3E">
        <w:t>s the Australian experience shows, civil litigation</w:t>
      </w:r>
      <w:r w:rsidR="000C305E" w:rsidRPr="00A30F3E">
        <w:t xml:space="preserve"> or other</w:t>
      </w:r>
      <w:r w:rsidR="00611212" w:rsidRPr="00A30F3E">
        <w:t xml:space="preserve"> reform can be achieved </w:t>
      </w:r>
      <w:r w:rsidR="008639F9" w:rsidRPr="00A30F3E">
        <w:t xml:space="preserve">that </w:t>
      </w:r>
      <w:r w:rsidR="00611212" w:rsidRPr="00A30F3E">
        <w:t>enable</w:t>
      </w:r>
      <w:r w:rsidR="00550773" w:rsidRPr="00A30F3E">
        <w:t>s</w:t>
      </w:r>
      <w:r w:rsidR="00611212" w:rsidRPr="00A30F3E">
        <w:t xml:space="preserve"> survivors to obtain</w:t>
      </w:r>
      <w:r w:rsidR="00550773" w:rsidRPr="00A30F3E">
        <w:t xml:space="preserve"> financial awards and settlements </w:t>
      </w:r>
      <w:r w:rsidR="00BC0F28" w:rsidRPr="00A30F3E">
        <w:t xml:space="preserve">that </w:t>
      </w:r>
      <w:r w:rsidR="00550773" w:rsidRPr="00A30F3E">
        <w:t>better reflect what abuse has cost them, and which are far beyond anything currently available in Aotearoa New Zealand</w:t>
      </w:r>
      <w:r w:rsidR="000C305E" w:rsidRPr="00A30F3E">
        <w:t xml:space="preserve"> including through the accident compensation scheme</w:t>
      </w:r>
      <w:r w:rsidR="00550773" w:rsidRPr="00A30F3E">
        <w:t xml:space="preserve">. </w:t>
      </w:r>
      <w:r w:rsidR="008639F9" w:rsidRPr="00A30F3E">
        <w:t>T</w:t>
      </w:r>
      <w:r w:rsidR="00550773" w:rsidRPr="00A30F3E">
        <w:t xml:space="preserve">he question is not whether these things can be done, but whether </w:t>
      </w:r>
      <w:r w:rsidR="004453D9" w:rsidRPr="00A30F3E">
        <w:t>New Zealanders</w:t>
      </w:r>
      <w:r w:rsidR="00550773" w:rsidRPr="00A30F3E">
        <w:t xml:space="preserve"> want to </w:t>
      </w:r>
      <w:r w:rsidR="007F5CEA" w:rsidRPr="00A30F3E">
        <w:t>ensure</w:t>
      </w:r>
      <w:r w:rsidR="00DD5112" w:rsidRPr="00A30F3E">
        <w:t xml:space="preserve"> survivors of abuse and neglect</w:t>
      </w:r>
      <w:r w:rsidR="004A2FF1" w:rsidRPr="00A30F3E">
        <w:t xml:space="preserve"> </w:t>
      </w:r>
      <w:r w:rsidR="00EF5F74" w:rsidRPr="00A30F3E">
        <w:t xml:space="preserve">receive holistic redress that </w:t>
      </w:r>
      <w:r w:rsidR="008209D6" w:rsidRPr="00A30F3E">
        <w:t>recompenses</w:t>
      </w:r>
      <w:r w:rsidR="00EF5F74" w:rsidRPr="00A30F3E">
        <w:t xml:space="preserve"> them for what </w:t>
      </w:r>
      <w:r w:rsidR="00FA5643" w:rsidRPr="00A30F3E">
        <w:t>happened</w:t>
      </w:r>
      <w:r w:rsidR="00EF5F74" w:rsidRPr="00A30F3E">
        <w:t>, and the lost economic</w:t>
      </w:r>
      <w:r w:rsidR="008209D6" w:rsidRPr="00A30F3E">
        <w:t xml:space="preserve"> opportunities and </w:t>
      </w:r>
      <w:r w:rsidR="00FA5643" w:rsidRPr="00A30F3E">
        <w:t xml:space="preserve">loss of </w:t>
      </w:r>
      <w:r w:rsidR="008209D6" w:rsidRPr="00A30F3E">
        <w:t>life enjoyment</w:t>
      </w:r>
      <w:r w:rsidR="00550773" w:rsidRPr="00A30F3E">
        <w:t xml:space="preserve">, and in particular whether Government wants to do them. </w:t>
      </w:r>
    </w:p>
    <w:p w14:paraId="6D8F944E" w14:textId="5F3D1158" w:rsidR="00611212" w:rsidRPr="00A30F3E" w:rsidRDefault="00191397" w:rsidP="00FD7DD8">
      <w:pPr>
        <w:pStyle w:val="Vol4Numberedparas"/>
        <w:ind w:left="993" w:hanging="993"/>
      </w:pPr>
      <w:r w:rsidRPr="00A30F3E">
        <w:t xml:space="preserve">Survivors have been told that they matter, they are respected for their courage, and they have been heard. </w:t>
      </w:r>
      <w:r w:rsidR="007A013F" w:rsidRPr="00A30F3E">
        <w:t>Some a</w:t>
      </w:r>
      <w:r w:rsidRPr="00A30F3E">
        <w:t xml:space="preserve">pologies have been given, and a national apology is being planned. </w:t>
      </w:r>
      <w:r w:rsidR="00275105" w:rsidRPr="00A30F3E">
        <w:t>The Inquiry considers m</w:t>
      </w:r>
      <w:r w:rsidR="00070071" w:rsidRPr="00A30F3E">
        <w:t>uch more needs to be done</w:t>
      </w:r>
      <w:r w:rsidR="0052725B" w:rsidRPr="00A30F3E">
        <w:t xml:space="preserve">, mostly </w:t>
      </w:r>
      <w:r w:rsidR="00275105" w:rsidRPr="00A30F3E">
        <w:t xml:space="preserve">led </w:t>
      </w:r>
      <w:r w:rsidR="00370073" w:rsidRPr="00A30F3E">
        <w:t>by the Government.</w:t>
      </w:r>
      <w:r w:rsidR="00022AFA" w:rsidRPr="00A30F3E">
        <w:t xml:space="preserve"> </w:t>
      </w:r>
      <w:r w:rsidR="00F87643" w:rsidRPr="00A30F3E">
        <w:t xml:space="preserve">Government needs to act promptly so that survivors do not continue to die without receiving </w:t>
      </w:r>
      <w:r w:rsidR="00CF53E9" w:rsidRPr="00A30F3E">
        <w:t>effective, holistic redress</w:t>
      </w:r>
      <w:r w:rsidR="00C56861" w:rsidRPr="00A30F3E">
        <w:t xml:space="preserve">, </w:t>
      </w:r>
      <w:r w:rsidR="00CF53E9" w:rsidRPr="00A30F3E">
        <w:t xml:space="preserve">the </w:t>
      </w:r>
      <w:r w:rsidR="00F87643" w:rsidRPr="00A30F3E">
        <w:t>puretumu torowhānui</w:t>
      </w:r>
      <w:r w:rsidR="00CF53E9" w:rsidRPr="00A30F3E">
        <w:t xml:space="preserve"> recommended by the Inquiry</w:t>
      </w:r>
      <w:r w:rsidR="00F87643" w:rsidRPr="00A30F3E">
        <w:t>.</w:t>
      </w:r>
    </w:p>
    <w:p w14:paraId="492CD194" w14:textId="707AB6EF" w:rsidR="00FD7DD8" w:rsidRDefault="00FD7DD8" w:rsidP="00FD7DD8">
      <w:pPr>
        <w:pStyle w:val="Vol4Numberedparas"/>
        <w:numPr>
          <w:ilvl w:val="0"/>
          <w:numId w:val="0"/>
        </w:numPr>
      </w:pPr>
    </w:p>
    <w:p w14:paraId="7B98415A" w14:textId="77777777" w:rsidR="00FD7DD8" w:rsidRDefault="00FD7DD8" w:rsidP="00FD7DD8">
      <w:pPr>
        <w:pStyle w:val="pop-outquote"/>
      </w:pPr>
    </w:p>
    <w:p w14:paraId="512EFBC9" w14:textId="40E844FA" w:rsidR="00FD7DD8" w:rsidRDefault="00FD7DD8" w:rsidP="00FD7DD8">
      <w:pPr>
        <w:pStyle w:val="pop-outquote"/>
        <w:ind w:left="0"/>
        <w:rPr>
          <w:b w:val="0"/>
        </w:rPr>
      </w:pPr>
      <w:r w:rsidRPr="00FD7DD8">
        <w:rPr>
          <w:b w:val="0"/>
        </w:rPr>
        <w:t>[Survivor quote]</w:t>
      </w:r>
    </w:p>
    <w:p w14:paraId="29AB09E8" w14:textId="77777777" w:rsidR="00FD7DD8" w:rsidRPr="00FD7DD8" w:rsidRDefault="00FD7DD8" w:rsidP="00FD7DD8">
      <w:pPr>
        <w:pStyle w:val="pop-outquote"/>
        <w:ind w:left="0"/>
        <w:rPr>
          <w:b w:val="0"/>
        </w:rPr>
      </w:pPr>
    </w:p>
    <w:p w14:paraId="15F96739" w14:textId="1B1008D1" w:rsidR="00FD7DD8" w:rsidRDefault="00FD7DD8" w:rsidP="00FD7DD8">
      <w:pPr>
        <w:pStyle w:val="pop-outquote"/>
      </w:pPr>
      <w:r>
        <w:t xml:space="preserve">“Survivors are individuals not a mass, faceless lump of victimised humanity to be fobbed off with a generalised paltry amount of money, coupled with an apology for damages incurred…There can be no one-size-fits bonding of survivors, we are individuals and each survivor has experienced suffering in all forms – mental, physical, cultural, societal etc.” </w:t>
      </w:r>
    </w:p>
    <w:p w14:paraId="0BE73C2E" w14:textId="55D4086B" w:rsidR="00FD7DD8" w:rsidRDefault="00FD7DD8" w:rsidP="00FD7DD8">
      <w:pPr>
        <w:pStyle w:val="pop-outquote"/>
      </w:pPr>
      <w:r>
        <w:t>Mary Marshal</w:t>
      </w:r>
      <w:r w:rsidR="00D10967">
        <w:t>l</w:t>
      </w:r>
    </w:p>
    <w:p w14:paraId="2EC8DAA6" w14:textId="0F599005" w:rsidR="00FD7DD8" w:rsidRPr="00A30F3E" w:rsidRDefault="0087565B" w:rsidP="00FD7DD8">
      <w:pPr>
        <w:pStyle w:val="pop-outquote"/>
      </w:pPr>
      <w:r>
        <w:t>Irish</w:t>
      </w:r>
      <w:r w:rsidR="002A79EC">
        <w:t>-European</w:t>
      </w:r>
    </w:p>
    <w:p w14:paraId="2EBB7AE0" w14:textId="72F7E437" w:rsidR="006D7962" w:rsidRDefault="006D7962">
      <w:pPr>
        <w:spacing w:after="160"/>
        <w:rPr>
          <w:rFonts w:ascii="Arial" w:eastAsiaTheme="minorEastAsia" w:hAnsi="Arial" w:cs="Arial"/>
          <w:kern w:val="2"/>
          <w:lang w:eastAsia="en-NZ"/>
          <w14:ligatures w14:val="standardContextual"/>
        </w:rPr>
      </w:pPr>
      <w:r>
        <w:br w:type="page"/>
      </w:r>
    </w:p>
    <w:p w14:paraId="7DA79ECD" w14:textId="77777777" w:rsidR="006D7962" w:rsidRPr="007443B9" w:rsidRDefault="006D7962" w:rsidP="007443B9">
      <w:pPr>
        <w:pStyle w:val="body"/>
        <w:rPr>
          <w:b/>
          <w:color w:val="4F7D29"/>
          <w:sz w:val="40"/>
          <w:szCs w:val="40"/>
        </w:rPr>
      </w:pPr>
      <w:bookmarkStart w:id="303" w:name="_Toc168659311"/>
      <w:r w:rsidRPr="007443B9">
        <w:rPr>
          <w:b/>
          <w:color w:val="4F7D29"/>
          <w:sz w:val="40"/>
          <w:szCs w:val="40"/>
        </w:rPr>
        <w:lastRenderedPageBreak/>
        <w:t>He waiata aroha mō ngā purapura ora</w:t>
      </w:r>
      <w:bookmarkEnd w:id="303"/>
    </w:p>
    <w:p w14:paraId="22840BDF" w14:textId="77777777" w:rsidR="006D7962" w:rsidRPr="00190F35" w:rsidRDefault="006D7962" w:rsidP="006D7962">
      <w:pPr>
        <w:spacing w:after="120"/>
        <w:rPr>
          <w:rFonts w:ascii="Arial" w:eastAsia="Arial" w:hAnsi="Arial" w:cs="Arial"/>
          <w:lang w:val="en" w:eastAsia="en-NZ"/>
        </w:rPr>
      </w:pPr>
    </w:p>
    <w:p w14:paraId="3EC824FB"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 xml:space="preserve">Kāore te aroha i ahau mō koutou e te iwi I mahue kau noa </w:t>
      </w:r>
    </w:p>
    <w:p w14:paraId="1F3F8927"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i te tika</w:t>
      </w:r>
    </w:p>
    <w:p w14:paraId="5184DEAE" w14:textId="77777777" w:rsidR="00145B47" w:rsidRDefault="006D7962" w:rsidP="006D7962">
      <w:pPr>
        <w:spacing w:after="120"/>
        <w:rPr>
          <w:rFonts w:ascii="Arial" w:eastAsia="Arial" w:hAnsi="Arial" w:cs="Arial"/>
          <w:lang w:val="en" w:eastAsia="en-NZ"/>
        </w:rPr>
      </w:pPr>
      <w:r w:rsidRPr="00190F35">
        <w:rPr>
          <w:rFonts w:ascii="Arial" w:eastAsia="Arial" w:hAnsi="Arial" w:cs="Arial"/>
          <w:lang w:val="en" w:eastAsia="en-NZ"/>
        </w:rPr>
        <w:t xml:space="preserve">I whakarerea e te ture i raurangi rā </w:t>
      </w:r>
    </w:p>
    <w:p w14:paraId="5AF5CB51" w14:textId="6D2FDF15"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 xml:space="preserve">Tāmia rawatia ana te </w:t>
      </w:r>
      <w:r w:rsidRPr="00190F35">
        <w:rPr>
          <w:rFonts w:ascii="Arial" w:eastAsia="Arial" w:hAnsi="Arial" w:cs="Arial"/>
          <w:lang w:val="en-US" w:eastAsia="en-NZ"/>
        </w:rPr>
        <w:t>whakamanioro</w:t>
      </w:r>
    </w:p>
    <w:p w14:paraId="2285CDA6" w14:textId="27496EB8" w:rsidR="006D7962" w:rsidRPr="00190F35" w:rsidRDefault="004F3EB7" w:rsidP="006D7962">
      <w:pPr>
        <w:spacing w:after="120"/>
        <w:rPr>
          <w:rFonts w:ascii="Arial" w:eastAsia="Arial" w:hAnsi="Arial" w:cs="Arial"/>
          <w:lang w:val="en-US" w:eastAsia="en-NZ"/>
        </w:rPr>
      </w:pPr>
      <w:r>
        <w:rPr>
          <w:rFonts w:ascii="Arial" w:eastAsia="Arial" w:hAnsi="Arial" w:cs="Arial"/>
          <w:lang w:val="en" w:eastAsia="en-NZ"/>
        </w:rPr>
        <w:t>H</w:t>
      </w:r>
      <w:r w:rsidRPr="00190F35">
        <w:rPr>
          <w:rFonts w:ascii="Arial" w:eastAsia="Arial" w:hAnsi="Arial" w:cs="Arial"/>
          <w:lang w:val="en" w:eastAsia="en-NZ"/>
        </w:rPr>
        <w:t xml:space="preserve">e </w:t>
      </w:r>
      <w:r w:rsidR="006D7962" w:rsidRPr="00190F35">
        <w:rPr>
          <w:rFonts w:ascii="Arial" w:eastAsia="Arial" w:hAnsi="Arial" w:cs="Arial"/>
          <w:lang w:val="en" w:eastAsia="en-NZ"/>
        </w:rPr>
        <w:t>huna whakamamae nō te tūkino</w:t>
      </w:r>
    </w:p>
    <w:p w14:paraId="022F3060" w14:textId="47295D5D" w:rsidR="006D7962" w:rsidRPr="00190F35" w:rsidRDefault="004F3EB7" w:rsidP="006D7962">
      <w:pPr>
        <w:spacing w:after="120"/>
        <w:rPr>
          <w:rFonts w:ascii="Arial" w:eastAsia="Arial" w:hAnsi="Arial" w:cs="Arial"/>
          <w:lang w:val="en-US" w:eastAsia="en-NZ"/>
        </w:rPr>
      </w:pPr>
      <w:r>
        <w:rPr>
          <w:rFonts w:ascii="Arial" w:eastAsia="Arial" w:hAnsi="Arial" w:cs="Arial"/>
          <w:lang w:val="en" w:eastAsia="en-NZ"/>
        </w:rPr>
        <w:t>H</w:t>
      </w:r>
      <w:r w:rsidRPr="00190F35">
        <w:rPr>
          <w:rFonts w:ascii="Arial" w:eastAsia="Arial" w:hAnsi="Arial" w:cs="Arial"/>
          <w:lang w:val="en" w:eastAsia="en-NZ"/>
        </w:rPr>
        <w:t xml:space="preserve">e </w:t>
      </w:r>
      <w:r w:rsidR="006D7962" w:rsidRPr="00190F35">
        <w:rPr>
          <w:rFonts w:ascii="Arial" w:eastAsia="Arial" w:hAnsi="Arial" w:cs="Arial"/>
          <w:lang w:val="en" w:eastAsia="en-NZ"/>
        </w:rPr>
        <w:t>auhi nō te puku i pēhia kia ngū</w:t>
      </w:r>
    </w:p>
    <w:p w14:paraId="675F88E5"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Ko te kaikinikini i te tau o taku ate tē rite ai ki te kōharihari o tōu</w:t>
      </w:r>
    </w:p>
    <w:p w14:paraId="5713B7F9"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Arā pea koe rā kei te kopa i Mirumiru-te-pō</w:t>
      </w:r>
    </w:p>
    <w:p w14:paraId="2A85A2D3"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US" w:eastAsia="en-NZ"/>
        </w:rPr>
        <w:t>Pō tiwhatiwha pōuri kenekene</w:t>
      </w:r>
    </w:p>
    <w:p w14:paraId="63C44A8C"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Tē ai he huringa ake i ō mahara</w:t>
      </w:r>
    </w:p>
    <w:p w14:paraId="7C6CCB27"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Nei tāku, ‘kei tōia atu te tatau ka tomokia ai’</w:t>
      </w:r>
    </w:p>
    <w:p w14:paraId="74BA7F64"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Tēnā kē ia kia huri ake tāua ki te kimi oranga</w:t>
      </w:r>
    </w:p>
    <w:p w14:paraId="31B612A5" w14:textId="18EF8E6E"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 xml:space="preserve">E mate </w:t>
      </w:r>
      <w:r w:rsidR="004F3EB7">
        <w:rPr>
          <w:rFonts w:ascii="Arial" w:eastAsia="Arial" w:hAnsi="Arial" w:cs="Arial"/>
          <w:lang w:val="en" w:eastAsia="en-NZ"/>
        </w:rPr>
        <w:t>p</w:t>
      </w:r>
      <w:r w:rsidRPr="00190F35">
        <w:rPr>
          <w:rFonts w:ascii="Arial" w:eastAsia="Arial" w:hAnsi="Arial" w:cs="Arial"/>
          <w:lang w:val="en" w:eastAsia="en-NZ"/>
        </w:rPr>
        <w:t>ūmahara? Kāhorehore! Kāhorehore!</w:t>
      </w:r>
    </w:p>
    <w:p w14:paraId="30F60C66"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E ara e hoa mā, māngai nuitia te kupu pono i te puku o Kareāroto</w:t>
      </w:r>
    </w:p>
    <w:p w14:paraId="6A467154"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Kia iri ki runga rawa ki te rangi tīhore he rangi waruhia ka awatea</w:t>
      </w:r>
    </w:p>
    <w:p w14:paraId="2B76A046"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E puta ai te ihu i te ao pakarea ki te ao pakakina</w:t>
      </w:r>
    </w:p>
    <w:p w14:paraId="00EF6178"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Hei ara mōu kei taku pōkai kōtuku ki te oranga</w:t>
      </w:r>
    </w:p>
    <w:p w14:paraId="7A7AE95E"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E hua ai te pito mata i roto rā kei aku purapura ora</w:t>
      </w:r>
    </w:p>
    <w:p w14:paraId="5857C4DE"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US" w:eastAsia="en-NZ"/>
        </w:rPr>
        <w:t>Tiritiria ki toi whenua, onokia ka morimoria ai</w:t>
      </w:r>
    </w:p>
    <w:p w14:paraId="3A28587B"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US" w:eastAsia="en-NZ"/>
        </w:rPr>
        <w:t>Ka pihi ki One-haumako, ki One-whakatupu</w:t>
      </w:r>
    </w:p>
    <w:p w14:paraId="38D74CBD"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Kei reira e hika mā te manako kia ea i te utu</w:t>
      </w:r>
    </w:p>
    <w:p w14:paraId="36A7B146"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 xml:space="preserve">Kia whakaahuritia tō mana tangata tō mana tuku iho nā ō rau kahika </w:t>
      </w:r>
    </w:p>
    <w:p w14:paraId="5A489043"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Koia ka whanake koia ka manahua koia ka ngawhā</w:t>
      </w:r>
    </w:p>
    <w:p w14:paraId="2CD33F45"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He houkura mārie mōwai rokiroki āio nā koutou ko Rongo</w:t>
      </w:r>
    </w:p>
    <w:p w14:paraId="3F2F073E"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Koia ka puta ki te whaiao ki te ao mārama</w:t>
      </w:r>
    </w:p>
    <w:p w14:paraId="0A35B2D0" w14:textId="77777777" w:rsidR="006D7962" w:rsidRPr="00190F35" w:rsidRDefault="006D7962" w:rsidP="006D7962">
      <w:pPr>
        <w:spacing w:after="120"/>
        <w:rPr>
          <w:rFonts w:ascii="Arial" w:eastAsia="Arial" w:hAnsi="Arial" w:cs="Arial"/>
          <w:lang w:val="en-US" w:eastAsia="en-NZ"/>
        </w:rPr>
      </w:pPr>
      <w:r w:rsidRPr="00190F35">
        <w:rPr>
          <w:rFonts w:ascii="Arial" w:eastAsia="Arial" w:hAnsi="Arial" w:cs="Arial"/>
          <w:lang w:val="en" w:eastAsia="en-NZ"/>
        </w:rPr>
        <w:t>Whitiwhiti ora e!</w:t>
      </w:r>
    </w:p>
    <w:p w14:paraId="0351F080" w14:textId="77777777" w:rsidR="0037075B" w:rsidRPr="00F34B90" w:rsidRDefault="0037075B" w:rsidP="0037075B">
      <w:pPr>
        <w:pStyle w:val="ListParagraph"/>
        <w:widowControl/>
        <w:numPr>
          <w:ilvl w:val="0"/>
          <w:numId w:val="176"/>
        </w:numPr>
        <w:spacing w:before="240"/>
        <w:contextualSpacing w:val="0"/>
        <w:jc w:val="right"/>
        <w:textAlignment w:val="auto"/>
        <w:rPr>
          <w:lang w:val="en"/>
        </w:rPr>
      </w:pPr>
      <w:r>
        <w:rPr>
          <w:lang w:val="en"/>
        </w:rPr>
        <w:t>Paraone Gloyne</w:t>
      </w:r>
    </w:p>
    <w:p w14:paraId="49198E82" w14:textId="77777777" w:rsidR="006D7962" w:rsidRDefault="006D7962" w:rsidP="006D7962">
      <w:pPr>
        <w:rPr>
          <w:rFonts w:ascii="Arial" w:hAnsi="Arial" w:cs="Arial"/>
          <w:lang w:val="en" w:eastAsia="en-NZ"/>
        </w:rPr>
      </w:pPr>
    </w:p>
    <w:p w14:paraId="4750E5EA" w14:textId="77777777" w:rsidR="0037075B" w:rsidRDefault="0037075B" w:rsidP="006D7962">
      <w:pPr>
        <w:rPr>
          <w:rFonts w:ascii="Arial" w:hAnsi="Arial" w:cs="Arial"/>
          <w:lang w:val="en" w:eastAsia="en-NZ"/>
        </w:rPr>
      </w:pPr>
    </w:p>
    <w:p w14:paraId="29483821" w14:textId="77777777" w:rsidR="0037075B" w:rsidRDefault="0037075B" w:rsidP="006D7962">
      <w:pPr>
        <w:rPr>
          <w:rFonts w:ascii="Arial" w:hAnsi="Arial" w:cs="Arial"/>
          <w:lang w:val="en" w:eastAsia="en-NZ"/>
        </w:rPr>
      </w:pPr>
    </w:p>
    <w:p w14:paraId="14B231A5" w14:textId="77777777" w:rsidR="0037075B" w:rsidRDefault="0037075B" w:rsidP="006D7962">
      <w:pPr>
        <w:rPr>
          <w:rFonts w:ascii="Arial" w:hAnsi="Arial" w:cs="Arial"/>
          <w:lang w:val="en" w:eastAsia="en-NZ"/>
        </w:rPr>
      </w:pPr>
    </w:p>
    <w:p w14:paraId="747CECDC" w14:textId="77777777" w:rsidR="006D7962" w:rsidRPr="00983F67" w:rsidRDefault="006D7962" w:rsidP="00983F67">
      <w:pPr>
        <w:pStyle w:val="body"/>
        <w:rPr>
          <w:b/>
          <w:color w:val="4F7D29"/>
          <w:sz w:val="40"/>
          <w:szCs w:val="40"/>
        </w:rPr>
      </w:pPr>
      <w:r w:rsidRPr="00983F67">
        <w:rPr>
          <w:b/>
          <w:color w:val="4F7D29"/>
          <w:sz w:val="40"/>
          <w:szCs w:val="40"/>
        </w:rPr>
        <w:lastRenderedPageBreak/>
        <w:t>A Love Song for the Living Seeds</w:t>
      </w:r>
    </w:p>
    <w:p w14:paraId="7797B9BE" w14:textId="77777777" w:rsidR="006D7962" w:rsidRPr="00190F35" w:rsidRDefault="006D7962" w:rsidP="006D7962">
      <w:pPr>
        <w:spacing w:after="120"/>
        <w:rPr>
          <w:rFonts w:ascii="Arial" w:eastAsia="Arial" w:hAnsi="Arial" w:cs="Arial"/>
          <w:lang w:val="en-US" w:eastAsia="en-NZ"/>
        </w:rPr>
      </w:pPr>
      <w:r w:rsidRPr="2B6C25A4">
        <w:rPr>
          <w:rFonts w:ascii="Arial" w:eastAsia="Arial" w:hAnsi="Arial" w:cs="Arial"/>
          <w:lang w:val="en-US" w:eastAsia="en-NZ"/>
        </w:rPr>
        <w:t>The love within me for you, the people, remains unchanged</w:t>
      </w:r>
    </w:p>
    <w:p w14:paraId="12BD97C0"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Left alone, abandoned by justice and order</w:t>
      </w:r>
    </w:p>
    <w:p w14:paraId="0E735F9E"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Subjected to the silent suffering of mistreatment</w:t>
      </w:r>
    </w:p>
    <w:p w14:paraId="7B27F315"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A heaviness in the core, silenced into stillness</w:t>
      </w:r>
    </w:p>
    <w:p w14:paraId="46A55FCB"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The gnawing of my heart cannot compare to the anguish of yours</w:t>
      </w:r>
    </w:p>
    <w:p w14:paraId="5158CFA1" w14:textId="77777777" w:rsidR="006D7962" w:rsidRPr="00190F35" w:rsidRDefault="006D7962" w:rsidP="006D7962">
      <w:pPr>
        <w:spacing w:after="120"/>
        <w:rPr>
          <w:rFonts w:ascii="Arial" w:eastAsia="Arial" w:hAnsi="Arial" w:cs="Arial"/>
          <w:lang w:val="en-US" w:eastAsia="en-NZ"/>
        </w:rPr>
      </w:pPr>
      <w:r w:rsidRPr="2B6C25A4">
        <w:rPr>
          <w:rFonts w:ascii="Arial" w:eastAsia="Arial" w:hAnsi="Arial" w:cs="Arial"/>
          <w:lang w:val="en-US" w:eastAsia="en-NZ"/>
        </w:rPr>
        <w:t>Perhaps you are hidden in the depths of the night, Mirumiru-te-pō</w:t>
      </w:r>
    </w:p>
    <w:p w14:paraId="57222802"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A night dark and dense</w:t>
      </w:r>
    </w:p>
    <w:p w14:paraId="5465AA5E"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Where there may be no turning in your memories</w:t>
      </w:r>
    </w:p>
    <w:p w14:paraId="5B45C997" w14:textId="77777777" w:rsidR="006D7962" w:rsidRPr="00190F35" w:rsidRDefault="006D7962" w:rsidP="006D7962">
      <w:pPr>
        <w:spacing w:after="120"/>
        <w:rPr>
          <w:rFonts w:ascii="Arial" w:eastAsia="Arial" w:hAnsi="Arial" w:cs="Arial"/>
          <w:lang w:val="en-US" w:eastAsia="en-NZ"/>
        </w:rPr>
      </w:pPr>
      <w:r w:rsidRPr="2B6C25A4">
        <w:rPr>
          <w:rFonts w:ascii="Arial" w:eastAsia="Arial" w:hAnsi="Arial" w:cs="Arial"/>
          <w:lang w:val="en-US" w:eastAsia="en-NZ"/>
        </w:rPr>
        <w:t>But here’s my thought: ‘Do not push open the door to enter’</w:t>
      </w:r>
    </w:p>
    <w:p w14:paraId="1F537FD9"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Instead, let us turn to seek life and well-being</w:t>
      </w:r>
    </w:p>
    <w:p w14:paraId="615C6113"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Is memory dead? No, certainly not!</w:t>
      </w:r>
    </w:p>
    <w:p w14:paraId="30050D6A" w14:textId="77777777" w:rsidR="006D7962" w:rsidRPr="00190F35" w:rsidRDefault="006D7962" w:rsidP="006D7962">
      <w:pPr>
        <w:spacing w:after="120"/>
        <w:rPr>
          <w:rFonts w:ascii="Arial" w:eastAsia="Arial" w:hAnsi="Arial" w:cs="Arial"/>
          <w:lang w:val="en-US" w:eastAsia="en-NZ"/>
        </w:rPr>
      </w:pPr>
      <w:r w:rsidRPr="2B6C25A4">
        <w:rPr>
          <w:rFonts w:ascii="Arial" w:eastAsia="Arial" w:hAnsi="Arial" w:cs="Arial"/>
          <w:lang w:val="en-US" w:eastAsia="en-NZ"/>
        </w:rPr>
        <w:t>Arise, friends, let the truth resound loudly from the heart of Kareāroto</w:t>
      </w:r>
    </w:p>
    <w:p w14:paraId="4CE06A7B"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To ascend to the clear skies, a sky washed clean at dawn</w:t>
      </w:r>
    </w:p>
    <w:p w14:paraId="5861DBC1" w14:textId="77777777" w:rsidR="006D7962" w:rsidRPr="00190F35" w:rsidRDefault="006D7962" w:rsidP="006D7962">
      <w:pPr>
        <w:spacing w:after="120"/>
        <w:rPr>
          <w:rFonts w:ascii="Arial" w:eastAsia="Arial" w:hAnsi="Arial" w:cs="Arial"/>
          <w:lang w:val="en-US" w:eastAsia="en-NZ"/>
        </w:rPr>
      </w:pPr>
      <w:r w:rsidRPr="2B6C25A4">
        <w:rPr>
          <w:rFonts w:ascii="Arial" w:eastAsia="Arial" w:hAnsi="Arial" w:cs="Arial"/>
          <w:lang w:val="en-US" w:eastAsia="en-NZ"/>
        </w:rPr>
        <w:t>Emerging from the troubled world to a world of promise</w:t>
      </w:r>
    </w:p>
    <w:p w14:paraId="3D386A9B"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A path for you, my flock of herons, to life</w:t>
      </w:r>
    </w:p>
    <w:p w14:paraId="385EA0F0"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So, the precious core may blossom within you, my living seeds</w:t>
      </w:r>
    </w:p>
    <w:p w14:paraId="2150EEDB" w14:textId="77777777" w:rsidR="006D7962" w:rsidRPr="00190F35" w:rsidRDefault="006D7962" w:rsidP="006D7962">
      <w:pPr>
        <w:spacing w:after="120"/>
        <w:rPr>
          <w:rFonts w:ascii="Arial" w:eastAsia="Arial" w:hAnsi="Arial" w:cs="Arial"/>
          <w:lang w:val="en-US" w:eastAsia="en-NZ"/>
        </w:rPr>
      </w:pPr>
      <w:r w:rsidRPr="2B6C25A4">
        <w:rPr>
          <w:rFonts w:ascii="Arial" w:eastAsia="Arial" w:hAnsi="Arial" w:cs="Arial"/>
          <w:lang w:val="en-US" w:eastAsia="en-NZ"/>
        </w:rPr>
        <w:t>Scattered across the land, cherished and growing in abundance</w:t>
      </w:r>
    </w:p>
    <w:p w14:paraId="38E80EF7" w14:textId="77777777" w:rsidR="006D7962" w:rsidRPr="00190F35" w:rsidRDefault="006D7962" w:rsidP="006D7962">
      <w:pPr>
        <w:spacing w:after="120"/>
        <w:rPr>
          <w:rFonts w:ascii="Arial" w:eastAsia="Arial" w:hAnsi="Arial" w:cs="Arial"/>
          <w:lang w:val="en-US" w:eastAsia="en-NZ"/>
        </w:rPr>
      </w:pPr>
      <w:r w:rsidRPr="2B6C25A4">
        <w:rPr>
          <w:rFonts w:ascii="Arial" w:eastAsia="Arial" w:hAnsi="Arial" w:cs="Arial"/>
          <w:lang w:val="en-US" w:eastAsia="en-NZ"/>
        </w:rPr>
        <w:t>Rising in One-haumako, in One-whakatupu</w:t>
      </w:r>
    </w:p>
    <w:p w14:paraId="3992F78B"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There, my friends, lies the hope to fulfil the cost</w:t>
      </w:r>
    </w:p>
    <w:p w14:paraId="562F52DB"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To restore your human dignity, your inherited mana from your ancestors</w:t>
      </w:r>
    </w:p>
    <w:p w14:paraId="708A80B6"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Thus, it will thrive, flourish, and burst forth</w:t>
      </w:r>
    </w:p>
    <w:p w14:paraId="0C78A834"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A peaceful feather, a treasured calm, a serene peace from Rongo</w:t>
      </w:r>
    </w:p>
    <w:p w14:paraId="0BD97D87" w14:textId="77777777" w:rsidR="006D7962" w:rsidRPr="00190F35" w:rsidRDefault="006D7962" w:rsidP="006D7962">
      <w:pPr>
        <w:spacing w:after="120"/>
        <w:rPr>
          <w:rFonts w:ascii="Arial" w:eastAsia="Arial" w:hAnsi="Arial" w:cs="Arial"/>
          <w:lang w:val="en-US" w:eastAsia="en-NZ"/>
        </w:rPr>
      </w:pPr>
      <w:r w:rsidRPr="2B6C25A4">
        <w:rPr>
          <w:rFonts w:ascii="Arial" w:eastAsia="Arial" w:hAnsi="Arial" w:cs="Arial"/>
          <w:lang w:val="en-US" w:eastAsia="en-NZ"/>
        </w:rPr>
        <w:t>Emerging into the world of light, into the world of understanding</w:t>
      </w:r>
    </w:p>
    <w:p w14:paraId="31B16515" w14:textId="77777777" w:rsidR="006D7962" w:rsidRPr="00190F35" w:rsidRDefault="006D7962" w:rsidP="006D7962">
      <w:pPr>
        <w:spacing w:after="120"/>
        <w:rPr>
          <w:rFonts w:ascii="Arial" w:eastAsia="Arial" w:hAnsi="Arial" w:cs="Arial"/>
          <w:lang w:val="en" w:eastAsia="en-NZ"/>
        </w:rPr>
      </w:pPr>
      <w:r w:rsidRPr="00190F35">
        <w:rPr>
          <w:rFonts w:ascii="Arial" w:eastAsia="Arial" w:hAnsi="Arial" w:cs="Arial"/>
          <w:lang w:val="en" w:eastAsia="en-NZ"/>
        </w:rPr>
        <w:t>A crossing of life indeed!</w:t>
      </w:r>
    </w:p>
    <w:p w14:paraId="0290BDAE" w14:textId="46C23DF2" w:rsidR="008048C0" w:rsidRDefault="0037075B" w:rsidP="0037075B">
      <w:pPr>
        <w:pStyle w:val="ListParagraph"/>
        <w:widowControl/>
        <w:numPr>
          <w:ilvl w:val="0"/>
          <w:numId w:val="176"/>
        </w:numPr>
        <w:spacing w:before="240"/>
        <w:contextualSpacing w:val="0"/>
        <w:jc w:val="right"/>
        <w:textAlignment w:val="auto"/>
        <w:rPr>
          <w:lang w:val="en"/>
        </w:rPr>
      </w:pPr>
      <w:r>
        <w:t xml:space="preserve"> </w:t>
      </w:r>
      <w:r>
        <w:rPr>
          <w:lang w:val="en"/>
        </w:rPr>
        <w:t>Paraone Gloyne</w:t>
      </w:r>
    </w:p>
    <w:p w14:paraId="24CF4CC0" w14:textId="77777777" w:rsidR="008048C0" w:rsidRDefault="008048C0">
      <w:pPr>
        <w:spacing w:after="160"/>
        <w:rPr>
          <w:rFonts w:ascii="Arial" w:eastAsia="Times New Roman" w:hAnsi="Arial" w:cs="Arial"/>
          <w:lang w:val="en" w:eastAsia="en-NZ"/>
        </w:rPr>
      </w:pPr>
      <w:r>
        <w:rPr>
          <w:lang w:val="en"/>
        </w:rPr>
        <w:br w:type="page"/>
      </w:r>
    </w:p>
    <w:p w14:paraId="7B8C0C56" w14:textId="5F407DB3" w:rsidR="0037075B" w:rsidRPr="008048C0" w:rsidRDefault="008048C0" w:rsidP="008048C0">
      <w:pPr>
        <w:pStyle w:val="body"/>
        <w:rPr>
          <w:b/>
          <w:color w:val="4F7D29"/>
          <w:sz w:val="40"/>
          <w:szCs w:val="40"/>
        </w:rPr>
      </w:pPr>
      <w:r w:rsidRPr="008048C0">
        <w:rPr>
          <w:b/>
          <w:color w:val="4F7D29"/>
          <w:sz w:val="40"/>
          <w:szCs w:val="40"/>
        </w:rPr>
        <w:lastRenderedPageBreak/>
        <w:t>Endnotes</w:t>
      </w:r>
    </w:p>
    <w:sectPr w:rsidR="0037075B" w:rsidRPr="008048C0" w:rsidSect="00781C67">
      <w:headerReference w:type="default" r:id="rId11"/>
      <w:footerReference w:type="default" r:id="rId12"/>
      <w:endnotePr>
        <w:numFmt w:val="decimal"/>
      </w:endnotePr>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E6355" w14:textId="77777777" w:rsidR="002F7FAF" w:rsidRDefault="002F7FAF" w:rsidP="009A2448">
      <w:pPr>
        <w:spacing w:after="0" w:line="240" w:lineRule="auto"/>
      </w:pPr>
      <w:r>
        <w:separator/>
      </w:r>
    </w:p>
  </w:endnote>
  <w:endnote w:type="continuationSeparator" w:id="0">
    <w:p w14:paraId="7DD1AD08" w14:textId="77777777" w:rsidR="002F7FAF" w:rsidRDefault="002F7FAF" w:rsidP="009A2448">
      <w:pPr>
        <w:spacing w:after="0" w:line="240" w:lineRule="auto"/>
      </w:pPr>
      <w:r>
        <w:continuationSeparator/>
      </w:r>
    </w:p>
  </w:endnote>
  <w:endnote w:type="continuationNotice" w:id="1">
    <w:p w14:paraId="337327F0" w14:textId="77777777" w:rsidR="002F7FAF" w:rsidRDefault="002F7FAF">
      <w:pPr>
        <w:spacing w:after="0" w:line="240" w:lineRule="auto"/>
      </w:pPr>
    </w:p>
  </w:endnote>
  <w:endnote w:id="2">
    <w:p w14:paraId="5F28EEE0" w14:textId="3937DD0A" w:rsidR="00C3701E" w:rsidRPr="005E2A47" w:rsidRDefault="00C3701E" w:rsidP="0064187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w:t>
      </w:r>
      <w:r w:rsidRPr="005E2A47">
        <w:rPr>
          <w:rFonts w:cs="Arial"/>
          <w:szCs w:val="18"/>
          <w:lang w:val="mi-NZ"/>
        </w:rPr>
        <w:t>Royal Commission of Inquiry into Abuse in Care,</w:t>
      </w:r>
      <w:r w:rsidRPr="005E2A47">
        <w:rPr>
          <w:rFonts w:cs="Arial"/>
          <w:szCs w:val="18"/>
        </w:rPr>
        <w:t xml:space="preserve"> </w:t>
      </w:r>
      <w:r w:rsidRPr="005E2A47">
        <w:rPr>
          <w:rFonts w:cs="Arial"/>
          <w:szCs w:val="18"/>
          <w:lang w:val="mi-NZ"/>
        </w:rPr>
        <w:t xml:space="preserve">He Purapura Ora, he Māra Tipu: From </w:t>
      </w:r>
      <w:r>
        <w:rPr>
          <w:rFonts w:cs="Arial"/>
          <w:szCs w:val="18"/>
          <w:lang w:val="mi-NZ"/>
        </w:rPr>
        <w:t>R</w:t>
      </w:r>
      <w:r w:rsidRPr="005E2A47">
        <w:rPr>
          <w:rFonts w:cs="Arial"/>
          <w:szCs w:val="18"/>
          <w:lang w:val="mi-NZ"/>
        </w:rPr>
        <w:t>edress to Puretumu Torowhānui:</w:t>
      </w:r>
      <w:r w:rsidRPr="005E2A47">
        <w:rPr>
          <w:rFonts w:cs="Arial"/>
          <w:szCs w:val="18"/>
        </w:rPr>
        <w:t xml:space="preserve"> Volume 1 </w:t>
      </w:r>
      <w:r w:rsidRPr="005E2A47">
        <w:rPr>
          <w:rFonts w:cs="Arial"/>
          <w:szCs w:val="18"/>
          <w:lang w:val="mi-NZ"/>
        </w:rPr>
        <w:t>(2021,</w:t>
      </w:r>
      <w:r w:rsidRPr="005E2A47">
        <w:rPr>
          <w:rFonts w:cs="Arial"/>
          <w:szCs w:val="18"/>
        </w:rPr>
        <w:t xml:space="preserve"> </w:t>
      </w:r>
      <w:r w:rsidRPr="005E2A47">
        <w:rPr>
          <w:rFonts w:cs="Arial"/>
          <w:szCs w:val="18"/>
          <w:lang w:val="mi-NZ"/>
        </w:rPr>
        <w:t>page</w:t>
      </w:r>
      <w:r w:rsidRPr="005E2A47">
        <w:rPr>
          <w:rFonts w:cs="Arial"/>
          <w:szCs w:val="18"/>
        </w:rPr>
        <w:t xml:space="preserve"> 264).</w:t>
      </w:r>
    </w:p>
  </w:endnote>
  <w:endnote w:id="3">
    <w:p w14:paraId="1BBDAB22" w14:textId="74DFEABF" w:rsidR="00C3701E" w:rsidRPr="0003210B" w:rsidRDefault="00C3701E" w:rsidP="00E45334">
      <w:pPr>
        <w:pStyle w:val="EndnoteText"/>
        <w:spacing w:before="120"/>
        <w:rPr>
          <w:lang w:val="en-US"/>
        </w:rPr>
      </w:pPr>
      <w:r>
        <w:rPr>
          <w:rStyle w:val="EndnoteReference"/>
        </w:rPr>
        <w:endnoteRef/>
      </w:r>
      <w:r>
        <w:t xml:space="preserve"> </w:t>
      </w:r>
      <w:r w:rsidRPr="005E2A47">
        <w:rPr>
          <w:rStyle w:val="normaltextrun"/>
          <w:rFonts w:cs="Arial"/>
          <w:color w:val="000000"/>
          <w:szCs w:val="18"/>
          <w:shd w:val="clear" w:color="auto" w:fill="FFFFFF"/>
        </w:rPr>
        <w:t xml:space="preserve">Witness </w:t>
      </w:r>
      <w:r w:rsidRPr="00FD4E7F">
        <w:rPr>
          <w:rStyle w:val="normaltextrun"/>
          <w:rFonts w:cs="Arial"/>
          <w:color w:val="000000" w:themeColor="text1"/>
          <w:szCs w:val="18"/>
          <w:shd w:val="clear" w:color="auto" w:fill="FFFFFF"/>
        </w:rPr>
        <w:t>statement of</w:t>
      </w:r>
      <w:r>
        <w:rPr>
          <w:rStyle w:val="normaltextrun"/>
          <w:rFonts w:cs="Arial"/>
          <w:color w:val="000000" w:themeColor="text1"/>
          <w:szCs w:val="18"/>
          <w:shd w:val="clear" w:color="auto" w:fill="FFFFFF"/>
        </w:rPr>
        <w:t xml:space="preserve"> Shannon </w:t>
      </w:r>
      <w:r w:rsidRPr="005E2A47">
        <w:rPr>
          <w:rStyle w:val="normaltextrun"/>
          <w:rFonts w:cs="Arial"/>
          <w:color w:val="000000"/>
          <w:szCs w:val="18"/>
          <w:shd w:val="clear" w:color="auto" w:fill="FFFFFF"/>
        </w:rPr>
        <w:t>(19 June 2022).</w:t>
      </w:r>
      <w:r w:rsidRPr="005E2A47">
        <w:rPr>
          <w:rStyle w:val="eop"/>
          <w:rFonts w:cs="Arial"/>
          <w:color w:val="000000"/>
          <w:szCs w:val="18"/>
          <w:shd w:val="clear" w:color="auto" w:fill="FFFFFF"/>
        </w:rPr>
        <w:t> </w:t>
      </w:r>
    </w:p>
  </w:endnote>
  <w:endnote w:id="4">
    <w:p w14:paraId="5DA6DE15" w14:textId="78B8CD81" w:rsidR="00C3701E" w:rsidRPr="0003210B" w:rsidRDefault="00C3701E" w:rsidP="00E45334">
      <w:pPr>
        <w:pStyle w:val="EndnoteText"/>
        <w:spacing w:before="120"/>
        <w:rPr>
          <w:lang w:val="en-US"/>
        </w:rPr>
      </w:pPr>
      <w:r>
        <w:rPr>
          <w:rStyle w:val="EndnoteReference"/>
        </w:rPr>
        <w:endnoteRef/>
      </w:r>
      <w:r>
        <w:t xml:space="preserve"> </w:t>
      </w:r>
      <w:r w:rsidRPr="005E2A47">
        <w:rPr>
          <w:rStyle w:val="normaltextrun"/>
          <w:rFonts w:cs="Arial"/>
          <w:color w:val="000000"/>
          <w:szCs w:val="18"/>
          <w:shd w:val="clear" w:color="auto" w:fill="FFFFFF"/>
        </w:rPr>
        <w:t>Witness statement of Ms NH (28 October 2022).  </w:t>
      </w:r>
    </w:p>
  </w:endnote>
  <w:endnote w:id="5">
    <w:p w14:paraId="27AB4D1C" w14:textId="2F27A29F" w:rsidR="00C3701E" w:rsidRPr="00A91037" w:rsidRDefault="00C3701E">
      <w:pPr>
        <w:pStyle w:val="EndnoteText"/>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w:t>
      </w:r>
      <w:r>
        <w:rPr>
          <w:rFonts w:cs="Arial"/>
          <w:szCs w:val="18"/>
        </w:rPr>
        <w:t>s</w:t>
      </w:r>
      <w:r w:rsidRPr="005E2A47">
        <w:rPr>
          <w:rFonts w:cs="Arial"/>
          <w:szCs w:val="18"/>
        </w:rPr>
        <w:t xml:space="preserve"> </w:t>
      </w:r>
      <w:r>
        <w:rPr>
          <w:rFonts w:cs="Arial"/>
          <w:szCs w:val="18"/>
        </w:rPr>
        <w:t xml:space="preserve">266 to </w:t>
      </w:r>
      <w:r w:rsidRPr="005E2A47">
        <w:rPr>
          <w:rFonts w:cs="Arial"/>
          <w:szCs w:val="18"/>
        </w:rPr>
        <w:t>2</w:t>
      </w:r>
      <w:r>
        <w:rPr>
          <w:rFonts w:cs="Arial"/>
          <w:szCs w:val="18"/>
        </w:rPr>
        <w:t>6</w:t>
      </w:r>
      <w:r w:rsidRPr="005E2A47">
        <w:rPr>
          <w:rFonts w:cs="Arial"/>
          <w:szCs w:val="18"/>
        </w:rPr>
        <w:t>7).</w:t>
      </w:r>
    </w:p>
  </w:endnote>
  <w:endnote w:id="6">
    <w:p w14:paraId="53AE1DCB" w14:textId="76319EB0" w:rsidR="00C3701E" w:rsidRPr="005E2A47" w:rsidRDefault="00C3701E" w:rsidP="008362C1">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 From </w:t>
      </w:r>
      <w:r>
        <w:rPr>
          <w:rFonts w:cs="Arial"/>
          <w:szCs w:val="18"/>
        </w:rPr>
        <w:t>R</w:t>
      </w:r>
      <w:r w:rsidRPr="005E2A47">
        <w:rPr>
          <w:rFonts w:cs="Arial"/>
          <w:szCs w:val="18"/>
        </w:rPr>
        <w:t>edress to Puretumu Torowhānui, Volume 1 (2021, pages 266–268).</w:t>
      </w:r>
    </w:p>
  </w:endnote>
  <w:endnote w:id="7">
    <w:p w14:paraId="7C922418" w14:textId="1E968D5F" w:rsidR="00C3701E" w:rsidRPr="005E2A47" w:rsidRDefault="00C3701E" w:rsidP="008362C1">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277).</w:t>
      </w:r>
    </w:p>
  </w:endnote>
  <w:endnote w:id="8">
    <w:p w14:paraId="0D7FB0AC" w14:textId="5535905E"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271).</w:t>
      </w:r>
    </w:p>
  </w:endnote>
  <w:endnote w:id="9">
    <w:p w14:paraId="76A96503" w14:textId="02F0513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273).</w:t>
      </w:r>
    </w:p>
  </w:endnote>
  <w:endnote w:id="10">
    <w:p w14:paraId="5B951C93" w14:textId="3EDFFF52"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Media release, </w:t>
      </w:r>
      <w:r>
        <w:rPr>
          <w:rFonts w:eastAsia="BatangChe" w:cs="Arial"/>
          <w:szCs w:val="18"/>
        </w:rPr>
        <w:t>Department</w:t>
      </w:r>
      <w:r w:rsidRPr="005E2A47">
        <w:rPr>
          <w:rFonts w:eastAsia="BatangChe" w:cs="Arial"/>
          <w:szCs w:val="18"/>
        </w:rPr>
        <w:t xml:space="preserve"> of Internal Affairs, </w:t>
      </w:r>
      <w:r w:rsidRPr="005E2A47">
        <w:rPr>
          <w:rFonts w:cs="Arial"/>
          <w:szCs w:val="18"/>
        </w:rPr>
        <w:t xml:space="preserve">Survivors of abuse in state and faith-based care will have access to new independent redress process (15 December 2021), </w:t>
      </w:r>
      <w:hyperlink r:id="rId1" w:history="1">
        <w:r w:rsidRPr="005E2A47">
          <w:rPr>
            <w:rStyle w:val="Hyperlink"/>
            <w:rFonts w:cs="Arial"/>
            <w:szCs w:val="18"/>
          </w:rPr>
          <w:t>https://www.beehive.govt.nz/release/survivors-abuse-state-and-faith-based-care-will-have-access-new-independent-redress-process</w:t>
        </w:r>
      </w:hyperlink>
      <w:r w:rsidRPr="005E2A47">
        <w:rPr>
          <w:rFonts w:cs="Arial"/>
          <w:szCs w:val="18"/>
        </w:rPr>
        <w:t xml:space="preserve">. </w:t>
      </w:r>
    </w:p>
  </w:endnote>
  <w:endnote w:id="11">
    <w:p w14:paraId="0276103E" w14:textId="7E1FA530"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New Zealand Government Cabinet paper, Responding to the Royal Commission into Historical Abuse in Care’s redress findings (2022, page 21, point 15).</w:t>
      </w:r>
    </w:p>
  </w:endnote>
  <w:endnote w:id="12">
    <w:p w14:paraId="72DA8CEA" w14:textId="5868C0D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 From </w:t>
      </w:r>
      <w:r>
        <w:rPr>
          <w:rFonts w:cs="Arial"/>
          <w:szCs w:val="18"/>
        </w:rPr>
        <w:t>R</w:t>
      </w:r>
      <w:r w:rsidRPr="005E2A47">
        <w:rPr>
          <w:rFonts w:cs="Arial"/>
          <w:szCs w:val="18"/>
        </w:rPr>
        <w:t xml:space="preserve">edress to Puretumu Torowhānui, Volume 1 (2021, page 277); </w:t>
      </w:r>
      <w:bookmarkStart w:id="79" w:name="_Hlk152764155"/>
      <w:r w:rsidRPr="005E2A47">
        <w:rPr>
          <w:rFonts w:cs="Arial"/>
          <w:szCs w:val="18"/>
        </w:rPr>
        <w:t xml:space="preserve">New Zealand Government Cabinet paper, Responding to the Royal Commission into Historical Abuse in Care’s redress findings (2022, </w:t>
      </w:r>
      <w:bookmarkEnd w:id="79"/>
      <w:r w:rsidRPr="005E2A47">
        <w:rPr>
          <w:rFonts w:cs="Arial"/>
          <w:szCs w:val="18"/>
        </w:rPr>
        <w:t xml:space="preserve">paras 6, 13, 35); Cabinet Social Wellbeing Committee, </w:t>
      </w:r>
      <w:r>
        <w:rPr>
          <w:rFonts w:cs="Arial"/>
          <w:szCs w:val="18"/>
        </w:rPr>
        <w:t>T</w:t>
      </w:r>
      <w:r w:rsidRPr="005E2A47">
        <w:rPr>
          <w:rFonts w:cs="Arial"/>
          <w:szCs w:val="18"/>
        </w:rPr>
        <w:t>erms of Reference for the Design and Advisory Groups preparing high level proposals for a redress system for survivors of abuse in care (</w:t>
      </w:r>
      <w:r w:rsidRPr="005E2A47">
        <w:rPr>
          <w:rFonts w:eastAsia="Calibri" w:cs="Arial"/>
          <w:szCs w:val="18"/>
        </w:rPr>
        <w:t>22 May 2023, para 7, paras 34</w:t>
      </w:r>
      <w:r>
        <w:rPr>
          <w:rFonts w:eastAsia="Calibri" w:cs="Arial"/>
          <w:szCs w:val="18"/>
        </w:rPr>
        <w:t>–</w:t>
      </w:r>
      <w:r w:rsidRPr="005E2A47">
        <w:rPr>
          <w:rFonts w:eastAsia="Calibri" w:cs="Arial"/>
          <w:szCs w:val="18"/>
        </w:rPr>
        <w:t>35</w:t>
      </w:r>
      <w:r>
        <w:rPr>
          <w:rFonts w:eastAsia="Calibri" w:cs="Arial"/>
          <w:szCs w:val="18"/>
        </w:rPr>
        <w:t>)</w:t>
      </w:r>
      <w:r w:rsidRPr="005E2A47">
        <w:rPr>
          <w:rFonts w:eastAsia="Calibri" w:cs="Arial"/>
          <w:szCs w:val="18"/>
        </w:rPr>
        <w:t>.</w:t>
      </w:r>
    </w:p>
  </w:endnote>
  <w:endnote w:id="13">
    <w:p w14:paraId="455CD35C" w14:textId="45BAB660"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285).</w:t>
      </w:r>
    </w:p>
  </w:endnote>
  <w:endnote w:id="14">
    <w:p w14:paraId="5356B5BC" w14:textId="26F3492F"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Recommendation 21 of He Purapura Ora, he Māra Tipu, Volume 1 states</w:t>
      </w:r>
      <w:r>
        <w:rPr>
          <w:rFonts w:cs="Arial"/>
          <w:szCs w:val="18"/>
        </w:rPr>
        <w:t>:</w:t>
      </w:r>
      <w:r w:rsidRPr="005E2A47">
        <w:rPr>
          <w:rFonts w:cs="Arial"/>
          <w:szCs w:val="18"/>
        </w:rPr>
        <w:t xml:space="preserve"> “The Crown should give faith-based institutions and indirect State care providers a reasonable opportunity, say four to six months, to join the puretumu torowhānui scheme voluntarily before considering, if necessary, options to encourage or compel participation”</w:t>
      </w:r>
      <w:r>
        <w:rPr>
          <w:rFonts w:cs="Arial"/>
          <w:szCs w:val="18"/>
        </w:rPr>
        <w:t xml:space="preserve"> in</w:t>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285).</w:t>
      </w:r>
    </w:p>
  </w:endnote>
  <w:endnote w:id="15">
    <w:p w14:paraId="4086CB7B" w14:textId="03E75345"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New Zealand Government Cabinet paper, Responding to the Royal Commission into Historical Abuse in Care’s redress findings (2022, para 46).</w:t>
      </w:r>
    </w:p>
  </w:endnote>
  <w:endnote w:id="16">
    <w:p w14:paraId="0E3913E4" w14:textId="5E4B4E6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285).</w:t>
      </w:r>
    </w:p>
  </w:endnote>
  <w:endnote w:id="17">
    <w:p w14:paraId="3EBCBC03" w14:textId="4AF88C2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New Zealand Government Cabinet paper, Responding to the Royal Commission into Historical Abuse in Care’s redress findings (2022, para</w:t>
      </w:r>
      <w:r w:rsidRPr="005E2A47">
        <w:rPr>
          <w:rFonts w:eastAsia="Calibri" w:cs="Arial"/>
          <w:szCs w:val="18"/>
        </w:rPr>
        <w:t xml:space="preserve"> 8).</w:t>
      </w:r>
    </w:p>
  </w:endnote>
  <w:endnote w:id="18">
    <w:p w14:paraId="2AD278B2" w14:textId="0C9B7291"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Cabinet Social Wellbeing Committee, Design Group, Redress System for Survivors of Abuse in Care: Appointment (29 March 2023, p</w:t>
      </w:r>
      <w:r>
        <w:rPr>
          <w:rFonts w:cs="Arial"/>
          <w:szCs w:val="18"/>
        </w:rPr>
        <w:t>ages</w:t>
      </w:r>
      <w:r w:rsidRPr="005E2A47">
        <w:rPr>
          <w:rFonts w:cs="Arial"/>
          <w:szCs w:val="18"/>
        </w:rPr>
        <w:t xml:space="preserve"> 2</w:t>
      </w:r>
      <w:r>
        <w:rPr>
          <w:rFonts w:cs="Arial"/>
          <w:szCs w:val="18"/>
        </w:rPr>
        <w:t>–</w:t>
      </w:r>
      <w:r w:rsidRPr="005E2A47">
        <w:rPr>
          <w:rFonts w:cs="Arial"/>
          <w:szCs w:val="18"/>
        </w:rPr>
        <w:t>3, paras 11, 12 and 18</w:t>
      </w:r>
      <w:r>
        <w:rPr>
          <w:rFonts w:cs="Arial"/>
          <w:szCs w:val="18"/>
        </w:rPr>
        <w:t>)</w:t>
      </w:r>
      <w:r w:rsidRPr="005E2A47">
        <w:rPr>
          <w:rFonts w:cs="Arial"/>
          <w:szCs w:val="18"/>
        </w:rPr>
        <w:t xml:space="preserve">. </w:t>
      </w:r>
    </w:p>
  </w:endnote>
  <w:endnote w:id="19">
    <w:p w14:paraId="676D0434" w14:textId="1AC7065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Cabinet Appointments and Honours Committee, Design and Advisory Groups, Redress System for Survivors of Abuse in Care: Appointments (3 May 2023, p</w:t>
      </w:r>
      <w:r>
        <w:rPr>
          <w:rFonts w:cs="Arial"/>
          <w:szCs w:val="18"/>
        </w:rPr>
        <w:t>ages</w:t>
      </w:r>
      <w:r w:rsidRPr="005E2A47">
        <w:rPr>
          <w:rFonts w:cs="Arial"/>
          <w:szCs w:val="18"/>
        </w:rPr>
        <w:t xml:space="preserve"> 4</w:t>
      </w:r>
      <w:r>
        <w:rPr>
          <w:rFonts w:cs="Arial"/>
          <w:szCs w:val="18"/>
        </w:rPr>
        <w:t>–</w:t>
      </w:r>
      <w:r w:rsidRPr="005E2A47">
        <w:rPr>
          <w:rFonts w:cs="Arial"/>
          <w:szCs w:val="18"/>
        </w:rPr>
        <w:t>5, para 11</w:t>
      </w:r>
      <w:r>
        <w:rPr>
          <w:rFonts w:cs="Arial"/>
          <w:szCs w:val="18"/>
        </w:rPr>
        <w:t>)</w:t>
      </w:r>
      <w:r w:rsidRPr="005E2A47">
        <w:rPr>
          <w:rFonts w:cs="Arial"/>
          <w:szCs w:val="18"/>
        </w:rPr>
        <w:t xml:space="preserve">.  </w:t>
      </w:r>
    </w:p>
  </w:endnote>
  <w:endnote w:id="20">
    <w:p w14:paraId="5C4719ED" w14:textId="57D9C0D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Cabinet Appointments and Honours Committee, Design and Advisory Groups, Redress System for Survivors of Abuse in Care: Appointments (3 May 2023, p</w:t>
      </w:r>
      <w:r>
        <w:rPr>
          <w:rFonts w:cs="Arial"/>
          <w:szCs w:val="18"/>
        </w:rPr>
        <w:t>ages</w:t>
      </w:r>
      <w:r w:rsidRPr="005E2A47">
        <w:rPr>
          <w:rFonts w:cs="Arial"/>
          <w:szCs w:val="18"/>
        </w:rPr>
        <w:t xml:space="preserve"> 4</w:t>
      </w:r>
      <w:r>
        <w:rPr>
          <w:rFonts w:cs="Arial"/>
          <w:szCs w:val="18"/>
        </w:rPr>
        <w:t>–</w:t>
      </w:r>
      <w:r w:rsidRPr="005E2A47">
        <w:rPr>
          <w:rFonts w:cs="Arial"/>
          <w:szCs w:val="18"/>
        </w:rPr>
        <w:t>5, para 11</w:t>
      </w:r>
      <w:r>
        <w:rPr>
          <w:rFonts w:cs="Arial"/>
          <w:szCs w:val="18"/>
        </w:rPr>
        <w:t>)</w:t>
      </w:r>
      <w:r w:rsidRPr="005E2A47">
        <w:rPr>
          <w:rFonts w:cs="Arial"/>
          <w:szCs w:val="18"/>
        </w:rPr>
        <w:t xml:space="preserve">.   </w:t>
      </w:r>
    </w:p>
  </w:endnote>
  <w:endnote w:id="21">
    <w:p w14:paraId="0A7DEDCF" w14:textId="412D04D5"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See Crown </w:t>
      </w:r>
      <w:r>
        <w:rPr>
          <w:rFonts w:cs="Arial"/>
          <w:szCs w:val="18"/>
        </w:rPr>
        <w:t>R</w:t>
      </w:r>
      <w:r w:rsidRPr="005E2A47">
        <w:rPr>
          <w:rFonts w:cs="Arial"/>
          <w:szCs w:val="18"/>
        </w:rPr>
        <w:t>esponse to the Abuse in Care Inquiry, Pānui</w:t>
      </w:r>
      <w:r>
        <w:rPr>
          <w:rFonts w:cs="Arial"/>
          <w:szCs w:val="18"/>
        </w:rPr>
        <w:t xml:space="preserve"> (</w:t>
      </w:r>
      <w:r w:rsidRPr="005E2A47">
        <w:rPr>
          <w:rFonts w:cs="Arial"/>
          <w:szCs w:val="18"/>
        </w:rPr>
        <w:t>29 June 2023</w:t>
      </w:r>
      <w:r>
        <w:rPr>
          <w:rFonts w:cs="Arial"/>
          <w:szCs w:val="18"/>
        </w:rPr>
        <w:t>)</w:t>
      </w:r>
      <w:r w:rsidRPr="005E2A47">
        <w:rPr>
          <w:rFonts w:cs="Arial"/>
          <w:szCs w:val="18"/>
        </w:rPr>
        <w:t>, which referred to a pōwhiri at Waiwhetū marae on 19 June 2023 to welcome the Design and Advisory Group members.</w:t>
      </w:r>
    </w:p>
  </w:endnote>
  <w:endnote w:id="22">
    <w:p w14:paraId="38552CFB" w14:textId="771F48A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New Zealand Government Cabinet paper, Responding to the Royal Commission into Historical Abuse in Care’s redress findings (2022, para</w:t>
      </w:r>
      <w:r w:rsidRPr="005E2A47">
        <w:rPr>
          <w:rFonts w:eastAsia="Calibri" w:cs="Arial"/>
          <w:szCs w:val="18"/>
        </w:rPr>
        <w:t xml:space="preserve"> 30).</w:t>
      </w:r>
    </w:p>
  </w:endnote>
  <w:endnote w:id="23">
    <w:p w14:paraId="174833F2" w14:textId="56A776BD" w:rsidR="00C3701E" w:rsidRPr="003D23D2" w:rsidRDefault="00C3701E" w:rsidP="00E45334">
      <w:pPr>
        <w:pStyle w:val="EndnoteText"/>
        <w:spacing w:before="120"/>
      </w:pPr>
      <w:r w:rsidRPr="00641874">
        <w:rPr>
          <w:rStyle w:val="EndnoteReference"/>
        </w:rPr>
        <w:endnoteRef/>
      </w:r>
      <w:r w:rsidRPr="00641874">
        <w:t xml:space="preserve"> Cabinet Social Outcomes Committee, Minute of Decision, Crown Response to the Royal Commission of Inquiry into Abuse in Care: Overview and upcoming decisions (27 March 2024, paras 10 to 12);</w:t>
      </w:r>
      <w:r w:rsidRPr="00641874">
        <w:rPr>
          <w:lang w:val="en-US"/>
        </w:rPr>
        <w:t xml:space="preserve">Cabinet Social Outcomes Committee, Crown response to the Royal Commission of Inquiry into Abuse in Care: Overview and upcoming decisions </w:t>
      </w:r>
      <w:r w:rsidRPr="00641874">
        <w:rPr>
          <w:bCs/>
          <w:lang w:val="en-US"/>
        </w:rPr>
        <w:t>(n.d.,</w:t>
      </w:r>
      <w:r w:rsidRPr="00641874">
        <w:rPr>
          <w:b/>
          <w:lang w:val="en-US"/>
        </w:rPr>
        <w:t xml:space="preserve"> </w:t>
      </w:r>
      <w:r w:rsidRPr="00641874">
        <w:rPr>
          <w:lang w:val="en-US"/>
        </w:rPr>
        <w:t>paras 58 and 59).</w:t>
      </w:r>
    </w:p>
  </w:endnote>
  <w:endnote w:id="24">
    <w:p w14:paraId="36AB739F" w14:textId="7183244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New Zealand Government Cabinet paper, Responding to the Royal Commission into Historical Abuse in Care’s redress findings (2022, para</w:t>
      </w:r>
      <w:r w:rsidRPr="005E2A47">
        <w:rPr>
          <w:rFonts w:eastAsia="Calibri" w:cs="Arial"/>
          <w:szCs w:val="18"/>
        </w:rPr>
        <w:t xml:space="preserve"> 12).</w:t>
      </w:r>
    </w:p>
  </w:endnote>
  <w:endnote w:id="25">
    <w:p w14:paraId="6A7F7DD1" w14:textId="0A0C1725"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pages 272–273).</w:t>
      </w:r>
    </w:p>
  </w:endnote>
  <w:endnote w:id="26">
    <w:p w14:paraId="40261D34" w14:textId="4E2F79FE"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See in this regard the Crown’s agreement regarding the need for M</w:t>
      </w:r>
      <w:r>
        <w:rPr>
          <w:rFonts w:cs="Arial"/>
          <w:szCs w:val="18"/>
        </w:rPr>
        <w:t>ā</w:t>
      </w:r>
      <w:r w:rsidRPr="005E2A47">
        <w:rPr>
          <w:rFonts w:cs="Arial"/>
          <w:szCs w:val="18"/>
        </w:rPr>
        <w:t>ori-led rather than Crown-led reform of Māori self-government institutions</w:t>
      </w:r>
      <w:r>
        <w:rPr>
          <w:rFonts w:cs="Arial"/>
          <w:szCs w:val="18"/>
        </w:rPr>
        <w:t>, in</w:t>
      </w:r>
      <w:r w:rsidRPr="005E2A47">
        <w:rPr>
          <w:rFonts w:cs="Arial"/>
          <w:szCs w:val="18"/>
        </w:rPr>
        <w:t xml:space="preserve"> Waitangi Tribunal, Whaia te Mana Motuhake</w:t>
      </w:r>
      <w:r>
        <w:rPr>
          <w:rFonts w:cs="Arial"/>
          <w:szCs w:val="18"/>
        </w:rPr>
        <w:t xml:space="preserve"> –</w:t>
      </w:r>
      <w:r w:rsidRPr="005E2A47">
        <w:rPr>
          <w:rFonts w:cs="Arial"/>
          <w:szCs w:val="18"/>
        </w:rPr>
        <w:t xml:space="preserve"> In </w:t>
      </w:r>
      <w:r>
        <w:rPr>
          <w:rFonts w:cs="Arial"/>
          <w:szCs w:val="18"/>
        </w:rPr>
        <w:t>p</w:t>
      </w:r>
      <w:r w:rsidRPr="005E2A47">
        <w:rPr>
          <w:rFonts w:cs="Arial"/>
          <w:szCs w:val="18"/>
        </w:rPr>
        <w:t>ursuit of Mana Motuhake: Report on the Māori Community Development Act Claim (Pre-publication version),</w:t>
      </w:r>
      <w:r>
        <w:rPr>
          <w:rFonts w:cs="Arial"/>
          <w:szCs w:val="18"/>
        </w:rPr>
        <w:t xml:space="preserve"> (Wai 2417),</w:t>
      </w:r>
      <w:r w:rsidRPr="005E2A47">
        <w:rPr>
          <w:rFonts w:cs="Arial"/>
          <w:szCs w:val="18"/>
        </w:rPr>
        <w:t xml:space="preserve"> (2014, p</w:t>
      </w:r>
      <w:r>
        <w:rPr>
          <w:rFonts w:cs="Arial"/>
          <w:szCs w:val="18"/>
        </w:rPr>
        <w:t>age</w:t>
      </w:r>
      <w:r w:rsidRPr="005E2A47">
        <w:rPr>
          <w:rFonts w:cs="Arial"/>
          <w:szCs w:val="18"/>
        </w:rPr>
        <w:t xml:space="preserve"> 349</w:t>
      </w:r>
      <w:r>
        <w:rPr>
          <w:rFonts w:cs="Arial"/>
          <w:szCs w:val="18"/>
        </w:rPr>
        <w:t>)</w:t>
      </w:r>
      <w:r w:rsidRPr="005E2A47">
        <w:rPr>
          <w:rFonts w:cs="Arial"/>
          <w:szCs w:val="18"/>
        </w:rPr>
        <w:t>.</w:t>
      </w:r>
    </w:p>
  </w:endnote>
  <w:endnote w:id="27">
    <w:p w14:paraId="4C2F07FC" w14:textId="07ADC304" w:rsidR="00C3701E" w:rsidRPr="005E2A47" w:rsidRDefault="00C3701E" w:rsidP="00E45334">
      <w:pPr>
        <w:pStyle w:val="EndnoteText"/>
        <w:spacing w:before="120"/>
        <w:rPr>
          <w:rFonts w:cs="Arial"/>
          <w:szCs w:val="18"/>
          <w:lang w:val="en-US"/>
        </w:rPr>
      </w:pPr>
      <w:r w:rsidRPr="005E2A47">
        <w:rPr>
          <w:rStyle w:val="EndnoteReference"/>
          <w:rFonts w:cs="Arial"/>
          <w:szCs w:val="18"/>
        </w:rPr>
        <w:endnoteRef/>
      </w:r>
      <w:r w:rsidRPr="005E2A47">
        <w:rPr>
          <w:rFonts w:cs="Arial"/>
          <w:szCs w:val="18"/>
        </w:rPr>
        <w:t xml:space="preserve"> Cabinet Social Wellbeing Committee, Terms of Reference for the Design and Advisory Groups</w:t>
      </w:r>
      <w:r w:rsidRPr="00BA03D5">
        <w:rPr>
          <w:rFonts w:cs="Arial"/>
          <w:szCs w:val="18"/>
        </w:rPr>
        <w:t xml:space="preserve"> </w:t>
      </w:r>
      <w:r w:rsidRPr="005E2A47">
        <w:rPr>
          <w:rFonts w:cs="Arial"/>
          <w:szCs w:val="18"/>
        </w:rPr>
        <w:t>preparing high level proposals for a redress system for survivors of abuse in care (</w:t>
      </w:r>
      <w:r w:rsidRPr="005E2A47">
        <w:rPr>
          <w:rFonts w:eastAsia="Calibri" w:cs="Arial"/>
          <w:szCs w:val="18"/>
        </w:rPr>
        <w:t>22 May 2023</w:t>
      </w:r>
      <w:r>
        <w:rPr>
          <w:rFonts w:eastAsia="Calibri" w:cs="Arial"/>
          <w:szCs w:val="18"/>
        </w:rPr>
        <w:t>,</w:t>
      </w:r>
      <w:r w:rsidRPr="005E2A47" w:rsidDel="00BA03D5">
        <w:rPr>
          <w:rFonts w:cs="Arial"/>
          <w:szCs w:val="18"/>
        </w:rPr>
        <w:t xml:space="preserve"> </w:t>
      </w:r>
      <w:r w:rsidRPr="005E2A47">
        <w:rPr>
          <w:rFonts w:eastAsia="Calibri" w:cs="Arial"/>
          <w:szCs w:val="18"/>
        </w:rPr>
        <w:t>paras 13, 16, 17, 24 and 27</w:t>
      </w:r>
      <w:r>
        <w:rPr>
          <w:rFonts w:eastAsia="Calibri" w:cs="Arial"/>
          <w:szCs w:val="18"/>
        </w:rPr>
        <w:t>)</w:t>
      </w:r>
      <w:r w:rsidRPr="005E2A47">
        <w:rPr>
          <w:rFonts w:eastAsia="Calibri" w:cs="Arial"/>
          <w:szCs w:val="18"/>
        </w:rPr>
        <w:t>.</w:t>
      </w:r>
    </w:p>
  </w:endnote>
  <w:endnote w:id="28">
    <w:p w14:paraId="1477B07D" w14:textId="0517C20E"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eastAsia="Calibri" w:cs="Arial"/>
          <w:szCs w:val="18"/>
        </w:rPr>
        <w:t>“</w:t>
      </w:r>
      <w:r w:rsidRPr="005E2A47">
        <w:rPr>
          <w:rFonts w:cs="Arial"/>
          <w:szCs w:val="18"/>
        </w:rPr>
        <w:t>Cabinet Social Wellbeing Committee, Terms of Reference for the Design and Advisory Groups</w:t>
      </w:r>
      <w:r w:rsidRPr="00BA03D5">
        <w:rPr>
          <w:rFonts w:cs="Arial"/>
          <w:szCs w:val="18"/>
        </w:rPr>
        <w:t xml:space="preserve"> </w:t>
      </w:r>
      <w:r w:rsidRPr="005E2A47">
        <w:rPr>
          <w:rFonts w:cs="Arial"/>
          <w:szCs w:val="18"/>
        </w:rPr>
        <w:t>preparing high level proposals for a redress system for survivors of abuse in care (</w:t>
      </w:r>
      <w:r w:rsidRPr="005E2A47">
        <w:rPr>
          <w:rFonts w:eastAsia="Calibri" w:cs="Arial"/>
          <w:szCs w:val="18"/>
        </w:rPr>
        <w:t>22 May 2023</w:t>
      </w:r>
      <w:r>
        <w:rPr>
          <w:rFonts w:eastAsia="Calibri" w:cs="Arial"/>
          <w:szCs w:val="18"/>
        </w:rPr>
        <w:t>,</w:t>
      </w:r>
      <w:r w:rsidRPr="005E2A47" w:rsidDel="00BA03D5">
        <w:rPr>
          <w:rFonts w:cs="Arial"/>
          <w:szCs w:val="18"/>
        </w:rPr>
        <w:t xml:space="preserve"> </w:t>
      </w:r>
      <w:r w:rsidRPr="005E2A47">
        <w:rPr>
          <w:rFonts w:eastAsia="Calibri" w:cs="Arial"/>
          <w:szCs w:val="18"/>
        </w:rPr>
        <w:t>para 17, p</w:t>
      </w:r>
      <w:r>
        <w:rPr>
          <w:rFonts w:eastAsia="Calibri" w:cs="Arial"/>
          <w:szCs w:val="18"/>
        </w:rPr>
        <w:t>age</w:t>
      </w:r>
      <w:r w:rsidRPr="005E2A47">
        <w:rPr>
          <w:rFonts w:eastAsia="Calibri" w:cs="Arial"/>
          <w:szCs w:val="18"/>
        </w:rPr>
        <w:t xml:space="preserve"> 22</w:t>
      </w:r>
      <w:r>
        <w:rPr>
          <w:rFonts w:eastAsia="Calibri" w:cs="Arial"/>
          <w:szCs w:val="18"/>
        </w:rPr>
        <w:t>,</w:t>
      </w:r>
      <w:r w:rsidRPr="005E2A47">
        <w:rPr>
          <w:rFonts w:eastAsia="Calibri" w:cs="Arial"/>
          <w:szCs w:val="18"/>
        </w:rPr>
        <w:t xml:space="preserve"> Appendix).</w:t>
      </w:r>
    </w:p>
  </w:endnote>
  <w:endnote w:id="29">
    <w:p w14:paraId="665B5B8C" w14:textId="0157CBD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New Zealand Government Cabinet paper, Responding to the Royal Commission into Historical Abuse in Care’s redress findings (2022, para</w:t>
      </w:r>
      <w:r w:rsidRPr="005E2A47">
        <w:rPr>
          <w:rFonts w:eastAsia="Calibri" w:cs="Arial"/>
          <w:szCs w:val="18"/>
        </w:rPr>
        <w:t xml:space="preserve"> 60); </w:t>
      </w:r>
      <w:r w:rsidRPr="005E2A47">
        <w:rPr>
          <w:rFonts w:cs="Arial"/>
          <w:szCs w:val="18"/>
        </w:rPr>
        <w:t xml:space="preserve">Cabinet Social Wellbeing Committee, </w:t>
      </w:r>
      <w:r w:rsidRPr="005E2A47">
        <w:rPr>
          <w:rFonts w:eastAsia="Calibri" w:cs="Arial"/>
          <w:szCs w:val="18"/>
        </w:rPr>
        <w:t>Terms of Reference for the Design and Advisory Groups</w:t>
      </w:r>
      <w:r w:rsidRPr="00BA03D5">
        <w:rPr>
          <w:rFonts w:cs="Arial"/>
          <w:szCs w:val="18"/>
        </w:rPr>
        <w:t xml:space="preserve"> </w:t>
      </w:r>
      <w:r w:rsidRPr="005E2A47">
        <w:rPr>
          <w:rFonts w:cs="Arial"/>
          <w:szCs w:val="18"/>
        </w:rPr>
        <w:t>preparing high level proposals for a redress system for survivors of abuse in care (</w:t>
      </w:r>
      <w:r w:rsidRPr="005E2A47">
        <w:rPr>
          <w:rFonts w:eastAsia="Calibri" w:cs="Arial"/>
          <w:szCs w:val="18"/>
        </w:rPr>
        <w:t>22 May 2023, p</w:t>
      </w:r>
      <w:r>
        <w:rPr>
          <w:rFonts w:eastAsia="Calibri" w:cs="Arial"/>
          <w:szCs w:val="18"/>
        </w:rPr>
        <w:t>age</w:t>
      </w:r>
      <w:r w:rsidRPr="005E2A47">
        <w:rPr>
          <w:rFonts w:eastAsia="Calibri" w:cs="Arial"/>
          <w:szCs w:val="18"/>
        </w:rPr>
        <w:t xml:space="preserve"> 4</w:t>
      </w:r>
      <w:r>
        <w:rPr>
          <w:rFonts w:eastAsia="Calibri" w:cs="Arial"/>
          <w:szCs w:val="18"/>
        </w:rPr>
        <w:t>,</w:t>
      </w:r>
      <w:r w:rsidRPr="005E2A47">
        <w:rPr>
          <w:rFonts w:eastAsia="Calibri" w:cs="Arial"/>
          <w:szCs w:val="18"/>
        </w:rPr>
        <w:t xml:space="preserve"> paras 19–20).</w:t>
      </w:r>
    </w:p>
  </w:endnote>
  <w:endnote w:id="30">
    <w:p w14:paraId="3AADA6AF" w14:textId="0CE0A9BB"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277).</w:t>
      </w:r>
    </w:p>
  </w:endnote>
  <w:endnote w:id="31">
    <w:p w14:paraId="0FFCDE49" w14:textId="5300E0F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New Zealand Government Cabinet paper, Responding to the Royal Commission into Historical Abuse in Care’s redress findings (2022, para</w:t>
      </w:r>
      <w:r w:rsidRPr="005E2A47">
        <w:rPr>
          <w:rFonts w:eastAsia="Calibri" w:cs="Arial"/>
          <w:szCs w:val="18"/>
        </w:rPr>
        <w:t xml:space="preserve"> 91).</w:t>
      </w:r>
    </w:p>
  </w:endnote>
  <w:endnote w:id="32">
    <w:p w14:paraId="72E85994" w14:textId="21DC22C2" w:rsidR="00C3701E" w:rsidRPr="005E2A47" w:rsidRDefault="00C3701E" w:rsidP="00E45334">
      <w:pPr>
        <w:pStyle w:val="EndnoteText"/>
        <w:spacing w:before="120"/>
        <w:rPr>
          <w:rFonts w:cs="Arial"/>
          <w:b/>
          <w:bCs/>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305).</w:t>
      </w:r>
    </w:p>
  </w:endnote>
  <w:endnote w:id="33">
    <w:p w14:paraId="56C17268" w14:textId="152E2C52"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page 275).  </w:t>
      </w:r>
    </w:p>
  </w:endnote>
  <w:endnote w:id="34">
    <w:p w14:paraId="564EF27F" w14:textId="2029FEF2"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Letter from Crown Response to the Abuse in Care Inquiry (Royal Commission of Inquiry into Abuse in Care, 8 March 2023).</w:t>
      </w:r>
    </w:p>
  </w:endnote>
  <w:endnote w:id="35">
    <w:p w14:paraId="00C4ED89" w14:textId="7BC1AA2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Letter from Crown Response to the Abuse in Care Inquiry</w:t>
      </w:r>
      <w:r>
        <w:rPr>
          <w:rFonts w:cs="Arial"/>
          <w:szCs w:val="18"/>
        </w:rPr>
        <w:t xml:space="preserve"> </w:t>
      </w:r>
      <w:r w:rsidRPr="005E2A47">
        <w:rPr>
          <w:rFonts w:cs="Arial"/>
          <w:szCs w:val="18"/>
        </w:rPr>
        <w:t>(Royal Commission of Inquiry into Abuse in Care, 8 March 2023).</w:t>
      </w:r>
    </w:p>
  </w:endnote>
  <w:endnote w:id="36">
    <w:p w14:paraId="1DD9646F" w14:textId="6A76F564"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Cabinet Social Wellbeing Committee, Responding to the Royal Commission into Historical Abuse in Care's redress findings</w:t>
      </w:r>
      <w:r>
        <w:rPr>
          <w:rFonts w:cs="Arial"/>
          <w:szCs w:val="18"/>
        </w:rPr>
        <w:t xml:space="preserve"> – R</w:t>
      </w:r>
      <w:r w:rsidRPr="005E2A47">
        <w:rPr>
          <w:rFonts w:cs="Arial"/>
          <w:szCs w:val="18"/>
        </w:rPr>
        <w:t>eport back on immediate projects to improve survivors’ experience of seeking redress (14 December 2022, p</w:t>
      </w:r>
      <w:r>
        <w:rPr>
          <w:rFonts w:cs="Arial"/>
          <w:szCs w:val="18"/>
        </w:rPr>
        <w:t>age</w:t>
      </w:r>
      <w:r w:rsidRPr="005E2A47">
        <w:rPr>
          <w:rFonts w:cs="Arial"/>
          <w:szCs w:val="18"/>
        </w:rPr>
        <w:t xml:space="preserve"> 3, para 17</w:t>
      </w:r>
      <w:r>
        <w:rPr>
          <w:rFonts w:cs="Arial"/>
          <w:szCs w:val="18"/>
        </w:rPr>
        <w:t>)</w:t>
      </w:r>
      <w:r w:rsidRPr="005E2A47">
        <w:rPr>
          <w:rFonts w:cs="Arial"/>
          <w:szCs w:val="18"/>
        </w:rPr>
        <w:t>.</w:t>
      </w:r>
    </w:p>
  </w:endnote>
  <w:endnote w:id="37">
    <w:p w14:paraId="70A16EE8" w14:textId="51CCA8FF"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Crown Response to the Abuse in Care Inquiry, Pānui: Announcement of co-chairs for design and advisory groups and deferral of Royal Commission's report</w:t>
      </w:r>
      <w:r>
        <w:rPr>
          <w:rFonts w:cs="Arial"/>
          <w:szCs w:val="18"/>
        </w:rPr>
        <w:t xml:space="preserve"> (</w:t>
      </w:r>
      <w:r w:rsidRPr="005E2A47">
        <w:rPr>
          <w:rFonts w:cs="Arial"/>
          <w:szCs w:val="18"/>
        </w:rPr>
        <w:t>12 April 2023</w:t>
      </w:r>
      <w:r>
        <w:rPr>
          <w:rFonts w:cs="Arial"/>
          <w:szCs w:val="18"/>
        </w:rPr>
        <w:t>)</w:t>
      </w:r>
      <w:r w:rsidRPr="005E2A47">
        <w:rPr>
          <w:rFonts w:cs="Arial"/>
          <w:szCs w:val="18"/>
        </w:rPr>
        <w:t>.</w:t>
      </w:r>
    </w:p>
  </w:endnote>
  <w:endnote w:id="38">
    <w:p w14:paraId="681F2F76" w14:textId="4D67558A" w:rsidR="00C3701E" w:rsidRPr="005A02B9" w:rsidRDefault="00C3701E" w:rsidP="00E45334">
      <w:pPr>
        <w:pStyle w:val="EndnoteText"/>
        <w:spacing w:before="120"/>
        <w:rPr>
          <w:b/>
          <w:lang w:val="en-US"/>
        </w:rPr>
      </w:pPr>
      <w:r w:rsidRPr="00641874">
        <w:rPr>
          <w:rStyle w:val="EndnoteReference"/>
        </w:rPr>
        <w:endnoteRef/>
      </w:r>
      <w:r w:rsidRPr="00641874">
        <w:t xml:space="preserve"> Cabinet Social Outcomes Committee, Minute of Decision, Crown Response to the Royal Commission of Inquiry into Abuse in Care: Overview and upcoming decisions (27 March 2024, paras 7 and 8</w:t>
      </w:r>
      <w:r w:rsidRPr="00641874">
        <w:rPr>
          <w:bCs/>
          <w:lang w:val="en-US"/>
        </w:rPr>
        <w:t>)</w:t>
      </w:r>
      <w:r w:rsidRPr="00641874">
        <w:t xml:space="preserve">; </w:t>
      </w:r>
      <w:r w:rsidRPr="00641874">
        <w:rPr>
          <w:lang w:val="en-US"/>
        </w:rPr>
        <w:t>Cabinet Social Outcomes Committee, Crown response to the Royal Commission of Inquiry into Abuse in Care: Overview and upcoming decisions (n.d., paras 41 and 42.</w:t>
      </w:r>
    </w:p>
  </w:endnote>
  <w:endnote w:id="39">
    <w:p w14:paraId="4C5A216A" w14:textId="2766EFFA" w:rsidR="00C3701E" w:rsidRPr="005E2A47" w:rsidRDefault="00C3701E" w:rsidP="00E45334">
      <w:pPr>
        <w:pStyle w:val="EndnoteText"/>
        <w:spacing w:before="120"/>
        <w:rPr>
          <w:rFonts w:cs="Arial"/>
          <w:szCs w:val="18"/>
        </w:rPr>
      </w:pPr>
      <w:r w:rsidRPr="005A02B9">
        <w:rPr>
          <w:rStyle w:val="EndnoteReference"/>
          <w:rFonts w:cs="Arial"/>
          <w:szCs w:val="18"/>
        </w:rPr>
        <w:endnoteRef/>
      </w:r>
      <w:r w:rsidRPr="005A02B9">
        <w:rPr>
          <w:rFonts w:cs="Arial"/>
          <w:szCs w:val="18"/>
        </w:rPr>
        <w:t xml:space="preserve"> Royal Commission of Inquiry into</w:t>
      </w:r>
      <w:r w:rsidRPr="005E2A47">
        <w:rPr>
          <w:rFonts w:cs="Arial"/>
          <w:szCs w:val="18"/>
        </w:rPr>
        <w:t xml:space="preserve">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pages 349–350).</w:t>
      </w:r>
    </w:p>
  </w:endnote>
  <w:endnote w:id="40">
    <w:p w14:paraId="38C0B706" w14:textId="32CF655B" w:rsidR="00C3701E" w:rsidRPr="005E2A47" w:rsidRDefault="00C3701E" w:rsidP="00E45334">
      <w:pPr>
        <w:pStyle w:val="EndnoteText"/>
        <w:spacing w:before="120"/>
        <w:rPr>
          <w:rFonts w:cs="Arial"/>
        </w:rPr>
      </w:pPr>
      <w:r w:rsidRPr="37C568FE">
        <w:rPr>
          <w:rStyle w:val="EndnoteReference"/>
          <w:rFonts w:cs="Arial"/>
        </w:rPr>
        <w:endnoteRef/>
      </w:r>
      <w:r w:rsidRPr="37C568FE">
        <w:rPr>
          <w:rFonts w:cs="Arial"/>
        </w:rPr>
        <w:t xml:space="preserve"> Letter from Crown Response to the Abuse in Care Inquiry (Royal Commission of Inquiry into Abuse in Care, 8 March 2023); See also Survivor Experiences Service website, About, (accessed on </w:t>
      </w:r>
      <w:r w:rsidRPr="00641874">
        <w:rPr>
          <w:rFonts w:cs="Arial"/>
        </w:rPr>
        <w:t xml:space="preserve">4 June 2024), </w:t>
      </w:r>
      <w:hyperlink r:id="rId2" w:history="1">
        <w:r w:rsidRPr="37C568FE">
          <w:rPr>
            <w:rStyle w:val="Hyperlink"/>
            <w:rFonts w:cs="Arial"/>
          </w:rPr>
          <w:t>https://survivorexperiences.govt.nz/about-the-service</w:t>
        </w:r>
      </w:hyperlink>
      <w:r w:rsidRPr="37C568FE">
        <w:rPr>
          <w:rFonts w:cs="Arial"/>
        </w:rPr>
        <w:t xml:space="preserve">/.  </w:t>
      </w:r>
    </w:p>
  </w:endnote>
  <w:endnote w:id="41">
    <w:p w14:paraId="543A4103" w14:textId="3311076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344).</w:t>
      </w:r>
    </w:p>
  </w:endnote>
  <w:endnote w:id="42">
    <w:p w14:paraId="59DCF624" w14:textId="2F562CD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344).</w:t>
      </w:r>
    </w:p>
  </w:endnote>
  <w:endnote w:id="43">
    <w:p w14:paraId="29D9C9A2" w14:textId="180260CA" w:rsidR="00C3701E" w:rsidRDefault="00C3701E" w:rsidP="00C75497">
      <w:pPr>
        <w:pStyle w:val="EndnoteText"/>
        <w:spacing w:before="120"/>
      </w:pPr>
      <w:r>
        <w:rPr>
          <w:rStyle w:val="EndnoteReference"/>
        </w:rPr>
        <w:endnoteRef/>
      </w:r>
      <w:r>
        <w:t xml:space="preserve"> As the Inquiry said in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345), “The Chief Archivist determines how long an organisation must keep certain types of records and when it can dispose of them via what are called disposal authorities.”</w:t>
      </w:r>
    </w:p>
  </w:endnote>
  <w:endnote w:id="44">
    <w:p w14:paraId="231907CC" w14:textId="2E47D976" w:rsidR="00C3701E" w:rsidRPr="005E2A47" w:rsidRDefault="00C3701E" w:rsidP="00C75497">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346).</w:t>
      </w:r>
    </w:p>
  </w:endnote>
  <w:endnote w:id="45">
    <w:p w14:paraId="7E322C19" w14:textId="156E4090" w:rsidR="00C3701E" w:rsidRPr="005E2A47" w:rsidRDefault="00C3701E" w:rsidP="00F72616">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346).</w:t>
      </w:r>
    </w:p>
  </w:endnote>
  <w:endnote w:id="46">
    <w:p w14:paraId="65D2C94B" w14:textId="41AF8CBC" w:rsidR="00C3701E" w:rsidRPr="005E2A47" w:rsidRDefault="00C3701E" w:rsidP="00F72616">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346).</w:t>
      </w:r>
    </w:p>
  </w:endnote>
  <w:endnote w:id="47">
    <w:p w14:paraId="62645AEB" w14:textId="0E764AD4"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Letter from Crown Response to the Abuse in Care Inquiry</w:t>
      </w:r>
      <w:r>
        <w:rPr>
          <w:rFonts w:cs="Arial"/>
          <w:szCs w:val="18"/>
        </w:rPr>
        <w:t xml:space="preserve"> </w:t>
      </w:r>
      <w:r w:rsidRPr="005E2A47">
        <w:rPr>
          <w:rFonts w:cs="Arial"/>
          <w:szCs w:val="18"/>
        </w:rPr>
        <w:t>(Royal Commission of Inquiry into Abuse in Care, 8 March 2023).</w:t>
      </w:r>
    </w:p>
  </w:endnote>
  <w:endnote w:id="48">
    <w:p w14:paraId="3BA9AD33" w14:textId="11A1746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Crown Response to the Abuse in Care Inquiry, Ā mātou mahi – Our work (27 November 2023). </w:t>
      </w:r>
    </w:p>
  </w:endnote>
  <w:endnote w:id="49">
    <w:p w14:paraId="3B1CAE58" w14:textId="53448B4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Crown Response to the Abuse in Care Inquiry, Accessing your records (5 October 2023).  </w:t>
      </w:r>
    </w:p>
  </w:endnote>
  <w:endnote w:id="50">
    <w:p w14:paraId="1D2FCE45" w14:textId="00786801"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See: Archives New Zealand, Related records improvement initiatives. </w:t>
      </w:r>
    </w:p>
  </w:endnote>
  <w:endnote w:id="51">
    <w:p w14:paraId="543B3CEA" w14:textId="3DFEE1D2" w:rsidR="00C3701E" w:rsidRPr="00A00F0C" w:rsidRDefault="00C3701E" w:rsidP="00E45334">
      <w:pPr>
        <w:pStyle w:val="EndnoteText"/>
        <w:spacing w:before="120"/>
      </w:pPr>
      <w:r>
        <w:rPr>
          <w:rStyle w:val="EndnoteReference"/>
        </w:rPr>
        <w:endnoteRef/>
      </w:r>
      <w:r>
        <w:t xml:space="preserve"> </w:t>
      </w:r>
      <w:r w:rsidRPr="005E2A47">
        <w:rPr>
          <w:rFonts w:cs="Arial"/>
          <w:szCs w:val="18"/>
        </w:rPr>
        <w:t>Cabinet Social Wellbeing Committee, Responding to the Royal Commission into Historical Abuse in Care's redress findings – Report back on immediate projects to improve survivors’ experience of seeking redress</w:t>
      </w:r>
      <w:r w:rsidRPr="00F07E33">
        <w:t xml:space="preserve"> </w:t>
      </w:r>
      <w:r w:rsidRPr="005E2A47">
        <w:rPr>
          <w:rFonts w:cs="Arial"/>
          <w:szCs w:val="18"/>
        </w:rPr>
        <w:t>(14 December 2022,</w:t>
      </w:r>
      <w:r w:rsidRPr="00F07E33">
        <w:t xml:space="preserve"> </w:t>
      </w:r>
      <w:r w:rsidRPr="005E2A47">
        <w:rPr>
          <w:rFonts w:cs="Arial"/>
          <w:szCs w:val="18"/>
        </w:rPr>
        <w:t>page 2, para 12(e)).</w:t>
      </w:r>
    </w:p>
  </w:endnote>
  <w:endnote w:id="52">
    <w:p w14:paraId="43B9A82B" w14:textId="4616DFC0" w:rsidR="00C3701E" w:rsidRPr="009154C9" w:rsidRDefault="00C3701E" w:rsidP="00E45334">
      <w:pPr>
        <w:pStyle w:val="EndnoteText"/>
        <w:spacing w:before="120"/>
      </w:pPr>
      <w:r>
        <w:rPr>
          <w:rStyle w:val="EndnoteReference"/>
        </w:rPr>
        <w:endnoteRef/>
      </w:r>
      <w:r>
        <w:t xml:space="preserve"> </w:t>
      </w:r>
      <w:r w:rsidRPr="005E2A47">
        <w:rPr>
          <w:rFonts w:cs="Arial"/>
          <w:szCs w:val="18"/>
        </w:rPr>
        <w:t>See: Archives New Zealand, Related records improvement initiatives.</w:t>
      </w:r>
    </w:p>
  </w:endnote>
  <w:endnote w:id="53">
    <w:p w14:paraId="5301E3D5" w14:textId="06B6D986" w:rsidR="00C3701E" w:rsidRPr="005D21DC" w:rsidRDefault="00C3701E" w:rsidP="00E45334">
      <w:pPr>
        <w:pStyle w:val="EndnoteText"/>
        <w:spacing w:before="120"/>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343).</w:t>
      </w:r>
    </w:p>
  </w:endnote>
  <w:endnote w:id="54">
    <w:p w14:paraId="05F4952D" w14:textId="6F90752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Cabinet Social Wellbeing Committee, Responding to the Royal Commission into Historical Abuse in Care's redress findings – Report back on immediate projects to improve survivors’ experience of seeking redress (14 December 2022,</w:t>
      </w:r>
      <w:r w:rsidRPr="00F07E33">
        <w:t xml:space="preserve"> </w:t>
      </w:r>
      <w:r w:rsidRPr="005E2A47">
        <w:rPr>
          <w:rFonts w:cs="Arial"/>
          <w:szCs w:val="18"/>
        </w:rPr>
        <w:t>page 13, paras 82–85).</w:t>
      </w:r>
    </w:p>
  </w:endnote>
  <w:endnote w:id="55">
    <w:p w14:paraId="7D1076E1" w14:textId="2FC3994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348).</w:t>
      </w:r>
    </w:p>
  </w:endnote>
  <w:endnote w:id="56">
    <w:p w14:paraId="3F00CE4D" w14:textId="7DDB5FED"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348).</w:t>
      </w:r>
    </w:p>
  </w:endnote>
  <w:endnote w:id="57">
    <w:p w14:paraId="1CF72D27" w14:textId="153ACDB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w:t>
      </w:r>
      <w:r>
        <w:rPr>
          <w:rFonts w:cs="Arial"/>
          <w:szCs w:val="18"/>
        </w:rPr>
        <w:t>Media release</w:t>
      </w:r>
      <w:r w:rsidRPr="005E2A47">
        <w:rPr>
          <w:rFonts w:cs="Arial"/>
          <w:szCs w:val="18"/>
        </w:rPr>
        <w:t xml:space="preserve">, </w:t>
      </w:r>
      <w:r>
        <w:rPr>
          <w:rFonts w:cs="Arial"/>
          <w:szCs w:val="18"/>
        </w:rPr>
        <w:t xml:space="preserve">Public Service Commission and Ministry of Social Development, </w:t>
      </w:r>
      <w:r w:rsidRPr="005E2A47">
        <w:rPr>
          <w:rFonts w:cs="Arial"/>
          <w:szCs w:val="18"/>
        </w:rPr>
        <w:t>Rapid payments starting for historical abuse claimants (13 December 2022)</w:t>
      </w:r>
      <w:r>
        <w:rPr>
          <w:rFonts w:cs="Arial"/>
          <w:szCs w:val="18"/>
        </w:rPr>
        <w:t xml:space="preserve">, </w:t>
      </w:r>
      <w:hyperlink r:id="rId3" w:history="1">
        <w:r w:rsidRPr="00E15336">
          <w:rPr>
            <w:rStyle w:val="Hyperlink"/>
            <w:rFonts w:cs="Arial"/>
            <w:szCs w:val="18"/>
          </w:rPr>
          <w:t>https://www.beehive.govt.nz/release/rapid-payments-starting-historical-abuse-claimants</w:t>
        </w:r>
      </w:hyperlink>
      <w:r w:rsidRPr="005E2A47">
        <w:rPr>
          <w:rFonts w:cs="Arial"/>
          <w:szCs w:val="18"/>
        </w:rPr>
        <w:t>.</w:t>
      </w:r>
    </w:p>
  </w:endnote>
  <w:endnote w:id="58">
    <w:p w14:paraId="518BE817" w14:textId="29BAF21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Crown response to the Abuse in Care Inquiry, Briefing: Proposed rapid payment approach for use by agencies operating claims processes for abuse in state care (2 September 2022, para 10</w:t>
      </w:r>
      <w:r>
        <w:rPr>
          <w:rFonts w:cs="Arial"/>
          <w:szCs w:val="18"/>
        </w:rPr>
        <w:t>)</w:t>
      </w:r>
      <w:r w:rsidRPr="005E2A47">
        <w:rPr>
          <w:rFonts w:cs="Arial"/>
          <w:szCs w:val="18"/>
        </w:rPr>
        <w:t>.</w:t>
      </w:r>
    </w:p>
  </w:endnote>
  <w:endnote w:id="59">
    <w:p w14:paraId="453AEA65" w14:textId="155D8B77"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 Letter re: Ministry of Social Development response to Cooper Legal updating witness statemen</w:t>
      </w:r>
      <w:r>
        <w:rPr>
          <w:rFonts w:cs="Arial"/>
          <w:szCs w:val="18"/>
        </w:rPr>
        <w:t>t</w:t>
      </w:r>
      <w:r w:rsidRPr="005E2A47">
        <w:rPr>
          <w:rFonts w:cs="Arial"/>
          <w:szCs w:val="18"/>
        </w:rPr>
        <w:t xml:space="preserve"> (8 March 2023, para 15</w:t>
      </w:r>
      <w:r>
        <w:rPr>
          <w:rFonts w:cs="Arial"/>
          <w:szCs w:val="18"/>
        </w:rPr>
        <w:t>)</w:t>
      </w:r>
      <w:r w:rsidRPr="005E2A47">
        <w:rPr>
          <w:rFonts w:cs="Arial"/>
          <w:szCs w:val="18"/>
        </w:rPr>
        <w:t xml:space="preserve">. </w:t>
      </w:r>
    </w:p>
  </w:endnote>
  <w:endnote w:id="60">
    <w:p w14:paraId="003F043B" w14:textId="459CAAA0"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 Rapid payments fact sheet (October 2022).</w:t>
      </w:r>
    </w:p>
  </w:endnote>
  <w:endnote w:id="61">
    <w:p w14:paraId="0C91EF41" w14:textId="495B5FE1"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 Rapid payments fact sheet (October 2022).</w:t>
      </w:r>
    </w:p>
  </w:endnote>
  <w:endnote w:id="62">
    <w:p w14:paraId="55943D59" w14:textId="4E2CFCC7"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w:t>
      </w:r>
      <w:r>
        <w:rPr>
          <w:rFonts w:cs="Arial"/>
          <w:szCs w:val="18"/>
        </w:rPr>
        <w:t>,</w:t>
      </w:r>
      <w:r w:rsidRPr="005E2A47">
        <w:rPr>
          <w:rFonts w:cs="Arial"/>
          <w:szCs w:val="18"/>
        </w:rPr>
        <w:t xml:space="preserve"> Report to Hon Carmel Sepuloni, Approval for MSD Historic Claims Rapid Payment Approach (22 September 2022, para 20</w:t>
      </w:r>
      <w:r>
        <w:rPr>
          <w:rFonts w:cs="Arial"/>
          <w:szCs w:val="18"/>
        </w:rPr>
        <w:t>)</w:t>
      </w:r>
      <w:r w:rsidRPr="005E2A47">
        <w:rPr>
          <w:rFonts w:cs="Arial"/>
          <w:szCs w:val="18"/>
        </w:rPr>
        <w:t xml:space="preserve">. </w:t>
      </w:r>
      <w:bookmarkStart w:id="98" w:name="_Hlk152771790"/>
    </w:p>
    <w:bookmarkEnd w:id="98"/>
  </w:endnote>
  <w:endnote w:id="63">
    <w:p w14:paraId="5EEBD6B6" w14:textId="31CF8C66" w:rsidR="00C3701E" w:rsidRDefault="00C3701E" w:rsidP="00E45334">
      <w:pPr>
        <w:pStyle w:val="EndnoteText"/>
        <w:spacing w:before="120"/>
      </w:pPr>
      <w:r>
        <w:rPr>
          <w:rStyle w:val="EndnoteReference"/>
        </w:rPr>
        <w:endnoteRef/>
      </w:r>
      <w:r>
        <w:t xml:space="preserve"> Ministry of Social Development, </w:t>
      </w:r>
      <w:r w:rsidRPr="004019BF">
        <w:t>MSD Historic Claims Business Process and Guidance (updated May 2023, page 35 and footnote 14</w:t>
      </w:r>
      <w:r>
        <w:t>)</w:t>
      </w:r>
      <w:r>
        <w:rPr>
          <w:b/>
        </w:rPr>
        <w:t>.</w:t>
      </w:r>
    </w:p>
  </w:endnote>
  <w:endnote w:id="64">
    <w:p w14:paraId="3302520B" w14:textId="39FC1DF8"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 Rapid payments fact sheet (October 2022).</w:t>
      </w:r>
    </w:p>
  </w:endnote>
  <w:endnote w:id="65">
    <w:p w14:paraId="7B124EED" w14:textId="529F2662"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 Rapid payments fact sheet (October 2022).</w:t>
      </w:r>
    </w:p>
  </w:endnote>
  <w:endnote w:id="66">
    <w:p w14:paraId="086ADFA0" w14:textId="4AD2C6D8"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Crown response to the Abuse in Care Inquiry, Pānui </w:t>
      </w:r>
      <w:r>
        <w:rPr>
          <w:rFonts w:cs="Arial"/>
          <w:szCs w:val="18"/>
        </w:rPr>
        <w:t>(</w:t>
      </w:r>
      <w:r w:rsidRPr="005E2A47">
        <w:rPr>
          <w:rFonts w:cs="Arial"/>
          <w:szCs w:val="18"/>
        </w:rPr>
        <w:t>February 2023</w:t>
      </w:r>
      <w:r>
        <w:rPr>
          <w:rFonts w:cs="Arial"/>
          <w:szCs w:val="18"/>
        </w:rPr>
        <w:t>)</w:t>
      </w:r>
      <w:r w:rsidRPr="005E2A47">
        <w:rPr>
          <w:rFonts w:cs="Arial"/>
          <w:szCs w:val="18"/>
        </w:rPr>
        <w:t>.</w:t>
      </w:r>
    </w:p>
  </w:endnote>
  <w:endnote w:id="67">
    <w:p w14:paraId="0711A49E" w14:textId="55D5591C"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 Letter re: Ministry of Social Development response to Cooper Legal updating witness statement, </w:t>
      </w:r>
      <w:r>
        <w:rPr>
          <w:rFonts w:cs="Arial"/>
          <w:szCs w:val="18"/>
        </w:rPr>
        <w:t>(8 March 2023</w:t>
      </w:r>
      <w:r w:rsidRPr="005E2A47">
        <w:rPr>
          <w:rFonts w:cs="Arial"/>
          <w:szCs w:val="18"/>
        </w:rPr>
        <w:t>, para 16</w:t>
      </w:r>
      <w:r>
        <w:rPr>
          <w:rFonts w:cs="Arial"/>
          <w:szCs w:val="18"/>
        </w:rPr>
        <w:t>)</w:t>
      </w:r>
      <w:r w:rsidRPr="005E2A47">
        <w:rPr>
          <w:rFonts w:cs="Arial"/>
          <w:szCs w:val="18"/>
        </w:rPr>
        <w:t xml:space="preserve">. </w:t>
      </w:r>
    </w:p>
  </w:endnote>
  <w:endnote w:id="68">
    <w:p w14:paraId="684E5684" w14:textId="1477043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National Records of Scotland, Financial redress for survivors of child abuse in care: Advance Payment Scheme form and guidance (8 December 2021). </w:t>
      </w:r>
    </w:p>
  </w:endnote>
  <w:endnote w:id="69">
    <w:p w14:paraId="4AFDB948" w14:textId="63FBF6F7"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Updated witness statement of Cooper Legal relating to redress for historic abuse in state and faith-based care between 1950 and 2000 (9 December 2022</w:t>
      </w:r>
      <w:r w:rsidRPr="005E2A47">
        <w:rPr>
          <w:rFonts w:eastAsia="Calibri" w:cs="Arial"/>
          <w:szCs w:val="18"/>
        </w:rPr>
        <w:t>,</w:t>
      </w:r>
      <w:r w:rsidRPr="005E2A47">
        <w:rPr>
          <w:rFonts w:eastAsia="Calibri" w:cs="Arial"/>
          <w:b/>
          <w:bCs/>
          <w:szCs w:val="18"/>
        </w:rPr>
        <w:t xml:space="preserve"> </w:t>
      </w:r>
      <w:r w:rsidRPr="005E2A47">
        <w:rPr>
          <w:rFonts w:eastAsia="Calibri" w:cs="Arial"/>
          <w:szCs w:val="18"/>
        </w:rPr>
        <w:t xml:space="preserve">para </w:t>
      </w:r>
      <w:r w:rsidRPr="005E2A47">
        <w:rPr>
          <w:rFonts w:cs="Arial"/>
          <w:szCs w:val="18"/>
        </w:rPr>
        <w:t>161</w:t>
      </w:r>
      <w:r>
        <w:rPr>
          <w:rFonts w:cs="Arial"/>
          <w:szCs w:val="18"/>
        </w:rPr>
        <w:t>)</w:t>
      </w:r>
      <w:r w:rsidRPr="005E2A47">
        <w:rPr>
          <w:rFonts w:cs="Arial"/>
          <w:szCs w:val="18"/>
        </w:rPr>
        <w:t>.</w:t>
      </w:r>
    </w:p>
  </w:endnote>
  <w:endnote w:id="70">
    <w:p w14:paraId="02B9DE2B" w14:textId="59703491"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 Rapid payments fact sheet (October 2022). This was first published in October 2022 but remains available on the Ministry’s website. It advises that there is a large backlog of claims and current wait-times are over four years.</w:t>
      </w:r>
    </w:p>
  </w:endnote>
  <w:endnote w:id="71">
    <w:p w14:paraId="2F8CD763" w14:textId="543E42E9"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See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pages 145–146).</w:t>
      </w:r>
    </w:p>
  </w:endnote>
  <w:endnote w:id="72">
    <w:p w14:paraId="21AC0E21" w14:textId="7399D509" w:rsidR="00C3701E" w:rsidRPr="00737603" w:rsidRDefault="00C3701E" w:rsidP="00E45334">
      <w:pPr>
        <w:pStyle w:val="EndnoteText"/>
        <w:spacing w:before="120"/>
        <w:rPr>
          <w:lang w:val="en-US"/>
        </w:rPr>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pages 94, 153, and 160).</w:t>
      </w:r>
    </w:p>
  </w:endnote>
  <w:endnote w:id="73">
    <w:p w14:paraId="3D9AD569" w14:textId="6F8EA5C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eastAsiaTheme="minorEastAsia" w:cs="Arial"/>
          <w:szCs w:val="18"/>
        </w:rP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281).</w:t>
      </w:r>
    </w:p>
  </w:endnote>
  <w:endnote w:id="74">
    <w:p w14:paraId="77F9DF9A" w14:textId="384476CD" w:rsidR="00C3701E" w:rsidRPr="005E2A47" w:rsidRDefault="00C3701E" w:rsidP="00E45334">
      <w:pPr>
        <w:pStyle w:val="EndnoteText"/>
        <w:spacing w:before="120"/>
        <w:rPr>
          <w:rStyle w:val="EndnoteReference"/>
          <w:rFonts w:cs="Arial"/>
          <w:szCs w:val="18"/>
        </w:rPr>
      </w:pPr>
      <w:r w:rsidRPr="005E2A47">
        <w:rPr>
          <w:rStyle w:val="EndnoteReference"/>
          <w:rFonts w:cs="Arial"/>
          <w:szCs w:val="18"/>
        </w:rPr>
        <w:endnoteRef/>
      </w:r>
      <w:r w:rsidRPr="005E2A47">
        <w:rPr>
          <w:rStyle w:val="EndnoteReference"/>
          <w:rFonts w:cs="Arial"/>
          <w:szCs w:val="18"/>
        </w:rPr>
        <w:t xml:space="preserve"> </w:t>
      </w:r>
      <w:r w:rsidRPr="005E2A47">
        <w:rPr>
          <w:rFonts w:cs="Arial"/>
          <w:szCs w:val="18"/>
        </w:rPr>
        <w:t>Ministry of Social Development, Rapid payments fact sheet (October 2022).</w:t>
      </w:r>
    </w:p>
  </w:endnote>
  <w:endnote w:id="75">
    <w:p w14:paraId="2272E457" w14:textId="3219095C" w:rsidR="00C3701E" w:rsidRPr="00A731C0" w:rsidRDefault="00C3701E" w:rsidP="00E45334">
      <w:pPr>
        <w:pStyle w:val="EndnoteText"/>
        <w:spacing w:before="120"/>
        <w:rPr>
          <w:b/>
        </w:rPr>
      </w:pPr>
      <w:r>
        <w:rPr>
          <w:rStyle w:val="EndnoteReference"/>
        </w:rPr>
        <w:endnoteRef/>
      </w:r>
      <w:r>
        <w:t xml:space="preserve"> Email from Cooper Legal to the Royal Commission of Inquiry into Abuse in Care (23 April 2024</w:t>
      </w:r>
      <w:r w:rsidRPr="0073739F">
        <w:t>).</w:t>
      </w:r>
    </w:p>
  </w:endnote>
  <w:endnote w:id="76">
    <w:p w14:paraId="6E64412D" w14:textId="4E7B2966" w:rsidR="00C3701E" w:rsidRPr="001A1589" w:rsidRDefault="00C3701E" w:rsidP="00E45334">
      <w:pPr>
        <w:pStyle w:val="EndnoteText"/>
        <w:spacing w:before="120"/>
        <w:rPr>
          <w:lang w:val="en-US"/>
        </w:rPr>
      </w:pPr>
      <w:r>
        <w:rPr>
          <w:rStyle w:val="EndnoteReference"/>
        </w:rPr>
        <w:endnoteRef/>
      </w:r>
      <w:r>
        <w:t xml:space="preserve"> The Inquiry has already commented on this issue in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160)</w:t>
      </w:r>
      <w:r w:rsidRPr="005E2A47">
        <w:rPr>
          <w:rFonts w:cs="Arial"/>
          <w:szCs w:val="18"/>
          <w:lang w:val="mi-NZ"/>
        </w:rPr>
        <w:t xml:space="preserve">. </w:t>
      </w:r>
      <w:r w:rsidRPr="0003210B">
        <w:rPr>
          <w:rFonts w:cs="Arial"/>
          <w:szCs w:val="18"/>
        </w:rPr>
        <w:t xml:space="preserve">Referring to the payments available in </w:t>
      </w:r>
      <w:r>
        <w:rPr>
          <w:rFonts w:cs="Arial"/>
          <w:szCs w:val="18"/>
        </w:rPr>
        <w:t>S</w:t>
      </w:r>
      <w:r w:rsidRPr="0003210B">
        <w:rPr>
          <w:rFonts w:cs="Arial"/>
          <w:szCs w:val="18"/>
        </w:rPr>
        <w:t>tate agency redress schemes, the Inquiry stated: “The payments are very low when compared with other payments made by the State, for example in response to one off instances of arbitrary detention or delay in releasing records.”</w:t>
      </w:r>
      <w:r w:rsidRPr="005E2A47">
        <w:rPr>
          <w:rFonts w:cs="Arial"/>
          <w:szCs w:val="18"/>
          <w:lang w:val="mi-NZ"/>
        </w:rPr>
        <w:t xml:space="preserve"> </w:t>
      </w:r>
    </w:p>
  </w:endnote>
  <w:endnote w:id="77">
    <w:p w14:paraId="24C12843" w14:textId="65F00100" w:rsidR="00C3701E" w:rsidRDefault="00C3701E" w:rsidP="00E45334">
      <w:pPr>
        <w:pStyle w:val="EndnoteText"/>
        <w:spacing w:before="120"/>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305).</w:t>
      </w:r>
    </w:p>
  </w:endnote>
  <w:endnote w:id="78">
    <w:p w14:paraId="49C271CC" w14:textId="409D76B8" w:rsidR="00C3701E" w:rsidRPr="00343D58" w:rsidRDefault="00C3701E" w:rsidP="00E45334">
      <w:pPr>
        <w:pStyle w:val="EndnoteText"/>
        <w:spacing w:before="120"/>
      </w:pPr>
      <w:r w:rsidRPr="00343D58">
        <w:rPr>
          <w:rStyle w:val="EndnoteReference"/>
        </w:rPr>
        <w:endnoteRef/>
      </w:r>
      <w:r w:rsidRPr="00343D58">
        <w:t xml:space="preserve"> Ministry of Education website, Rapid Payment Policy for sensitive claims (undated, para 24).</w:t>
      </w:r>
    </w:p>
  </w:endnote>
  <w:endnote w:id="79">
    <w:p w14:paraId="03B885FA" w14:textId="73E034BA" w:rsidR="00C3701E" w:rsidRPr="00641874" w:rsidRDefault="00C3701E" w:rsidP="00E45334">
      <w:pPr>
        <w:pStyle w:val="EndnoteText"/>
        <w:spacing w:before="120"/>
        <w:rPr>
          <w:b/>
        </w:rPr>
      </w:pPr>
      <w:r w:rsidRPr="00343D58">
        <w:rPr>
          <w:rStyle w:val="EndnoteReference"/>
        </w:rPr>
        <w:endnoteRef/>
      </w:r>
      <w:r w:rsidRPr="00343D58">
        <w:t xml:space="preserve"> </w:t>
      </w:r>
      <w:r w:rsidRPr="00641874">
        <w:t xml:space="preserve">Ministry of Education website, Rapid Payment Policy for sensitive claims (undated, Annex 1). </w:t>
      </w:r>
    </w:p>
  </w:endnote>
  <w:endnote w:id="80">
    <w:p w14:paraId="733AF539" w14:textId="27193B59" w:rsidR="00C3701E" w:rsidRPr="001A1589" w:rsidRDefault="00C3701E" w:rsidP="00E45334">
      <w:pPr>
        <w:pStyle w:val="EndnoteText"/>
        <w:spacing w:before="120"/>
        <w:rPr>
          <w:highlight w:val="yellow"/>
        </w:rPr>
      </w:pPr>
      <w:r w:rsidRPr="00641874">
        <w:rPr>
          <w:rStyle w:val="EndnoteReference"/>
        </w:rPr>
        <w:endnoteRef/>
      </w:r>
      <w:r w:rsidRPr="00641874">
        <w:t xml:space="preserve"> Ministry of Education website, Rapid Payment Policy for sensitive claims (</w:t>
      </w:r>
      <w:r w:rsidRPr="00343D58">
        <w:t xml:space="preserve">undated, </w:t>
      </w:r>
      <w:r w:rsidRPr="00641874">
        <w:t xml:space="preserve">paras 34 and 35). </w:t>
      </w:r>
    </w:p>
  </w:endnote>
  <w:endnote w:id="81">
    <w:p w14:paraId="5D7E0B46" w14:textId="66F7417B" w:rsidR="00C3701E" w:rsidRPr="00641874" w:rsidRDefault="00C3701E" w:rsidP="00E45334">
      <w:pPr>
        <w:pStyle w:val="EndnoteText"/>
        <w:spacing w:before="120"/>
      </w:pPr>
      <w:r w:rsidRPr="00641874">
        <w:rPr>
          <w:rStyle w:val="EndnoteReference"/>
        </w:rPr>
        <w:endnoteRef/>
      </w:r>
      <w:r w:rsidRPr="00641874">
        <w:t xml:space="preserve"> Ministry of Education, Rapid payments for claimants who attended Waimokoia / Mt Wellington Residential School (document still in draft form).</w:t>
      </w:r>
    </w:p>
  </w:endnote>
  <w:endnote w:id="82">
    <w:p w14:paraId="09737787" w14:textId="78DC816E" w:rsidR="00C3701E" w:rsidRPr="00641874" w:rsidRDefault="00C3701E" w:rsidP="00E45334">
      <w:pPr>
        <w:pStyle w:val="EndnoteText"/>
        <w:spacing w:before="120"/>
      </w:pPr>
      <w:r w:rsidRPr="00641874">
        <w:rPr>
          <w:rStyle w:val="EndnoteReference"/>
        </w:rPr>
        <w:endnoteRef/>
      </w:r>
      <w:r w:rsidRPr="00641874">
        <w:t xml:space="preserve"> Ministry of Education, Rapid payments for claimants who attended Waimokoia / Mt Wellington Residential School (draft document).</w:t>
      </w:r>
    </w:p>
  </w:endnote>
  <w:endnote w:id="83">
    <w:p w14:paraId="793A16F4" w14:textId="436339C3" w:rsidR="00C3701E" w:rsidRPr="00641874" w:rsidRDefault="00C3701E" w:rsidP="00E45334">
      <w:pPr>
        <w:pStyle w:val="EndnoteText"/>
        <w:spacing w:before="120"/>
      </w:pPr>
      <w:r w:rsidRPr="00641874">
        <w:rPr>
          <w:rStyle w:val="EndnoteReference"/>
        </w:rPr>
        <w:endnoteRef/>
      </w:r>
      <w:r w:rsidRPr="00641874">
        <w:t xml:space="preserve"> Ministry of Education website, Rapid Payment Policy for sensitive claims (</w:t>
      </w:r>
      <w:r w:rsidRPr="00343D58">
        <w:t xml:space="preserve">undated, </w:t>
      </w:r>
      <w:r w:rsidRPr="00641874">
        <w:t>paras 10 and 23).</w:t>
      </w:r>
    </w:p>
  </w:endnote>
  <w:endnote w:id="84">
    <w:p w14:paraId="03B3A5F0" w14:textId="2C06E563" w:rsidR="00C3701E" w:rsidRPr="00641874" w:rsidRDefault="00C3701E" w:rsidP="00E45334">
      <w:pPr>
        <w:pStyle w:val="EndnoteText"/>
        <w:spacing w:before="120"/>
      </w:pPr>
      <w:r w:rsidRPr="00641874">
        <w:rPr>
          <w:rStyle w:val="EndnoteReference"/>
        </w:rPr>
        <w:endnoteRef/>
      </w:r>
      <w:r w:rsidRPr="00641874">
        <w:t xml:space="preserve"> Ministry of Education, Rapid payments for claimants who attended Waimokoia / Mt Wellington Residential School (draft document).</w:t>
      </w:r>
    </w:p>
  </w:endnote>
  <w:endnote w:id="85">
    <w:p w14:paraId="7A904D09" w14:textId="550C3163" w:rsidR="00C3701E" w:rsidRPr="00641874" w:rsidRDefault="00C3701E" w:rsidP="00E45334">
      <w:pPr>
        <w:pStyle w:val="EndnoteText"/>
        <w:spacing w:before="120"/>
      </w:pPr>
      <w:r w:rsidRPr="00641874">
        <w:rPr>
          <w:rStyle w:val="EndnoteReference"/>
        </w:rPr>
        <w:endnoteRef/>
      </w:r>
      <w:r w:rsidRPr="00641874">
        <w:t xml:space="preserve"> Ministry of Education website, Rapid Payment Policy for sensitive claims (</w:t>
      </w:r>
      <w:r w:rsidRPr="00343D58">
        <w:t xml:space="preserve">undated, </w:t>
      </w:r>
      <w:r w:rsidRPr="00641874">
        <w:t>paras 10 and 23).</w:t>
      </w:r>
    </w:p>
  </w:endnote>
  <w:endnote w:id="86">
    <w:p w14:paraId="67332B2E" w14:textId="50ABC2BC" w:rsidR="00C3701E" w:rsidRPr="00343D58" w:rsidRDefault="00C3701E" w:rsidP="00E45334">
      <w:pPr>
        <w:pStyle w:val="EndnoteText"/>
        <w:spacing w:before="120"/>
        <w:rPr>
          <w:lang w:val="en-US"/>
        </w:rPr>
      </w:pPr>
      <w:r w:rsidRPr="00641874">
        <w:rPr>
          <w:rStyle w:val="EndnoteReference"/>
        </w:rPr>
        <w:endnoteRef/>
      </w:r>
      <w:r w:rsidRPr="00641874">
        <w:t xml:space="preserve"> Ministry of Education website, Rapid Payment Policy for sensitive claims (</w:t>
      </w:r>
      <w:r w:rsidRPr="00343D58">
        <w:t xml:space="preserve">undated, </w:t>
      </w:r>
      <w:r w:rsidRPr="00641874">
        <w:t>para 12)</w:t>
      </w:r>
      <w:r w:rsidRPr="00343D58">
        <w:t>.</w:t>
      </w:r>
    </w:p>
  </w:endnote>
  <w:endnote w:id="87">
    <w:p w14:paraId="36248F35" w14:textId="66107B36" w:rsidR="00C3701E" w:rsidRPr="00641874" w:rsidRDefault="00C3701E" w:rsidP="00E45334">
      <w:pPr>
        <w:pStyle w:val="EndnoteText"/>
        <w:spacing w:before="120"/>
        <w:rPr>
          <w:lang w:val="en-US"/>
        </w:rPr>
      </w:pPr>
      <w:r w:rsidRPr="00641874">
        <w:rPr>
          <w:rStyle w:val="EndnoteReference"/>
        </w:rPr>
        <w:endnoteRef/>
      </w:r>
      <w:r w:rsidRPr="00641874">
        <w:t xml:space="preserve"> Ministry of Education website, Rapid Payment Policy for sensitive claims (</w:t>
      </w:r>
      <w:r w:rsidRPr="00343D58">
        <w:t xml:space="preserve">undated, </w:t>
      </w:r>
      <w:r w:rsidRPr="00641874">
        <w:t>para 17).</w:t>
      </w:r>
    </w:p>
  </w:endnote>
  <w:endnote w:id="88">
    <w:p w14:paraId="3298CD0D" w14:textId="2153C386" w:rsidR="00C3701E" w:rsidRPr="00641874" w:rsidRDefault="00C3701E" w:rsidP="00E45334">
      <w:pPr>
        <w:pStyle w:val="EndnoteText"/>
        <w:spacing w:before="120"/>
        <w:rPr>
          <w:lang w:val="en-US"/>
        </w:rPr>
      </w:pPr>
      <w:r w:rsidRPr="00641874">
        <w:rPr>
          <w:rStyle w:val="EndnoteReference"/>
        </w:rPr>
        <w:endnoteRef/>
      </w:r>
      <w:r w:rsidRPr="00641874">
        <w:t xml:space="preserve"> Ministry of Education website, Rapid Payment Policy for sensitive claims (</w:t>
      </w:r>
      <w:r w:rsidRPr="00343D58">
        <w:t xml:space="preserve">undated, </w:t>
      </w:r>
      <w:r w:rsidRPr="00641874">
        <w:t>para 17).</w:t>
      </w:r>
    </w:p>
  </w:endnote>
  <w:endnote w:id="89">
    <w:p w14:paraId="256564E8" w14:textId="2580BDA7" w:rsidR="00C3701E" w:rsidRPr="00641874" w:rsidRDefault="00C3701E" w:rsidP="00E45334">
      <w:pPr>
        <w:pStyle w:val="EndnoteText"/>
        <w:spacing w:before="120"/>
        <w:rPr>
          <w:lang w:val="en-US"/>
        </w:rPr>
      </w:pPr>
      <w:r w:rsidRPr="00641874">
        <w:rPr>
          <w:rStyle w:val="EndnoteReference"/>
        </w:rPr>
        <w:endnoteRef/>
      </w:r>
      <w:r w:rsidRPr="00641874">
        <w:t xml:space="preserve"> Ministry of Education website, Rapid Payment Policy for sensitive claims (</w:t>
      </w:r>
      <w:r w:rsidRPr="00343D58">
        <w:t xml:space="preserve">undated, </w:t>
      </w:r>
      <w:r w:rsidRPr="00641874">
        <w:t>para 27).</w:t>
      </w:r>
    </w:p>
  </w:endnote>
  <w:endnote w:id="90">
    <w:p w14:paraId="1BC6F571" w14:textId="56F87E91" w:rsidR="00C3701E" w:rsidRPr="00641874" w:rsidRDefault="00C3701E" w:rsidP="00E45334">
      <w:pPr>
        <w:pStyle w:val="EndnoteText"/>
        <w:spacing w:before="120"/>
        <w:rPr>
          <w:lang w:val="en-US"/>
        </w:rPr>
      </w:pPr>
      <w:r w:rsidRPr="00641874">
        <w:rPr>
          <w:rStyle w:val="EndnoteReference"/>
        </w:rPr>
        <w:endnoteRef/>
      </w:r>
      <w:r w:rsidRPr="00641874">
        <w:t xml:space="preserve"> Ministry of Education website, Rapid Payment Policy for sensitive claims (</w:t>
      </w:r>
      <w:r w:rsidRPr="00343D58">
        <w:t xml:space="preserve">undated, </w:t>
      </w:r>
      <w:r w:rsidRPr="00641874">
        <w:t>para 29).</w:t>
      </w:r>
    </w:p>
  </w:endnote>
  <w:endnote w:id="91">
    <w:p w14:paraId="0CF12E88" w14:textId="161C64C8" w:rsidR="00C3701E" w:rsidRPr="00641874" w:rsidRDefault="00C3701E" w:rsidP="00E45334">
      <w:pPr>
        <w:pStyle w:val="EndnoteText"/>
        <w:spacing w:before="120"/>
        <w:rPr>
          <w:lang w:val="en-US"/>
        </w:rPr>
      </w:pPr>
      <w:r w:rsidRPr="00641874">
        <w:rPr>
          <w:rStyle w:val="EndnoteReference"/>
        </w:rPr>
        <w:endnoteRef/>
      </w:r>
      <w:r w:rsidRPr="00641874">
        <w:t xml:space="preserve"> Ministry of Education website, Rapid Payment Policy for sensitive claims (</w:t>
      </w:r>
      <w:r w:rsidRPr="00343D58">
        <w:t xml:space="preserve">undated, </w:t>
      </w:r>
      <w:r w:rsidRPr="00641874">
        <w:t>para 30).</w:t>
      </w:r>
    </w:p>
  </w:endnote>
  <w:endnote w:id="92">
    <w:p w14:paraId="1F1ED7D4" w14:textId="5A5319E8" w:rsidR="00C3701E" w:rsidRPr="00343D58" w:rsidRDefault="00C3701E" w:rsidP="00E45334">
      <w:pPr>
        <w:pStyle w:val="EndnoteText"/>
        <w:spacing w:before="120"/>
        <w:rPr>
          <w:lang w:val="en-US"/>
        </w:rPr>
      </w:pPr>
      <w:r w:rsidRPr="00641874">
        <w:rPr>
          <w:rStyle w:val="EndnoteReference"/>
        </w:rPr>
        <w:endnoteRef/>
      </w:r>
      <w:r w:rsidRPr="00641874">
        <w:t xml:space="preserve"> Ministry of Education website, Rapid Payment Policy for sensitive claims (</w:t>
      </w:r>
      <w:r w:rsidRPr="00343D58">
        <w:t xml:space="preserve">undated, </w:t>
      </w:r>
      <w:r w:rsidRPr="00641874">
        <w:t>para 31).</w:t>
      </w:r>
    </w:p>
  </w:endnote>
  <w:endnote w:id="93">
    <w:p w14:paraId="53786FD4" w14:textId="03CEC0B0" w:rsidR="00C3701E" w:rsidRPr="001A1589" w:rsidRDefault="00C3701E" w:rsidP="00E45334">
      <w:pPr>
        <w:pStyle w:val="EndnoteText"/>
        <w:spacing w:before="120"/>
        <w:rPr>
          <w:highlight w:val="yellow"/>
        </w:rPr>
      </w:pPr>
      <w:r w:rsidRPr="00641874">
        <w:rPr>
          <w:rStyle w:val="EndnoteReference"/>
        </w:rPr>
        <w:endnoteRef/>
      </w:r>
      <w:r w:rsidRPr="00641874">
        <w:t xml:space="preserve"> Ministry of Education, Wellbeing Support Service for sensitive claimants (draft document).</w:t>
      </w:r>
    </w:p>
  </w:endnote>
  <w:endnote w:id="94">
    <w:p w14:paraId="2EB6480A" w14:textId="685A786B" w:rsidR="00C3701E" w:rsidRPr="00641874" w:rsidRDefault="00C3701E" w:rsidP="00E45334">
      <w:pPr>
        <w:pStyle w:val="EndnoteText"/>
        <w:spacing w:before="120"/>
        <w:rPr>
          <w:lang w:val="en-US"/>
        </w:rPr>
      </w:pPr>
      <w:r w:rsidRPr="00641874">
        <w:rPr>
          <w:rStyle w:val="EndnoteReference"/>
        </w:rPr>
        <w:endnoteRef/>
      </w:r>
      <w:r w:rsidRPr="00641874">
        <w:t xml:space="preserve"> </w:t>
      </w:r>
      <w:r w:rsidRPr="00D236A8">
        <w:rPr>
          <w:rFonts w:cs="Arial"/>
          <w:szCs w:val="18"/>
        </w:rPr>
        <w:t>Royal Commission of Inquiry into Abuse in Care, He Purapura Ora, he Māra Tipu:</w:t>
      </w:r>
      <w:r w:rsidRPr="00D236A8" w:rsidDel="005F2FC2">
        <w:rPr>
          <w:rFonts w:cs="Arial"/>
          <w:szCs w:val="18"/>
        </w:rPr>
        <w:t xml:space="preserve"> </w:t>
      </w:r>
      <w:r w:rsidRPr="00D236A8">
        <w:rPr>
          <w:rFonts w:cs="Arial"/>
          <w:szCs w:val="18"/>
        </w:rPr>
        <w:t xml:space="preserve">From </w:t>
      </w:r>
      <w:r>
        <w:rPr>
          <w:rFonts w:cs="Arial"/>
          <w:szCs w:val="18"/>
        </w:rPr>
        <w:t>R</w:t>
      </w:r>
      <w:r w:rsidRPr="00D236A8">
        <w:rPr>
          <w:rFonts w:cs="Arial"/>
          <w:szCs w:val="18"/>
        </w:rPr>
        <w:t>edress to Puretumu Torowhānui, Volume 1 (2021</w:t>
      </w:r>
      <w:r w:rsidRPr="00641874">
        <w:rPr>
          <w:rFonts w:cs="Arial"/>
          <w:szCs w:val="18"/>
        </w:rPr>
        <w:t>, pages 304–304).</w:t>
      </w:r>
    </w:p>
  </w:endnote>
  <w:endnote w:id="95">
    <w:p w14:paraId="39B103B2" w14:textId="4115BD89" w:rsidR="00C3701E" w:rsidRPr="00641874" w:rsidRDefault="00C3701E" w:rsidP="00E45334">
      <w:pPr>
        <w:pStyle w:val="EndnoteText"/>
        <w:spacing w:before="120"/>
        <w:rPr>
          <w:lang w:val="en-US"/>
        </w:rPr>
      </w:pPr>
      <w:r w:rsidRPr="00641874">
        <w:rPr>
          <w:rStyle w:val="EndnoteReference"/>
        </w:rPr>
        <w:endnoteRef/>
      </w:r>
      <w:r w:rsidRPr="00641874">
        <w:t xml:space="preserve"> Ministry of Education website, Rapid Payment Policy for sensitive claims (undated, para 28).</w:t>
      </w:r>
    </w:p>
  </w:endnote>
  <w:endnote w:id="96">
    <w:p w14:paraId="0A5A95AE" w14:textId="6A004279" w:rsidR="00C3701E" w:rsidRPr="00EF13EF" w:rsidRDefault="00C3701E" w:rsidP="00E45334">
      <w:pPr>
        <w:pStyle w:val="EndnoteText"/>
        <w:spacing w:before="120"/>
        <w:rPr>
          <w:lang w:val="en-US"/>
        </w:rPr>
      </w:pPr>
      <w:r w:rsidRPr="00641874">
        <w:rPr>
          <w:rStyle w:val="EndnoteReference"/>
        </w:rPr>
        <w:endnoteRef/>
      </w:r>
      <w:r w:rsidRPr="00641874">
        <w:t xml:space="preserve"> </w:t>
      </w:r>
      <w:r w:rsidRPr="00641874">
        <w:rPr>
          <w:rFonts w:cs="Arial"/>
          <w:szCs w:val="18"/>
        </w:rPr>
        <w:t>National Records of Scotland, Financial redress for survivors of child abuse in care: Advance Payment Scheme form and guidance (8 December 2021). See also the advance payments available under section 56B of the Australian National Redress Scheme for Institutional Child Sexual Abuse Act 2018, including for an applicant aged 70 or over and for an applicant aged 55 or over who is an Aboriginal person or Torres Strait Islander.</w:t>
      </w:r>
      <w:r w:rsidRPr="00EF13EF">
        <w:rPr>
          <w:rFonts w:cs="Arial"/>
          <w:szCs w:val="18"/>
        </w:rPr>
        <w:t xml:space="preserve"> </w:t>
      </w:r>
    </w:p>
  </w:endnote>
  <w:endnote w:id="97">
    <w:p w14:paraId="03DFBD03" w14:textId="71CA7DB4" w:rsidR="00C3701E" w:rsidRPr="00EF13EF" w:rsidRDefault="00C3701E" w:rsidP="00E45334">
      <w:pPr>
        <w:pStyle w:val="EndnoteText"/>
        <w:spacing w:before="120"/>
        <w:rPr>
          <w:lang w:val="en-US"/>
        </w:rPr>
      </w:pPr>
      <w:r w:rsidRPr="00EF13EF">
        <w:rPr>
          <w:rStyle w:val="EndnoteReference"/>
        </w:rPr>
        <w:endnoteRef/>
      </w:r>
      <w:r w:rsidRPr="00EF13EF">
        <w:t xml:space="preserve"> </w:t>
      </w:r>
      <w:r w:rsidRPr="00EF13EF">
        <w:rPr>
          <w:rFonts w:cs="Arial"/>
          <w:szCs w:val="18"/>
        </w:rPr>
        <w:t>Royal Commission of Inquiry into Abuse in Care, He Purapura Ora, he Māra Tipu:</w:t>
      </w:r>
      <w:r w:rsidRPr="00EF13EF" w:rsidDel="005F2FC2">
        <w:rPr>
          <w:rFonts w:cs="Arial"/>
          <w:szCs w:val="18"/>
        </w:rPr>
        <w:t xml:space="preserve"> </w:t>
      </w:r>
      <w:r w:rsidRPr="00EF13EF">
        <w:rPr>
          <w:rFonts w:cs="Arial"/>
          <w:szCs w:val="18"/>
        </w:rPr>
        <w:t xml:space="preserve">From </w:t>
      </w:r>
      <w:r>
        <w:rPr>
          <w:rFonts w:cs="Arial"/>
          <w:szCs w:val="18"/>
        </w:rPr>
        <w:t>R</w:t>
      </w:r>
      <w:r w:rsidRPr="00EF13EF">
        <w:rPr>
          <w:rFonts w:cs="Arial"/>
          <w:szCs w:val="18"/>
        </w:rPr>
        <w:t>edress to Puretumu Torowhānui, Volume 1 (2021, pages 159–160).</w:t>
      </w:r>
    </w:p>
  </w:endnote>
  <w:endnote w:id="98">
    <w:p w14:paraId="433E4450" w14:textId="0045649F" w:rsidR="00C3701E" w:rsidRPr="001A1589" w:rsidRDefault="00C3701E" w:rsidP="00E45334">
      <w:pPr>
        <w:pStyle w:val="EndnoteText"/>
        <w:spacing w:before="120"/>
        <w:rPr>
          <w:lang w:val="en-US"/>
        </w:rPr>
      </w:pPr>
      <w:r w:rsidRPr="00641874">
        <w:rPr>
          <w:rStyle w:val="EndnoteReference"/>
        </w:rPr>
        <w:endnoteRef/>
      </w:r>
      <w:r w:rsidRPr="00641874">
        <w:t xml:space="preserve"> </w:t>
      </w:r>
      <w:r w:rsidRPr="00EF13EF">
        <w:rPr>
          <w:rFonts w:cs="Arial"/>
          <w:szCs w:val="18"/>
        </w:rPr>
        <w:t>Royal Commission of Inquiry into Abuse in Care, He Purapura Ora, he Māra Tipu:</w:t>
      </w:r>
      <w:r w:rsidRPr="00EF13EF" w:rsidDel="005F2FC2">
        <w:rPr>
          <w:rFonts w:cs="Arial"/>
          <w:szCs w:val="18"/>
        </w:rPr>
        <w:t xml:space="preserve"> </w:t>
      </w:r>
      <w:r w:rsidRPr="00EF13EF">
        <w:rPr>
          <w:rFonts w:cs="Arial"/>
          <w:szCs w:val="18"/>
        </w:rPr>
        <w:t xml:space="preserve">From </w:t>
      </w:r>
      <w:r>
        <w:rPr>
          <w:rFonts w:cs="Arial"/>
          <w:szCs w:val="18"/>
        </w:rPr>
        <w:t>R</w:t>
      </w:r>
      <w:r w:rsidRPr="00EF13EF">
        <w:rPr>
          <w:rFonts w:cs="Arial"/>
          <w:szCs w:val="18"/>
        </w:rPr>
        <w:t>edress to Puretumu Torowhānui, Volume 1 (2021</w:t>
      </w:r>
      <w:r w:rsidRPr="00641874">
        <w:rPr>
          <w:rFonts w:cs="Arial"/>
          <w:szCs w:val="18"/>
        </w:rPr>
        <w:t>, pages 305–306).</w:t>
      </w:r>
    </w:p>
  </w:endnote>
  <w:endnote w:id="99">
    <w:p w14:paraId="205B7EAE" w14:textId="0131CF8E"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164).</w:t>
      </w:r>
    </w:p>
  </w:endnote>
  <w:endnote w:id="100">
    <w:p w14:paraId="354DCB17" w14:textId="7A150BF4" w:rsidR="00C3701E" w:rsidRPr="00BC0950" w:rsidRDefault="00C3701E" w:rsidP="00E45334">
      <w:pPr>
        <w:pStyle w:val="EndnoteText"/>
        <w:spacing w:before="120"/>
        <w:rPr>
          <w:lang w:val="en-US"/>
        </w:rPr>
      </w:pPr>
      <w:r>
        <w:rPr>
          <w:rStyle w:val="EndnoteReference"/>
        </w:rPr>
        <w:endnoteRef/>
      </w:r>
      <w:r>
        <w:t xml:space="preserve"> Ministry of Education website, Rapid Payment Policy for sensitive claims </w:t>
      </w:r>
      <w:r w:rsidRPr="00EF13EF">
        <w:t>(undated, para 5).</w:t>
      </w:r>
    </w:p>
  </w:endnote>
  <w:endnote w:id="101">
    <w:p w14:paraId="5D18220E" w14:textId="6EF41901"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347).</w:t>
      </w:r>
    </w:p>
  </w:endnote>
  <w:endnote w:id="102">
    <w:p w14:paraId="01DF6235" w14:textId="2570403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Updated witness statement of Cooper Legal</w:t>
      </w:r>
      <w:r>
        <w:rPr>
          <w:rFonts w:cs="Arial"/>
          <w:szCs w:val="18"/>
        </w:rPr>
        <w:t xml:space="preserve"> </w:t>
      </w:r>
      <w:r w:rsidRPr="005E2A47">
        <w:rPr>
          <w:rFonts w:cs="Arial"/>
          <w:szCs w:val="18"/>
        </w:rPr>
        <w:t xml:space="preserve">relating to redress for historic abuse in state and faith-based care between 1950 and 2000 (9 December 2022, </w:t>
      </w:r>
      <w:r w:rsidRPr="005E2A47">
        <w:rPr>
          <w:rFonts w:eastAsia="Calibri" w:cs="Arial"/>
          <w:szCs w:val="18"/>
        </w:rPr>
        <w:t>para 5 (with the exception stated to be Presbyterian Support Northern), and for example paras 50, 437 and 438</w:t>
      </w:r>
      <w:r>
        <w:rPr>
          <w:rFonts w:eastAsia="Calibri" w:cs="Arial"/>
          <w:szCs w:val="18"/>
        </w:rPr>
        <w:t>)</w:t>
      </w:r>
      <w:r w:rsidRPr="005E2A47">
        <w:rPr>
          <w:rFonts w:eastAsia="Calibri" w:cs="Arial"/>
          <w:szCs w:val="18"/>
        </w:rPr>
        <w:t xml:space="preserve">.  </w:t>
      </w:r>
    </w:p>
  </w:endnote>
  <w:endnote w:id="103">
    <w:p w14:paraId="71C74D0A" w14:textId="7F38BE1D"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Updated witness statement of Cooper Legal</w:t>
      </w:r>
      <w:r>
        <w:rPr>
          <w:rFonts w:cs="Arial"/>
          <w:szCs w:val="18"/>
        </w:rPr>
        <w:t xml:space="preserve"> </w:t>
      </w:r>
      <w:r w:rsidRPr="005E2A47">
        <w:rPr>
          <w:rFonts w:cs="Arial"/>
          <w:szCs w:val="18"/>
        </w:rPr>
        <w:t>relating to redress for historic abuse in state and faith-based care between 1950 and 2000 (9 December 2022</w:t>
      </w:r>
      <w:r w:rsidRPr="005E2A47">
        <w:rPr>
          <w:rFonts w:eastAsia="Calibri" w:cs="Arial"/>
          <w:szCs w:val="18"/>
        </w:rPr>
        <w:t>,</w:t>
      </w:r>
      <w:r w:rsidRPr="005E2A47">
        <w:rPr>
          <w:rFonts w:eastAsia="Calibri" w:cs="Arial"/>
          <w:b/>
          <w:bCs/>
          <w:szCs w:val="18"/>
        </w:rPr>
        <w:t xml:space="preserve"> </w:t>
      </w:r>
      <w:r w:rsidRPr="005E2A47">
        <w:rPr>
          <w:rFonts w:eastAsia="Calibri" w:cs="Arial"/>
          <w:szCs w:val="18"/>
        </w:rPr>
        <w:t>paras 8, 17, and 32</w:t>
      </w:r>
      <w:r>
        <w:rPr>
          <w:rFonts w:eastAsia="Calibri" w:cs="Arial"/>
          <w:szCs w:val="18"/>
        </w:rPr>
        <w:t>)</w:t>
      </w:r>
      <w:r w:rsidRPr="005E2A47">
        <w:rPr>
          <w:rFonts w:eastAsia="Calibri" w:cs="Arial"/>
          <w:szCs w:val="18"/>
        </w:rPr>
        <w:t>.</w:t>
      </w:r>
      <w:r w:rsidRPr="005E2A47">
        <w:rPr>
          <w:rFonts w:eastAsia="Calibri" w:cs="Arial"/>
          <w:b/>
          <w:bCs/>
          <w:szCs w:val="18"/>
        </w:rPr>
        <w:t xml:space="preserve">  </w:t>
      </w:r>
    </w:p>
  </w:endnote>
  <w:endnote w:id="104">
    <w:p w14:paraId="4657878B" w14:textId="3EE24C75"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w:t>
      </w:r>
      <w:r w:rsidRPr="005E2A47">
        <w:rPr>
          <w:rStyle w:val="normaltextrun"/>
          <w:rFonts w:cs="Arial"/>
          <w:szCs w:val="18"/>
          <w:shd w:val="clear" w:color="auto" w:fill="FFFFFF"/>
        </w:rPr>
        <w:t xml:space="preserve">page </w:t>
      </w:r>
      <w:r w:rsidRPr="005E2A47">
        <w:rPr>
          <w:rFonts w:cs="Arial"/>
          <w:szCs w:val="18"/>
        </w:rPr>
        <w:t>325).</w:t>
      </w:r>
    </w:p>
  </w:endnote>
  <w:endnote w:id="105">
    <w:p w14:paraId="26F7B883" w14:textId="12654C2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Letter from Crown Response to the Abuse in Care Inquiry (Royal Commission of Inquiry into Abuse in Care, 8 March 2023).</w:t>
      </w:r>
    </w:p>
  </w:endnote>
  <w:endnote w:id="106">
    <w:p w14:paraId="086E4B57" w14:textId="0A9BE9F7"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w:t>
      </w:r>
      <w:r w:rsidRPr="005E2A47">
        <w:rPr>
          <w:rStyle w:val="normaltextrun"/>
          <w:rFonts w:cs="Arial"/>
          <w:szCs w:val="18"/>
          <w:shd w:val="clear" w:color="auto" w:fill="FFFFFF"/>
        </w:rPr>
        <w:t xml:space="preserve">page </w:t>
      </w:r>
      <w:r w:rsidRPr="005E2A47">
        <w:rPr>
          <w:rFonts w:cs="Arial"/>
          <w:szCs w:val="18"/>
        </w:rPr>
        <w:t>327).</w:t>
      </w:r>
    </w:p>
  </w:endnote>
  <w:endnote w:id="107">
    <w:p w14:paraId="0A4D029B" w14:textId="1A6B6AD2"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327).</w:t>
      </w:r>
    </w:p>
  </w:endnote>
  <w:endnote w:id="108">
    <w:p w14:paraId="007E67FA" w14:textId="25EDB5B6" w:rsidR="00C3701E" w:rsidRPr="005E2A47" w:rsidRDefault="00C3701E" w:rsidP="00E45334">
      <w:pPr>
        <w:pStyle w:val="EndnoteText"/>
        <w:spacing w:before="120"/>
        <w:rPr>
          <w:rFonts w:cs="Arial"/>
          <w:b/>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330).</w:t>
      </w:r>
    </w:p>
  </w:endnote>
  <w:endnote w:id="109">
    <w:p w14:paraId="4BA1F52F" w14:textId="2B60BC2B"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330).</w:t>
      </w:r>
    </w:p>
  </w:endnote>
  <w:endnote w:id="110">
    <w:p w14:paraId="4769980D" w14:textId="391F882D"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w:t>
      </w:r>
      <w:r w:rsidRPr="005E2A47">
        <w:rPr>
          <w:rStyle w:val="normaltextrun"/>
          <w:rFonts w:cs="Arial"/>
          <w:szCs w:val="18"/>
          <w:shd w:val="clear" w:color="auto" w:fill="FFFFFF"/>
        </w:rPr>
        <w:t xml:space="preserve">page </w:t>
      </w:r>
      <w:r w:rsidRPr="005E2A47">
        <w:rPr>
          <w:rFonts w:cs="Arial"/>
          <w:szCs w:val="18"/>
        </w:rPr>
        <w:t>330).</w:t>
      </w:r>
    </w:p>
  </w:endnote>
  <w:endnote w:id="111">
    <w:p w14:paraId="38FAF6DA" w14:textId="09B7F5ED"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w:t>
      </w:r>
      <w:r w:rsidRPr="005E2A47">
        <w:rPr>
          <w:rStyle w:val="normaltextrun"/>
          <w:rFonts w:cs="Arial"/>
          <w:szCs w:val="18"/>
          <w:shd w:val="clear" w:color="auto" w:fill="FFFFFF"/>
        </w:rPr>
        <w:t xml:space="preserve">page </w:t>
      </w:r>
      <w:r w:rsidRPr="005E2A47">
        <w:rPr>
          <w:rFonts w:cs="Arial"/>
          <w:szCs w:val="18"/>
        </w:rPr>
        <w:t>330).</w:t>
      </w:r>
    </w:p>
  </w:endnote>
  <w:endnote w:id="112">
    <w:p w14:paraId="5157A999" w14:textId="3E8C9BAB"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Cabinet Social Wellbeing Committee, Responding to the Royal Commission into Historical Abuse in Care's redress findings</w:t>
      </w:r>
      <w:r>
        <w:rPr>
          <w:rFonts w:cs="Arial"/>
          <w:szCs w:val="18"/>
        </w:rPr>
        <w:t xml:space="preserve"> – R</w:t>
      </w:r>
      <w:r w:rsidRPr="005E2A47">
        <w:rPr>
          <w:rFonts w:cs="Arial"/>
          <w:szCs w:val="18"/>
        </w:rPr>
        <w:t>eport back on immediate projects to improve survivors’ experience of seeking redress (14 December 2022, p</w:t>
      </w:r>
      <w:r>
        <w:rPr>
          <w:rFonts w:cs="Arial"/>
          <w:szCs w:val="18"/>
        </w:rPr>
        <w:t>ages</w:t>
      </w:r>
      <w:r w:rsidRPr="005E2A47">
        <w:rPr>
          <w:rFonts w:cs="Arial"/>
          <w:szCs w:val="18"/>
        </w:rPr>
        <w:t xml:space="preserve"> 16</w:t>
      </w:r>
      <w:r>
        <w:rPr>
          <w:rFonts w:cs="Arial"/>
          <w:szCs w:val="18"/>
        </w:rPr>
        <w:t>–</w:t>
      </w:r>
      <w:r w:rsidRPr="005E2A47">
        <w:rPr>
          <w:rFonts w:cs="Arial"/>
          <w:szCs w:val="18"/>
        </w:rPr>
        <w:t>17, paras 100</w:t>
      </w:r>
      <w:r>
        <w:rPr>
          <w:rFonts w:cs="Arial"/>
          <w:szCs w:val="18"/>
        </w:rPr>
        <w:t>–</w:t>
      </w:r>
      <w:r w:rsidRPr="005E2A47">
        <w:rPr>
          <w:rFonts w:cs="Arial"/>
          <w:szCs w:val="18"/>
        </w:rPr>
        <w:t>104</w:t>
      </w:r>
      <w:r>
        <w:rPr>
          <w:rFonts w:cs="Arial"/>
          <w:szCs w:val="18"/>
        </w:rPr>
        <w:t>)</w:t>
      </w:r>
      <w:r w:rsidRPr="005E2A47">
        <w:rPr>
          <w:rFonts w:cs="Arial"/>
          <w:szCs w:val="18"/>
        </w:rPr>
        <w:t>.</w:t>
      </w:r>
    </w:p>
  </w:endnote>
  <w:endnote w:id="113">
    <w:p w14:paraId="0344EE5F" w14:textId="7E0CFE0C"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Cabinet Social Wellbeing Committee, Responding to the Royal Commission into Historical Abuse in Care's redress findings</w:t>
      </w:r>
      <w:r>
        <w:rPr>
          <w:rFonts w:cs="Arial"/>
          <w:szCs w:val="18"/>
        </w:rPr>
        <w:t xml:space="preserve"> – Re</w:t>
      </w:r>
      <w:r w:rsidRPr="005E2A47">
        <w:rPr>
          <w:rFonts w:cs="Arial"/>
          <w:szCs w:val="18"/>
        </w:rPr>
        <w:t>port back on immediate projects to improve survivors’ experience of seeking redress (14 December 2022, p</w:t>
      </w:r>
      <w:r>
        <w:rPr>
          <w:rFonts w:cs="Arial"/>
          <w:szCs w:val="18"/>
        </w:rPr>
        <w:t>ages</w:t>
      </w:r>
      <w:r w:rsidRPr="005E2A47">
        <w:rPr>
          <w:rFonts w:cs="Arial"/>
          <w:szCs w:val="18"/>
        </w:rPr>
        <w:t xml:space="preserve"> 16</w:t>
      </w:r>
      <w:r>
        <w:rPr>
          <w:rFonts w:cs="Arial"/>
          <w:szCs w:val="18"/>
        </w:rPr>
        <w:t>–</w:t>
      </w:r>
      <w:r w:rsidRPr="005E2A47">
        <w:rPr>
          <w:rFonts w:cs="Arial"/>
          <w:szCs w:val="18"/>
        </w:rPr>
        <w:t>17, para 103</w:t>
      </w:r>
      <w:r>
        <w:rPr>
          <w:rFonts w:cs="Arial"/>
          <w:szCs w:val="18"/>
        </w:rPr>
        <w:t>)</w:t>
      </w:r>
      <w:r w:rsidRPr="005E2A47">
        <w:rPr>
          <w:rFonts w:cs="Arial"/>
          <w:szCs w:val="18"/>
        </w:rPr>
        <w:t>.</w:t>
      </w:r>
    </w:p>
  </w:endnote>
  <w:endnote w:id="114">
    <w:p w14:paraId="226D76E6" w14:textId="05491EDC"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Williams, F</w:t>
      </w:r>
      <w:r>
        <w:rPr>
          <w:rFonts w:cs="Arial"/>
          <w:szCs w:val="18"/>
        </w:rPr>
        <w:t>, “</w:t>
      </w:r>
      <w:r w:rsidRPr="005E2A47">
        <w:rPr>
          <w:rFonts w:cs="Arial"/>
          <w:szCs w:val="18"/>
        </w:rPr>
        <w:t>Lake Alice Hospital water tower going back on the market after owners reject government offer to turn it into memorial</w:t>
      </w:r>
      <w:r>
        <w:rPr>
          <w:rFonts w:cs="Arial"/>
          <w:szCs w:val="18"/>
        </w:rPr>
        <w:t>,”</w:t>
      </w:r>
      <w:r w:rsidRPr="005E2A47">
        <w:rPr>
          <w:rFonts w:cs="Arial"/>
          <w:szCs w:val="18"/>
        </w:rPr>
        <w:t xml:space="preserve"> Whanganui Chronicle</w:t>
      </w:r>
      <w:r>
        <w:rPr>
          <w:rFonts w:cs="Arial"/>
          <w:szCs w:val="18"/>
        </w:rPr>
        <w:t xml:space="preserve"> (</w:t>
      </w:r>
      <w:r w:rsidRPr="005E2A47">
        <w:rPr>
          <w:rFonts w:cs="Arial"/>
          <w:szCs w:val="18"/>
        </w:rPr>
        <w:t xml:space="preserve">11 October 2023). </w:t>
      </w:r>
    </w:p>
  </w:endnote>
  <w:endnote w:id="115">
    <w:p w14:paraId="0EDCD1A8" w14:textId="2AA4843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 Male survivors of sexual violence and abuse (SVA): Barriers and facilitators to reporting and accessing services (Te Herenga Waka </w:t>
      </w:r>
      <w:r>
        <w:rPr>
          <w:rFonts w:cs="Arial"/>
          <w:szCs w:val="18"/>
        </w:rPr>
        <w:t>–</w:t>
      </w:r>
      <w:r w:rsidRPr="005E2A47">
        <w:rPr>
          <w:rFonts w:cs="Arial"/>
          <w:szCs w:val="18"/>
        </w:rPr>
        <w:t xml:space="preserve"> Victoria University of Wellington, the University of Otago, and the Donald Beasley Institute, February 2023). </w:t>
      </w:r>
    </w:p>
  </w:endnote>
  <w:endnote w:id="116">
    <w:p w14:paraId="35C77D4F" w14:textId="63FDEA1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Ministry of Social Development, Male survivors of sexual violence and abuse (SVA): Barriers and facilitators to reporting and accessing services</w:t>
      </w:r>
      <w:r>
        <w:rPr>
          <w:rFonts w:cs="Arial"/>
          <w:szCs w:val="18"/>
        </w:rPr>
        <w:t xml:space="preserve"> </w:t>
      </w:r>
      <w:r w:rsidRPr="005E2A47">
        <w:rPr>
          <w:rFonts w:cs="Arial"/>
          <w:szCs w:val="18"/>
        </w:rPr>
        <w:t xml:space="preserve">(Te Herenga Waka </w:t>
      </w:r>
      <w:r>
        <w:rPr>
          <w:rFonts w:cs="Arial"/>
          <w:szCs w:val="18"/>
        </w:rPr>
        <w:t>–</w:t>
      </w:r>
      <w:r w:rsidRPr="005E2A47">
        <w:rPr>
          <w:rFonts w:cs="Arial"/>
          <w:szCs w:val="18"/>
        </w:rPr>
        <w:t xml:space="preserve"> Victoria University of Wellington, the University of Otago, and the Donald Beasley Institute, February 2023). </w:t>
      </w:r>
    </w:p>
  </w:endnote>
  <w:endnote w:id="117">
    <w:p w14:paraId="7FF678AB" w14:textId="21932DBB" w:rsidR="00C3701E" w:rsidRPr="005E2A47" w:rsidRDefault="00C3701E" w:rsidP="00E45334">
      <w:pPr>
        <w:pStyle w:val="EndnoteText"/>
        <w:spacing w:before="120"/>
        <w:rPr>
          <w:rFonts w:cs="Arial"/>
          <w:szCs w:val="18"/>
        </w:rPr>
      </w:pPr>
      <w:r w:rsidRPr="005E2A47">
        <w:rPr>
          <w:rFonts w:cs="Arial"/>
          <w:szCs w:val="18"/>
          <w:vertAlign w:val="superscript"/>
        </w:rPr>
        <w:endnoteRef/>
      </w:r>
      <w:r w:rsidRPr="005E2A47">
        <w:rPr>
          <w:rFonts w:cs="Arial"/>
          <w:szCs w:val="18"/>
        </w:rPr>
        <w:t xml:space="preserve"> Hudson, D</w:t>
      </w:r>
      <w:r>
        <w:rPr>
          <w:rFonts w:cs="Arial"/>
          <w:szCs w:val="18"/>
        </w:rPr>
        <w:t>,</w:t>
      </w:r>
      <w:r w:rsidRPr="005E2A47">
        <w:rPr>
          <w:rFonts w:cs="Arial"/>
          <w:szCs w:val="18"/>
        </w:rPr>
        <w:t xml:space="preserve"> “Dunedin school Kavanagh College to be renamed after sexual abuse investigation</w:t>
      </w:r>
      <w:r>
        <w:rPr>
          <w:rFonts w:cs="Arial"/>
          <w:szCs w:val="18"/>
        </w:rPr>
        <w:t>,</w:t>
      </w:r>
      <w:r w:rsidRPr="005E2A47">
        <w:rPr>
          <w:rFonts w:cs="Arial"/>
          <w:szCs w:val="18"/>
        </w:rPr>
        <w:t>” Otago Daily Times</w:t>
      </w:r>
      <w:r>
        <w:rPr>
          <w:rFonts w:cs="Arial"/>
          <w:szCs w:val="18"/>
        </w:rPr>
        <w:t xml:space="preserve"> (</w:t>
      </w:r>
      <w:r w:rsidRPr="005E2A47">
        <w:rPr>
          <w:rFonts w:cs="Arial"/>
          <w:szCs w:val="18"/>
        </w:rPr>
        <w:t>19 March 2022)</w:t>
      </w:r>
      <w:r>
        <w:rPr>
          <w:rFonts w:cs="Arial"/>
          <w:szCs w:val="18"/>
        </w:rPr>
        <w:t xml:space="preserve">, </w:t>
      </w:r>
      <w:hyperlink r:id="rId4" w:history="1">
        <w:r w:rsidRPr="004D5A60">
          <w:rPr>
            <w:rStyle w:val="Hyperlink"/>
            <w:rFonts w:cs="Arial"/>
            <w:szCs w:val="18"/>
          </w:rPr>
          <w:t>https://www.odt.co.nz/news/dunedin/kavanagh-college-be-renamed-0</w:t>
        </w:r>
      </w:hyperlink>
      <w:r w:rsidRPr="005E2A47">
        <w:rPr>
          <w:rFonts w:cs="Arial"/>
          <w:szCs w:val="18"/>
        </w:rPr>
        <w:t xml:space="preserve">. </w:t>
      </w:r>
    </w:p>
  </w:endnote>
  <w:endnote w:id="118">
    <w:p w14:paraId="2D80310F" w14:textId="5815877C" w:rsidR="00C3701E" w:rsidRPr="005E2A47" w:rsidRDefault="00C3701E" w:rsidP="00E45334">
      <w:pPr>
        <w:pStyle w:val="EndnoteText"/>
        <w:spacing w:before="120"/>
        <w:rPr>
          <w:rFonts w:cs="Arial"/>
          <w:szCs w:val="18"/>
        </w:rPr>
      </w:pPr>
      <w:r w:rsidRPr="005E2A47">
        <w:rPr>
          <w:rStyle w:val="EndnoteReference"/>
          <w:rFonts w:cs="Arial"/>
          <w:szCs w:val="18"/>
        </w:rPr>
        <w:endnoteRef/>
      </w:r>
      <w:r>
        <w:rPr>
          <w:rFonts w:cs="Arial"/>
          <w:szCs w:val="18"/>
        </w:rPr>
        <w:t xml:space="preserve"> </w:t>
      </w:r>
      <w:r w:rsidRPr="005E2A47">
        <w:rPr>
          <w:rFonts w:cs="Arial"/>
          <w:szCs w:val="18"/>
        </w:rPr>
        <w:t>“NZ Catholic Church to purge abusers' names from titles</w:t>
      </w:r>
      <w:r>
        <w:rPr>
          <w:rFonts w:cs="Arial"/>
          <w:szCs w:val="18"/>
        </w:rPr>
        <w:t>,</w:t>
      </w:r>
      <w:r w:rsidRPr="005E2A47">
        <w:rPr>
          <w:rFonts w:cs="Arial"/>
          <w:szCs w:val="18"/>
        </w:rPr>
        <w:t xml:space="preserve">” </w:t>
      </w:r>
      <w:r>
        <w:rPr>
          <w:rFonts w:cs="Arial"/>
          <w:szCs w:val="18"/>
        </w:rPr>
        <w:t>RNZ News</w:t>
      </w:r>
      <w:r w:rsidRPr="005E2A47" w:rsidDel="000D256C">
        <w:rPr>
          <w:rFonts w:cs="Arial"/>
          <w:szCs w:val="18"/>
        </w:rPr>
        <w:t xml:space="preserve"> </w:t>
      </w:r>
      <w:r w:rsidRPr="005E2A47">
        <w:rPr>
          <w:rFonts w:cs="Arial"/>
          <w:szCs w:val="18"/>
        </w:rPr>
        <w:t>(10 January 2023)</w:t>
      </w:r>
      <w:r>
        <w:rPr>
          <w:rFonts w:cs="Arial"/>
          <w:szCs w:val="18"/>
        </w:rPr>
        <w:t xml:space="preserve">, </w:t>
      </w:r>
      <w:hyperlink r:id="rId5" w:history="1">
        <w:r w:rsidRPr="004D5A60">
          <w:rPr>
            <w:rStyle w:val="Hyperlink"/>
            <w:rFonts w:cs="Arial"/>
            <w:szCs w:val="18"/>
          </w:rPr>
          <w:t>https://www.rnz.co.nz/news/national/482185/nz-catholic-church-to-purge-abusers-names-from-titles</w:t>
        </w:r>
      </w:hyperlink>
      <w:r w:rsidRPr="005E2A47">
        <w:rPr>
          <w:rFonts w:cs="Arial"/>
          <w:szCs w:val="18"/>
        </w:rPr>
        <w:t>.</w:t>
      </w:r>
    </w:p>
  </w:endnote>
  <w:endnote w:id="119">
    <w:p w14:paraId="5DDF1A70" w14:textId="3EC8773F"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w:t>
      </w:r>
      <w:bookmarkStart w:id="137" w:name="_Hlk150688128"/>
      <w:r>
        <w:rPr>
          <w:rFonts w:cs="Arial"/>
          <w:szCs w:val="18"/>
        </w:rPr>
        <w:t xml:space="preserve">“New names floated for street and park on site of historic abuses,” RNZ News (7 April 2024), </w:t>
      </w:r>
      <w:hyperlink r:id="rId6" w:history="1">
        <w:r w:rsidRPr="004D5A60">
          <w:rPr>
            <w:rStyle w:val="Hyperlink"/>
            <w:rFonts w:cs="Arial"/>
            <w:szCs w:val="18"/>
          </w:rPr>
          <w:t>https://www.rnz.co.nz/news/national/513667/new-names-floated-for-street-and-park-on-site-of-historic-abuses</w:t>
        </w:r>
      </w:hyperlink>
      <w:r>
        <w:rPr>
          <w:rFonts w:cs="Arial"/>
          <w:szCs w:val="18"/>
        </w:rPr>
        <w:t xml:space="preserve"> </w:t>
      </w:r>
      <w:r>
        <w:t>and Gill, S,</w:t>
      </w:r>
      <w:r>
        <w:rPr>
          <w:rStyle w:val="Hyperlink"/>
        </w:rPr>
        <w:t xml:space="preserve"> “Survivors of abuse in care celebrate ‘validating’ name change,” The Press (15 April 2024), </w:t>
      </w:r>
      <w:hyperlink r:id="rId7" w:history="1">
        <w:r w:rsidRPr="004D5A60">
          <w:rPr>
            <w:rStyle w:val="Hyperlink"/>
          </w:rPr>
          <w:t>https://www.thepress.co.nz/nz-news/350245091/survivors-abuse-care-celebrate-validating-name-change</w:t>
        </w:r>
      </w:hyperlink>
      <w:r w:rsidRPr="005E2A47">
        <w:rPr>
          <w:rFonts w:cs="Arial"/>
          <w:szCs w:val="18"/>
        </w:rPr>
        <w:t xml:space="preserve">.  </w:t>
      </w:r>
      <w:bookmarkEnd w:id="137"/>
    </w:p>
  </w:endnote>
  <w:endnote w:id="120">
    <w:p w14:paraId="2B69DDFC" w14:textId="716234D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330).</w:t>
      </w:r>
    </w:p>
  </w:endnote>
  <w:endnote w:id="121">
    <w:p w14:paraId="1775E3FE" w14:textId="5F91778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That is, within four months of He Purapura Ora</w:t>
      </w:r>
      <w:r w:rsidRPr="005E6C71">
        <w:t xml:space="preserve"> </w:t>
      </w:r>
      <w:r w:rsidRPr="005E6C71">
        <w:rPr>
          <w:rFonts w:cs="Arial"/>
          <w:szCs w:val="18"/>
        </w:rPr>
        <w:t xml:space="preserve">he Māra Tipu: From </w:t>
      </w:r>
      <w:r>
        <w:rPr>
          <w:rFonts w:cs="Arial"/>
          <w:szCs w:val="18"/>
        </w:rPr>
        <w:t>R</w:t>
      </w:r>
      <w:r w:rsidRPr="005E6C71">
        <w:rPr>
          <w:rFonts w:cs="Arial"/>
          <w:szCs w:val="18"/>
        </w:rPr>
        <w:t>edress to Puretumu Torowhānui</w:t>
      </w:r>
      <w:r w:rsidRPr="005E2A47">
        <w:rPr>
          <w:rFonts w:cs="Arial"/>
          <w:szCs w:val="18"/>
        </w:rPr>
        <w:t xml:space="preserve"> being tabled in the House of Representatives on 15 December 2021.</w:t>
      </w:r>
    </w:p>
  </w:endnote>
  <w:endnote w:id="122">
    <w:p w14:paraId="20B839C7" w14:textId="6AA3D0C2"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w:t>
      </w:r>
      <w:r>
        <w:rPr>
          <w:rFonts w:cs="Arial"/>
          <w:szCs w:val="18"/>
        </w:rPr>
        <w:t>age</w:t>
      </w:r>
      <w:r w:rsidRPr="005E2A47">
        <w:rPr>
          <w:rFonts w:cs="Arial"/>
          <w:szCs w:val="18"/>
        </w:rPr>
        <w:t xml:space="preserve"> 349</w:t>
      </w:r>
      <w:r>
        <w:rPr>
          <w:rFonts w:cs="Arial"/>
          <w:szCs w:val="18"/>
        </w:rPr>
        <w:t>)</w:t>
      </w:r>
      <w:r w:rsidRPr="005E2A47">
        <w:rPr>
          <w:rFonts w:cs="Arial"/>
          <w:szCs w:val="18"/>
        </w:rPr>
        <w:t>.</w:t>
      </w:r>
    </w:p>
  </w:endnote>
  <w:endnote w:id="123">
    <w:p w14:paraId="15DE1402" w14:textId="6FC62A6C"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Section 3(d) of the Accident Compensation Act 2001 states: “The purpose of this Act is to enhance the public good and reinforce the social contract represented by the first accident compensation scheme by providing for a fair and sustainable scheme for managing personal injury that has, as its overriding goals, minimising both the overall incidence of injury in the community, and the impact of injury on the community (including economic, social, and personal costs) </w:t>
      </w:r>
      <w:r>
        <w:rPr>
          <w:rFonts w:cs="Arial"/>
          <w:szCs w:val="18"/>
        </w:rPr>
        <w:t xml:space="preserve">… </w:t>
      </w:r>
      <w:r w:rsidRPr="005E2A47">
        <w:rPr>
          <w:rFonts w:cs="Arial"/>
          <w:szCs w:val="18"/>
        </w:rPr>
        <w:t>(d) ensuring that, during their rehabilitation, claimants receive fair compensation for loss from injury, including fair determination of weekly compensation and, where appropriate, lump sums for permanent impairment.”</w:t>
      </w:r>
    </w:p>
  </w:endnote>
  <w:endnote w:id="124">
    <w:p w14:paraId="2410A5B0" w14:textId="298C845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331).</w:t>
      </w:r>
    </w:p>
  </w:endnote>
  <w:endnote w:id="125">
    <w:p w14:paraId="70D15D83" w14:textId="10123F21" w:rsidR="00C3701E" w:rsidRPr="005464CC" w:rsidRDefault="00C3701E" w:rsidP="00E45334">
      <w:pPr>
        <w:pStyle w:val="EndnoteText"/>
        <w:spacing w:before="120"/>
      </w:pPr>
      <w:r>
        <w:rPr>
          <w:rStyle w:val="EndnoteReference"/>
        </w:rPr>
        <w:endnoteRef/>
      </w:r>
      <w:r>
        <w:t xml:space="preserve"> </w:t>
      </w:r>
      <w:r w:rsidRPr="005E2A47">
        <w:rPr>
          <w:rFonts w:cs="Arial"/>
          <w:szCs w:val="18"/>
        </w:rPr>
        <w:t>New Zealand Government Cabinet paper, Responding to the Royal Commission into Historical Abuse in Care’s redress findings (2022, paras</w:t>
      </w:r>
      <w:r w:rsidRPr="005E2A47">
        <w:rPr>
          <w:rFonts w:eastAsia="Calibri" w:cs="Arial"/>
          <w:szCs w:val="18"/>
        </w:rPr>
        <w:t xml:space="preserve"> 73–76).</w:t>
      </w:r>
    </w:p>
  </w:endnote>
  <w:endnote w:id="126">
    <w:p w14:paraId="18C6EEA2" w14:textId="1DD5920F" w:rsidR="00C3701E" w:rsidRPr="001A06FD" w:rsidRDefault="00C3701E" w:rsidP="00E45334">
      <w:pPr>
        <w:pStyle w:val="EndnoteText"/>
        <w:spacing w:before="120"/>
      </w:pPr>
      <w:r>
        <w:rPr>
          <w:rStyle w:val="EndnoteReference"/>
        </w:rPr>
        <w:endnoteRef/>
      </w:r>
      <w:r>
        <w:t xml:space="preserve"> Cabinet Business Committee Minute of Decision </w:t>
      </w:r>
      <w:r w:rsidRPr="001A06FD">
        <w:t>CBC-22-MIN-0035</w:t>
      </w:r>
      <w:r>
        <w:t xml:space="preserve"> (4 July 2022). </w:t>
      </w:r>
    </w:p>
  </w:endnote>
  <w:endnote w:id="127">
    <w:p w14:paraId="4497E353" w14:textId="0EBFBE36" w:rsidR="00C3701E" w:rsidRPr="00AA013B" w:rsidRDefault="00C3701E" w:rsidP="00E45334">
      <w:pPr>
        <w:pStyle w:val="EndnoteText"/>
        <w:spacing w:before="120"/>
      </w:pPr>
      <w:r>
        <w:rPr>
          <w:rStyle w:val="EndnoteReference"/>
        </w:rPr>
        <w:endnoteRef/>
      </w:r>
      <w:r>
        <w:t xml:space="preserve"> Crown Natural Justice response to Part 9 (12 January 2024).</w:t>
      </w:r>
    </w:p>
  </w:endnote>
  <w:endnote w:id="128">
    <w:p w14:paraId="4F4C7F3C" w14:textId="6CF0E5FF" w:rsidR="00C3701E" w:rsidRPr="00836D34" w:rsidRDefault="00C3701E" w:rsidP="00E45334">
      <w:pPr>
        <w:pStyle w:val="EndnoteText"/>
        <w:spacing w:before="120"/>
      </w:pPr>
      <w:r>
        <w:rPr>
          <w:rStyle w:val="EndnoteReference"/>
        </w:rPr>
        <w:endnoteRef/>
      </w:r>
      <w:r>
        <w:t xml:space="preserve"> </w:t>
      </w:r>
      <w:r w:rsidRPr="002A47F5">
        <w:t>Royal Commission of Inquiry into Historical Abuse in State Care and in the Care of Faith-based Institutions Order 2018</w:t>
      </w:r>
      <w:r>
        <w:t xml:space="preserve"> as at 5 August 2021, clauses 37A–37C.</w:t>
      </w:r>
    </w:p>
  </w:endnote>
  <w:endnote w:id="129">
    <w:p w14:paraId="3DA40822" w14:textId="0BA3AD02" w:rsidR="00C3701E" w:rsidRPr="004A5BEA" w:rsidRDefault="00C3701E" w:rsidP="00E45334">
      <w:pPr>
        <w:pStyle w:val="EndnoteText"/>
        <w:spacing w:before="120"/>
        <w:rPr>
          <w:b/>
        </w:rPr>
      </w:pPr>
      <w:r>
        <w:rPr>
          <w:rStyle w:val="EndnoteReference"/>
        </w:rPr>
        <w:endnoteRef/>
      </w:r>
      <w:r>
        <w:t xml:space="preserve"> Media release, Department of Internal Affairs, Royal Commission into Historical Abuse scope adjusted to avoid timeline delay (23 April 2021)</w:t>
      </w:r>
      <w:r w:rsidRPr="0003210B">
        <w:t>.</w:t>
      </w:r>
    </w:p>
  </w:endnote>
  <w:endnote w:id="130">
    <w:p w14:paraId="20AA7610" w14:textId="0EBD9343" w:rsidR="00C3701E" w:rsidRPr="007E5979" w:rsidRDefault="00C3701E" w:rsidP="00E45334">
      <w:pPr>
        <w:pStyle w:val="EndnoteText"/>
        <w:spacing w:before="120"/>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350).</w:t>
      </w:r>
    </w:p>
  </w:endnote>
  <w:endnote w:id="131">
    <w:p w14:paraId="0A280A89" w14:textId="2D299AAA" w:rsidR="00C3701E" w:rsidRPr="005E2A47" w:rsidRDefault="00C3701E" w:rsidP="00E45334">
      <w:pPr>
        <w:pStyle w:val="EndnoteText"/>
        <w:spacing w:before="120"/>
        <w:rPr>
          <w:rFonts w:cs="Arial"/>
          <w:szCs w:val="18"/>
          <w:lang w:val="en-US"/>
        </w:rPr>
      </w:pPr>
      <w:r w:rsidRPr="005E2A47">
        <w:rPr>
          <w:rStyle w:val="EndnoteReference"/>
          <w:rFonts w:cs="Arial"/>
          <w:szCs w:val="18"/>
        </w:rPr>
        <w:endnoteRef/>
      </w:r>
      <w:r w:rsidRPr="005E2A47">
        <w:rPr>
          <w:rFonts w:cs="Arial"/>
          <w:szCs w:val="18"/>
        </w:rPr>
        <w:t xml:space="preserve"> Ministry of Justice, Letter </w:t>
      </w:r>
      <w:r w:rsidRPr="005E2A47">
        <w:rPr>
          <w:rFonts w:cs="Arial"/>
          <w:szCs w:val="18"/>
          <w:lang w:val="en-US"/>
        </w:rPr>
        <w:t xml:space="preserve">from </w:t>
      </w:r>
      <w:r w:rsidRPr="005E2A47">
        <w:rPr>
          <w:rFonts w:cs="Arial"/>
          <w:szCs w:val="18"/>
        </w:rPr>
        <w:t xml:space="preserve">Andrew </w:t>
      </w:r>
      <w:r w:rsidRPr="00FA7CAE">
        <w:rPr>
          <w:rFonts w:cs="Arial"/>
          <w:szCs w:val="18"/>
        </w:rPr>
        <w:t>Kibblewhite</w:t>
      </w:r>
      <w:r w:rsidRPr="005E2A47">
        <w:rPr>
          <w:rFonts w:cs="Arial"/>
          <w:szCs w:val="18"/>
        </w:rPr>
        <w:t>, Secretary for Justice to Iona Holsted, Secretary for Education (</w:t>
      </w:r>
      <w:r w:rsidRPr="005E2A47">
        <w:rPr>
          <w:rFonts w:cs="Arial"/>
          <w:szCs w:val="18"/>
          <w:lang w:val="en-US"/>
        </w:rPr>
        <w:t xml:space="preserve">3 November 2022). </w:t>
      </w:r>
    </w:p>
  </w:endnote>
  <w:endnote w:id="132">
    <w:p w14:paraId="16C4511C" w14:textId="12610909" w:rsidR="00C3701E" w:rsidRPr="005E2A47" w:rsidRDefault="00C3701E" w:rsidP="00E45334">
      <w:pPr>
        <w:pStyle w:val="EndnoteText"/>
        <w:spacing w:before="120"/>
        <w:rPr>
          <w:rFonts w:cs="Arial"/>
          <w:szCs w:val="18"/>
          <w:lang w:val="en-US"/>
        </w:rPr>
      </w:pPr>
      <w:r w:rsidRPr="005E2A47">
        <w:rPr>
          <w:rStyle w:val="EndnoteReference"/>
          <w:rFonts w:cs="Arial"/>
          <w:szCs w:val="18"/>
        </w:rPr>
        <w:endnoteRef/>
      </w:r>
      <w:r w:rsidRPr="005E2A47">
        <w:rPr>
          <w:rFonts w:cs="Arial"/>
          <w:szCs w:val="18"/>
        </w:rPr>
        <w:t xml:space="preserve"> Butler, A &amp; Butler, P</w:t>
      </w:r>
      <w:r>
        <w:rPr>
          <w:rFonts w:cs="Arial"/>
          <w:szCs w:val="18"/>
        </w:rPr>
        <w:t>,</w:t>
      </w:r>
      <w:r w:rsidRPr="005E2A47">
        <w:rPr>
          <w:rFonts w:cs="Arial"/>
          <w:szCs w:val="18"/>
        </w:rPr>
        <w:t xml:space="preserve"> New Zealand Bill of Rights Act: A Commentary</w:t>
      </w:r>
      <w:r>
        <w:rPr>
          <w:rFonts w:cs="Arial"/>
          <w:szCs w:val="18"/>
        </w:rPr>
        <w:t xml:space="preserve"> (</w:t>
      </w:r>
      <w:r w:rsidRPr="005E2A47">
        <w:rPr>
          <w:rFonts w:cs="Arial"/>
          <w:szCs w:val="18"/>
        </w:rPr>
        <w:t>2</w:t>
      </w:r>
      <w:r w:rsidRPr="005E2A47">
        <w:rPr>
          <w:rFonts w:cs="Arial"/>
          <w:szCs w:val="18"/>
          <w:vertAlign w:val="superscript"/>
        </w:rPr>
        <w:t>nd</w:t>
      </w:r>
      <w:r w:rsidRPr="005E2A47">
        <w:rPr>
          <w:rFonts w:cs="Arial"/>
          <w:szCs w:val="18"/>
        </w:rPr>
        <w:t xml:space="preserve"> edition</w:t>
      </w:r>
      <w:r>
        <w:rPr>
          <w:rFonts w:cs="Arial"/>
          <w:szCs w:val="18"/>
        </w:rPr>
        <w:t>),</w:t>
      </w:r>
      <w:r w:rsidRPr="005E2A47">
        <w:rPr>
          <w:rFonts w:cs="Arial"/>
          <w:szCs w:val="18"/>
        </w:rPr>
        <w:t xml:space="preserve"> (LexisNexis, 2015</w:t>
      </w:r>
      <w:r>
        <w:rPr>
          <w:rFonts w:cs="Arial"/>
          <w:szCs w:val="18"/>
        </w:rPr>
        <w:t xml:space="preserve">, </w:t>
      </w:r>
      <w:r w:rsidRPr="005E2A47">
        <w:rPr>
          <w:rFonts w:cs="Arial"/>
          <w:szCs w:val="18"/>
        </w:rPr>
        <w:t>p</w:t>
      </w:r>
      <w:r>
        <w:rPr>
          <w:rFonts w:cs="Arial"/>
          <w:szCs w:val="18"/>
        </w:rPr>
        <w:t>ages</w:t>
      </w:r>
      <w:r w:rsidRPr="005E2A47">
        <w:rPr>
          <w:rFonts w:cs="Arial"/>
          <w:szCs w:val="18"/>
        </w:rPr>
        <w:t xml:space="preserve"> 1532, 1581</w:t>
      </w:r>
      <w:r>
        <w:rPr>
          <w:rFonts w:cs="Arial"/>
          <w:szCs w:val="18"/>
        </w:rPr>
        <w:t>–</w:t>
      </w:r>
      <w:r w:rsidRPr="005E2A47">
        <w:rPr>
          <w:rFonts w:cs="Arial"/>
          <w:szCs w:val="18"/>
        </w:rPr>
        <w:t>1583</w:t>
      </w:r>
      <w:r>
        <w:rPr>
          <w:rFonts w:cs="Arial"/>
          <w:szCs w:val="18"/>
        </w:rPr>
        <w:t>)</w:t>
      </w:r>
      <w:r w:rsidRPr="005E2A47">
        <w:rPr>
          <w:rFonts w:cs="Arial"/>
          <w:szCs w:val="18"/>
        </w:rPr>
        <w:t>. See also Todd, S, Hawes, C, Atkin, A, Cheer, U</w:t>
      </w:r>
      <w:r>
        <w:rPr>
          <w:rFonts w:cs="Arial"/>
          <w:szCs w:val="18"/>
        </w:rPr>
        <w:t xml:space="preserve"> &amp;</w:t>
      </w:r>
      <w:r w:rsidRPr="005E2A47">
        <w:rPr>
          <w:rFonts w:cs="Arial"/>
          <w:szCs w:val="18"/>
        </w:rPr>
        <w:t xml:space="preserve"> Isac, A, Todd on Torts</w:t>
      </w:r>
      <w:r>
        <w:rPr>
          <w:rFonts w:cs="Arial"/>
          <w:szCs w:val="18"/>
        </w:rPr>
        <w:t xml:space="preserve">, </w:t>
      </w:r>
      <w:r w:rsidRPr="005E2A47">
        <w:rPr>
          <w:rFonts w:cs="Arial"/>
          <w:szCs w:val="18"/>
        </w:rPr>
        <w:t>online version</w:t>
      </w:r>
      <w:r>
        <w:rPr>
          <w:rFonts w:cs="Arial"/>
          <w:szCs w:val="18"/>
        </w:rPr>
        <w:t xml:space="preserve"> (</w:t>
      </w:r>
      <w:r w:rsidRPr="005E2A47">
        <w:rPr>
          <w:rFonts w:cs="Arial"/>
          <w:szCs w:val="18"/>
        </w:rPr>
        <w:t>9</w:t>
      </w:r>
      <w:r w:rsidRPr="005E2A47">
        <w:rPr>
          <w:rFonts w:cs="Arial"/>
          <w:szCs w:val="18"/>
          <w:vertAlign w:val="superscript"/>
        </w:rPr>
        <w:t>th</w:t>
      </w:r>
      <w:r w:rsidRPr="005E2A47">
        <w:rPr>
          <w:rFonts w:cs="Arial"/>
          <w:szCs w:val="18"/>
        </w:rPr>
        <w:t xml:space="preserve"> </w:t>
      </w:r>
      <w:r>
        <w:rPr>
          <w:rFonts w:cs="Arial"/>
          <w:szCs w:val="18"/>
        </w:rPr>
        <w:t>e</w:t>
      </w:r>
      <w:r w:rsidRPr="005E2A47">
        <w:rPr>
          <w:rFonts w:cs="Arial"/>
          <w:szCs w:val="18"/>
        </w:rPr>
        <w:t>dition</w:t>
      </w:r>
      <w:r>
        <w:rPr>
          <w:rFonts w:cs="Arial"/>
          <w:szCs w:val="18"/>
        </w:rPr>
        <w:t>),</w:t>
      </w:r>
      <w:r w:rsidRPr="005E2A47">
        <w:rPr>
          <w:rFonts w:cs="Arial"/>
          <w:szCs w:val="18"/>
        </w:rPr>
        <w:t xml:space="preserve"> (Thomson Reuters, 2023</w:t>
      </w:r>
      <w:r>
        <w:rPr>
          <w:rFonts w:cs="Arial"/>
          <w:szCs w:val="18"/>
        </w:rPr>
        <w:t>,</w:t>
      </w:r>
      <w:r w:rsidRPr="005E2A47">
        <w:rPr>
          <w:rFonts w:cs="Arial"/>
          <w:szCs w:val="18"/>
        </w:rPr>
        <w:t xml:space="preserve"> paras 59.25.5.2, 59.25.5.2(8)(a), 59.25.5.2(9) and 59.25.5.3(2)(a)</w:t>
      </w:r>
      <w:r>
        <w:rPr>
          <w:rFonts w:cs="Arial"/>
          <w:szCs w:val="18"/>
        </w:rPr>
        <w:t>)</w:t>
      </w:r>
      <w:r w:rsidRPr="005E2A47">
        <w:rPr>
          <w:rFonts w:cs="Arial"/>
          <w:szCs w:val="18"/>
        </w:rPr>
        <w:t>.</w:t>
      </w:r>
    </w:p>
  </w:endnote>
  <w:endnote w:id="133">
    <w:p w14:paraId="04685859" w14:textId="1F8D4DA8"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UN Human Rights Committee, General comment </w:t>
      </w:r>
      <w:r>
        <w:rPr>
          <w:rFonts w:cs="Arial"/>
          <w:szCs w:val="18"/>
        </w:rPr>
        <w:t>N</w:t>
      </w:r>
      <w:r w:rsidRPr="005E2A47">
        <w:rPr>
          <w:rFonts w:cs="Arial"/>
          <w:szCs w:val="18"/>
        </w:rPr>
        <w:t>o 31 [80], The nature of the general legal obligation imposed on States Parties to the Covenant: CCPR/C/21/Rev.1/Add.13 (26 May 2004, para 18</w:t>
      </w:r>
      <w:r>
        <w:rPr>
          <w:rFonts w:cs="Arial"/>
          <w:szCs w:val="18"/>
        </w:rPr>
        <w:t>)</w:t>
      </w:r>
      <w:r w:rsidRPr="005E2A47">
        <w:rPr>
          <w:rFonts w:cs="Arial"/>
          <w:szCs w:val="18"/>
        </w:rPr>
        <w:t xml:space="preserve">; UN Human Rights Committee, CCPR General Comment No 20: Article 7 (Prohibition of </w:t>
      </w:r>
      <w:r>
        <w:rPr>
          <w:rFonts w:cs="Arial"/>
          <w:szCs w:val="18"/>
        </w:rPr>
        <w:t>t</w:t>
      </w:r>
      <w:r w:rsidRPr="005E2A47">
        <w:rPr>
          <w:rFonts w:cs="Arial"/>
          <w:szCs w:val="18"/>
        </w:rPr>
        <w:t xml:space="preserve">orture, or </w:t>
      </w:r>
      <w:r>
        <w:rPr>
          <w:rFonts w:cs="Arial"/>
          <w:szCs w:val="18"/>
        </w:rPr>
        <w:t>o</w:t>
      </w:r>
      <w:r w:rsidRPr="005E2A47">
        <w:rPr>
          <w:rFonts w:cs="Arial"/>
          <w:szCs w:val="18"/>
        </w:rPr>
        <w:t xml:space="preserve">ther </w:t>
      </w:r>
      <w:r>
        <w:rPr>
          <w:rFonts w:cs="Arial"/>
          <w:szCs w:val="18"/>
        </w:rPr>
        <w:t>c</w:t>
      </w:r>
      <w:r w:rsidRPr="005E2A47">
        <w:rPr>
          <w:rFonts w:cs="Arial"/>
          <w:szCs w:val="18"/>
        </w:rPr>
        <w:t xml:space="preserve">ruel, </w:t>
      </w:r>
      <w:r>
        <w:rPr>
          <w:rFonts w:cs="Arial"/>
          <w:szCs w:val="18"/>
        </w:rPr>
        <w:t>i</w:t>
      </w:r>
      <w:r w:rsidRPr="005E2A47">
        <w:rPr>
          <w:rFonts w:cs="Arial"/>
          <w:szCs w:val="18"/>
        </w:rPr>
        <w:t xml:space="preserve">nhuman or </w:t>
      </w:r>
      <w:r>
        <w:rPr>
          <w:rFonts w:cs="Arial"/>
          <w:szCs w:val="18"/>
        </w:rPr>
        <w:t>d</w:t>
      </w:r>
      <w:r w:rsidRPr="005E2A47">
        <w:rPr>
          <w:rFonts w:cs="Arial"/>
          <w:szCs w:val="18"/>
        </w:rPr>
        <w:t xml:space="preserve">egrading </w:t>
      </w:r>
      <w:r>
        <w:rPr>
          <w:rFonts w:cs="Arial"/>
          <w:szCs w:val="18"/>
        </w:rPr>
        <w:t>t</w:t>
      </w:r>
      <w:r w:rsidRPr="005E2A47">
        <w:rPr>
          <w:rFonts w:cs="Arial"/>
          <w:szCs w:val="18"/>
        </w:rPr>
        <w:t xml:space="preserve">reatment or </w:t>
      </w:r>
      <w:r>
        <w:rPr>
          <w:rFonts w:cs="Arial"/>
          <w:szCs w:val="18"/>
        </w:rPr>
        <w:t>p</w:t>
      </w:r>
      <w:r w:rsidRPr="005E2A47">
        <w:rPr>
          <w:rFonts w:cs="Arial"/>
          <w:szCs w:val="18"/>
        </w:rPr>
        <w:t>unishment), (10 March 1992, para 15</w:t>
      </w:r>
      <w:r>
        <w:rPr>
          <w:rFonts w:cs="Arial"/>
          <w:szCs w:val="18"/>
        </w:rPr>
        <w:t>)</w:t>
      </w:r>
      <w:r w:rsidRPr="005E2A47">
        <w:rPr>
          <w:rFonts w:cs="Arial"/>
          <w:szCs w:val="18"/>
        </w:rPr>
        <w:t>; Shelton, D</w:t>
      </w:r>
      <w:r>
        <w:rPr>
          <w:rFonts w:cs="Arial"/>
          <w:szCs w:val="18"/>
        </w:rPr>
        <w:t>,</w:t>
      </w:r>
      <w:r w:rsidRPr="005E2A47">
        <w:rPr>
          <w:rFonts w:cs="Arial"/>
          <w:szCs w:val="18"/>
        </w:rPr>
        <w:t xml:space="preserve"> Remedies in </w:t>
      </w:r>
      <w:r>
        <w:rPr>
          <w:rFonts w:cs="Arial"/>
          <w:szCs w:val="18"/>
        </w:rPr>
        <w:t>i</w:t>
      </w:r>
      <w:r w:rsidRPr="005E2A47">
        <w:rPr>
          <w:rFonts w:cs="Arial"/>
          <w:szCs w:val="18"/>
        </w:rPr>
        <w:t xml:space="preserve">nternational </w:t>
      </w:r>
      <w:r>
        <w:rPr>
          <w:rFonts w:cs="Arial"/>
          <w:szCs w:val="18"/>
        </w:rPr>
        <w:t>h</w:t>
      </w:r>
      <w:r w:rsidRPr="005E2A47">
        <w:rPr>
          <w:rFonts w:cs="Arial"/>
          <w:szCs w:val="18"/>
        </w:rPr>
        <w:t xml:space="preserve">uman </w:t>
      </w:r>
      <w:r>
        <w:rPr>
          <w:rFonts w:cs="Arial"/>
          <w:szCs w:val="18"/>
        </w:rPr>
        <w:t>r</w:t>
      </w:r>
      <w:r w:rsidRPr="005E2A47">
        <w:rPr>
          <w:rFonts w:cs="Arial"/>
          <w:szCs w:val="18"/>
        </w:rPr>
        <w:t xml:space="preserve">ights </w:t>
      </w:r>
      <w:r>
        <w:rPr>
          <w:rFonts w:cs="Arial"/>
          <w:szCs w:val="18"/>
        </w:rPr>
        <w:t>l</w:t>
      </w:r>
      <w:r w:rsidRPr="005E2A47">
        <w:rPr>
          <w:rFonts w:cs="Arial"/>
          <w:szCs w:val="18"/>
        </w:rPr>
        <w:t>aw (3</w:t>
      </w:r>
      <w:r w:rsidRPr="0003210B">
        <w:rPr>
          <w:rFonts w:cs="Arial"/>
          <w:szCs w:val="18"/>
          <w:vertAlign w:val="superscript"/>
        </w:rPr>
        <w:t>rd</w:t>
      </w:r>
      <w:r w:rsidRPr="005E2A47">
        <w:rPr>
          <w:rFonts w:cs="Arial"/>
          <w:szCs w:val="18"/>
        </w:rPr>
        <w:t xml:space="preserve"> ed</w:t>
      </w:r>
      <w:r>
        <w:rPr>
          <w:rFonts w:cs="Arial"/>
          <w:szCs w:val="18"/>
        </w:rPr>
        <w:t>ition)</w:t>
      </w:r>
      <w:r w:rsidRPr="005E2A47">
        <w:rPr>
          <w:rFonts w:cs="Arial"/>
          <w:szCs w:val="18"/>
        </w:rPr>
        <w:t xml:space="preserve">, </w:t>
      </w:r>
      <w:r>
        <w:rPr>
          <w:rFonts w:cs="Arial"/>
          <w:szCs w:val="18"/>
        </w:rPr>
        <w:t>(</w:t>
      </w:r>
      <w:r w:rsidRPr="005E2A47">
        <w:rPr>
          <w:rFonts w:cs="Arial"/>
          <w:szCs w:val="18"/>
        </w:rPr>
        <w:t>Oxford University Press, 2015, p</w:t>
      </w:r>
      <w:r>
        <w:rPr>
          <w:rFonts w:cs="Arial"/>
          <w:szCs w:val="18"/>
        </w:rPr>
        <w:t>age</w:t>
      </w:r>
      <w:r w:rsidRPr="005E2A47">
        <w:rPr>
          <w:rFonts w:cs="Arial"/>
          <w:szCs w:val="18"/>
        </w:rPr>
        <w:t xml:space="preserve"> 97</w:t>
      </w:r>
      <w:r>
        <w:rPr>
          <w:rFonts w:cs="Arial"/>
          <w:szCs w:val="18"/>
        </w:rPr>
        <w:t>)</w:t>
      </w:r>
      <w:r w:rsidRPr="005E2A47">
        <w:rPr>
          <w:rFonts w:cs="Arial"/>
          <w:szCs w:val="18"/>
        </w:rPr>
        <w:t xml:space="preserve">; UN Committee Against Torture, General comment </w:t>
      </w:r>
      <w:r>
        <w:rPr>
          <w:rFonts w:cs="Arial"/>
          <w:szCs w:val="18"/>
        </w:rPr>
        <w:t>N</w:t>
      </w:r>
      <w:r w:rsidRPr="005E2A47">
        <w:rPr>
          <w:rFonts w:cs="Arial"/>
          <w:szCs w:val="18"/>
        </w:rPr>
        <w:t xml:space="preserve">o 3, 2012 : Convention against </w:t>
      </w:r>
      <w:r>
        <w:rPr>
          <w:rFonts w:cs="Arial"/>
          <w:szCs w:val="18"/>
        </w:rPr>
        <w:t>t</w:t>
      </w:r>
      <w:r w:rsidRPr="005E2A47">
        <w:rPr>
          <w:rFonts w:cs="Arial"/>
          <w:szCs w:val="18"/>
        </w:rPr>
        <w:t xml:space="preserve">orture and </w:t>
      </w:r>
      <w:r>
        <w:rPr>
          <w:rFonts w:cs="Arial"/>
          <w:szCs w:val="18"/>
        </w:rPr>
        <w:t>o</w:t>
      </w:r>
      <w:r w:rsidRPr="005E2A47">
        <w:rPr>
          <w:rFonts w:cs="Arial"/>
          <w:szCs w:val="18"/>
        </w:rPr>
        <w:t xml:space="preserve">ther </w:t>
      </w:r>
      <w:r>
        <w:rPr>
          <w:rFonts w:cs="Arial"/>
          <w:szCs w:val="18"/>
        </w:rPr>
        <w:t>c</w:t>
      </w:r>
      <w:r w:rsidRPr="005E2A47">
        <w:rPr>
          <w:rFonts w:cs="Arial"/>
          <w:szCs w:val="18"/>
        </w:rPr>
        <w:t xml:space="preserve">ruel, </w:t>
      </w:r>
      <w:r>
        <w:rPr>
          <w:rFonts w:cs="Arial"/>
          <w:szCs w:val="18"/>
        </w:rPr>
        <w:t>i</w:t>
      </w:r>
      <w:r w:rsidRPr="005E2A47">
        <w:rPr>
          <w:rFonts w:cs="Arial"/>
          <w:szCs w:val="18"/>
        </w:rPr>
        <w:t xml:space="preserve">nhuman or </w:t>
      </w:r>
      <w:r>
        <w:rPr>
          <w:rFonts w:cs="Arial"/>
          <w:szCs w:val="18"/>
        </w:rPr>
        <w:t>d</w:t>
      </w:r>
      <w:r w:rsidRPr="005E2A47">
        <w:rPr>
          <w:rFonts w:cs="Arial"/>
          <w:szCs w:val="18"/>
        </w:rPr>
        <w:t xml:space="preserve">egrading </w:t>
      </w:r>
      <w:r>
        <w:rPr>
          <w:rFonts w:cs="Arial"/>
          <w:szCs w:val="18"/>
        </w:rPr>
        <w:t>t</w:t>
      </w:r>
      <w:r w:rsidRPr="005E2A47">
        <w:rPr>
          <w:rFonts w:cs="Arial"/>
          <w:szCs w:val="18"/>
        </w:rPr>
        <w:t xml:space="preserve">reatment or </w:t>
      </w:r>
      <w:r>
        <w:rPr>
          <w:rFonts w:cs="Arial"/>
          <w:szCs w:val="18"/>
        </w:rPr>
        <w:t>p</w:t>
      </w:r>
      <w:r w:rsidRPr="005E2A47">
        <w:rPr>
          <w:rFonts w:cs="Arial"/>
          <w:szCs w:val="18"/>
        </w:rPr>
        <w:t xml:space="preserve">unishment: </w:t>
      </w:r>
      <w:r>
        <w:rPr>
          <w:rFonts w:cs="Arial"/>
          <w:szCs w:val="18"/>
        </w:rPr>
        <w:t>I</w:t>
      </w:r>
      <w:r w:rsidRPr="005E2A47">
        <w:rPr>
          <w:rFonts w:cs="Arial"/>
          <w:szCs w:val="18"/>
        </w:rPr>
        <w:t>mplementation of article 14 by States parties (13 December 2012, p</w:t>
      </w:r>
      <w:r>
        <w:rPr>
          <w:rFonts w:cs="Arial"/>
          <w:szCs w:val="18"/>
        </w:rPr>
        <w:t>ages</w:t>
      </w:r>
      <w:r w:rsidRPr="005E2A47">
        <w:rPr>
          <w:rFonts w:cs="Arial"/>
          <w:szCs w:val="18"/>
        </w:rPr>
        <w:t xml:space="preserve"> 40</w:t>
      </w:r>
      <w:r>
        <w:rPr>
          <w:rFonts w:cs="Arial"/>
          <w:szCs w:val="18"/>
        </w:rPr>
        <w:t>–</w:t>
      </w:r>
      <w:r w:rsidRPr="005E2A47">
        <w:rPr>
          <w:rFonts w:cs="Arial"/>
          <w:szCs w:val="18"/>
        </w:rPr>
        <w:t>41</w:t>
      </w:r>
      <w:r>
        <w:rPr>
          <w:rFonts w:cs="Arial"/>
          <w:szCs w:val="18"/>
        </w:rPr>
        <w:t>)</w:t>
      </w:r>
      <w:r w:rsidRPr="005E2A47">
        <w:rPr>
          <w:rFonts w:cs="Arial"/>
          <w:szCs w:val="18"/>
        </w:rPr>
        <w:t>.</w:t>
      </w:r>
    </w:p>
  </w:endnote>
  <w:endnote w:id="134">
    <w:p w14:paraId="07479117" w14:textId="2709070F" w:rsidR="00C3701E" w:rsidRPr="005E2A47" w:rsidRDefault="00C3701E" w:rsidP="00E45334">
      <w:pPr>
        <w:pStyle w:val="EndnoteText"/>
        <w:spacing w:before="120"/>
        <w:rPr>
          <w:rFonts w:cs="Arial"/>
          <w:szCs w:val="18"/>
          <w:lang w:val="en-US"/>
        </w:rPr>
      </w:pPr>
      <w:r w:rsidRPr="005E2A47">
        <w:rPr>
          <w:rStyle w:val="EndnoteReference"/>
          <w:rFonts w:cs="Arial"/>
          <w:szCs w:val="18"/>
        </w:rPr>
        <w:endnoteRef/>
      </w:r>
      <w:r w:rsidRPr="005E2A47">
        <w:rPr>
          <w:rFonts w:cs="Arial"/>
          <w:szCs w:val="18"/>
        </w:rPr>
        <w:t xml:space="preserve"> UN Committee Against Torture</w:t>
      </w:r>
      <w:r>
        <w:rPr>
          <w:rFonts w:cs="Arial"/>
          <w:szCs w:val="18"/>
        </w:rPr>
        <w:t>,</w:t>
      </w:r>
      <w:r w:rsidRPr="005E2A47">
        <w:rPr>
          <w:rFonts w:cs="Arial"/>
          <w:szCs w:val="18"/>
        </w:rPr>
        <w:t> </w:t>
      </w:r>
      <w:r>
        <w:rPr>
          <w:rFonts w:cs="Arial"/>
          <w:szCs w:val="18"/>
        </w:rPr>
        <w:t>N</w:t>
      </w:r>
      <w:r w:rsidRPr="005E2A47">
        <w:rPr>
          <w:rFonts w:cs="Arial"/>
          <w:szCs w:val="18"/>
        </w:rPr>
        <w:t xml:space="preserve">o 3, 2012: Convention against </w:t>
      </w:r>
      <w:r>
        <w:rPr>
          <w:rFonts w:cs="Arial"/>
          <w:szCs w:val="18"/>
        </w:rPr>
        <w:t>t</w:t>
      </w:r>
      <w:r w:rsidRPr="005E2A47">
        <w:rPr>
          <w:rFonts w:cs="Arial"/>
          <w:szCs w:val="18"/>
        </w:rPr>
        <w:t xml:space="preserve">orture and </w:t>
      </w:r>
      <w:r>
        <w:rPr>
          <w:rFonts w:cs="Arial"/>
          <w:szCs w:val="18"/>
        </w:rPr>
        <w:t>o</w:t>
      </w:r>
      <w:r w:rsidRPr="005E2A47">
        <w:rPr>
          <w:rFonts w:cs="Arial"/>
          <w:szCs w:val="18"/>
        </w:rPr>
        <w:t xml:space="preserve">ther </w:t>
      </w:r>
      <w:r>
        <w:rPr>
          <w:rFonts w:cs="Arial"/>
          <w:szCs w:val="18"/>
        </w:rPr>
        <w:t>c</w:t>
      </w:r>
      <w:r w:rsidRPr="005E2A47">
        <w:rPr>
          <w:rFonts w:cs="Arial"/>
          <w:szCs w:val="18"/>
        </w:rPr>
        <w:t xml:space="preserve">ruel, </w:t>
      </w:r>
      <w:r>
        <w:rPr>
          <w:rFonts w:cs="Arial"/>
          <w:szCs w:val="18"/>
        </w:rPr>
        <w:t>i</w:t>
      </w:r>
      <w:r w:rsidRPr="005E2A47">
        <w:rPr>
          <w:rFonts w:cs="Arial"/>
          <w:szCs w:val="18"/>
        </w:rPr>
        <w:t xml:space="preserve">nhuman or </w:t>
      </w:r>
      <w:r>
        <w:rPr>
          <w:rFonts w:cs="Arial"/>
          <w:szCs w:val="18"/>
        </w:rPr>
        <w:t>d</w:t>
      </w:r>
      <w:r w:rsidRPr="005E2A47">
        <w:rPr>
          <w:rFonts w:cs="Arial"/>
          <w:szCs w:val="18"/>
        </w:rPr>
        <w:t xml:space="preserve">egrading </w:t>
      </w:r>
      <w:r>
        <w:rPr>
          <w:rFonts w:cs="Arial"/>
          <w:szCs w:val="18"/>
        </w:rPr>
        <w:t>t</w:t>
      </w:r>
      <w:r w:rsidRPr="005E2A47">
        <w:rPr>
          <w:rFonts w:cs="Arial"/>
          <w:szCs w:val="18"/>
        </w:rPr>
        <w:t xml:space="preserve">reatment or </w:t>
      </w:r>
      <w:r>
        <w:rPr>
          <w:rFonts w:cs="Arial"/>
          <w:szCs w:val="18"/>
        </w:rPr>
        <w:t>p</w:t>
      </w:r>
      <w:r w:rsidRPr="005E2A47">
        <w:rPr>
          <w:rFonts w:cs="Arial"/>
          <w:szCs w:val="18"/>
        </w:rPr>
        <w:t xml:space="preserve">unishment: </w:t>
      </w:r>
      <w:r>
        <w:rPr>
          <w:rFonts w:cs="Arial"/>
          <w:szCs w:val="18"/>
        </w:rPr>
        <w:t>I</w:t>
      </w:r>
      <w:r w:rsidRPr="005E2A47">
        <w:rPr>
          <w:rFonts w:cs="Arial"/>
          <w:szCs w:val="18"/>
        </w:rPr>
        <w:t>mplementation of article 14 by States parties (13 December 2012, para 40</w:t>
      </w:r>
      <w:r>
        <w:rPr>
          <w:rFonts w:cs="Arial"/>
          <w:szCs w:val="18"/>
        </w:rPr>
        <w:t>)</w:t>
      </w:r>
      <w:r w:rsidRPr="005E2A47">
        <w:rPr>
          <w:rFonts w:cs="Arial"/>
          <w:szCs w:val="18"/>
        </w:rPr>
        <w:t>.</w:t>
      </w:r>
    </w:p>
  </w:endnote>
  <w:endnote w:id="135">
    <w:p w14:paraId="6016AF30" w14:textId="6B4FAD31"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w:t>
      </w:r>
      <w:r>
        <w:rPr>
          <w:rFonts w:cs="Arial"/>
          <w:szCs w:val="18"/>
        </w:rPr>
        <w:t>,</w:t>
      </w:r>
      <w:r w:rsidRPr="005E2A47" w:rsidDel="00E86220">
        <w:rPr>
          <w:rFonts w:cs="Arial"/>
          <w:szCs w:val="18"/>
        </w:rPr>
        <w:t xml:space="preserve"> </w:t>
      </w:r>
      <w:r w:rsidRPr="005E2A47">
        <w:rPr>
          <w:rFonts w:cs="Arial"/>
          <w:szCs w:val="18"/>
        </w:rPr>
        <w:t xml:space="preserve">Summary of </w:t>
      </w:r>
      <w:r>
        <w:rPr>
          <w:rFonts w:cs="Arial"/>
          <w:szCs w:val="18"/>
        </w:rPr>
        <w:t>w</w:t>
      </w:r>
      <w:r w:rsidRPr="005E2A47">
        <w:rPr>
          <w:rFonts w:cs="Arial"/>
          <w:szCs w:val="18"/>
        </w:rPr>
        <w:t>ānanga on ACC (9 February 2023, para 36</w:t>
      </w:r>
      <w:r>
        <w:rPr>
          <w:rFonts w:cs="Arial"/>
          <w:szCs w:val="18"/>
        </w:rPr>
        <w:t>)</w:t>
      </w:r>
      <w:r w:rsidRPr="005E2A47">
        <w:rPr>
          <w:rFonts w:cs="Arial"/>
          <w:szCs w:val="18"/>
        </w:rPr>
        <w:t>.</w:t>
      </w:r>
    </w:p>
  </w:endnote>
  <w:endnote w:id="136">
    <w:p w14:paraId="614BA89D" w14:textId="02F4A6B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Summary of </w:t>
      </w:r>
      <w:r>
        <w:rPr>
          <w:rFonts w:cs="Arial"/>
          <w:szCs w:val="18"/>
        </w:rPr>
        <w:t>w</w:t>
      </w:r>
      <w:r w:rsidRPr="005E2A47">
        <w:rPr>
          <w:rFonts w:cs="Arial"/>
          <w:szCs w:val="18"/>
        </w:rPr>
        <w:t>ānanga on ACC</w:t>
      </w:r>
      <w:r>
        <w:rPr>
          <w:rFonts w:cs="Arial"/>
          <w:szCs w:val="18"/>
        </w:rPr>
        <w:t xml:space="preserve"> (</w:t>
      </w:r>
      <w:r w:rsidRPr="005E2A47">
        <w:rPr>
          <w:rFonts w:cs="Arial"/>
          <w:szCs w:val="18"/>
        </w:rPr>
        <w:t>9 February 2023, para 37</w:t>
      </w:r>
      <w:r>
        <w:rPr>
          <w:rFonts w:cs="Arial"/>
          <w:szCs w:val="18"/>
        </w:rPr>
        <w:t>)</w:t>
      </w:r>
      <w:r w:rsidRPr="005E2A47">
        <w:rPr>
          <w:rFonts w:cs="Arial"/>
          <w:szCs w:val="18"/>
        </w:rPr>
        <w:t>.</w:t>
      </w:r>
    </w:p>
  </w:endnote>
  <w:endnote w:id="137">
    <w:p w14:paraId="2E90899F" w14:textId="3CF7D678"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Summary of </w:t>
      </w:r>
      <w:r>
        <w:rPr>
          <w:rFonts w:cs="Arial"/>
          <w:szCs w:val="18"/>
        </w:rPr>
        <w:t>w</w:t>
      </w:r>
      <w:r w:rsidRPr="005E2A47">
        <w:rPr>
          <w:rFonts w:cs="Arial"/>
          <w:szCs w:val="18"/>
        </w:rPr>
        <w:t>ānanga on ACC</w:t>
      </w:r>
      <w:r>
        <w:rPr>
          <w:rFonts w:cs="Arial"/>
          <w:szCs w:val="18"/>
        </w:rPr>
        <w:t xml:space="preserve"> (</w:t>
      </w:r>
      <w:r w:rsidRPr="005E2A47">
        <w:rPr>
          <w:rFonts w:cs="Arial"/>
          <w:szCs w:val="18"/>
        </w:rPr>
        <w:t>9 February 2023, para 5</w:t>
      </w:r>
      <w:r>
        <w:rPr>
          <w:rFonts w:cs="Arial"/>
          <w:szCs w:val="18"/>
        </w:rPr>
        <w:t>)</w:t>
      </w:r>
      <w:r w:rsidRPr="005E2A47">
        <w:rPr>
          <w:rFonts w:cs="Arial"/>
          <w:szCs w:val="18"/>
        </w:rPr>
        <w:t>.</w:t>
      </w:r>
    </w:p>
  </w:endnote>
  <w:endnote w:id="138">
    <w:p w14:paraId="79FC5287" w14:textId="19C737C6" w:rsidR="00C3701E" w:rsidRPr="005E2A47" w:rsidRDefault="00C3701E" w:rsidP="00E45334">
      <w:pPr>
        <w:pStyle w:val="EndnoteText"/>
        <w:spacing w:before="120"/>
        <w:rPr>
          <w:rFonts w:cs="Arial"/>
          <w:bCs/>
          <w:szCs w:val="18"/>
        </w:rPr>
      </w:pPr>
      <w:r w:rsidRPr="005E2A47">
        <w:rPr>
          <w:rStyle w:val="EndnoteReference"/>
          <w:rFonts w:cs="Arial"/>
          <w:szCs w:val="18"/>
        </w:rPr>
        <w:endnoteRef/>
      </w:r>
      <w:r w:rsidRPr="005E2A47">
        <w:rPr>
          <w:rFonts w:cs="Arial"/>
          <w:szCs w:val="18"/>
        </w:rPr>
        <w:t xml:space="preserve"> MBIE advised that between 2016 and 2021, 18.7</w:t>
      </w:r>
      <w:r>
        <w:rPr>
          <w:rFonts w:cs="Arial"/>
          <w:szCs w:val="18"/>
        </w:rPr>
        <w:t xml:space="preserve"> percent </w:t>
      </w:r>
      <w:r w:rsidRPr="005E2A47">
        <w:rPr>
          <w:rFonts w:cs="Arial"/>
          <w:szCs w:val="18"/>
        </w:rPr>
        <w:t>of claimants with accepted sensitive claims received an independence allowance. During the same period 8</w:t>
      </w:r>
      <w:r>
        <w:rPr>
          <w:rFonts w:cs="Arial"/>
          <w:szCs w:val="18"/>
        </w:rPr>
        <w:t xml:space="preserve"> percent</w:t>
      </w:r>
      <w:r w:rsidRPr="005E2A47">
        <w:rPr>
          <w:rFonts w:cs="Arial"/>
          <w:szCs w:val="18"/>
        </w:rPr>
        <w:t xml:space="preserve"> of claimants with accepted claims received a lump sum payment. MBIE referred to these independence allowance and lump sum payment figures as higher than those cited in He Purapura Ora</w:t>
      </w:r>
      <w:r w:rsidRPr="005B36A0">
        <w:t xml:space="preserve"> </w:t>
      </w:r>
      <w:r w:rsidRPr="005B36A0">
        <w:rPr>
          <w:rFonts w:cs="Arial"/>
          <w:szCs w:val="18"/>
        </w:rPr>
        <w:t>he Māra Tipu</w:t>
      </w:r>
      <w:r w:rsidRPr="005E2A47">
        <w:rPr>
          <w:rFonts w:cs="Arial"/>
          <w:szCs w:val="18"/>
        </w:rPr>
        <w:t xml:space="preserve"> at page 238, noting that the former relate to accepted claims only. In contrast, the figures in He Purapura Ora</w:t>
      </w:r>
      <w:r w:rsidRPr="005B36A0">
        <w:t xml:space="preserve"> </w:t>
      </w:r>
      <w:r w:rsidRPr="005B36A0">
        <w:rPr>
          <w:rFonts w:cs="Arial"/>
          <w:szCs w:val="18"/>
        </w:rPr>
        <w:t>he Māra Tipu</w:t>
      </w:r>
      <w:r>
        <w:rPr>
          <w:rFonts w:cs="Arial"/>
          <w:szCs w:val="18"/>
        </w:rPr>
        <w:t xml:space="preserve"> </w:t>
      </w:r>
      <w:r w:rsidRPr="005E2A47">
        <w:rPr>
          <w:rFonts w:cs="Arial"/>
          <w:szCs w:val="18"/>
        </w:rPr>
        <w:t xml:space="preserve">are for claims lodged. MBIE confirmed however that these figures are not for the same time period as the figures provided by </w:t>
      </w:r>
      <w:r>
        <w:rPr>
          <w:rFonts w:cs="Arial"/>
          <w:szCs w:val="18"/>
        </w:rPr>
        <w:t>ACC</w:t>
      </w:r>
      <w:r w:rsidRPr="005E2A47">
        <w:rPr>
          <w:rFonts w:cs="Arial"/>
          <w:szCs w:val="18"/>
        </w:rPr>
        <w:t xml:space="preserve"> (2010</w:t>
      </w:r>
      <w:r>
        <w:rPr>
          <w:rFonts w:cs="Arial"/>
          <w:szCs w:val="18"/>
        </w:rPr>
        <w:t>–</w:t>
      </w:r>
      <w:r w:rsidRPr="005E2A47">
        <w:rPr>
          <w:rFonts w:cs="Arial"/>
          <w:szCs w:val="18"/>
        </w:rPr>
        <w:t>2020) and cited in He Purapura</w:t>
      </w:r>
      <w:r w:rsidRPr="005B36A0">
        <w:t xml:space="preserve"> </w:t>
      </w:r>
      <w:r w:rsidRPr="005B36A0">
        <w:rPr>
          <w:rFonts w:cs="Arial"/>
          <w:szCs w:val="18"/>
        </w:rPr>
        <w:t>he Māra Tipu</w:t>
      </w:r>
      <w:r w:rsidRPr="005E2A47">
        <w:rPr>
          <w:rFonts w:cs="Arial"/>
          <w:szCs w:val="18"/>
        </w:rPr>
        <w:t xml:space="preserve"> Ora. MBIE also did not have any new weekly compensation figures. See also Royal Commission of Inquiry into Abuse in Care, Summary of Wānanga on ACC</w:t>
      </w:r>
      <w:r>
        <w:rPr>
          <w:rFonts w:cs="Arial"/>
          <w:szCs w:val="18"/>
        </w:rPr>
        <w:t xml:space="preserve"> (</w:t>
      </w:r>
      <w:r w:rsidRPr="005E2A47">
        <w:rPr>
          <w:rFonts w:cs="Arial"/>
          <w:szCs w:val="18"/>
        </w:rPr>
        <w:t>9 February 2023</w:t>
      </w:r>
      <w:r>
        <w:rPr>
          <w:rFonts w:cs="Arial"/>
          <w:szCs w:val="18"/>
        </w:rPr>
        <w:t>,</w:t>
      </w:r>
      <w:r w:rsidRPr="005E2A47">
        <w:rPr>
          <w:rFonts w:cs="Arial"/>
          <w:szCs w:val="18"/>
        </w:rPr>
        <w:t xml:space="preserve"> paras 34</w:t>
      </w:r>
      <w:r>
        <w:rPr>
          <w:rFonts w:cs="Arial"/>
          <w:szCs w:val="18"/>
        </w:rPr>
        <w:t>–</w:t>
      </w:r>
      <w:r w:rsidRPr="005E2A47">
        <w:rPr>
          <w:rFonts w:cs="Arial"/>
          <w:szCs w:val="18"/>
        </w:rPr>
        <w:t>35</w:t>
      </w:r>
      <w:r>
        <w:rPr>
          <w:rFonts w:cs="Arial"/>
          <w:szCs w:val="18"/>
        </w:rPr>
        <w:t>)</w:t>
      </w:r>
      <w:r w:rsidRPr="005E2A47">
        <w:rPr>
          <w:rFonts w:cs="Arial"/>
          <w:szCs w:val="18"/>
        </w:rPr>
        <w:t>.</w:t>
      </w:r>
      <w:r w:rsidRPr="005E2A47">
        <w:rPr>
          <w:rFonts w:cs="Arial"/>
          <w:color w:val="FF0000"/>
          <w:szCs w:val="18"/>
        </w:rPr>
        <w:t xml:space="preserve"> </w:t>
      </w:r>
    </w:p>
  </w:endnote>
  <w:endnote w:id="139">
    <w:p w14:paraId="2EA04BCD" w14:textId="0D302E9A" w:rsidR="00C3701E" w:rsidRPr="00344FE8" w:rsidRDefault="00C3701E" w:rsidP="00E45334">
      <w:pPr>
        <w:pStyle w:val="EndnoteText"/>
        <w:spacing w:before="120"/>
        <w:rPr>
          <w:rFonts w:cs="Arial"/>
          <w:szCs w:val="18"/>
        </w:rPr>
      </w:pPr>
      <w:r w:rsidRPr="005E2A47">
        <w:rPr>
          <w:rStyle w:val="EndnoteReference"/>
          <w:rFonts w:cs="Arial"/>
          <w:szCs w:val="18"/>
        </w:rPr>
        <w:endnoteRef/>
      </w:r>
      <w:r>
        <w:t xml:space="preserve"> </w:t>
      </w:r>
      <w:r w:rsidRPr="005E2A47">
        <w:rPr>
          <w:rFonts w:cs="Arial"/>
          <w:szCs w:val="18"/>
        </w:rPr>
        <w:t xml:space="preserve">Royal Commission of Inquiry into Abuse in Care, </w:t>
      </w:r>
      <w:r w:rsidRPr="00344FE8">
        <w:rPr>
          <w:rFonts w:cs="Arial"/>
          <w:szCs w:val="18"/>
        </w:rPr>
        <w:t xml:space="preserve">Summary of wānanga on ACC (9 February 2023, para 7). </w:t>
      </w:r>
    </w:p>
  </w:endnote>
  <w:endnote w:id="140">
    <w:p w14:paraId="1B017191" w14:textId="06AC9BAF" w:rsidR="00C3701E" w:rsidRPr="00344FE8" w:rsidRDefault="00C3701E" w:rsidP="00E45334">
      <w:pPr>
        <w:pStyle w:val="EndnoteText"/>
        <w:spacing w:before="120"/>
        <w:rPr>
          <w:rFonts w:cs="Arial"/>
          <w:szCs w:val="18"/>
        </w:rPr>
      </w:pPr>
      <w:r w:rsidRPr="00344FE8">
        <w:rPr>
          <w:rStyle w:val="EndnoteReference"/>
          <w:rFonts w:cs="Arial"/>
          <w:szCs w:val="18"/>
        </w:rPr>
        <w:endnoteRef/>
      </w:r>
      <w:r w:rsidRPr="00344FE8">
        <w:rPr>
          <w:rFonts w:cs="Arial"/>
          <w:szCs w:val="18"/>
        </w:rPr>
        <w:t xml:space="preserve"> Royal Commission of Inquiry into Abuse in Care, Summary of wānanga on ACC (9 February 2023, para 39).</w:t>
      </w:r>
    </w:p>
  </w:endnote>
  <w:endnote w:id="141">
    <w:p w14:paraId="680B0CD8" w14:textId="11528504" w:rsidR="00C3701E" w:rsidRPr="00344FE8" w:rsidRDefault="00C3701E" w:rsidP="00E45334">
      <w:pPr>
        <w:pStyle w:val="EndnoteText"/>
        <w:spacing w:before="120"/>
        <w:rPr>
          <w:rFonts w:cs="Arial"/>
          <w:szCs w:val="18"/>
        </w:rPr>
      </w:pPr>
      <w:r w:rsidRPr="00344FE8">
        <w:rPr>
          <w:rStyle w:val="EndnoteReference"/>
          <w:rFonts w:cs="Arial"/>
          <w:szCs w:val="18"/>
        </w:rPr>
        <w:endnoteRef/>
      </w:r>
      <w:r w:rsidRPr="00344FE8">
        <w:rPr>
          <w:rFonts w:cs="Arial"/>
          <w:szCs w:val="18"/>
        </w:rPr>
        <w:t xml:space="preserve"> Royal Commission of Inquiry into Abuse in Care, Summary of wānanga on ACC (9 February 2023, paras 18–20). </w:t>
      </w:r>
    </w:p>
  </w:endnote>
  <w:endnote w:id="142">
    <w:p w14:paraId="216E9647" w14:textId="38818EB5" w:rsidR="00C3701E" w:rsidRPr="005E2A47" w:rsidRDefault="00C3701E" w:rsidP="00E45334">
      <w:pPr>
        <w:pStyle w:val="EndnoteText"/>
        <w:spacing w:before="120"/>
        <w:rPr>
          <w:rFonts w:cs="Arial"/>
          <w:szCs w:val="18"/>
        </w:rPr>
      </w:pPr>
      <w:r w:rsidRPr="00344FE8">
        <w:rPr>
          <w:rStyle w:val="EndnoteReference"/>
          <w:rFonts w:cs="Arial"/>
          <w:szCs w:val="18"/>
        </w:rPr>
        <w:endnoteRef/>
      </w:r>
      <w:r w:rsidRPr="00344FE8">
        <w:rPr>
          <w:rFonts w:cs="Arial"/>
          <w:szCs w:val="18"/>
        </w:rPr>
        <w:t xml:space="preserve"> Finity Consulting, NGO Insurance for PSA Claims: Phase 1 </w:t>
      </w:r>
      <w:r w:rsidRPr="005E2A47">
        <w:rPr>
          <w:rFonts w:cs="Arial"/>
          <w:szCs w:val="18"/>
        </w:rPr>
        <w:t>Final Report</w:t>
      </w:r>
      <w:r w:rsidRPr="009671D0">
        <w:t xml:space="preserve"> </w:t>
      </w:r>
      <w:r w:rsidRPr="005E2A47">
        <w:rPr>
          <w:rFonts w:cs="Arial"/>
          <w:szCs w:val="18"/>
        </w:rPr>
        <w:t>(NSW Department of Communities and Justice, September 2022, p</w:t>
      </w:r>
      <w:r>
        <w:rPr>
          <w:rFonts w:cs="Arial"/>
          <w:szCs w:val="18"/>
        </w:rPr>
        <w:t xml:space="preserve">ages </w:t>
      </w:r>
      <w:r w:rsidRPr="005E2A47">
        <w:rPr>
          <w:rFonts w:cs="Arial"/>
          <w:szCs w:val="18"/>
        </w:rPr>
        <w:t>15</w:t>
      </w:r>
      <w:r>
        <w:rPr>
          <w:rFonts w:cs="Arial"/>
          <w:szCs w:val="18"/>
        </w:rPr>
        <w:t>–</w:t>
      </w:r>
      <w:r w:rsidRPr="005E2A47">
        <w:rPr>
          <w:rFonts w:cs="Arial"/>
          <w:szCs w:val="18"/>
        </w:rPr>
        <w:t>18</w:t>
      </w:r>
      <w:r>
        <w:rPr>
          <w:rFonts w:cs="Arial"/>
          <w:szCs w:val="18"/>
        </w:rPr>
        <w:t>)</w:t>
      </w:r>
      <w:r w:rsidRPr="005E2A47">
        <w:rPr>
          <w:rFonts w:cs="Arial"/>
          <w:szCs w:val="18"/>
        </w:rPr>
        <w:t>.</w:t>
      </w:r>
    </w:p>
  </w:endnote>
  <w:endnote w:id="143">
    <w:p w14:paraId="7B607162" w14:textId="105C9C27"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Silva, K</w:t>
      </w:r>
      <w:r>
        <w:rPr>
          <w:rFonts w:cs="Arial"/>
          <w:szCs w:val="18"/>
        </w:rPr>
        <w:t>,</w:t>
      </w:r>
      <w:r w:rsidRPr="005E2A47">
        <w:rPr>
          <w:rFonts w:cs="Arial"/>
          <w:szCs w:val="18"/>
        </w:rPr>
        <w:t xml:space="preserve"> “AFL club Western Bulldogs ordered to pay $5.9m to child sexual abuse victim Adam Kneale</w:t>
      </w:r>
      <w:r>
        <w:rPr>
          <w:rFonts w:cs="Arial"/>
          <w:szCs w:val="18"/>
        </w:rPr>
        <w:t>,</w:t>
      </w:r>
      <w:r w:rsidRPr="005E2A47">
        <w:rPr>
          <w:rFonts w:cs="Arial"/>
          <w:szCs w:val="18"/>
        </w:rPr>
        <w:t>” ABC News</w:t>
      </w:r>
      <w:r>
        <w:rPr>
          <w:rFonts w:cs="Arial"/>
          <w:szCs w:val="18"/>
        </w:rPr>
        <w:t xml:space="preserve"> (</w:t>
      </w:r>
      <w:r w:rsidRPr="005E2A47">
        <w:rPr>
          <w:rFonts w:cs="Arial"/>
          <w:szCs w:val="18"/>
        </w:rPr>
        <w:t xml:space="preserve">9 November 2023). </w:t>
      </w:r>
    </w:p>
  </w:endnote>
  <w:endnote w:id="144">
    <w:p w14:paraId="637F7FFA" w14:textId="36E8404E"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Burke, C</w:t>
      </w:r>
      <w:r>
        <w:rPr>
          <w:rFonts w:cs="Arial"/>
          <w:szCs w:val="18"/>
        </w:rPr>
        <w:t>,</w:t>
      </w:r>
      <w:r w:rsidRPr="005E2A47">
        <w:rPr>
          <w:rFonts w:cs="Arial"/>
          <w:szCs w:val="18"/>
        </w:rPr>
        <w:t xml:space="preserve"> “Multi-million Catholic Church payout 'massively important' for future sexual abuse cases</w:t>
      </w:r>
      <w:r>
        <w:rPr>
          <w:rFonts w:cs="Arial"/>
          <w:szCs w:val="18"/>
        </w:rPr>
        <w:t>,</w:t>
      </w:r>
      <w:r w:rsidRPr="005E2A47">
        <w:rPr>
          <w:rFonts w:cs="Arial"/>
          <w:szCs w:val="18"/>
        </w:rPr>
        <w:t>”</w:t>
      </w:r>
      <w:r>
        <w:rPr>
          <w:rStyle w:val="Hyperlink"/>
          <w:rFonts w:cs="Arial"/>
          <w:color w:val="auto"/>
          <w:szCs w:val="18"/>
          <w:u w:val="none"/>
        </w:rPr>
        <w:t xml:space="preserve"> </w:t>
      </w:r>
      <w:r w:rsidRPr="005E2A47">
        <w:rPr>
          <w:rStyle w:val="Hyperlink"/>
          <w:rFonts w:cs="Arial"/>
          <w:color w:val="auto"/>
          <w:szCs w:val="18"/>
          <w:u w:val="none"/>
        </w:rPr>
        <w:t>ABC News</w:t>
      </w:r>
      <w:r>
        <w:rPr>
          <w:rStyle w:val="Hyperlink"/>
          <w:rFonts w:cs="Arial"/>
          <w:color w:val="auto"/>
          <w:szCs w:val="18"/>
          <w:u w:val="none"/>
        </w:rPr>
        <w:t xml:space="preserve"> (</w:t>
      </w:r>
      <w:r w:rsidRPr="005E2A47">
        <w:rPr>
          <w:rStyle w:val="Hyperlink"/>
          <w:rFonts w:cs="Arial"/>
          <w:color w:val="auto"/>
          <w:szCs w:val="18"/>
          <w:u w:val="none"/>
        </w:rPr>
        <w:t>19 November 2023).</w:t>
      </w:r>
    </w:p>
  </w:endnote>
  <w:endnote w:id="145">
    <w:p w14:paraId="2A87EA07" w14:textId="5406BEFA"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PCB v Geelong College, Victoria Supreme Court </w:t>
      </w:r>
      <w:r>
        <w:rPr>
          <w:rFonts w:cs="Arial"/>
          <w:szCs w:val="18"/>
        </w:rPr>
        <w:t>[</w:t>
      </w:r>
      <w:r w:rsidRPr="005E2A47">
        <w:rPr>
          <w:rFonts w:cs="Arial"/>
          <w:szCs w:val="18"/>
        </w:rPr>
        <w:t>2021</w:t>
      </w:r>
      <w:r>
        <w:rPr>
          <w:rFonts w:cs="Arial"/>
          <w:szCs w:val="18"/>
        </w:rPr>
        <w:t>]</w:t>
      </w:r>
      <w:r w:rsidRPr="005E2A47">
        <w:rPr>
          <w:rFonts w:cs="Arial"/>
          <w:szCs w:val="18"/>
        </w:rPr>
        <w:t xml:space="preserve"> VSC 633.</w:t>
      </w:r>
    </w:p>
  </w:endnote>
  <w:endnote w:id="146">
    <w:p w14:paraId="3B29C5EA" w14:textId="2A098121"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Province Leader of the Oceania Province of the Congregation of the Christian Brothers v Lawrence </w:t>
      </w:r>
      <w:r>
        <w:rPr>
          <w:rFonts w:cs="Arial"/>
          <w:szCs w:val="18"/>
        </w:rPr>
        <w:t>[</w:t>
      </w:r>
      <w:r w:rsidRPr="005E2A47">
        <w:rPr>
          <w:rFonts w:cs="Arial"/>
          <w:szCs w:val="18"/>
        </w:rPr>
        <w:t>2021</w:t>
      </w:r>
      <w:r>
        <w:rPr>
          <w:rFonts w:cs="Arial"/>
          <w:szCs w:val="18"/>
        </w:rPr>
        <w:t>]</w:t>
      </w:r>
      <w:r w:rsidRPr="005E2A47">
        <w:rPr>
          <w:rFonts w:cs="Arial"/>
          <w:szCs w:val="18"/>
        </w:rPr>
        <w:t xml:space="preserve"> WASCA 77.</w:t>
      </w:r>
    </w:p>
  </w:endnote>
  <w:endnote w:id="147">
    <w:p w14:paraId="4C9A84C3" w14:textId="3398D84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O’Connor v Comensoli </w:t>
      </w:r>
      <w:r>
        <w:rPr>
          <w:rFonts w:cs="Arial"/>
          <w:szCs w:val="18"/>
        </w:rPr>
        <w:t>[</w:t>
      </w:r>
      <w:r w:rsidRPr="005E2A47">
        <w:rPr>
          <w:rFonts w:cs="Arial"/>
          <w:szCs w:val="18"/>
        </w:rPr>
        <w:t>2022</w:t>
      </w:r>
      <w:r>
        <w:rPr>
          <w:rFonts w:cs="Arial"/>
          <w:szCs w:val="18"/>
        </w:rPr>
        <w:t>]</w:t>
      </w:r>
      <w:r w:rsidRPr="005E2A47">
        <w:rPr>
          <w:rFonts w:cs="Arial"/>
          <w:szCs w:val="18"/>
        </w:rPr>
        <w:t xml:space="preserve"> VSC 313 (with a payment of AU$131,353 received from the Melbourne Response deducted from the original, higher award). Leave to appeal this judgment was declined: Comensoli v O'Connor </w:t>
      </w:r>
      <w:r>
        <w:rPr>
          <w:rFonts w:cs="Arial"/>
          <w:szCs w:val="18"/>
        </w:rPr>
        <w:t>[</w:t>
      </w:r>
      <w:r w:rsidRPr="005E2A47">
        <w:rPr>
          <w:rFonts w:cs="Arial"/>
          <w:szCs w:val="18"/>
        </w:rPr>
        <w:t>2023</w:t>
      </w:r>
      <w:r>
        <w:rPr>
          <w:rFonts w:cs="Arial"/>
          <w:szCs w:val="18"/>
        </w:rPr>
        <w:t>]</w:t>
      </w:r>
      <w:r w:rsidRPr="005E2A47">
        <w:rPr>
          <w:rFonts w:cs="Arial"/>
          <w:szCs w:val="18"/>
        </w:rPr>
        <w:t xml:space="preserve"> VSCA 131; In a 2019 case in the United Kingdom brought by a survivor, FZO v Adams </w:t>
      </w:r>
      <w:r>
        <w:rPr>
          <w:rFonts w:cs="Arial"/>
          <w:szCs w:val="18"/>
        </w:rPr>
        <w:t>[</w:t>
      </w:r>
      <w:r w:rsidRPr="005E2A47">
        <w:rPr>
          <w:rFonts w:cs="Arial"/>
          <w:szCs w:val="18"/>
        </w:rPr>
        <w:t>2019</w:t>
      </w:r>
      <w:r>
        <w:rPr>
          <w:rFonts w:cs="Arial"/>
          <w:szCs w:val="18"/>
        </w:rPr>
        <w:t>]</w:t>
      </w:r>
      <w:r w:rsidRPr="005E2A47">
        <w:rPr>
          <w:rFonts w:cs="Arial"/>
          <w:szCs w:val="18"/>
        </w:rPr>
        <w:t xml:space="preserve"> EWHC 1286 (QB) the total damages award was UK£1,112,390.70 (NZ$2,301,926).</w:t>
      </w:r>
    </w:p>
  </w:endnote>
  <w:endnote w:id="148">
    <w:p w14:paraId="6FB6DE68" w14:textId="1CC49688" w:rsidR="00C3701E" w:rsidRPr="005E2A47" w:rsidRDefault="00C3701E" w:rsidP="00E45334">
      <w:pPr>
        <w:pStyle w:val="EndnoteText"/>
        <w:spacing w:before="120"/>
        <w:rPr>
          <w:rFonts w:cs="Arial"/>
          <w:szCs w:val="18"/>
          <w:lang w:val="en-US"/>
        </w:rPr>
      </w:pPr>
      <w:r w:rsidRPr="005E2A47">
        <w:rPr>
          <w:rStyle w:val="EndnoteReference"/>
          <w:rFonts w:cs="Arial"/>
          <w:szCs w:val="18"/>
        </w:rPr>
        <w:endnoteRef/>
      </w:r>
      <w:r w:rsidRPr="005E2A47">
        <w:rPr>
          <w:rFonts w:cs="Arial"/>
          <w:szCs w:val="18"/>
        </w:rPr>
        <w:t xml:space="preserve"> Van Haren v Van Ryn </w:t>
      </w:r>
      <w:r>
        <w:rPr>
          <w:rFonts w:cs="Arial"/>
          <w:szCs w:val="18"/>
        </w:rPr>
        <w:t>[</w:t>
      </w:r>
      <w:r w:rsidRPr="005E2A47">
        <w:rPr>
          <w:rFonts w:cs="Arial"/>
          <w:szCs w:val="18"/>
        </w:rPr>
        <w:t>2023</w:t>
      </w:r>
      <w:r>
        <w:rPr>
          <w:rFonts w:cs="Arial"/>
          <w:szCs w:val="18"/>
        </w:rPr>
        <w:t>]</w:t>
      </w:r>
      <w:r w:rsidRPr="005E2A47">
        <w:rPr>
          <w:rFonts w:cs="Arial"/>
          <w:szCs w:val="18"/>
        </w:rPr>
        <w:t xml:space="preserve"> NSWSC 776 (AU $1,416,829.85 awarded); SR v Trustees of the De La Salle Brothers </w:t>
      </w:r>
      <w:r>
        <w:rPr>
          <w:rFonts w:cs="Arial"/>
          <w:szCs w:val="18"/>
        </w:rPr>
        <w:t>[</w:t>
      </w:r>
      <w:r w:rsidRPr="005E2A47">
        <w:rPr>
          <w:rFonts w:cs="Arial"/>
          <w:szCs w:val="18"/>
        </w:rPr>
        <w:t>2023</w:t>
      </w:r>
      <w:r>
        <w:rPr>
          <w:rFonts w:cs="Arial"/>
          <w:szCs w:val="18"/>
        </w:rPr>
        <w:t>]</w:t>
      </w:r>
      <w:r w:rsidRPr="005E2A47">
        <w:rPr>
          <w:rFonts w:cs="Arial"/>
          <w:szCs w:val="18"/>
        </w:rPr>
        <w:t xml:space="preserve"> NSWSC 66 (AU$1,330,304.60 awarded); Bird v DP </w:t>
      </w:r>
      <w:r>
        <w:rPr>
          <w:rFonts w:cs="Arial"/>
          <w:szCs w:val="18"/>
        </w:rPr>
        <w:t>[</w:t>
      </w:r>
      <w:r w:rsidRPr="005E2A47">
        <w:rPr>
          <w:rFonts w:cs="Arial"/>
          <w:szCs w:val="18"/>
        </w:rPr>
        <w:t>2023</w:t>
      </w:r>
      <w:r>
        <w:rPr>
          <w:rFonts w:cs="Arial"/>
          <w:szCs w:val="18"/>
        </w:rPr>
        <w:t>]</w:t>
      </w:r>
      <w:r w:rsidRPr="005E2A47">
        <w:rPr>
          <w:rFonts w:cs="Arial"/>
          <w:szCs w:val="18"/>
        </w:rPr>
        <w:t xml:space="preserve"> VSCA 66 (upholding an award of AU$230,000); Mirosevich v Laughlan </w:t>
      </w:r>
      <w:r>
        <w:rPr>
          <w:rFonts w:cs="Arial"/>
          <w:szCs w:val="18"/>
        </w:rPr>
        <w:t>[</w:t>
      </w:r>
      <w:r w:rsidRPr="005E2A47">
        <w:rPr>
          <w:rFonts w:cs="Arial"/>
          <w:szCs w:val="18"/>
        </w:rPr>
        <w:t>2022</w:t>
      </w:r>
      <w:r>
        <w:rPr>
          <w:rFonts w:cs="Arial"/>
          <w:szCs w:val="18"/>
        </w:rPr>
        <w:t>]</w:t>
      </w:r>
      <w:r w:rsidRPr="005E2A47">
        <w:rPr>
          <w:rFonts w:cs="Arial"/>
          <w:szCs w:val="18"/>
        </w:rPr>
        <w:t xml:space="preserve"> NSWSC 1103 (AU$820,640 awarded); ND v AB (No 3) </w:t>
      </w:r>
      <w:r>
        <w:rPr>
          <w:rFonts w:cs="Arial"/>
          <w:szCs w:val="18"/>
        </w:rPr>
        <w:t>[</w:t>
      </w:r>
      <w:r w:rsidRPr="005E2A47">
        <w:rPr>
          <w:rFonts w:cs="Arial"/>
          <w:szCs w:val="18"/>
        </w:rPr>
        <w:t>2022</w:t>
      </w:r>
      <w:r>
        <w:rPr>
          <w:rFonts w:cs="Arial"/>
          <w:szCs w:val="18"/>
        </w:rPr>
        <w:t>]</w:t>
      </w:r>
      <w:r w:rsidRPr="005E2A47">
        <w:rPr>
          <w:rFonts w:cs="Arial"/>
          <w:szCs w:val="18"/>
        </w:rPr>
        <w:t xml:space="preserve"> ACTSC 197 (AU$762,023 awarded); Haynes by her tutor Karen Lindley v Haynes </w:t>
      </w:r>
      <w:r>
        <w:rPr>
          <w:rFonts w:cs="Arial"/>
          <w:szCs w:val="18"/>
        </w:rPr>
        <w:t>[</w:t>
      </w:r>
      <w:r w:rsidRPr="005E2A47">
        <w:rPr>
          <w:rFonts w:cs="Arial"/>
          <w:szCs w:val="18"/>
        </w:rPr>
        <w:t>2022</w:t>
      </w:r>
      <w:r>
        <w:rPr>
          <w:rFonts w:cs="Arial"/>
          <w:szCs w:val="18"/>
        </w:rPr>
        <w:t>]</w:t>
      </w:r>
      <w:r w:rsidRPr="005E2A47">
        <w:rPr>
          <w:rFonts w:cs="Arial"/>
          <w:szCs w:val="18"/>
        </w:rPr>
        <w:t xml:space="preserve"> NSWSC 581 (AU$840,000 awarded); PP v DD (No 2) </w:t>
      </w:r>
      <w:r>
        <w:rPr>
          <w:rFonts w:cs="Arial"/>
          <w:szCs w:val="18"/>
        </w:rPr>
        <w:t>[</w:t>
      </w:r>
      <w:r w:rsidRPr="005E2A47">
        <w:rPr>
          <w:rFonts w:cs="Arial"/>
          <w:szCs w:val="18"/>
        </w:rPr>
        <w:t>2021</w:t>
      </w:r>
      <w:r>
        <w:rPr>
          <w:rFonts w:cs="Arial"/>
          <w:szCs w:val="18"/>
        </w:rPr>
        <w:t>]</w:t>
      </w:r>
      <w:r w:rsidRPr="005E2A47">
        <w:rPr>
          <w:rFonts w:cs="Arial"/>
          <w:szCs w:val="18"/>
        </w:rPr>
        <w:t xml:space="preserve"> NSWSC 1312 (AU $1,273,125 awarded); Lonergan v Trustees of The Sisters of Saint Joseph &amp; Anor </w:t>
      </w:r>
      <w:r>
        <w:rPr>
          <w:rFonts w:cs="Arial"/>
          <w:szCs w:val="18"/>
        </w:rPr>
        <w:t>[</w:t>
      </w:r>
      <w:r w:rsidRPr="005E2A47">
        <w:rPr>
          <w:rFonts w:cs="Arial"/>
          <w:szCs w:val="18"/>
        </w:rPr>
        <w:t>2021</w:t>
      </w:r>
      <w:r>
        <w:rPr>
          <w:rFonts w:cs="Arial"/>
          <w:szCs w:val="18"/>
        </w:rPr>
        <w:t>]</w:t>
      </w:r>
      <w:r w:rsidRPr="005E2A47">
        <w:rPr>
          <w:rFonts w:cs="Arial"/>
          <w:szCs w:val="18"/>
        </w:rPr>
        <w:t xml:space="preserve"> VSC 651 (AU$650,000 awarded; see also Lonergan v Trustees of The Sisters of Saint Joseph &amp; Anor </w:t>
      </w:r>
      <w:r>
        <w:rPr>
          <w:rFonts w:cs="Arial"/>
          <w:szCs w:val="18"/>
        </w:rPr>
        <w:t>[</w:t>
      </w:r>
      <w:r w:rsidRPr="005E2A47">
        <w:rPr>
          <w:rFonts w:cs="Arial"/>
          <w:szCs w:val="18"/>
        </w:rPr>
        <w:t>2022</w:t>
      </w:r>
      <w:r>
        <w:rPr>
          <w:rFonts w:cs="Arial"/>
          <w:szCs w:val="18"/>
        </w:rPr>
        <w:t>]</w:t>
      </w:r>
      <w:r w:rsidRPr="005E2A47">
        <w:rPr>
          <w:rFonts w:cs="Arial"/>
          <w:szCs w:val="18"/>
        </w:rPr>
        <w:t xml:space="preserve"> VSCA 208); Brockhurst v Rawlings [2021] QSC 217 (AU$1,456,524.15 awarded); Wilden v Jennings (no 1) </w:t>
      </w:r>
      <w:r>
        <w:rPr>
          <w:rFonts w:cs="Arial"/>
          <w:szCs w:val="18"/>
        </w:rPr>
        <w:t>[</w:t>
      </w:r>
      <w:r w:rsidRPr="005E2A47">
        <w:rPr>
          <w:rFonts w:cs="Arial"/>
          <w:szCs w:val="18"/>
        </w:rPr>
        <w:t>2021</w:t>
      </w:r>
      <w:r>
        <w:rPr>
          <w:rFonts w:cs="Arial"/>
          <w:szCs w:val="18"/>
        </w:rPr>
        <w:t>]</w:t>
      </w:r>
      <w:r w:rsidRPr="005E2A47">
        <w:rPr>
          <w:rFonts w:cs="Arial"/>
          <w:szCs w:val="18"/>
        </w:rPr>
        <w:t xml:space="preserve"> NSWDC 705 (AU$490,091.05 awarded); Perez v Reynolds &amp; Anor </w:t>
      </w:r>
      <w:r>
        <w:rPr>
          <w:rFonts w:cs="Arial"/>
          <w:szCs w:val="18"/>
        </w:rPr>
        <w:t>[</w:t>
      </w:r>
      <w:r w:rsidRPr="005E2A47">
        <w:rPr>
          <w:rFonts w:cs="Arial"/>
          <w:szCs w:val="18"/>
        </w:rPr>
        <w:t>2020)</w:t>
      </w:r>
      <w:r>
        <w:rPr>
          <w:rFonts w:cs="Arial"/>
          <w:szCs w:val="18"/>
        </w:rPr>
        <w:t>]</w:t>
      </w:r>
      <w:r w:rsidRPr="005E2A47">
        <w:rPr>
          <w:rFonts w:cs="Arial"/>
          <w:szCs w:val="18"/>
        </w:rPr>
        <w:t xml:space="preserve">VSC 537 (AU$1,552,725 awarded); P v D </w:t>
      </w:r>
      <w:r>
        <w:rPr>
          <w:rFonts w:cs="Arial"/>
          <w:szCs w:val="18"/>
        </w:rPr>
        <w:t>[</w:t>
      </w:r>
      <w:r w:rsidRPr="005E2A47">
        <w:rPr>
          <w:rFonts w:cs="Arial"/>
          <w:szCs w:val="18"/>
        </w:rPr>
        <w:t>2020</w:t>
      </w:r>
      <w:r>
        <w:rPr>
          <w:rFonts w:cs="Arial"/>
          <w:szCs w:val="18"/>
        </w:rPr>
        <w:t>]</w:t>
      </w:r>
      <w:r w:rsidRPr="005E2A47">
        <w:rPr>
          <w:rFonts w:cs="Arial"/>
          <w:szCs w:val="18"/>
        </w:rPr>
        <w:t xml:space="preserve"> NSWSC 224 (AU$853,550 awarded); Waks v Cyprys &amp; Ors </w:t>
      </w:r>
      <w:r>
        <w:rPr>
          <w:rFonts w:cs="Arial"/>
          <w:szCs w:val="18"/>
        </w:rPr>
        <w:t>[</w:t>
      </w:r>
      <w:r w:rsidRPr="005E2A47">
        <w:rPr>
          <w:rFonts w:cs="Arial"/>
          <w:szCs w:val="18"/>
        </w:rPr>
        <w:t>2020</w:t>
      </w:r>
      <w:r>
        <w:rPr>
          <w:rFonts w:cs="Arial"/>
          <w:szCs w:val="18"/>
        </w:rPr>
        <w:t>]</w:t>
      </w:r>
      <w:r w:rsidRPr="005E2A47">
        <w:rPr>
          <w:rFonts w:cs="Arial"/>
          <w:szCs w:val="18"/>
        </w:rPr>
        <w:t xml:space="preserve"> VSC 44 (AU$804,170 awarded); S, M v S, RK </w:t>
      </w:r>
      <w:r>
        <w:rPr>
          <w:rFonts w:cs="Arial"/>
          <w:szCs w:val="18"/>
        </w:rPr>
        <w:t>[</w:t>
      </w:r>
      <w:r w:rsidRPr="005E2A47">
        <w:rPr>
          <w:rFonts w:cs="Arial"/>
          <w:szCs w:val="18"/>
        </w:rPr>
        <w:t>2019</w:t>
      </w:r>
      <w:r>
        <w:rPr>
          <w:rFonts w:cs="Arial"/>
          <w:szCs w:val="18"/>
        </w:rPr>
        <w:t>]</w:t>
      </w:r>
      <w:r w:rsidRPr="005E2A47">
        <w:rPr>
          <w:rFonts w:cs="Arial"/>
          <w:szCs w:val="18"/>
        </w:rPr>
        <w:t xml:space="preserve"> SADC 184 (AU$744,093.84 awarded); MC v Morris </w:t>
      </w:r>
      <w:r>
        <w:rPr>
          <w:rFonts w:cs="Arial"/>
          <w:szCs w:val="18"/>
        </w:rPr>
        <w:t>[</w:t>
      </w:r>
      <w:r w:rsidRPr="005E2A47">
        <w:rPr>
          <w:rFonts w:cs="Arial"/>
          <w:szCs w:val="18"/>
        </w:rPr>
        <w:t>2019</w:t>
      </w:r>
      <w:r>
        <w:rPr>
          <w:rFonts w:cs="Arial"/>
          <w:szCs w:val="18"/>
        </w:rPr>
        <w:t>]</w:t>
      </w:r>
      <w:r w:rsidRPr="005E2A47">
        <w:rPr>
          <w:rFonts w:cs="Arial"/>
          <w:szCs w:val="18"/>
        </w:rPr>
        <w:t xml:space="preserve"> NSWSC 1326 (AU$3,510,513 awarded); and Hand v Morris &amp; Anor </w:t>
      </w:r>
      <w:r>
        <w:rPr>
          <w:rFonts w:cs="Arial"/>
          <w:szCs w:val="18"/>
        </w:rPr>
        <w:t>[</w:t>
      </w:r>
      <w:r w:rsidRPr="005E2A47">
        <w:rPr>
          <w:rFonts w:cs="Arial"/>
          <w:szCs w:val="18"/>
        </w:rPr>
        <w:t>2017</w:t>
      </w:r>
      <w:r>
        <w:rPr>
          <w:rFonts w:cs="Arial"/>
          <w:szCs w:val="18"/>
        </w:rPr>
        <w:t>]</w:t>
      </w:r>
      <w:r w:rsidRPr="005E2A47">
        <w:rPr>
          <w:rFonts w:cs="Arial"/>
          <w:szCs w:val="18"/>
        </w:rPr>
        <w:t xml:space="preserve"> VSC 437 (AU$717,000 awarded).</w:t>
      </w:r>
    </w:p>
  </w:endnote>
  <w:endnote w:id="149">
    <w:p w14:paraId="46F3EF44" w14:textId="7D7D445C"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Note in this regard Lothberger, L</w:t>
      </w:r>
      <w:r>
        <w:rPr>
          <w:rFonts w:cs="Arial"/>
          <w:szCs w:val="18"/>
        </w:rPr>
        <w:t>,</w:t>
      </w:r>
      <w:r w:rsidRPr="005E2A47">
        <w:rPr>
          <w:rFonts w:cs="Arial"/>
          <w:szCs w:val="18"/>
        </w:rPr>
        <w:t xml:space="preserve"> “Catholic Church-owned insurer says 'high volume</w:t>
      </w:r>
      <w:r>
        <w:rPr>
          <w:rFonts w:cs="Arial"/>
          <w:szCs w:val="18"/>
        </w:rPr>
        <w:t>’</w:t>
      </w:r>
      <w:r w:rsidRPr="005E2A47">
        <w:rPr>
          <w:rFonts w:cs="Arial"/>
          <w:szCs w:val="18"/>
        </w:rPr>
        <w:t xml:space="preserve"> of abuse claims is putting it out of business</w:t>
      </w:r>
      <w:r>
        <w:rPr>
          <w:rFonts w:cs="Arial"/>
          <w:szCs w:val="18"/>
        </w:rPr>
        <w:t>,</w:t>
      </w:r>
      <w:r w:rsidRPr="005E2A47">
        <w:rPr>
          <w:rFonts w:cs="Arial"/>
          <w:szCs w:val="18"/>
        </w:rPr>
        <w:t>” ABC News</w:t>
      </w:r>
      <w:r>
        <w:rPr>
          <w:rFonts w:cs="Arial"/>
          <w:szCs w:val="18"/>
        </w:rPr>
        <w:t xml:space="preserve"> (</w:t>
      </w:r>
      <w:r w:rsidRPr="005E2A47">
        <w:rPr>
          <w:rFonts w:cs="Arial"/>
          <w:szCs w:val="18"/>
        </w:rPr>
        <w:t xml:space="preserve">29 October 2023). </w:t>
      </w:r>
    </w:p>
  </w:endnote>
  <w:endnote w:id="150">
    <w:p w14:paraId="18CA6DFC" w14:textId="3BE60138"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See for example Arnold, Thomas &amp; Becker, Institutional abuse client outcomes; Burke, C</w:t>
      </w:r>
      <w:r>
        <w:rPr>
          <w:rFonts w:cs="Arial"/>
          <w:szCs w:val="18"/>
        </w:rPr>
        <w:t>,</w:t>
      </w:r>
      <w:r w:rsidRPr="005E2A47">
        <w:rPr>
          <w:rFonts w:cs="Arial"/>
          <w:szCs w:val="18"/>
        </w:rPr>
        <w:t xml:space="preserve"> “Multi-million Catholic Church payout 'massively important' for future sexual abuse cases</w:t>
      </w:r>
      <w:r>
        <w:rPr>
          <w:rFonts w:cs="Arial"/>
          <w:szCs w:val="18"/>
        </w:rPr>
        <w:t>,</w:t>
      </w:r>
      <w:r w:rsidRPr="005E2A47">
        <w:rPr>
          <w:rFonts w:cs="Arial"/>
          <w:szCs w:val="18"/>
        </w:rPr>
        <w:t>”</w:t>
      </w:r>
      <w:r w:rsidRPr="005E2A47">
        <w:rPr>
          <w:rStyle w:val="Hyperlink"/>
          <w:rFonts w:cs="Arial"/>
          <w:color w:val="auto"/>
          <w:szCs w:val="18"/>
          <w:u w:val="none"/>
        </w:rPr>
        <w:t xml:space="preserve"> ABC News</w:t>
      </w:r>
      <w:r>
        <w:rPr>
          <w:rStyle w:val="Hyperlink"/>
          <w:rFonts w:cs="Arial"/>
          <w:color w:val="auto"/>
          <w:szCs w:val="18"/>
          <w:u w:val="none"/>
        </w:rPr>
        <w:t xml:space="preserve"> (</w:t>
      </w:r>
      <w:r w:rsidRPr="005E2A47">
        <w:rPr>
          <w:rStyle w:val="Hyperlink"/>
          <w:rFonts w:cs="Arial"/>
          <w:color w:val="auto"/>
          <w:szCs w:val="18"/>
          <w:u w:val="none"/>
        </w:rPr>
        <w:t>19 November 2023).</w:t>
      </w:r>
    </w:p>
  </w:endnote>
  <w:endnote w:id="151">
    <w:p w14:paraId="44F226F2" w14:textId="06C773B4" w:rsidR="00C3701E" w:rsidRPr="001B7C94" w:rsidRDefault="00C3701E" w:rsidP="00E45334">
      <w:pPr>
        <w:pStyle w:val="EndnoteText"/>
        <w:spacing w:before="120"/>
      </w:pPr>
      <w:r>
        <w:rPr>
          <w:rStyle w:val="EndnoteReference"/>
        </w:rPr>
        <w:endnoteRef/>
      </w:r>
      <w:r>
        <w:t xml:space="preserve"> </w:t>
      </w:r>
      <w:r>
        <w:rPr>
          <w:lang w:val="en-US"/>
        </w:rPr>
        <w:t xml:space="preserve">See also in this regard, Kilgallon, S, “’Not justice’: Survivor’s advocate slams ‘pathetic’ settlement offer,” Stuff.co.nz (26 February 2024), </w:t>
      </w:r>
      <w:hyperlink r:id="rId8" w:history="1">
        <w:r w:rsidRPr="007063F9">
          <w:rPr>
            <w:rStyle w:val="Hyperlink"/>
            <w:lang w:val="en-US"/>
          </w:rPr>
          <w:t>https://www.stuff.co.nz/nz-news/350186189/not-justice-survivors-advocate-slams-pathetic-settlement-offer</w:t>
        </w:r>
      </w:hyperlink>
      <w:r w:rsidRPr="004019BF">
        <w:t>.</w:t>
      </w:r>
    </w:p>
  </w:endnote>
  <w:endnote w:id="152">
    <w:p w14:paraId="5EE4161D" w14:textId="21E46850"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See for example the statement of Cooper Legal advising that the amount offered in settlement to survivors in Aotearoa by the Order of St John of God are based in part on an assessment by the Order’s Australian law firm of “litigation risk” in this country. Updated witness statement of Cooper Legal</w:t>
      </w:r>
      <w:r w:rsidRPr="00867E44">
        <w:rPr>
          <w:rFonts w:cs="Arial"/>
          <w:szCs w:val="18"/>
        </w:rPr>
        <w:t xml:space="preserve"> </w:t>
      </w:r>
      <w:r w:rsidRPr="005E2A47">
        <w:rPr>
          <w:rFonts w:cs="Arial"/>
          <w:szCs w:val="18"/>
        </w:rPr>
        <w:t>relating to redress for historic abuse in state and faith-based care between 1950 and 2000 (9 December 2022</w:t>
      </w:r>
      <w:r w:rsidRPr="005E2A47">
        <w:rPr>
          <w:rFonts w:eastAsia="Calibri" w:cs="Arial"/>
          <w:szCs w:val="18"/>
        </w:rPr>
        <w:t>, para 63</w:t>
      </w:r>
      <w:r>
        <w:rPr>
          <w:rFonts w:eastAsia="Calibri" w:cs="Arial"/>
          <w:szCs w:val="18"/>
        </w:rPr>
        <w:t>)</w:t>
      </w:r>
      <w:r w:rsidRPr="005E2A47">
        <w:rPr>
          <w:rFonts w:eastAsia="Calibri" w:cs="Arial"/>
          <w:szCs w:val="18"/>
        </w:rPr>
        <w:t xml:space="preserve">. </w:t>
      </w:r>
    </w:p>
  </w:endnote>
  <w:endnote w:id="153">
    <w:p w14:paraId="6F31383D" w14:textId="3671033B"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TN v ACC </w:t>
      </w:r>
      <w:r>
        <w:rPr>
          <w:rFonts w:cs="Arial"/>
          <w:szCs w:val="18"/>
        </w:rPr>
        <w:t>[</w:t>
      </w:r>
      <w:r w:rsidRPr="005E2A47">
        <w:rPr>
          <w:rFonts w:cs="Arial"/>
          <w:szCs w:val="18"/>
        </w:rPr>
        <w:t>2022</w:t>
      </w:r>
      <w:r>
        <w:rPr>
          <w:rFonts w:cs="Arial"/>
          <w:szCs w:val="18"/>
        </w:rPr>
        <w:t>]</w:t>
      </w:r>
      <w:r w:rsidRPr="005E2A47">
        <w:rPr>
          <w:rFonts w:cs="Arial"/>
          <w:szCs w:val="18"/>
        </w:rPr>
        <w:t xml:space="preserve"> NZHC 1280.</w:t>
      </w:r>
    </w:p>
  </w:endnote>
  <w:endnote w:id="154">
    <w:p w14:paraId="7C7869B4" w14:textId="4B7FD683" w:rsidR="00C3701E" w:rsidRPr="008972A3" w:rsidRDefault="00C3701E" w:rsidP="00E45334">
      <w:pPr>
        <w:pStyle w:val="EndnoteText"/>
        <w:spacing w:before="120"/>
      </w:pPr>
      <w:r>
        <w:rPr>
          <w:rStyle w:val="EndnoteReference"/>
        </w:rPr>
        <w:endnoteRef/>
      </w:r>
      <w:r w:rsidRPr="008972A3">
        <w:t xml:space="preserve"> </w:t>
      </w:r>
      <w:r w:rsidRPr="00A44838">
        <w:t>ACC v TN [2023] NZCA 664.</w:t>
      </w:r>
    </w:p>
  </w:endnote>
  <w:endnote w:id="155">
    <w:p w14:paraId="5D7C1C35" w14:textId="740E3004" w:rsidR="00C3701E" w:rsidRPr="00F72D8D" w:rsidRDefault="00C3701E" w:rsidP="00E45334">
      <w:pPr>
        <w:pStyle w:val="EndnoteText"/>
        <w:spacing w:before="120"/>
      </w:pPr>
      <w:r>
        <w:rPr>
          <w:rStyle w:val="EndnoteReference"/>
        </w:rPr>
        <w:endnoteRef/>
      </w:r>
      <w:r w:rsidRPr="00BF0E3E">
        <w:t xml:space="preserve"> </w:t>
      </w:r>
      <w:r w:rsidRPr="00A44838">
        <w:t>See in this regard A</w:t>
      </w:r>
      <w:r>
        <w:t>CC v TN [2023] NZCA 664 (para 138) and</w:t>
      </w:r>
      <w:r w:rsidRPr="005E2A47">
        <w:rPr>
          <w:rFonts w:cs="Arial"/>
          <w:szCs w:val="18"/>
        </w:rPr>
        <w:t xml:space="preserve"> </w:t>
      </w:r>
      <w:r>
        <w:rPr>
          <w:rFonts w:cs="Arial"/>
          <w:szCs w:val="18"/>
        </w:rPr>
        <w:t xml:space="preserve">Miller, J &amp; Peck, B, </w:t>
      </w:r>
      <w:r w:rsidRPr="005E2A47">
        <w:rPr>
          <w:rFonts w:cs="Arial"/>
          <w:szCs w:val="18"/>
        </w:rPr>
        <w:t>Update on issues faced by ACC claimants</w:t>
      </w:r>
      <w:r>
        <w:rPr>
          <w:rFonts w:cs="Arial"/>
          <w:szCs w:val="18"/>
        </w:rPr>
        <w:t xml:space="preserve"> </w:t>
      </w:r>
      <w:r w:rsidRPr="005E2A47">
        <w:rPr>
          <w:rFonts w:cs="Arial"/>
          <w:szCs w:val="18"/>
        </w:rPr>
        <w:t>(John Miller Law</w:t>
      </w:r>
      <w:r w:rsidRPr="00F72D8D">
        <w:rPr>
          <w:rFonts w:cs="Arial"/>
          <w:szCs w:val="18"/>
        </w:rPr>
        <w:t xml:space="preserve">, </w:t>
      </w:r>
      <w:r w:rsidRPr="00641874">
        <w:rPr>
          <w:rFonts w:cs="Arial"/>
          <w:szCs w:val="18"/>
        </w:rPr>
        <w:t>2022</w:t>
      </w:r>
      <w:r w:rsidRPr="00F72D8D">
        <w:rPr>
          <w:rFonts w:cs="Arial"/>
          <w:szCs w:val="18"/>
        </w:rPr>
        <w:t>, paras 15 and 16).</w:t>
      </w:r>
    </w:p>
  </w:endnote>
  <w:endnote w:id="156">
    <w:p w14:paraId="70EFD1F6" w14:textId="14789205" w:rsidR="00C3701E" w:rsidRPr="00A44838" w:rsidRDefault="00C3701E" w:rsidP="00E45334">
      <w:pPr>
        <w:pStyle w:val="EndnoteText"/>
        <w:spacing w:before="120"/>
        <w:rPr>
          <w:lang w:val="en-US"/>
        </w:rPr>
      </w:pPr>
      <w:r w:rsidRPr="00F72D8D">
        <w:rPr>
          <w:rStyle w:val="EndnoteReference"/>
        </w:rPr>
        <w:endnoteRef/>
      </w:r>
      <w:r w:rsidRPr="00F72D8D">
        <w:t xml:space="preserve"> ACC states “LOPE is paid weekly and is similar to weekly compensation. We can make weekly payments at 80% of the weekly minimum wage,” in ACC website, Financial Support</w:t>
      </w:r>
      <w:r w:rsidRPr="00F72D8D">
        <w:rPr>
          <w:rStyle w:val="Hyperlink"/>
        </w:rPr>
        <w:t xml:space="preserve"> (accessed on </w:t>
      </w:r>
      <w:r w:rsidRPr="00641874">
        <w:rPr>
          <w:rStyle w:val="Hyperlink"/>
        </w:rPr>
        <w:t>4 June 2024</w:t>
      </w:r>
      <w:r w:rsidRPr="00F72D8D">
        <w:rPr>
          <w:rStyle w:val="Hyperlink"/>
        </w:rPr>
        <w:t xml:space="preserve">), </w:t>
      </w:r>
      <w:hyperlink r:id="rId9" w:history="1">
        <w:r w:rsidRPr="00F72D8D">
          <w:rPr>
            <w:rStyle w:val="Hyperlink"/>
          </w:rPr>
          <w:t>https://www.findsupport.co.nz/getting-help/types-of-financial-support</w:t>
        </w:r>
      </w:hyperlink>
      <w:r w:rsidRPr="00F72D8D">
        <w:rPr>
          <w:rStyle w:val="Hyperlink"/>
        </w:rPr>
        <w:t>/</w:t>
      </w:r>
      <w:r w:rsidRPr="00F72D8D">
        <w:t xml:space="preserve">. See also clauses 47(2) and (4), and clause 42(3) of Schedule 1 to the Accident Compensation Act 2001, and </w:t>
      </w:r>
      <w:r w:rsidRPr="00F72D8D">
        <w:rPr>
          <w:rFonts w:cs="Arial"/>
        </w:rPr>
        <w:t xml:space="preserve">Miller, J &amp; Peck, B, Update on issues faced by ACC claimants (John Miller Law, </w:t>
      </w:r>
      <w:r w:rsidRPr="00641874">
        <w:rPr>
          <w:rFonts w:cs="Arial"/>
        </w:rPr>
        <w:t>2022</w:t>
      </w:r>
      <w:r w:rsidRPr="00F72D8D">
        <w:rPr>
          <w:rFonts w:cs="Arial"/>
        </w:rPr>
        <w:t>, paras 15 and 16).</w:t>
      </w:r>
      <w:r>
        <w:t xml:space="preserve"> </w:t>
      </w:r>
    </w:p>
  </w:endnote>
  <w:endnote w:id="157">
    <w:p w14:paraId="26ABD6D8" w14:textId="52827EFB"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347).</w:t>
      </w:r>
    </w:p>
  </w:endnote>
  <w:endnote w:id="158">
    <w:p w14:paraId="620310DF" w14:textId="21E09DEC" w:rsidR="00C3701E" w:rsidRPr="008C079E" w:rsidRDefault="00C3701E" w:rsidP="00E45334">
      <w:pPr>
        <w:pStyle w:val="EndnoteText"/>
        <w:spacing w:before="120"/>
      </w:pPr>
      <w:r w:rsidRPr="00641874">
        <w:rPr>
          <w:rStyle w:val="EndnoteReference"/>
        </w:rPr>
        <w:endnoteRef/>
      </w:r>
      <w:r w:rsidRPr="00641874">
        <w:t xml:space="preserve"> </w:t>
      </w:r>
      <w:r w:rsidRPr="00641874">
        <w:rPr>
          <w:rFonts w:cs="Arial"/>
        </w:rPr>
        <w:t xml:space="preserve">See email from Cooper Legal to Royal Commission of Inquiry into Historic Abuse in State Care, Re: Response to Cooper Legal updating witness statement (15 February 2024), and </w:t>
      </w:r>
      <w:r w:rsidRPr="00641874">
        <w:t>emails between the Crown Law Office and Counsel Assisting (20 February 2024 and 27 February 2024).</w:t>
      </w:r>
    </w:p>
  </w:endnote>
  <w:endnote w:id="159">
    <w:p w14:paraId="295DF2A3" w14:textId="42416216" w:rsidR="00C3701E" w:rsidRPr="008C079E" w:rsidRDefault="00C3701E" w:rsidP="00E45334">
      <w:pPr>
        <w:pStyle w:val="EndnoteText"/>
        <w:spacing w:before="120"/>
        <w:rPr>
          <w:rFonts w:cs="Arial"/>
        </w:rPr>
      </w:pPr>
      <w:r w:rsidRPr="008C079E">
        <w:rPr>
          <w:rStyle w:val="EndnoteReference"/>
          <w:rFonts w:cs="Arial"/>
        </w:rPr>
        <w:endnoteRef/>
      </w:r>
      <w:r w:rsidRPr="008C079E">
        <w:rPr>
          <w:rFonts w:cs="Arial"/>
        </w:rPr>
        <w:t xml:space="preserve"> See email from Cooper Legal to Royal Commission of Inquiry into Historic Abuse in State Care, Re: Response to Cooper Legal updating witness statement (15 February 2023).</w:t>
      </w:r>
    </w:p>
  </w:endnote>
  <w:endnote w:id="160">
    <w:p w14:paraId="0D983951" w14:textId="537C1D0A" w:rsidR="00C3701E" w:rsidRPr="001A1589" w:rsidRDefault="00C3701E" w:rsidP="00E45334">
      <w:pPr>
        <w:pStyle w:val="EndnoteText"/>
        <w:spacing w:before="120"/>
        <w:rPr>
          <w:b/>
          <w:lang w:val="en-US"/>
        </w:rPr>
      </w:pPr>
      <w:r w:rsidRPr="00641874">
        <w:rPr>
          <w:rStyle w:val="EndnoteReference"/>
        </w:rPr>
        <w:endnoteRef/>
      </w:r>
      <w:r w:rsidRPr="00641874">
        <w:t xml:space="preserve"> Attorney-General’s submissions in opposition to application for r 10.15 hearing (24 April 2024, para 4.6(b)(iii))</w:t>
      </w:r>
      <w:r w:rsidRPr="00641874">
        <w:rPr>
          <w:b/>
        </w:rPr>
        <w:t>.</w:t>
      </w:r>
    </w:p>
  </w:endnote>
  <w:endnote w:id="161">
    <w:p w14:paraId="14322CB6" w14:textId="734E4CAE"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339).</w:t>
      </w:r>
    </w:p>
  </w:endnote>
  <w:endnote w:id="162">
    <w:p w14:paraId="63E9FF42" w14:textId="32E69FCD" w:rsidR="00C3701E" w:rsidRPr="008C079E"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There has been a general uplift of 12 percent on legal aid rates and the $50 user charge for civil legal aid has been removed: New Zealand Law Society, “A step in the right directions: Changes to legal aid funding</w:t>
      </w:r>
      <w:r>
        <w:rPr>
          <w:rFonts w:cs="Arial"/>
          <w:szCs w:val="18"/>
        </w:rPr>
        <w:t>,</w:t>
      </w:r>
      <w:r w:rsidRPr="005E2A47">
        <w:rPr>
          <w:rFonts w:cs="Arial"/>
          <w:szCs w:val="18"/>
        </w:rPr>
        <w:t>”</w:t>
      </w:r>
      <w:r>
        <w:rPr>
          <w:rFonts w:cs="Arial"/>
          <w:szCs w:val="18"/>
        </w:rPr>
        <w:t xml:space="preserve"> LawTalk Issue 980</w:t>
      </w:r>
      <w:r w:rsidRPr="005E2A47">
        <w:rPr>
          <w:rFonts w:cs="Arial"/>
          <w:szCs w:val="18"/>
        </w:rPr>
        <w:t xml:space="preserve"> (23 June 2022).  Other general changes including a 15</w:t>
      </w:r>
      <w:r>
        <w:rPr>
          <w:rFonts w:cs="Arial"/>
          <w:szCs w:val="18"/>
        </w:rPr>
        <w:t xml:space="preserve"> percent</w:t>
      </w:r>
      <w:r w:rsidRPr="005E2A47">
        <w:rPr>
          <w:rFonts w:cs="Arial"/>
          <w:szCs w:val="18"/>
        </w:rPr>
        <w:t xml:space="preserve"> increase to eligibility thresholds came into effect on 1 January 2023: </w:t>
      </w:r>
      <w:r>
        <w:t>Ministry of Justice website, Budget 2023 – Ministry of Justice | Te T</w:t>
      </w:r>
      <w:r>
        <w:rPr>
          <w:rFonts w:cs="Arial"/>
        </w:rPr>
        <w:t>ā</w:t>
      </w:r>
      <w:r>
        <w:t>h</w:t>
      </w:r>
      <w:r>
        <w:rPr>
          <w:rFonts w:cs="Arial"/>
        </w:rPr>
        <w:t>ū</w:t>
      </w:r>
      <w:r>
        <w:t xml:space="preserve"> o te Ture (last updated 23 January 2024), </w:t>
      </w:r>
      <w:hyperlink r:id="rId10" w:history="1">
        <w:r w:rsidRPr="008C079E">
          <w:rPr>
            <w:rStyle w:val="Hyperlink"/>
          </w:rPr>
          <w:t>https://www.justice.govt.nz/about/news-and-media/news/budget-2023-ministry-of-justice-te-tahu-o-te-ture</w:t>
        </w:r>
      </w:hyperlink>
      <w:r w:rsidRPr="008C079E">
        <w:t>.</w:t>
      </w:r>
    </w:p>
  </w:endnote>
  <w:endnote w:id="163">
    <w:p w14:paraId="23171A1D" w14:textId="49E9D3F2" w:rsidR="00C3701E" w:rsidRPr="00AE2041" w:rsidRDefault="00C3701E" w:rsidP="00E45334">
      <w:pPr>
        <w:pStyle w:val="EndnoteText"/>
        <w:spacing w:before="120"/>
      </w:pPr>
      <w:r w:rsidRPr="00641874">
        <w:rPr>
          <w:rStyle w:val="EndnoteReference"/>
        </w:rPr>
        <w:endnoteRef/>
      </w:r>
      <w:r w:rsidRPr="00641874">
        <w:t xml:space="preserve"> </w:t>
      </w:r>
      <w:r w:rsidRPr="00641874">
        <w:rPr>
          <w:rFonts w:cs="Arial"/>
          <w:szCs w:val="18"/>
        </w:rPr>
        <w:t>Ministry of Justice, Tracey Baguley, Legal Services Commissioner to Sonja Cooper, Principal Partner, Cooper Legal (26 March 2024)</w:t>
      </w:r>
      <w:r w:rsidRPr="00641874">
        <w:rPr>
          <w:rFonts w:cs="Arial"/>
          <w:szCs w:val="18"/>
          <w:lang w:val="en-US"/>
        </w:rPr>
        <w:t>.</w:t>
      </w:r>
    </w:p>
  </w:endnote>
  <w:endnote w:id="164">
    <w:p w14:paraId="22F26936" w14:textId="1DE0A5D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Style w:val="EndnoteReference"/>
          <w:rFonts w:cs="Arial"/>
          <w:szCs w:val="18"/>
        </w:rPr>
        <w:t xml:space="preserve"> </w:t>
      </w:r>
      <w:r w:rsidRPr="005E2A47">
        <w:rPr>
          <w:rFonts w:cs="Arial"/>
          <w:szCs w:val="18"/>
        </w:rPr>
        <w:t>Within 12 months of the Governor-General receiving He Purapura Ora</w:t>
      </w:r>
      <w:r>
        <w:rPr>
          <w:rFonts w:cs="Arial"/>
          <w:szCs w:val="18"/>
        </w:rPr>
        <w:t xml:space="preserve"> </w:t>
      </w:r>
      <w:r w:rsidRPr="00D73D22">
        <w:rPr>
          <w:rFonts w:cs="Arial"/>
          <w:szCs w:val="18"/>
        </w:rPr>
        <w:t xml:space="preserve">he Māra Tipu: From </w:t>
      </w:r>
      <w:r>
        <w:rPr>
          <w:rFonts w:cs="Arial"/>
          <w:szCs w:val="18"/>
        </w:rPr>
        <w:t>R</w:t>
      </w:r>
      <w:r w:rsidRPr="00D73D22">
        <w:rPr>
          <w:rFonts w:cs="Arial"/>
          <w:szCs w:val="18"/>
        </w:rPr>
        <w:t>edress to Puretumu Torowhānui</w:t>
      </w:r>
      <w:r w:rsidRPr="005E2A47">
        <w:rPr>
          <w:rFonts w:cs="Arial"/>
          <w:szCs w:val="18"/>
        </w:rPr>
        <w:t xml:space="preserve"> on 1 December 2021.</w:t>
      </w:r>
    </w:p>
  </w:endnote>
  <w:endnote w:id="165">
    <w:p w14:paraId="48BAF51D" w14:textId="4E4657CF"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342).</w:t>
      </w:r>
    </w:p>
  </w:endnote>
  <w:endnote w:id="166">
    <w:p w14:paraId="475A31BA" w14:textId="7BA376F6"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342).</w:t>
      </w:r>
    </w:p>
  </w:endnote>
  <w:endnote w:id="167">
    <w:p w14:paraId="5A7C2C97" w14:textId="4917C89B" w:rsidR="00C3701E" w:rsidRPr="002740F0" w:rsidRDefault="00C3701E">
      <w:pPr>
        <w:pStyle w:val="EndnoteText"/>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page </w:t>
      </w:r>
      <w:r>
        <w:rPr>
          <w:rFonts w:cs="Arial"/>
          <w:szCs w:val="18"/>
        </w:rPr>
        <w:t>277 and page 284</w:t>
      </w:r>
      <w:r w:rsidRPr="005E2A47">
        <w:rPr>
          <w:rFonts w:cs="Arial"/>
          <w:szCs w:val="18"/>
        </w:rPr>
        <w:t>).</w:t>
      </w:r>
    </w:p>
  </w:endnote>
  <w:endnote w:id="168">
    <w:p w14:paraId="28E90341" w14:textId="3077CB49" w:rsidR="00C3701E" w:rsidRPr="002740F0" w:rsidRDefault="00C3701E">
      <w:pPr>
        <w:pStyle w:val="EndnoteText"/>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page </w:t>
      </w:r>
      <w:r>
        <w:rPr>
          <w:rFonts w:cs="Arial"/>
          <w:szCs w:val="18"/>
        </w:rPr>
        <w:t>285 and page 323</w:t>
      </w:r>
      <w:r w:rsidRPr="005E2A47">
        <w:rPr>
          <w:rFonts w:cs="Arial"/>
          <w:szCs w:val="18"/>
        </w:rPr>
        <w:t>).</w:t>
      </w:r>
    </w:p>
  </w:endnote>
  <w:endnote w:id="169">
    <w:p w14:paraId="6003C14D" w14:textId="7EBE7559" w:rsidR="00C3701E" w:rsidRPr="002740F0" w:rsidRDefault="00C3701E">
      <w:pPr>
        <w:pStyle w:val="EndnoteText"/>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page </w:t>
      </w:r>
      <w:r>
        <w:rPr>
          <w:rFonts w:cs="Arial"/>
          <w:szCs w:val="18"/>
        </w:rPr>
        <w:t>278</w:t>
      </w:r>
      <w:r w:rsidRPr="005E2A47">
        <w:rPr>
          <w:rFonts w:cs="Arial"/>
          <w:szCs w:val="18"/>
        </w:rPr>
        <w:t>).</w:t>
      </w:r>
    </w:p>
  </w:endnote>
  <w:endnote w:id="170">
    <w:p w14:paraId="1BF18576" w14:textId="6BA8E29F" w:rsidR="00C3701E" w:rsidRPr="002740F0" w:rsidRDefault="00C3701E">
      <w:pPr>
        <w:pStyle w:val="EndnoteText"/>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page </w:t>
      </w:r>
      <w:r>
        <w:rPr>
          <w:rFonts w:cs="Arial"/>
          <w:szCs w:val="18"/>
        </w:rPr>
        <w:t>275</w:t>
      </w:r>
      <w:r w:rsidRPr="005E2A47">
        <w:rPr>
          <w:rFonts w:cs="Arial"/>
          <w:szCs w:val="18"/>
        </w:rPr>
        <w:t>).</w:t>
      </w:r>
    </w:p>
  </w:endnote>
  <w:endnote w:id="171">
    <w:p w14:paraId="4CC97258" w14:textId="490AE160" w:rsidR="00C3701E" w:rsidRPr="004D6A96" w:rsidRDefault="00C3701E">
      <w:pPr>
        <w:pStyle w:val="EndnoteText"/>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page </w:t>
      </w:r>
      <w:r>
        <w:rPr>
          <w:rFonts w:cs="Arial"/>
          <w:szCs w:val="18"/>
        </w:rPr>
        <w:t>347</w:t>
      </w:r>
      <w:r w:rsidRPr="005E2A47">
        <w:rPr>
          <w:rFonts w:cs="Arial"/>
          <w:szCs w:val="18"/>
        </w:rPr>
        <w:t>).</w:t>
      </w:r>
    </w:p>
  </w:endnote>
  <w:endnote w:id="172">
    <w:p w14:paraId="50378C44" w14:textId="2E8D10FF" w:rsidR="00C3701E" w:rsidRPr="00781C67" w:rsidRDefault="00C3701E">
      <w:pPr>
        <w:pStyle w:val="EndnoteText"/>
        <w:rPr>
          <w:lang w:val="mi-NZ"/>
        </w:rPr>
      </w:pPr>
      <w:r>
        <w:rPr>
          <w:rStyle w:val="EndnoteReference"/>
        </w:rPr>
        <w:endnoteRef/>
      </w:r>
      <w:r>
        <w:t xml:space="preserve"> Dilworth Redress Programme, Dilworth Redress (2023).</w:t>
      </w:r>
    </w:p>
  </w:endnote>
  <w:endnote w:id="173">
    <w:p w14:paraId="745DF2F8" w14:textId="41750434"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pages 172–173).</w:t>
      </w:r>
    </w:p>
  </w:endnote>
  <w:endnote w:id="174">
    <w:p w14:paraId="533F02FD" w14:textId="412F210C"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page </w:t>
      </w:r>
      <w:r w:rsidRPr="005E2A47">
        <w:rPr>
          <w:rStyle w:val="normaltextrun"/>
          <w:rFonts w:cs="Arial"/>
          <w:szCs w:val="18"/>
          <w:shd w:val="clear" w:color="auto" w:fill="FFFFFF"/>
        </w:rPr>
        <w:t>174).</w:t>
      </w:r>
    </w:p>
  </w:endnote>
  <w:endnote w:id="175">
    <w:p w14:paraId="33627728" w14:textId="1D4A9FF0" w:rsidR="00C3701E" w:rsidRPr="005E2A47" w:rsidRDefault="00C3701E" w:rsidP="00E45334">
      <w:pPr>
        <w:pStyle w:val="EndnoteText"/>
        <w:spacing w:before="120"/>
        <w:jc w:val="both"/>
        <w:rPr>
          <w:rFonts w:cs="Arial"/>
          <w:szCs w:val="18"/>
        </w:rPr>
      </w:pPr>
      <w:r w:rsidRPr="005E2A47">
        <w:rPr>
          <w:rStyle w:val="EndnoteReference"/>
          <w:rFonts w:cs="Arial"/>
          <w:szCs w:val="18"/>
        </w:rPr>
        <w:endnoteRef/>
      </w:r>
      <w:r w:rsidRPr="005E2A47">
        <w:rPr>
          <w:rFonts w:cs="Arial"/>
          <w:szCs w:val="18"/>
        </w:rPr>
        <w:t xml:space="preserve"> New Zealand Catholic Bishops Conference, Pastoral Letter on abuse from the New Zealand Bishops (25 June 2002).</w:t>
      </w:r>
    </w:p>
  </w:endnote>
  <w:endnote w:id="176">
    <w:p w14:paraId="63820BCD" w14:textId="78EC12A4" w:rsidR="00C3701E" w:rsidRPr="005E2A47" w:rsidRDefault="00C3701E" w:rsidP="00E45334">
      <w:pPr>
        <w:pStyle w:val="EndnoteText"/>
        <w:spacing w:before="120"/>
        <w:jc w:val="both"/>
        <w:rPr>
          <w:rFonts w:cs="Arial"/>
          <w:szCs w:val="18"/>
        </w:rPr>
      </w:pPr>
      <w:r w:rsidRPr="005E2A47">
        <w:rPr>
          <w:rStyle w:val="EndnoteReference"/>
          <w:rFonts w:cs="Arial"/>
          <w:szCs w:val="18"/>
        </w:rPr>
        <w:endnoteRef/>
      </w:r>
      <w:r w:rsidRPr="005E2A47">
        <w:rPr>
          <w:rFonts w:cs="Arial"/>
          <w:szCs w:val="18"/>
        </w:rPr>
        <w:t xml:space="preserve"> Transcript of evidence of Cardinal John Dew for the Archdiocese of Wellington and the Metropolitan Diocese </w:t>
      </w:r>
      <w:r>
        <w:rPr>
          <w:rFonts w:cs="Arial"/>
          <w:szCs w:val="18"/>
        </w:rPr>
        <w:t>at the Inquiry’s</w:t>
      </w:r>
      <w:r w:rsidRPr="005E2A47">
        <w:rPr>
          <w:rFonts w:cs="Arial"/>
          <w:szCs w:val="18"/>
        </w:rPr>
        <w:t xml:space="preserve"> </w:t>
      </w:r>
      <w:r>
        <w:rPr>
          <w:rFonts w:cs="Arial"/>
          <w:szCs w:val="18"/>
        </w:rPr>
        <w:t>F</w:t>
      </w:r>
      <w:r w:rsidRPr="005E2A47">
        <w:rPr>
          <w:rFonts w:cs="Arial"/>
          <w:szCs w:val="18"/>
        </w:rPr>
        <w:t xml:space="preserve">aith-based </w:t>
      </w:r>
      <w:r>
        <w:rPr>
          <w:rFonts w:cs="Arial"/>
          <w:szCs w:val="18"/>
        </w:rPr>
        <w:t>R</w:t>
      </w:r>
      <w:r w:rsidRPr="005E2A47">
        <w:rPr>
          <w:rFonts w:cs="Arial"/>
          <w:szCs w:val="18"/>
        </w:rPr>
        <w:t xml:space="preserve">edress </w:t>
      </w:r>
      <w:r>
        <w:rPr>
          <w:rFonts w:cs="Arial"/>
          <w:szCs w:val="18"/>
        </w:rPr>
        <w:t>H</w:t>
      </w:r>
      <w:r w:rsidRPr="005E2A47">
        <w:rPr>
          <w:rFonts w:cs="Arial"/>
          <w:szCs w:val="18"/>
        </w:rPr>
        <w:t xml:space="preserve">earing </w:t>
      </w:r>
      <w:r>
        <w:rPr>
          <w:rFonts w:cs="Arial"/>
          <w:szCs w:val="18"/>
        </w:rPr>
        <w:t>P</w:t>
      </w:r>
      <w:r w:rsidRPr="005E2A47">
        <w:rPr>
          <w:rFonts w:cs="Arial"/>
          <w:szCs w:val="18"/>
        </w:rPr>
        <w:t>hase II (Royal Commission of Inquiry into Abuse in Care, 26 March 2021, p</w:t>
      </w:r>
      <w:r>
        <w:rPr>
          <w:rFonts w:cs="Arial"/>
          <w:szCs w:val="18"/>
        </w:rPr>
        <w:t>ages</w:t>
      </w:r>
      <w:r w:rsidRPr="005E2A47">
        <w:rPr>
          <w:rFonts w:cs="Arial"/>
          <w:szCs w:val="18"/>
        </w:rPr>
        <w:t xml:space="preserve"> 801</w:t>
      </w:r>
      <w:r>
        <w:rPr>
          <w:rFonts w:cs="Arial"/>
          <w:szCs w:val="18"/>
        </w:rPr>
        <w:t>–</w:t>
      </w:r>
      <w:r w:rsidRPr="005E2A47">
        <w:rPr>
          <w:rFonts w:cs="Arial"/>
          <w:szCs w:val="18"/>
        </w:rPr>
        <w:t>802</w:t>
      </w:r>
      <w:r>
        <w:rPr>
          <w:rFonts w:cs="Arial"/>
          <w:szCs w:val="18"/>
        </w:rPr>
        <w:t>)</w:t>
      </w:r>
      <w:r w:rsidRPr="005E2A47">
        <w:rPr>
          <w:rFonts w:cs="Arial"/>
          <w:szCs w:val="18"/>
        </w:rPr>
        <w:t xml:space="preserve">; Transcript of evidence of Cardinal John Dew at the Inquiry’s </w:t>
      </w:r>
      <w:r>
        <w:t>Faith-based Institutional Response Hearing</w:t>
      </w:r>
      <w:r w:rsidRPr="005E2A47">
        <w:rPr>
          <w:rFonts w:cs="Arial"/>
          <w:szCs w:val="18"/>
        </w:rPr>
        <w:t xml:space="preserve"> (Royal Commission of Inquiry into Abuse in Care, 17 October 2022,</w:t>
      </w:r>
      <w:r w:rsidRPr="007E3BE0">
        <w:t xml:space="preserve"> </w:t>
      </w:r>
      <w:r w:rsidRPr="005E2A47">
        <w:rPr>
          <w:rFonts w:cs="Arial"/>
          <w:szCs w:val="18"/>
        </w:rPr>
        <w:t>page 213).</w:t>
      </w:r>
    </w:p>
  </w:endnote>
  <w:endnote w:id="177">
    <w:p w14:paraId="37BE82F0" w14:textId="445D2CD2" w:rsidR="00C3701E" w:rsidRPr="00F276E5" w:rsidRDefault="00C3701E" w:rsidP="00DD396B">
      <w:pPr>
        <w:pStyle w:val="EndnoteText"/>
      </w:pPr>
      <w:r>
        <w:rPr>
          <w:rStyle w:val="EndnoteReference"/>
        </w:rPr>
        <w:endnoteRef/>
      </w:r>
      <w:r>
        <w:t xml:space="preserve"> Statement of Catholic Church Leaders on looking forward from the work of the Royal Commission on Abuse in Care (10 January 2023).</w:t>
      </w:r>
    </w:p>
  </w:endnote>
  <w:endnote w:id="178">
    <w:p w14:paraId="43B6FBF9" w14:textId="0E17B545" w:rsidR="00C3701E" w:rsidRPr="00F276E5" w:rsidRDefault="00C3701E" w:rsidP="00DD396B">
      <w:pPr>
        <w:pStyle w:val="EndnoteText"/>
      </w:pPr>
      <w:r>
        <w:rPr>
          <w:rStyle w:val="EndnoteReference"/>
        </w:rPr>
        <w:endnoteRef/>
      </w:r>
      <w:r>
        <w:t xml:space="preserve"> Statement of Catholic Church Leaders on looking forward from the work of the Royal Commission on Abuse in Care (10 January 2023).</w:t>
      </w:r>
    </w:p>
  </w:endnote>
  <w:endnote w:id="179">
    <w:p w14:paraId="4C5C1E82" w14:textId="451156ED" w:rsidR="00C3701E" w:rsidRPr="00B86350"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Transcript of evidence of Right Reverend Ross Bay at the Inquiry’s </w:t>
      </w:r>
      <w:r>
        <w:t>Faith-based Institutional Response Hearing</w:t>
      </w:r>
      <w:r w:rsidRPr="005E2A47">
        <w:rPr>
          <w:rFonts w:cs="Arial"/>
          <w:szCs w:val="18"/>
        </w:rPr>
        <w:t xml:space="preserve"> (Royal </w:t>
      </w:r>
      <w:r w:rsidRPr="00B86350">
        <w:rPr>
          <w:rFonts w:cs="Arial"/>
          <w:szCs w:val="18"/>
        </w:rPr>
        <w:t>Commission of Inquiry into Abuse in Care, 20 October 2022, page 544).</w:t>
      </w:r>
    </w:p>
  </w:endnote>
  <w:endnote w:id="180">
    <w:p w14:paraId="57EA2586" w14:textId="07EF7F5C" w:rsidR="00C3701E" w:rsidRPr="00B86350" w:rsidRDefault="00C3701E">
      <w:pPr>
        <w:pStyle w:val="EndnoteText"/>
        <w:rPr>
          <w:lang w:val="en-US"/>
        </w:rPr>
      </w:pPr>
      <w:r w:rsidRPr="00B86350">
        <w:rPr>
          <w:rStyle w:val="EndnoteReference"/>
        </w:rPr>
        <w:endnoteRef/>
      </w:r>
      <w:r w:rsidRPr="00B86350">
        <w:t xml:space="preserve"> </w:t>
      </w:r>
      <w:hyperlink r:id="rId11" w:tgtFrame="_blank" w:history="1">
        <w:r w:rsidRPr="00B86350">
          <w:rPr>
            <w:rStyle w:val="normaltextrun"/>
            <w:rFonts w:cs="Arial"/>
            <w:szCs w:val="18"/>
            <w:u w:val="single"/>
            <w:shd w:val="clear" w:color="auto" w:fill="E1E3E6"/>
          </w:rPr>
          <w:t>https://www.stpeters.school.nz/Alumni/Historical-Abuse-Apology;</w:t>
        </w:r>
        <w:r w:rsidRPr="00B86350">
          <w:rPr>
            <w:rStyle w:val="apple-converted-space"/>
            <w:rFonts w:cs="Arial"/>
            <w:szCs w:val="18"/>
            <w:u w:val="single"/>
            <w:shd w:val="clear" w:color="auto" w:fill="E1E3E6"/>
          </w:rPr>
          <w:t> </w:t>
        </w:r>
      </w:hyperlink>
      <w:hyperlink r:id="rId12" w:tgtFrame="_blank" w:history="1">
        <w:r w:rsidRPr="00B86350">
          <w:rPr>
            <w:rStyle w:val="normaltextrun"/>
            <w:rFonts w:cs="Arial"/>
            <w:szCs w:val="18"/>
            <w:u w:val="single"/>
            <w:shd w:val="clear" w:color="auto" w:fill="E1E3E6"/>
          </w:rPr>
          <w:t>https://atwc.org.nz/wp-content/uploads/2021/05/ATWC-royal-commission-2.pdf;</w:t>
        </w:r>
        <w:r w:rsidRPr="00B86350">
          <w:rPr>
            <w:rStyle w:val="apple-converted-space"/>
            <w:rFonts w:cs="Arial"/>
            <w:szCs w:val="18"/>
            <w:u w:val="single"/>
            <w:shd w:val="clear" w:color="auto" w:fill="E1E3E6"/>
          </w:rPr>
          <w:t> </w:t>
        </w:r>
      </w:hyperlink>
      <w:hyperlink r:id="rId13" w:tgtFrame="_blank" w:history="1">
        <w:r w:rsidRPr="00B86350">
          <w:rPr>
            <w:rStyle w:val="normaltextrun"/>
            <w:rFonts w:cs="Arial"/>
            <w:szCs w:val="18"/>
            <w:u w:val="single"/>
            <w:shd w:val="clear" w:color="auto" w:fill="E1E3E6"/>
          </w:rPr>
          <w:t>https://christscollege.com/about-us/governance/royal-commission-of-inquiry.</w:t>
        </w:r>
        <w:r w:rsidRPr="00B86350">
          <w:rPr>
            <w:rStyle w:val="apple-converted-space"/>
            <w:rFonts w:cs="Arial"/>
            <w:szCs w:val="18"/>
            <w:u w:val="single"/>
            <w:shd w:val="clear" w:color="auto" w:fill="E1E3E6"/>
          </w:rPr>
          <w:t> </w:t>
        </w:r>
      </w:hyperlink>
    </w:p>
  </w:endnote>
  <w:endnote w:id="181">
    <w:p w14:paraId="18EF0387" w14:textId="5B858E07" w:rsidR="00C3701E" w:rsidRPr="00EF0681" w:rsidRDefault="00C3701E">
      <w:pPr>
        <w:pStyle w:val="EndnoteText"/>
      </w:pPr>
      <w:r w:rsidRPr="00B86350">
        <w:rPr>
          <w:rStyle w:val="EndnoteReference"/>
        </w:rPr>
        <w:endnoteRef/>
      </w:r>
      <w:r w:rsidRPr="00B86350">
        <w:t xml:space="preserve"> Redress Submission on behalf of The Anglican Church in Aotearoa, New Zealand and Polynesia, Te Hāhi Mihinare ki Aotearoa ki </w:t>
      </w:r>
      <w:r w:rsidRPr="00EF0681">
        <w:t>Niu Tireni, Ki Ngā Moutere o te Moana Nui a Kiwa dated 23 June 2021 at 7</w:t>
      </w:r>
      <w:r>
        <w:t xml:space="preserve">; Transcript of evidence of the Most Reverend Philip Richardson at the </w:t>
      </w:r>
      <w:r w:rsidRPr="005E2A47">
        <w:rPr>
          <w:rFonts w:cs="Arial"/>
          <w:szCs w:val="18"/>
        </w:rPr>
        <w:t xml:space="preserve">Inquiry’s </w:t>
      </w:r>
      <w:r>
        <w:t>Faith-based Institutional Response Hearing</w:t>
      </w:r>
      <w:r w:rsidRPr="005E2A47">
        <w:rPr>
          <w:rFonts w:cs="Arial"/>
          <w:szCs w:val="18"/>
        </w:rPr>
        <w:t xml:space="preserve"> (Royal Commission of Inquiry into Abuse in Care, </w:t>
      </w:r>
      <w:r>
        <w:rPr>
          <w:rFonts w:cs="Arial"/>
          <w:szCs w:val="18"/>
        </w:rPr>
        <w:t>20</w:t>
      </w:r>
      <w:r w:rsidRPr="005E2A47">
        <w:rPr>
          <w:rFonts w:cs="Arial"/>
          <w:szCs w:val="18"/>
        </w:rPr>
        <w:t xml:space="preserve"> October 2022</w:t>
      </w:r>
      <w:r w:rsidRPr="005E2A47">
        <w:rPr>
          <w:rStyle w:val="Hyperlink"/>
          <w:rFonts w:cs="Arial"/>
          <w:color w:val="auto"/>
          <w:szCs w:val="18"/>
          <w:u w:val="none"/>
        </w:rPr>
        <w:t>,</w:t>
      </w:r>
      <w:r w:rsidRPr="005E2A47">
        <w:rPr>
          <w:rFonts w:cs="Arial"/>
          <w:szCs w:val="18"/>
        </w:rPr>
        <w:t xml:space="preserve"> page </w:t>
      </w:r>
      <w:r>
        <w:rPr>
          <w:rFonts w:cs="Arial"/>
          <w:szCs w:val="18"/>
        </w:rPr>
        <w:t>553</w:t>
      </w:r>
      <w:r w:rsidRPr="005E2A47">
        <w:rPr>
          <w:rFonts w:cs="Arial"/>
          <w:szCs w:val="18"/>
        </w:rPr>
        <w:t>).</w:t>
      </w:r>
    </w:p>
  </w:endnote>
  <w:endnote w:id="182">
    <w:p w14:paraId="050B2FFB" w14:textId="7BA08F87" w:rsidR="00C3701E" w:rsidRPr="00F72D1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w:t>
      </w:r>
      <w:r w:rsidRPr="00F72D17">
        <w:rPr>
          <w:rFonts w:cs="Arial"/>
          <w:szCs w:val="18"/>
        </w:rPr>
        <w:t>The Methodist Church of New Zealand, Information to applicants making a claim of abuse that occurred while in Methodist care (</w:t>
      </w:r>
      <w:r w:rsidRPr="00641874">
        <w:rPr>
          <w:rFonts w:cs="Arial"/>
          <w:szCs w:val="18"/>
        </w:rPr>
        <w:t>October 2019</w:t>
      </w:r>
      <w:r w:rsidRPr="00F72D17">
        <w:rPr>
          <w:rFonts w:cs="Arial"/>
          <w:szCs w:val="18"/>
        </w:rPr>
        <w:t xml:space="preserve">). </w:t>
      </w:r>
    </w:p>
  </w:endnote>
  <w:endnote w:id="183">
    <w:p w14:paraId="193C5FFE" w14:textId="6BBB96B2" w:rsidR="00C3701E" w:rsidRPr="00F72D17" w:rsidRDefault="00C3701E" w:rsidP="00E45334">
      <w:pPr>
        <w:pStyle w:val="EndnoteText"/>
        <w:spacing w:before="120"/>
        <w:rPr>
          <w:rFonts w:cs="Arial"/>
          <w:szCs w:val="18"/>
        </w:rPr>
      </w:pPr>
      <w:r w:rsidRPr="00F72D17">
        <w:rPr>
          <w:rStyle w:val="EndnoteReference"/>
          <w:rFonts w:cs="Arial"/>
          <w:szCs w:val="18"/>
        </w:rPr>
        <w:endnoteRef/>
      </w:r>
      <w:r w:rsidRPr="00F72D17">
        <w:rPr>
          <w:rFonts w:cs="Arial"/>
          <w:szCs w:val="18"/>
        </w:rPr>
        <w:t xml:space="preserve"> Transcript of evidence of Reverend Tara Tautari at the Inquiry’s </w:t>
      </w:r>
      <w:r>
        <w:t>Faith-based Institutional Response Hearing</w:t>
      </w:r>
      <w:r w:rsidRPr="00F72D17">
        <w:rPr>
          <w:rFonts w:cs="Arial"/>
          <w:szCs w:val="18"/>
        </w:rPr>
        <w:t xml:space="preserve"> (Royal Commission of Inquiry into Abuse in Care, 18 October 2022</w:t>
      </w:r>
      <w:r w:rsidRPr="00F72D17">
        <w:rPr>
          <w:rStyle w:val="Hyperlink"/>
          <w:rFonts w:cs="Arial"/>
          <w:color w:val="auto"/>
          <w:szCs w:val="18"/>
          <w:u w:val="none"/>
        </w:rPr>
        <w:t>,</w:t>
      </w:r>
      <w:r w:rsidRPr="00F72D17">
        <w:rPr>
          <w:rFonts w:cs="Arial"/>
          <w:szCs w:val="18"/>
        </w:rPr>
        <w:t xml:space="preserve"> page 344).</w:t>
      </w:r>
    </w:p>
  </w:endnote>
  <w:endnote w:id="184">
    <w:p w14:paraId="3C3B4267" w14:textId="582C6F28" w:rsidR="00C3701E" w:rsidRPr="00F72D17" w:rsidRDefault="00C3701E" w:rsidP="00E45334">
      <w:pPr>
        <w:pStyle w:val="EndnoteText"/>
        <w:spacing w:before="120"/>
        <w:rPr>
          <w:rFonts w:cs="Arial"/>
          <w:szCs w:val="18"/>
        </w:rPr>
      </w:pPr>
      <w:r w:rsidRPr="00F72D17">
        <w:rPr>
          <w:rStyle w:val="EndnoteReference"/>
          <w:rFonts w:cs="Arial"/>
          <w:szCs w:val="18"/>
        </w:rPr>
        <w:endnoteRef/>
      </w:r>
      <w:r w:rsidRPr="00F72D17">
        <w:rPr>
          <w:rFonts w:cs="Arial"/>
          <w:szCs w:val="18"/>
        </w:rPr>
        <w:t xml:space="preserve"> Transcript of evidence of Reverend Tara Tautari at the Inquiry’s </w:t>
      </w:r>
      <w:r>
        <w:t>Faith-based Institutional Response Hearing</w:t>
      </w:r>
      <w:r w:rsidRPr="00F72D17">
        <w:rPr>
          <w:rFonts w:cs="Arial"/>
          <w:szCs w:val="18"/>
        </w:rPr>
        <w:t xml:space="preserve"> (Royal Commission of Inquiry into Abuse in Care, 18 October 2022</w:t>
      </w:r>
      <w:r w:rsidRPr="00F72D17">
        <w:rPr>
          <w:rStyle w:val="Hyperlink"/>
          <w:rFonts w:cs="Arial"/>
          <w:color w:val="auto"/>
          <w:szCs w:val="18"/>
          <w:u w:val="none"/>
        </w:rPr>
        <w:t>,</w:t>
      </w:r>
      <w:r w:rsidRPr="00F72D17">
        <w:rPr>
          <w:rFonts w:cs="Arial"/>
          <w:szCs w:val="18"/>
        </w:rPr>
        <w:t xml:space="preserve"> page 250).</w:t>
      </w:r>
    </w:p>
  </w:endnote>
  <w:endnote w:id="185">
    <w:p w14:paraId="486F4CEC" w14:textId="006CC85E" w:rsidR="00C3701E" w:rsidRPr="005E2A47" w:rsidRDefault="00C3701E" w:rsidP="00E45334">
      <w:pPr>
        <w:pStyle w:val="EndnoteText"/>
        <w:spacing w:before="120"/>
        <w:rPr>
          <w:rFonts w:cs="Arial"/>
          <w:szCs w:val="18"/>
        </w:rPr>
      </w:pPr>
      <w:r w:rsidRPr="00F72D17">
        <w:rPr>
          <w:rStyle w:val="EndnoteReference"/>
          <w:rFonts w:cs="Arial"/>
          <w:szCs w:val="18"/>
        </w:rPr>
        <w:endnoteRef/>
      </w:r>
      <w:r w:rsidRPr="00F72D17">
        <w:rPr>
          <w:rFonts w:cs="Arial"/>
          <w:szCs w:val="18"/>
        </w:rPr>
        <w:t xml:space="preserve"> Presbyterian church of Aotearoa New Zealand website, Contact Us, Historic abuse (</w:t>
      </w:r>
      <w:r w:rsidRPr="00641874">
        <w:rPr>
          <w:rFonts w:cs="Arial"/>
          <w:szCs w:val="18"/>
        </w:rPr>
        <w:t>accessed on 12 August 2023</w:t>
      </w:r>
      <w:r w:rsidRPr="00F72D17">
        <w:rPr>
          <w:rFonts w:cs="Arial"/>
          <w:szCs w:val="18"/>
        </w:rPr>
        <w:t>), https://www.presbyterian.org.nz/about-us/contact-us/historic-abuse.</w:t>
      </w:r>
    </w:p>
  </w:endnote>
  <w:endnote w:id="186">
    <w:p w14:paraId="70E6DBF6" w14:textId="1749C825"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w:t>
      </w:r>
      <w:r w:rsidRPr="005E2A47">
        <w:rPr>
          <w:rFonts w:cs="Arial"/>
          <w:szCs w:val="18"/>
          <w:shd w:val="clear" w:color="auto" w:fill="FFFFFF"/>
        </w:rPr>
        <w:t xml:space="preserve">Transcript of proceedings at </w:t>
      </w:r>
      <w:r w:rsidRPr="005E2A47">
        <w:rPr>
          <w:rFonts w:cs="Arial"/>
          <w:szCs w:val="18"/>
        </w:rPr>
        <w:t xml:space="preserve">the Inquiry’s </w:t>
      </w:r>
      <w:r>
        <w:t>Faith-based Institutional Response Hearing</w:t>
      </w:r>
      <w:r w:rsidRPr="005E2A47">
        <w:rPr>
          <w:rStyle w:val="normaltextrun"/>
          <w:rFonts w:cs="Arial"/>
          <w:szCs w:val="18"/>
          <w:shd w:val="clear" w:color="auto" w:fill="FFFFFF"/>
        </w:rPr>
        <w:t xml:space="preserve"> (</w:t>
      </w:r>
      <w:r w:rsidRPr="005E2A47">
        <w:rPr>
          <w:rFonts w:cs="Arial"/>
          <w:szCs w:val="18"/>
        </w:rPr>
        <w:t xml:space="preserve">Royal Commission of Inquiry into Abuse in Care, </w:t>
      </w:r>
      <w:r w:rsidRPr="005E2A47">
        <w:rPr>
          <w:rStyle w:val="normaltextrun"/>
          <w:rFonts w:cs="Arial"/>
          <w:szCs w:val="18"/>
          <w:shd w:val="clear" w:color="auto" w:fill="FFFFFF"/>
        </w:rPr>
        <w:t>19 October 2022, pages 316–318).</w:t>
      </w:r>
    </w:p>
  </w:endnote>
  <w:endnote w:id="187">
    <w:p w14:paraId="63917196" w14:textId="1E72845E"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w:t>
      </w:r>
      <w:r w:rsidRPr="005E2A47">
        <w:rPr>
          <w:rFonts w:cs="Arial"/>
          <w:szCs w:val="18"/>
          <w:shd w:val="clear" w:color="auto" w:fill="FFFFFF"/>
        </w:rPr>
        <w:t xml:space="preserve">Transcript of proceedings at </w:t>
      </w:r>
      <w:r w:rsidRPr="005E2A47">
        <w:rPr>
          <w:rFonts w:cs="Arial"/>
          <w:szCs w:val="18"/>
        </w:rPr>
        <w:t xml:space="preserve">the Inquiry’s </w:t>
      </w:r>
      <w:r>
        <w:t>Faith-based Institutional Response Hearing</w:t>
      </w:r>
      <w:r w:rsidRPr="005E2A47">
        <w:rPr>
          <w:rStyle w:val="Hyperlink"/>
          <w:rFonts w:cs="Arial"/>
          <w:color w:val="auto"/>
          <w:szCs w:val="18"/>
          <w:u w:val="none"/>
          <w:shd w:val="clear" w:color="auto" w:fill="FFFFFF"/>
        </w:rPr>
        <w:t xml:space="preserve"> (</w:t>
      </w:r>
      <w:r w:rsidRPr="005E2A47">
        <w:rPr>
          <w:rFonts w:cs="Arial"/>
          <w:szCs w:val="18"/>
        </w:rPr>
        <w:t xml:space="preserve">Royal Commission of Inquiry into Abuse in Care, </w:t>
      </w:r>
      <w:r w:rsidRPr="005E2A47">
        <w:rPr>
          <w:rStyle w:val="normaltextrun"/>
          <w:rFonts w:cs="Arial"/>
          <w:szCs w:val="18"/>
          <w:shd w:val="clear" w:color="auto" w:fill="FFFFFF"/>
        </w:rPr>
        <w:t>19 October 2022, page 319).</w:t>
      </w:r>
    </w:p>
  </w:endnote>
  <w:endnote w:id="188">
    <w:p w14:paraId="5DBF8632" w14:textId="5D61114E"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w:t>
      </w:r>
      <w:r w:rsidRPr="005E2A47">
        <w:rPr>
          <w:rFonts w:cs="Arial"/>
          <w:szCs w:val="18"/>
          <w:shd w:val="clear" w:color="auto" w:fill="FFFFFF"/>
        </w:rPr>
        <w:t xml:space="preserve">Transcript of evidence of Wayne Matheson of Presbyterian Church of Aotearoa New Zealand at </w:t>
      </w:r>
      <w:r w:rsidRPr="005E2A47">
        <w:rPr>
          <w:rFonts w:cs="Arial"/>
          <w:szCs w:val="18"/>
        </w:rPr>
        <w:t xml:space="preserve">the Inquiry’s </w:t>
      </w:r>
      <w:r>
        <w:t>Faith-based Institutional Response Hearing</w:t>
      </w:r>
      <w:r w:rsidRPr="005E2A47">
        <w:rPr>
          <w:rFonts w:cs="Arial"/>
          <w:szCs w:val="18"/>
          <w:shd w:val="clear" w:color="auto" w:fill="FFFFFF"/>
        </w:rPr>
        <w:t xml:space="preserve"> </w:t>
      </w:r>
      <w:r w:rsidRPr="005E2A47">
        <w:rPr>
          <w:rStyle w:val="normaltextrun"/>
          <w:rFonts w:cs="Arial"/>
          <w:szCs w:val="18"/>
          <w:shd w:val="clear" w:color="auto" w:fill="FFFFFF"/>
        </w:rPr>
        <w:t>(</w:t>
      </w:r>
      <w:r w:rsidRPr="005E2A47">
        <w:rPr>
          <w:rFonts w:cs="Arial"/>
          <w:szCs w:val="18"/>
        </w:rPr>
        <w:t xml:space="preserve">Royal Commission of Inquiry into Abuse in Care, </w:t>
      </w:r>
      <w:r w:rsidRPr="005E2A47">
        <w:rPr>
          <w:rStyle w:val="normaltextrun"/>
          <w:rFonts w:cs="Arial"/>
          <w:szCs w:val="18"/>
          <w:shd w:val="clear" w:color="auto" w:fill="FFFFFF"/>
        </w:rPr>
        <w:t>19 October 2022, pages 312–313).</w:t>
      </w:r>
      <w:r w:rsidRPr="005E2A47">
        <w:rPr>
          <w:rStyle w:val="eop"/>
          <w:rFonts w:cs="Arial"/>
          <w:szCs w:val="18"/>
          <w:shd w:val="clear" w:color="auto" w:fill="FFFFFF"/>
        </w:rPr>
        <w:t> </w:t>
      </w:r>
    </w:p>
  </w:endnote>
  <w:endnote w:id="189">
    <w:p w14:paraId="178C0BED" w14:textId="18DF3040" w:rsidR="00C3701E" w:rsidRPr="00F72D1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Transcript of evidence of Jo O‘Neill</w:t>
      </w:r>
      <w:r>
        <w:rPr>
          <w:rFonts w:cs="Arial"/>
          <w:szCs w:val="18"/>
        </w:rPr>
        <w:t>, CEO</w:t>
      </w:r>
      <w:r w:rsidRPr="005E2A47">
        <w:rPr>
          <w:rFonts w:cs="Arial"/>
          <w:szCs w:val="18"/>
        </w:rPr>
        <w:t xml:space="preserve"> of Presbyterian Support Otago</w:t>
      </w:r>
      <w:r>
        <w:rPr>
          <w:rFonts w:cs="Arial"/>
          <w:szCs w:val="18"/>
        </w:rPr>
        <w:t>,</w:t>
      </w:r>
      <w:r w:rsidRPr="005E2A47">
        <w:rPr>
          <w:rFonts w:cs="Arial"/>
          <w:szCs w:val="18"/>
        </w:rPr>
        <w:t xml:space="preserve"> </w:t>
      </w:r>
      <w:r w:rsidRPr="005E2A47">
        <w:rPr>
          <w:rFonts w:cs="Arial"/>
          <w:szCs w:val="18"/>
          <w:shd w:val="clear" w:color="auto" w:fill="FFFFFF"/>
        </w:rPr>
        <w:t xml:space="preserve">at </w:t>
      </w:r>
      <w:r w:rsidRPr="005E2A47">
        <w:rPr>
          <w:rFonts w:cs="Arial"/>
          <w:szCs w:val="18"/>
        </w:rPr>
        <w:t xml:space="preserve">the Inquiry’s </w:t>
      </w:r>
      <w:r>
        <w:t>Faith-based Institutional Response Hearing</w:t>
      </w:r>
      <w:r w:rsidRPr="005E2A47">
        <w:rPr>
          <w:rFonts w:cs="Arial"/>
          <w:szCs w:val="18"/>
        </w:rPr>
        <w:t xml:space="preserve"> (Royal Commission of Inquiry into Abuse in Care, 19 October 2022, </w:t>
      </w:r>
      <w:r w:rsidRPr="00F72D17">
        <w:rPr>
          <w:rFonts w:cs="Arial"/>
          <w:szCs w:val="18"/>
        </w:rPr>
        <w:t xml:space="preserve">page 287 </w:t>
      </w:r>
      <w:r w:rsidRPr="00641874">
        <w:rPr>
          <w:rFonts w:cs="Arial"/>
          <w:szCs w:val="18"/>
        </w:rPr>
        <w:t>at 11–12).</w:t>
      </w:r>
      <w:r w:rsidRPr="00F72D17">
        <w:rPr>
          <w:rFonts w:cs="Arial"/>
          <w:szCs w:val="18"/>
        </w:rPr>
        <w:t xml:space="preserve"> </w:t>
      </w:r>
    </w:p>
  </w:endnote>
  <w:endnote w:id="190">
    <w:p w14:paraId="72B23BD1" w14:textId="4813A140" w:rsidR="00C3701E" w:rsidRPr="00F72D17" w:rsidRDefault="00C3701E" w:rsidP="00E45334">
      <w:pPr>
        <w:pStyle w:val="EndnoteText"/>
        <w:spacing w:before="120"/>
        <w:rPr>
          <w:rFonts w:cs="Arial"/>
          <w:szCs w:val="18"/>
        </w:rPr>
      </w:pPr>
      <w:r w:rsidRPr="00F72D17">
        <w:rPr>
          <w:rStyle w:val="EndnoteReference"/>
          <w:rFonts w:cs="Arial"/>
          <w:szCs w:val="18"/>
        </w:rPr>
        <w:endnoteRef/>
      </w:r>
      <w:r w:rsidRPr="00F72D17">
        <w:rPr>
          <w:rFonts w:cs="Arial"/>
          <w:szCs w:val="18"/>
        </w:rPr>
        <w:t xml:space="preserve"> Transcript of evidence of Jo O‘Neill</w:t>
      </w:r>
      <w:r>
        <w:rPr>
          <w:rFonts w:cs="Arial"/>
          <w:szCs w:val="18"/>
        </w:rPr>
        <w:t xml:space="preserve">, CEO </w:t>
      </w:r>
      <w:r w:rsidRPr="00F72D17">
        <w:rPr>
          <w:rFonts w:cs="Arial"/>
          <w:szCs w:val="18"/>
        </w:rPr>
        <w:t>of Presbyterian Support Otago</w:t>
      </w:r>
      <w:r>
        <w:rPr>
          <w:rFonts w:cs="Arial"/>
          <w:szCs w:val="18"/>
        </w:rPr>
        <w:t>,</w:t>
      </w:r>
      <w:r w:rsidRPr="00F72D17">
        <w:rPr>
          <w:rFonts w:cs="Arial"/>
          <w:szCs w:val="18"/>
        </w:rPr>
        <w:t xml:space="preserve"> </w:t>
      </w:r>
      <w:r w:rsidRPr="00F72D17">
        <w:rPr>
          <w:rFonts w:cs="Arial"/>
          <w:szCs w:val="18"/>
          <w:shd w:val="clear" w:color="auto" w:fill="FFFFFF"/>
        </w:rPr>
        <w:t xml:space="preserve">at </w:t>
      </w:r>
      <w:r w:rsidRPr="00F72D17">
        <w:rPr>
          <w:rFonts w:cs="Arial"/>
          <w:szCs w:val="18"/>
        </w:rPr>
        <w:t xml:space="preserve">the Inquiry’s </w:t>
      </w:r>
      <w:r>
        <w:t>Faith-based Institutional Response Hearing</w:t>
      </w:r>
      <w:r w:rsidRPr="00F72D17">
        <w:t xml:space="preserve"> (</w:t>
      </w:r>
      <w:r w:rsidRPr="00F72D17">
        <w:rPr>
          <w:rFonts w:cs="Arial"/>
          <w:szCs w:val="18"/>
        </w:rPr>
        <w:t xml:space="preserve">Royal Commission of Inquiry into Abuse in Care, 19 October 2022, page 287 </w:t>
      </w:r>
      <w:r w:rsidRPr="00641874">
        <w:rPr>
          <w:rFonts w:cs="Arial"/>
          <w:szCs w:val="18"/>
        </w:rPr>
        <w:t>at 11–12).</w:t>
      </w:r>
    </w:p>
  </w:endnote>
  <w:endnote w:id="191">
    <w:p w14:paraId="3AADAE06" w14:textId="341DF090" w:rsidR="00C3701E" w:rsidRPr="005E2A47" w:rsidRDefault="00C3701E" w:rsidP="00E45334">
      <w:pPr>
        <w:pStyle w:val="EndnoteText"/>
        <w:spacing w:before="120"/>
        <w:rPr>
          <w:rFonts w:cs="Arial"/>
          <w:szCs w:val="18"/>
        </w:rPr>
      </w:pPr>
      <w:r w:rsidRPr="00F72D17">
        <w:rPr>
          <w:rStyle w:val="EndnoteReference"/>
          <w:rFonts w:cs="Arial"/>
          <w:szCs w:val="18"/>
        </w:rPr>
        <w:endnoteRef/>
      </w:r>
      <w:r w:rsidRPr="00F72D17">
        <w:rPr>
          <w:rFonts w:cs="Arial"/>
          <w:szCs w:val="18"/>
        </w:rPr>
        <w:t xml:space="preserve"> Jo O’Neill, </w:t>
      </w:r>
      <w:r>
        <w:rPr>
          <w:rFonts w:cs="Arial"/>
          <w:szCs w:val="18"/>
        </w:rPr>
        <w:t>CEO</w:t>
      </w:r>
      <w:r w:rsidRPr="00F72D17">
        <w:rPr>
          <w:rFonts w:cs="Arial"/>
          <w:szCs w:val="18"/>
        </w:rPr>
        <w:t xml:space="preserve"> of Presbyterian Support Otago, </w:t>
      </w:r>
      <w:r w:rsidRPr="00F72D17">
        <w:rPr>
          <w:rFonts w:cs="Arial"/>
          <w:spacing w:val="8"/>
          <w:szCs w:val="18"/>
          <w:shd w:val="clear" w:color="auto" w:fill="FFFFFF"/>
        </w:rPr>
        <w:t>Notes of discussions with senior</w:t>
      </w:r>
      <w:r w:rsidRPr="005E2A47">
        <w:rPr>
          <w:rFonts w:cs="Arial"/>
          <w:spacing w:val="8"/>
          <w:szCs w:val="18"/>
          <w:shd w:val="clear" w:color="auto" w:fill="FFFFFF"/>
        </w:rPr>
        <w:t xml:space="preserve"> staff regarding the destruction of records</w:t>
      </w:r>
      <w:r>
        <w:rPr>
          <w:rFonts w:cs="Arial"/>
          <w:spacing w:val="8"/>
          <w:szCs w:val="18"/>
          <w:shd w:val="clear" w:color="auto" w:fill="FFFFFF"/>
        </w:rPr>
        <w:t xml:space="preserve"> (21 December 2020</w:t>
      </w:r>
      <w:r w:rsidRPr="005E2A47">
        <w:rPr>
          <w:rFonts w:cs="Arial"/>
          <w:szCs w:val="18"/>
        </w:rPr>
        <w:t>, p</w:t>
      </w:r>
      <w:r>
        <w:rPr>
          <w:rFonts w:cs="Arial"/>
          <w:szCs w:val="18"/>
        </w:rPr>
        <w:t>age</w:t>
      </w:r>
      <w:r w:rsidRPr="005E2A47">
        <w:rPr>
          <w:rFonts w:cs="Arial"/>
          <w:szCs w:val="18"/>
        </w:rPr>
        <w:t xml:space="preserve"> 1</w:t>
      </w:r>
      <w:r>
        <w:rPr>
          <w:rFonts w:cs="Arial"/>
          <w:szCs w:val="18"/>
        </w:rPr>
        <w:t>).</w:t>
      </w:r>
      <w:r w:rsidRPr="005E2A47">
        <w:rPr>
          <w:rFonts w:cs="Arial"/>
          <w:szCs w:val="18"/>
        </w:rPr>
        <w:t xml:space="preserve"> </w:t>
      </w:r>
    </w:p>
  </w:endnote>
  <w:endnote w:id="192">
    <w:p w14:paraId="33F9E1A4" w14:textId="666B16C2"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w:t>
      </w:r>
      <w:r w:rsidRPr="005E2A47">
        <w:rPr>
          <w:rFonts w:cs="Arial"/>
          <w:szCs w:val="18"/>
          <w:shd w:val="clear" w:color="auto" w:fill="FFFFFF"/>
        </w:rPr>
        <w:t>Transcript of evidence of Jo O’Neill</w:t>
      </w:r>
      <w:r>
        <w:rPr>
          <w:rFonts w:cs="Arial"/>
          <w:szCs w:val="18"/>
          <w:shd w:val="clear" w:color="auto" w:fill="FFFFFF"/>
        </w:rPr>
        <w:t>, CEO</w:t>
      </w:r>
      <w:r w:rsidRPr="005E2A47">
        <w:rPr>
          <w:rFonts w:cs="Arial"/>
          <w:szCs w:val="18"/>
          <w:shd w:val="clear" w:color="auto" w:fill="FFFFFF"/>
        </w:rPr>
        <w:t xml:space="preserve"> of Presbyterian Support Otago</w:t>
      </w:r>
      <w:r>
        <w:rPr>
          <w:rFonts w:cs="Arial"/>
          <w:szCs w:val="18"/>
          <w:shd w:val="clear" w:color="auto" w:fill="FFFFFF"/>
        </w:rPr>
        <w:t>,</w:t>
      </w:r>
      <w:r w:rsidRPr="005E2A47">
        <w:rPr>
          <w:rFonts w:cs="Arial"/>
          <w:szCs w:val="18"/>
          <w:shd w:val="clear" w:color="auto" w:fill="FFFFFF"/>
        </w:rPr>
        <w:t xml:space="preserve"> at </w:t>
      </w:r>
      <w:r w:rsidRPr="005E2A47">
        <w:rPr>
          <w:rFonts w:cs="Arial"/>
          <w:szCs w:val="18"/>
        </w:rPr>
        <w:t xml:space="preserve">the Inquiry’s </w:t>
      </w:r>
      <w:r>
        <w:t>Faith-based Institutional Response Hearing (</w:t>
      </w:r>
      <w:r w:rsidRPr="005E2A47">
        <w:rPr>
          <w:rFonts w:cs="Arial"/>
          <w:szCs w:val="18"/>
        </w:rPr>
        <w:t>Royal Commission of Inquiry into Abuse in Care, 19 October 2022</w:t>
      </w:r>
      <w:r w:rsidRPr="005E2A47">
        <w:rPr>
          <w:rStyle w:val="normaltextrun"/>
          <w:rFonts w:cs="Arial"/>
          <w:szCs w:val="18"/>
          <w:shd w:val="clear" w:color="auto" w:fill="FFFFFF"/>
        </w:rPr>
        <w:t>, page 290).</w:t>
      </w:r>
      <w:r w:rsidRPr="005E2A47">
        <w:rPr>
          <w:rStyle w:val="eop"/>
          <w:rFonts w:cs="Arial"/>
          <w:szCs w:val="18"/>
          <w:shd w:val="clear" w:color="auto" w:fill="FFFFFF"/>
        </w:rPr>
        <w:t> </w:t>
      </w:r>
    </w:p>
  </w:endnote>
  <w:endnote w:id="193">
    <w:p w14:paraId="145212AB" w14:textId="27581E53"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Presbyterian Church of Aotearoa New Zealand</w:t>
      </w:r>
      <w:r>
        <w:rPr>
          <w:rFonts w:cs="Arial"/>
          <w:szCs w:val="18"/>
        </w:rPr>
        <w:t>,</w:t>
      </w:r>
      <w:r w:rsidRPr="005E2A47">
        <w:rPr>
          <w:rFonts w:cs="Arial"/>
          <w:szCs w:val="18"/>
        </w:rPr>
        <w:t xml:space="preserve"> </w:t>
      </w:r>
      <w:r>
        <w:rPr>
          <w:rFonts w:cs="Arial"/>
          <w:szCs w:val="18"/>
        </w:rPr>
        <w:t>R</w:t>
      </w:r>
      <w:r w:rsidRPr="005E2A47">
        <w:rPr>
          <w:rFonts w:cs="Arial"/>
          <w:szCs w:val="18"/>
        </w:rPr>
        <w:t>esponse</w:t>
      </w:r>
      <w:r w:rsidRPr="00EC599E">
        <w:rPr>
          <w:rFonts w:eastAsia="Arial" w:cs="Arial"/>
          <w:color w:val="333333"/>
          <w:szCs w:val="18"/>
        </w:rPr>
        <w:t xml:space="preserve"> </w:t>
      </w:r>
      <w:r w:rsidRPr="00F74536">
        <w:rPr>
          <w:rFonts w:eastAsia="Arial" w:cs="Arial"/>
          <w:color w:val="333333"/>
          <w:szCs w:val="18"/>
        </w:rPr>
        <w:t xml:space="preserve">to </w:t>
      </w:r>
      <w:r>
        <w:rPr>
          <w:rFonts w:eastAsia="Arial" w:cs="Arial"/>
          <w:color w:val="333333"/>
          <w:szCs w:val="18"/>
        </w:rPr>
        <w:t xml:space="preserve">the </w:t>
      </w:r>
      <w:r w:rsidRPr="00F74536">
        <w:rPr>
          <w:rFonts w:eastAsiaTheme="minorEastAsia" w:cs="Arial"/>
          <w:color w:val="333333"/>
          <w:szCs w:val="18"/>
        </w:rPr>
        <w:t>Royal Commission of Inquiry into Abuse in Care</w:t>
      </w:r>
      <w:r w:rsidRPr="005E2A47">
        <w:rPr>
          <w:rFonts w:cs="Arial"/>
          <w:szCs w:val="18"/>
        </w:rPr>
        <w:t xml:space="preserve"> Notice </w:t>
      </w:r>
      <w:r>
        <w:rPr>
          <w:rFonts w:cs="Arial"/>
          <w:szCs w:val="18"/>
        </w:rPr>
        <w:t xml:space="preserve">to Produce No </w:t>
      </w:r>
      <w:r w:rsidRPr="005E2A47">
        <w:rPr>
          <w:rFonts w:cs="Arial"/>
          <w:szCs w:val="18"/>
        </w:rPr>
        <w:t>523 (4 October 2022, p</w:t>
      </w:r>
      <w:r>
        <w:rPr>
          <w:rFonts w:cs="Arial"/>
          <w:szCs w:val="18"/>
        </w:rPr>
        <w:t>age</w:t>
      </w:r>
      <w:r w:rsidRPr="005E2A47">
        <w:rPr>
          <w:rFonts w:cs="Arial"/>
          <w:szCs w:val="18"/>
        </w:rPr>
        <w:t xml:space="preserve"> 1, para</w:t>
      </w:r>
      <w:r>
        <w:rPr>
          <w:rFonts w:cs="Arial"/>
          <w:szCs w:val="18"/>
        </w:rPr>
        <w:t>s</w:t>
      </w:r>
      <w:r w:rsidRPr="005E2A47">
        <w:rPr>
          <w:rFonts w:cs="Arial"/>
          <w:szCs w:val="18"/>
        </w:rPr>
        <w:t xml:space="preserve"> a</w:t>
      </w:r>
      <w:r>
        <w:rPr>
          <w:rFonts w:cs="Arial"/>
          <w:szCs w:val="18"/>
        </w:rPr>
        <w:t>–</w:t>
      </w:r>
      <w:r w:rsidRPr="005E2A47">
        <w:rPr>
          <w:rFonts w:cs="Arial"/>
          <w:szCs w:val="18"/>
        </w:rPr>
        <w:t>b</w:t>
      </w:r>
      <w:r>
        <w:rPr>
          <w:rFonts w:cs="Arial"/>
          <w:szCs w:val="18"/>
        </w:rPr>
        <w:t>)</w:t>
      </w:r>
      <w:r w:rsidRPr="005E2A47">
        <w:rPr>
          <w:rFonts w:cs="Arial"/>
          <w:szCs w:val="18"/>
        </w:rPr>
        <w:t>.</w:t>
      </w:r>
    </w:p>
  </w:endnote>
  <w:endnote w:id="194">
    <w:p w14:paraId="1F1C1816" w14:textId="121E9061" w:rsidR="00C3701E" w:rsidRPr="00FC46E7" w:rsidRDefault="00C3701E">
      <w:pPr>
        <w:pStyle w:val="EndnoteText"/>
      </w:pPr>
      <w:r>
        <w:rPr>
          <w:rStyle w:val="EndnoteReference"/>
        </w:rPr>
        <w:endnoteRef/>
      </w:r>
      <w:r>
        <w:t xml:space="preserve"> </w:t>
      </w:r>
      <w:r w:rsidRPr="005E2A47">
        <w:rPr>
          <w:rFonts w:cs="Arial"/>
          <w:szCs w:val="18"/>
          <w:shd w:val="clear" w:color="auto" w:fill="FFFFFF"/>
        </w:rPr>
        <w:t>Transcript of evidence of Jo O’Neill</w:t>
      </w:r>
      <w:r>
        <w:rPr>
          <w:rFonts w:cs="Arial"/>
          <w:szCs w:val="18"/>
          <w:shd w:val="clear" w:color="auto" w:fill="FFFFFF"/>
        </w:rPr>
        <w:t>, CEO</w:t>
      </w:r>
      <w:r w:rsidRPr="005E2A47">
        <w:rPr>
          <w:rFonts w:cs="Arial"/>
          <w:szCs w:val="18"/>
          <w:shd w:val="clear" w:color="auto" w:fill="FFFFFF"/>
        </w:rPr>
        <w:t xml:space="preserve"> of Presbyterian Support Otago</w:t>
      </w:r>
      <w:r>
        <w:rPr>
          <w:rFonts w:cs="Arial"/>
          <w:szCs w:val="18"/>
          <w:shd w:val="clear" w:color="auto" w:fill="FFFFFF"/>
        </w:rPr>
        <w:t>,</w:t>
      </w:r>
      <w:r w:rsidRPr="005E2A47">
        <w:rPr>
          <w:rFonts w:cs="Arial"/>
          <w:szCs w:val="18"/>
          <w:shd w:val="clear" w:color="auto" w:fill="FFFFFF"/>
        </w:rPr>
        <w:t xml:space="preserve"> at </w:t>
      </w:r>
      <w:r w:rsidRPr="005E2A47">
        <w:rPr>
          <w:rFonts w:cs="Arial"/>
          <w:szCs w:val="18"/>
        </w:rPr>
        <w:t xml:space="preserve">the Inquiry’s </w:t>
      </w:r>
      <w:r>
        <w:t>Faith-based Institutional Response Hearing (</w:t>
      </w:r>
      <w:r w:rsidRPr="005E2A47">
        <w:rPr>
          <w:rFonts w:cs="Arial"/>
          <w:szCs w:val="18"/>
        </w:rPr>
        <w:t>Royal Commission of Inquiry into Abuse in Care, 19 October 2022</w:t>
      </w:r>
      <w:r w:rsidRPr="005E2A47">
        <w:rPr>
          <w:rStyle w:val="normaltextrun"/>
          <w:rFonts w:cs="Arial"/>
          <w:szCs w:val="18"/>
          <w:shd w:val="clear" w:color="auto" w:fill="FFFFFF"/>
        </w:rPr>
        <w:t>, page 29</w:t>
      </w:r>
      <w:r>
        <w:rPr>
          <w:rStyle w:val="normaltextrun"/>
          <w:rFonts w:cs="Arial"/>
          <w:szCs w:val="18"/>
          <w:shd w:val="clear" w:color="auto" w:fill="FFFFFF"/>
        </w:rPr>
        <w:t>4</w:t>
      </w:r>
      <w:r w:rsidRPr="005E2A47">
        <w:rPr>
          <w:rStyle w:val="normaltextrun"/>
          <w:rFonts w:cs="Arial"/>
          <w:szCs w:val="18"/>
          <w:shd w:val="clear" w:color="auto" w:fill="FFFFFF"/>
        </w:rPr>
        <w:t>)</w:t>
      </w:r>
      <w:r>
        <w:rPr>
          <w:rStyle w:val="normaltextrun"/>
          <w:rFonts w:cs="Arial"/>
          <w:szCs w:val="18"/>
          <w:shd w:val="clear" w:color="auto" w:fill="FFFFFF"/>
        </w:rPr>
        <w:t>.</w:t>
      </w:r>
    </w:p>
  </w:endnote>
  <w:endnote w:id="195">
    <w:p w14:paraId="435D98EB" w14:textId="08B07366" w:rsidR="00C3701E" w:rsidRPr="00FC46E7" w:rsidRDefault="00C3701E">
      <w:pPr>
        <w:pStyle w:val="EndnoteText"/>
      </w:pPr>
      <w:r>
        <w:rPr>
          <w:rStyle w:val="EndnoteReference"/>
        </w:rPr>
        <w:endnoteRef/>
      </w:r>
      <w:r>
        <w:t xml:space="preserve"> </w:t>
      </w:r>
      <w:r w:rsidRPr="005E2A47">
        <w:rPr>
          <w:rFonts w:cs="Arial"/>
          <w:szCs w:val="18"/>
          <w:shd w:val="clear" w:color="auto" w:fill="FFFFFF"/>
        </w:rPr>
        <w:t xml:space="preserve">Transcript of evidence of </w:t>
      </w:r>
      <w:r w:rsidRPr="00FC46E7">
        <w:rPr>
          <w:rFonts w:cs="Arial"/>
          <w:szCs w:val="18"/>
          <w:shd w:val="clear" w:color="auto" w:fill="FFFFFF"/>
        </w:rPr>
        <w:t>Naseem Joe Asghar and Patrick Waite</w:t>
      </w:r>
      <w:r>
        <w:rPr>
          <w:rFonts w:cs="Arial"/>
          <w:szCs w:val="18"/>
          <w:shd w:val="clear" w:color="auto" w:fill="FFFFFF"/>
        </w:rPr>
        <w:t xml:space="preserve"> </w:t>
      </w:r>
      <w:r w:rsidRPr="005E2A47">
        <w:rPr>
          <w:rFonts w:cs="Arial"/>
          <w:szCs w:val="18"/>
          <w:shd w:val="clear" w:color="auto" w:fill="FFFFFF"/>
        </w:rPr>
        <w:t xml:space="preserve">at </w:t>
      </w:r>
      <w:r w:rsidRPr="005E2A47">
        <w:rPr>
          <w:rFonts w:cs="Arial"/>
          <w:szCs w:val="18"/>
        </w:rPr>
        <w:t xml:space="preserve">the Inquiry’s </w:t>
      </w:r>
      <w:r>
        <w:t xml:space="preserve">Faith-based Institutional Response Hearing </w:t>
      </w:r>
      <w:r w:rsidRPr="005E2A47">
        <w:rPr>
          <w:rFonts w:cs="Arial"/>
          <w:szCs w:val="18"/>
        </w:rPr>
        <w:t>(Royal Commission of Inquiry into Abuse in Care, 19 October 2022</w:t>
      </w:r>
      <w:r w:rsidRPr="005E2A47">
        <w:rPr>
          <w:rStyle w:val="normaltextrun"/>
          <w:rFonts w:cs="Arial"/>
          <w:szCs w:val="18"/>
          <w:shd w:val="clear" w:color="auto" w:fill="FFFFFF"/>
        </w:rPr>
        <w:t>, page</w:t>
      </w:r>
      <w:r>
        <w:rPr>
          <w:rStyle w:val="normaltextrun"/>
          <w:rFonts w:cs="Arial"/>
          <w:szCs w:val="18"/>
          <w:shd w:val="clear" w:color="auto" w:fill="FFFFFF"/>
        </w:rPr>
        <w:t>s</w:t>
      </w:r>
      <w:r w:rsidRPr="005E2A47">
        <w:rPr>
          <w:rStyle w:val="normaltextrun"/>
          <w:rFonts w:cs="Arial"/>
          <w:szCs w:val="18"/>
          <w:shd w:val="clear" w:color="auto" w:fill="FFFFFF"/>
        </w:rPr>
        <w:t xml:space="preserve"> 2</w:t>
      </w:r>
      <w:r>
        <w:rPr>
          <w:rStyle w:val="normaltextrun"/>
          <w:rFonts w:cs="Arial"/>
          <w:szCs w:val="18"/>
          <w:shd w:val="clear" w:color="auto" w:fill="FFFFFF"/>
        </w:rPr>
        <w:t>72</w:t>
      </w:r>
      <w:r>
        <w:rPr>
          <w:rFonts w:cs="Arial"/>
          <w:szCs w:val="18"/>
        </w:rPr>
        <w:t>–</w:t>
      </w:r>
      <w:r>
        <w:rPr>
          <w:rStyle w:val="normaltextrun"/>
          <w:rFonts w:cs="Arial"/>
          <w:szCs w:val="18"/>
          <w:shd w:val="clear" w:color="auto" w:fill="FFFFFF"/>
        </w:rPr>
        <w:t>273</w:t>
      </w:r>
      <w:r w:rsidRPr="005E2A47">
        <w:rPr>
          <w:rStyle w:val="normaltextrun"/>
          <w:rFonts w:cs="Arial"/>
          <w:szCs w:val="18"/>
          <w:shd w:val="clear" w:color="auto" w:fill="FFFFFF"/>
        </w:rPr>
        <w:t>)</w:t>
      </w:r>
      <w:r>
        <w:rPr>
          <w:rStyle w:val="normaltextrun"/>
          <w:rFonts w:cs="Arial"/>
          <w:szCs w:val="18"/>
          <w:shd w:val="clear" w:color="auto" w:fill="FFFFFF"/>
        </w:rPr>
        <w:t>.</w:t>
      </w:r>
    </w:p>
  </w:endnote>
  <w:endnote w:id="196">
    <w:p w14:paraId="7FDA9D3A" w14:textId="7447B823" w:rsidR="00C3701E" w:rsidRPr="002740F0" w:rsidRDefault="00C3701E">
      <w:pPr>
        <w:pStyle w:val="EndnoteText"/>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Torowhānui, Volume 1 (2021, page </w:t>
      </w:r>
      <w:r>
        <w:rPr>
          <w:rFonts w:cs="Arial"/>
          <w:szCs w:val="18"/>
        </w:rPr>
        <w:t>277</w:t>
      </w:r>
      <w:r w:rsidRPr="005E2A47">
        <w:rPr>
          <w:rFonts w:cs="Arial"/>
          <w:szCs w:val="18"/>
        </w:rPr>
        <w:t>).</w:t>
      </w:r>
    </w:p>
  </w:endnote>
  <w:endnote w:id="197">
    <w:p w14:paraId="2BA2E58A" w14:textId="7E701DBB"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pages 191–193).</w:t>
      </w:r>
    </w:p>
  </w:endnote>
  <w:endnote w:id="198">
    <w:p w14:paraId="234CBA8C" w14:textId="6EFBD32F"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The Salvation Army, Salvation Army redress information (8 February 2022). </w:t>
      </w:r>
    </w:p>
  </w:endnote>
  <w:endnote w:id="199">
    <w:p w14:paraId="519D576A" w14:textId="2E319B6D"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197).</w:t>
      </w:r>
    </w:p>
  </w:endnote>
  <w:endnote w:id="200">
    <w:p w14:paraId="5DACF4B8" w14:textId="40246E41"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Transcript of evidence of Gerald Walker </w:t>
      </w:r>
      <w:r>
        <w:rPr>
          <w:rFonts w:cs="Arial"/>
          <w:szCs w:val="18"/>
        </w:rPr>
        <w:t xml:space="preserve">at the Inquiry’s </w:t>
      </w:r>
      <w:r w:rsidRPr="005E2A47">
        <w:rPr>
          <w:rFonts w:cs="Arial"/>
          <w:szCs w:val="18"/>
        </w:rPr>
        <w:t>Faith-based Redress Hearing Phase II (Royal Commission of Inquiry into Abuse in Care, 15 March 2021</w:t>
      </w:r>
      <w:r w:rsidRPr="005E2A47">
        <w:rPr>
          <w:rStyle w:val="Hyperlink"/>
          <w:rFonts w:cs="Arial"/>
          <w:color w:val="auto"/>
          <w:szCs w:val="18"/>
          <w:u w:val="none"/>
        </w:rPr>
        <w:t>,</w:t>
      </w:r>
      <w:r w:rsidRPr="005E2A47">
        <w:rPr>
          <w:rFonts w:cs="Arial"/>
          <w:szCs w:val="18"/>
        </w:rPr>
        <w:t xml:space="preserve"> p</w:t>
      </w:r>
      <w:r>
        <w:rPr>
          <w:rFonts w:cs="Arial"/>
          <w:szCs w:val="18"/>
        </w:rPr>
        <w:t>age</w:t>
      </w:r>
      <w:r w:rsidRPr="005E2A47">
        <w:rPr>
          <w:rFonts w:cs="Arial"/>
          <w:szCs w:val="18"/>
        </w:rPr>
        <w:t xml:space="preserve"> 20</w:t>
      </w:r>
      <w:r>
        <w:rPr>
          <w:rFonts w:cs="Arial"/>
          <w:szCs w:val="18"/>
        </w:rPr>
        <w:t>)</w:t>
      </w:r>
      <w:r w:rsidRPr="005E2A47">
        <w:rPr>
          <w:rFonts w:cs="Arial"/>
          <w:szCs w:val="18"/>
        </w:rPr>
        <w:t>.</w:t>
      </w:r>
    </w:p>
  </w:endnote>
  <w:endnote w:id="201">
    <w:p w14:paraId="4F352BBB" w14:textId="50A67C4B"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Transcript of evidence of Howard Temple at the Inquiry’s </w:t>
      </w:r>
      <w:r>
        <w:rPr>
          <w:rFonts w:cs="Arial"/>
          <w:szCs w:val="18"/>
        </w:rPr>
        <w:t>Faith-based Institutional Response Hearing</w:t>
      </w:r>
      <w:r w:rsidRPr="005E2A47">
        <w:rPr>
          <w:rFonts w:cs="Arial"/>
          <w:szCs w:val="18"/>
        </w:rPr>
        <w:t xml:space="preserve"> (Royal Commission of Inquiry into Abuse in Care, 13 October 2022, page 77).</w:t>
      </w:r>
    </w:p>
  </w:endnote>
  <w:endnote w:id="202">
    <w:p w14:paraId="45DB8C8F" w14:textId="6F1DE68E"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Transcript of evidence of Howard Temple at the Inquiry’s </w:t>
      </w:r>
      <w:r>
        <w:rPr>
          <w:rFonts w:cs="Arial"/>
          <w:szCs w:val="18"/>
        </w:rPr>
        <w:t>Faith-based Institutional Response Hearing</w:t>
      </w:r>
      <w:r w:rsidRPr="005E2A47">
        <w:rPr>
          <w:rFonts w:cs="Arial"/>
          <w:szCs w:val="18"/>
        </w:rPr>
        <w:t xml:space="preserve"> (Royal Commission of Inquiry into Abuse in Care, 13 October 2022, pages 98–99).</w:t>
      </w:r>
    </w:p>
  </w:endnote>
  <w:endnote w:id="203">
    <w:p w14:paraId="12AC2BCF" w14:textId="751BDB1B"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Gloriavale Christian Community, News </w:t>
      </w:r>
      <w:r>
        <w:rPr>
          <w:rFonts w:cs="Arial"/>
          <w:szCs w:val="18"/>
        </w:rPr>
        <w:t>–</w:t>
      </w:r>
      <w:r w:rsidRPr="005E2A47">
        <w:rPr>
          <w:rFonts w:cs="Arial"/>
          <w:szCs w:val="18"/>
        </w:rPr>
        <w:t xml:space="preserve"> Open letter from Principal </w:t>
      </w:r>
      <w:r w:rsidRPr="005E2A47">
        <w:rPr>
          <w:rStyle w:val="findhit"/>
          <w:rFonts w:cs="Arial"/>
          <w:szCs w:val="18"/>
          <w:shd w:val="clear" w:color="auto" w:fill="FFFFFF"/>
        </w:rPr>
        <w:t>(7 August 2022)</w:t>
      </w:r>
      <w:r w:rsidRPr="005E2A47">
        <w:rPr>
          <w:rStyle w:val="normaltextrun"/>
          <w:rFonts w:cs="Arial"/>
          <w:szCs w:val="18"/>
          <w:shd w:val="clear" w:color="auto" w:fill="FFFFFF"/>
        </w:rPr>
        <w:t>.</w:t>
      </w:r>
    </w:p>
  </w:endnote>
  <w:endnote w:id="204">
    <w:p w14:paraId="72196037" w14:textId="1DFB2A6E" w:rsidR="00C3701E" w:rsidRPr="005E2A47" w:rsidRDefault="00C3701E" w:rsidP="00344FE8">
      <w:pPr>
        <w:autoSpaceDE w:val="0"/>
        <w:autoSpaceDN w:val="0"/>
        <w:adjustRightInd w:val="0"/>
        <w:spacing w:after="0" w:line="240" w:lineRule="auto"/>
        <w:rPr>
          <w:rFonts w:cs="Arial"/>
          <w:szCs w:val="18"/>
        </w:rPr>
      </w:pPr>
      <w:r w:rsidRPr="005E2A47">
        <w:rPr>
          <w:rStyle w:val="EndnoteReference"/>
          <w:rFonts w:cs="Arial"/>
          <w:szCs w:val="18"/>
        </w:rPr>
        <w:endnoteRef/>
      </w:r>
      <w:r w:rsidRPr="005E2A47">
        <w:rPr>
          <w:rFonts w:cs="Arial"/>
          <w:szCs w:val="18"/>
        </w:rPr>
        <w:t xml:space="preserve"> </w:t>
      </w:r>
      <w:r w:rsidRPr="00650118">
        <w:rPr>
          <w:rFonts w:cs="Arial"/>
          <w:szCs w:val="18"/>
        </w:rPr>
        <w:t xml:space="preserve">Plymouth Brethren Christian Church, Response to the Royal Commission </w:t>
      </w:r>
      <w:r w:rsidRPr="00344FE8">
        <w:rPr>
          <w:rFonts w:cs="Arial"/>
          <w:szCs w:val="18"/>
        </w:rPr>
        <w:t>of Inquiry into Abuse in Care</w:t>
      </w:r>
      <w:r>
        <w:rPr>
          <w:rFonts w:cs="Arial"/>
          <w:szCs w:val="18"/>
        </w:rPr>
        <w:t xml:space="preserve"> </w:t>
      </w:r>
      <w:r w:rsidRPr="00650118">
        <w:rPr>
          <w:rFonts w:cs="Arial"/>
          <w:szCs w:val="18"/>
        </w:rPr>
        <w:t>Notice to Produce No</w:t>
      </w:r>
      <w:r w:rsidRPr="00650118" w:rsidDel="00DF30AB">
        <w:rPr>
          <w:rFonts w:cs="Arial"/>
          <w:szCs w:val="18"/>
        </w:rPr>
        <w:t xml:space="preserve"> </w:t>
      </w:r>
      <w:r w:rsidRPr="00650118">
        <w:rPr>
          <w:rFonts w:cs="Arial"/>
          <w:szCs w:val="18"/>
        </w:rPr>
        <w:t>1, Response to Schedule B of the Notice (23 April 2021, page 14).</w:t>
      </w:r>
      <w:r w:rsidRPr="005E2A47">
        <w:rPr>
          <w:rFonts w:cs="Arial"/>
          <w:szCs w:val="18"/>
        </w:rPr>
        <w:t xml:space="preserve"> </w:t>
      </w:r>
    </w:p>
  </w:endnote>
  <w:endnote w:id="205">
    <w:p w14:paraId="528D0AC7" w14:textId="230DF472"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Dilworth Independent Inquiry, Extension to inquiry reporting date (27 October 2022).</w:t>
      </w:r>
    </w:p>
  </w:endnote>
  <w:endnote w:id="206">
    <w:p w14:paraId="07E3443F" w14:textId="43CE4A34"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Dilworth Redress Programme, Dilworth Redress (2023).</w:t>
      </w:r>
    </w:p>
  </w:endnote>
  <w:endnote w:id="207">
    <w:p w14:paraId="634136B7" w14:textId="00D3DF70" w:rsidR="00C3701E" w:rsidRPr="00E40194" w:rsidRDefault="00C3701E" w:rsidP="00E45334">
      <w:pPr>
        <w:pStyle w:val="EndnoteText"/>
        <w:spacing w:before="120"/>
      </w:pPr>
      <w:r>
        <w:rPr>
          <w:rStyle w:val="EndnoteReference"/>
        </w:rPr>
        <w:endnoteRef/>
      </w:r>
      <w:r>
        <w:t xml:space="preserve"> Dilworth Response website, </w:t>
      </w:r>
      <w:hyperlink r:id="rId14" w:history="1">
        <w:r w:rsidRPr="00650118">
          <w:rPr>
            <w:rStyle w:val="Hyperlink"/>
          </w:rPr>
          <w:t>Redress Programme</w:t>
        </w:r>
        <w:r w:rsidRPr="00650118" w:rsidDel="008028E9">
          <w:rPr>
            <w:rStyle w:val="Hyperlink"/>
          </w:rPr>
          <w:t>, Dilworth Response</w:t>
        </w:r>
      </w:hyperlink>
      <w:r w:rsidRPr="00650118">
        <w:rPr>
          <w:rStyle w:val="Hyperlink"/>
        </w:rPr>
        <w:t xml:space="preserve"> (accessed 8 February 2024), </w:t>
      </w:r>
      <w:r w:rsidRPr="009612E4">
        <w:rPr>
          <w:rStyle w:val="Hyperlink"/>
        </w:rPr>
        <w:t>https://dilworthresponse.org.nz/redress-programme/</w:t>
      </w:r>
      <w:r w:rsidRPr="00650118">
        <w:t>.</w:t>
      </w:r>
    </w:p>
  </w:endnote>
  <w:endnote w:id="208">
    <w:p w14:paraId="22460A7F" w14:textId="233D006B" w:rsidR="00C3701E" w:rsidRPr="00FB031A" w:rsidRDefault="00C3701E">
      <w:pPr>
        <w:pStyle w:val="EndnoteText"/>
      </w:pPr>
      <w:r w:rsidRPr="00FB031A">
        <w:rPr>
          <w:rStyle w:val="EndnoteReference"/>
        </w:rPr>
        <w:endnoteRef/>
      </w:r>
      <w:r w:rsidRPr="00FB031A">
        <w:t xml:space="preserve"> </w:t>
      </w:r>
      <w:r w:rsidRPr="00641874">
        <w:rPr>
          <w:rFonts w:cs="Arial"/>
          <w:szCs w:val="18"/>
        </w:rPr>
        <w:t>Dilworth Redress Programme Terms, (amended 30 October 2023, clause 45).</w:t>
      </w:r>
    </w:p>
  </w:endnote>
  <w:endnote w:id="209">
    <w:p w14:paraId="1A713EEB" w14:textId="521E4C93" w:rsidR="00C3701E" w:rsidRPr="00FB031A" w:rsidRDefault="00C3701E">
      <w:pPr>
        <w:pStyle w:val="EndnoteText"/>
      </w:pPr>
      <w:r w:rsidRPr="00FB031A">
        <w:rPr>
          <w:rStyle w:val="EndnoteReference"/>
        </w:rPr>
        <w:endnoteRef/>
      </w:r>
      <w:r w:rsidRPr="00FB031A">
        <w:t xml:space="preserve"> </w:t>
      </w:r>
      <w:r w:rsidRPr="00641874">
        <w:rPr>
          <w:rFonts w:cs="Arial"/>
          <w:szCs w:val="18"/>
        </w:rPr>
        <w:t>Dilworth Redress Programme Terms, (amended 30 October 2023, clauses 46 and 47).</w:t>
      </w:r>
    </w:p>
  </w:endnote>
  <w:endnote w:id="210">
    <w:p w14:paraId="1D2BE76F" w14:textId="2A897471" w:rsidR="00C3701E" w:rsidRPr="00641874" w:rsidRDefault="00C3701E" w:rsidP="00E45334">
      <w:pPr>
        <w:pStyle w:val="EndnoteText"/>
        <w:spacing w:before="120"/>
        <w:rPr>
          <w:b/>
        </w:rPr>
      </w:pPr>
      <w:r w:rsidRPr="00641874">
        <w:rPr>
          <w:rStyle w:val="EndnoteReference"/>
        </w:rPr>
        <w:endnoteRef/>
      </w:r>
      <w:r w:rsidRPr="00641874">
        <w:t xml:space="preserve"> </w:t>
      </w:r>
      <w:r w:rsidRPr="00641874">
        <w:rPr>
          <w:rFonts w:cs="Arial"/>
          <w:szCs w:val="18"/>
        </w:rPr>
        <w:t xml:space="preserve">Dilworth Redress Programme Terms, (amended 30 October 2023, clause 50). </w:t>
      </w:r>
    </w:p>
  </w:endnote>
  <w:endnote w:id="211">
    <w:p w14:paraId="1724D60B" w14:textId="42D420D0" w:rsidR="00C3701E" w:rsidRPr="00641874" w:rsidRDefault="00C3701E" w:rsidP="00E45334">
      <w:pPr>
        <w:pStyle w:val="EndnoteText"/>
        <w:spacing w:before="120"/>
      </w:pPr>
      <w:r w:rsidRPr="00641874">
        <w:rPr>
          <w:rStyle w:val="EndnoteReference"/>
        </w:rPr>
        <w:endnoteRef/>
      </w:r>
      <w:r w:rsidRPr="00641874">
        <w:t xml:space="preserve"> </w:t>
      </w:r>
      <w:r w:rsidRPr="00641874">
        <w:rPr>
          <w:rFonts w:cs="Arial"/>
          <w:szCs w:val="18"/>
        </w:rPr>
        <w:t>Dilworth Redress Programme Terms, (amended 30 October 2023, clauses 49–51).</w:t>
      </w:r>
    </w:p>
  </w:endnote>
  <w:endnote w:id="212">
    <w:p w14:paraId="4F2E9475" w14:textId="6846CBEB" w:rsidR="00C3701E" w:rsidRPr="00641874" w:rsidRDefault="00C3701E" w:rsidP="00E45334">
      <w:pPr>
        <w:pStyle w:val="EndnoteText"/>
        <w:spacing w:before="120"/>
        <w:rPr>
          <w:lang w:val="en-US"/>
        </w:rPr>
      </w:pPr>
      <w:r w:rsidRPr="00641874">
        <w:rPr>
          <w:rStyle w:val="EndnoteReference"/>
        </w:rPr>
        <w:endnoteRef/>
      </w:r>
      <w:r w:rsidRPr="00641874">
        <w:t xml:space="preserve"> </w:t>
      </w:r>
      <w:r w:rsidRPr="00FB031A">
        <w:t xml:space="preserve">Dilworth Redress Programme website, Frequently Asked Questions (accessed 20 May 2024), </w:t>
      </w:r>
      <w:hyperlink r:id="rId15" w:history="1">
        <w:r w:rsidRPr="00FB031A">
          <w:rPr>
            <w:rStyle w:val="Hyperlink"/>
          </w:rPr>
          <w:t>https://dilworthredress.org.nz/faqs</w:t>
        </w:r>
      </w:hyperlink>
      <w:r w:rsidRPr="00FB031A">
        <w:t>/</w:t>
      </w:r>
      <w:hyperlink r:id="rId16" w:history="1">
        <w:r w:rsidRPr="00FB031A" w:rsidDel="00926B1A">
          <w:rPr>
            <w:rStyle w:val="Hyperlink"/>
          </w:rPr>
          <w:t>https://dilworthredress.org.nz/faqs/</w:t>
        </w:r>
      </w:hyperlink>
      <w:r w:rsidRPr="00641874" w:rsidDel="00926B1A">
        <w:t>.</w:t>
      </w:r>
      <w:r w:rsidRPr="00641874">
        <w:t xml:space="preserve"> </w:t>
      </w:r>
    </w:p>
  </w:endnote>
  <w:endnote w:id="213">
    <w:p w14:paraId="622C3E09" w14:textId="7AF9ED11" w:rsidR="00C3701E" w:rsidRPr="00FB031A" w:rsidRDefault="00C3701E" w:rsidP="00E45334">
      <w:pPr>
        <w:pStyle w:val="EndnoteText"/>
        <w:spacing w:before="120"/>
      </w:pPr>
      <w:r w:rsidRPr="00641874">
        <w:rPr>
          <w:rStyle w:val="EndnoteReference"/>
        </w:rPr>
        <w:endnoteRef/>
      </w:r>
      <w:r w:rsidRPr="00641874">
        <w:t xml:space="preserve"> </w:t>
      </w:r>
      <w:r w:rsidRPr="00FB031A">
        <w:t xml:space="preserve">Dilworth Redress Programme website, Frequently Asked Questions (accessed 20 May 2024), </w:t>
      </w:r>
      <w:hyperlink r:id="rId17" w:history="1">
        <w:r w:rsidRPr="00FB031A">
          <w:rPr>
            <w:rStyle w:val="Hyperlink"/>
          </w:rPr>
          <w:t>https://dilworthredress.org.nz/faqs</w:t>
        </w:r>
      </w:hyperlink>
      <w:r w:rsidRPr="00FB031A">
        <w:t>/</w:t>
      </w:r>
      <w:hyperlink r:id="rId18" w:history="1">
        <w:r w:rsidRPr="00FB031A" w:rsidDel="00926B1A">
          <w:rPr>
            <w:rStyle w:val="Hyperlink"/>
          </w:rPr>
          <w:t>https://dilworthredress.org.nz/faqs/</w:t>
        </w:r>
      </w:hyperlink>
      <w:r w:rsidRPr="00641874" w:rsidDel="00926B1A">
        <w:t>.</w:t>
      </w:r>
      <w:r w:rsidRPr="00641874">
        <w:t xml:space="preserve"> </w:t>
      </w:r>
    </w:p>
  </w:endnote>
  <w:endnote w:id="214">
    <w:p w14:paraId="5B6A4EDC" w14:textId="1095AEAA" w:rsidR="00C3701E" w:rsidRPr="00A44838" w:rsidRDefault="00C3701E" w:rsidP="00E45334">
      <w:pPr>
        <w:pStyle w:val="EndnoteText"/>
        <w:spacing w:before="120"/>
        <w:rPr>
          <w:b/>
        </w:rPr>
      </w:pPr>
      <w:r w:rsidRPr="00641874">
        <w:rPr>
          <w:rStyle w:val="EndnoteReference"/>
        </w:rPr>
        <w:endnoteRef/>
      </w:r>
      <w:r w:rsidRPr="00641874">
        <w:t xml:space="preserve"> Summary Notes from the meeting with Dilworth (27 April 2023, page 1). </w:t>
      </w:r>
    </w:p>
  </w:endnote>
  <w:endnote w:id="215">
    <w:p w14:paraId="58B98B0A" w14:textId="289A34C9"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See clauses 11 and 12 of the Dilworth Redress Programme Terms, </w:t>
      </w:r>
      <w:r>
        <w:rPr>
          <w:rFonts w:cs="Arial"/>
          <w:szCs w:val="18"/>
        </w:rPr>
        <w:t xml:space="preserve">in A Dilworth School Survivor’s Vlog, </w:t>
      </w:r>
      <w:r w:rsidRPr="005E2A47">
        <w:rPr>
          <w:rFonts w:cs="Arial"/>
          <w:szCs w:val="18"/>
        </w:rPr>
        <w:t>We were children</w:t>
      </w:r>
      <w:r>
        <w:rPr>
          <w:rFonts w:cs="Arial"/>
          <w:szCs w:val="18"/>
        </w:rPr>
        <w:t>,</w:t>
      </w:r>
      <w:r w:rsidRPr="005E2A47">
        <w:rPr>
          <w:rFonts w:cs="Arial"/>
          <w:szCs w:val="18"/>
        </w:rPr>
        <w:t xml:space="preserve"> Ep</w:t>
      </w:r>
      <w:r>
        <w:rPr>
          <w:rFonts w:cs="Arial"/>
          <w:szCs w:val="18"/>
        </w:rPr>
        <w:t xml:space="preserve">isode </w:t>
      </w:r>
      <w:r w:rsidRPr="005E2A47">
        <w:rPr>
          <w:rFonts w:cs="Arial"/>
          <w:szCs w:val="18"/>
        </w:rPr>
        <w:t>8</w:t>
      </w:r>
      <w:r>
        <w:rPr>
          <w:rFonts w:cs="Arial"/>
          <w:szCs w:val="18"/>
        </w:rPr>
        <w:t>,</w:t>
      </w:r>
      <w:r w:rsidRPr="005E2A47">
        <w:rPr>
          <w:rFonts w:cs="Arial"/>
          <w:szCs w:val="18"/>
        </w:rPr>
        <w:t xml:space="preserve"> The Dilworth Response Part 1 (14 May 2023), </w:t>
      </w:r>
      <w:hyperlink r:id="rId19" w:history="1">
        <w:r w:rsidRPr="004028FC">
          <w:rPr>
            <w:rStyle w:val="Hyperlink"/>
            <w:rFonts w:cs="Arial"/>
            <w:szCs w:val="18"/>
          </w:rPr>
          <w:t>https://www.youtube.com/watch?v=cUwSsVfxN3c</w:t>
        </w:r>
      </w:hyperlink>
      <w:r>
        <w:rPr>
          <w:rFonts w:cs="Arial"/>
          <w:szCs w:val="18"/>
        </w:rPr>
        <w:t>.</w:t>
      </w:r>
      <w:r w:rsidRPr="005E2A47">
        <w:rPr>
          <w:rFonts w:cs="Arial"/>
          <w:szCs w:val="18"/>
        </w:rPr>
        <w:t xml:space="preserve"> </w:t>
      </w:r>
    </w:p>
  </w:endnote>
  <w:endnote w:id="216">
    <w:p w14:paraId="620B96D1" w14:textId="38DB2C71" w:rsidR="00C3701E" w:rsidRPr="00FB031A" w:rsidRDefault="00C3701E" w:rsidP="00E45334">
      <w:pPr>
        <w:pStyle w:val="EndnoteText"/>
        <w:spacing w:before="120"/>
        <w:rPr>
          <w:rFonts w:cs="Arial"/>
          <w:szCs w:val="18"/>
          <w:lang w:val="en-US"/>
        </w:rPr>
      </w:pPr>
      <w:r w:rsidRPr="005E2A47">
        <w:rPr>
          <w:rStyle w:val="EndnoteReference"/>
          <w:rFonts w:cs="Arial"/>
          <w:szCs w:val="18"/>
        </w:rPr>
        <w:endnoteRef/>
      </w:r>
      <w:r w:rsidRPr="005E2A47">
        <w:rPr>
          <w:rFonts w:cs="Arial"/>
          <w:szCs w:val="18"/>
        </w:rPr>
        <w:t xml:space="preserve"> Jones, M</w:t>
      </w:r>
      <w:r>
        <w:rPr>
          <w:rFonts w:cs="Arial"/>
          <w:szCs w:val="18"/>
        </w:rPr>
        <w:t>,</w:t>
      </w:r>
      <w:r w:rsidRPr="005E2A47">
        <w:rPr>
          <w:rFonts w:cs="Arial"/>
          <w:szCs w:val="18"/>
        </w:rPr>
        <w:t xml:space="preserve"> Dilworth sex abuse survivors reject school’s payment cap proposal</w:t>
      </w:r>
      <w:r>
        <w:rPr>
          <w:rFonts w:cs="Arial"/>
          <w:szCs w:val="18"/>
        </w:rPr>
        <w:t>,</w:t>
      </w:r>
      <w:r w:rsidRPr="005E2A47">
        <w:rPr>
          <w:rStyle w:val="Hyperlink"/>
          <w:rFonts w:cs="Arial"/>
          <w:color w:val="auto"/>
          <w:szCs w:val="18"/>
          <w:u w:val="none"/>
        </w:rPr>
        <w:t xml:space="preserve"> Business Desk</w:t>
      </w:r>
      <w:r>
        <w:rPr>
          <w:rStyle w:val="Hyperlink"/>
          <w:rFonts w:cs="Arial"/>
          <w:color w:val="auto"/>
          <w:szCs w:val="18"/>
          <w:u w:val="none"/>
        </w:rPr>
        <w:t xml:space="preserve"> (</w:t>
      </w:r>
      <w:r w:rsidRPr="005E2A47">
        <w:rPr>
          <w:rStyle w:val="Hyperlink"/>
          <w:rFonts w:cs="Arial"/>
          <w:color w:val="auto"/>
          <w:szCs w:val="18"/>
          <w:u w:val="none"/>
        </w:rPr>
        <w:t>13 July 2022);</w:t>
      </w:r>
      <w:r w:rsidRPr="005E2A47">
        <w:rPr>
          <w:rFonts w:cs="Arial"/>
          <w:szCs w:val="18"/>
        </w:rPr>
        <w:t xml:space="preserve"> “RNZ Interview with Neil Harding in response to the [independent Dilworth] inquiry report</w:t>
      </w:r>
      <w:r>
        <w:rPr>
          <w:rFonts w:cs="Arial"/>
          <w:szCs w:val="18"/>
        </w:rPr>
        <w:t>,</w:t>
      </w:r>
      <w:r w:rsidRPr="005E2A47">
        <w:rPr>
          <w:rFonts w:cs="Arial"/>
          <w:szCs w:val="18"/>
        </w:rPr>
        <w:t>”</w:t>
      </w:r>
      <w:r>
        <w:rPr>
          <w:rFonts w:cs="Arial"/>
          <w:szCs w:val="18"/>
        </w:rPr>
        <w:t xml:space="preserve"> RNZ News</w:t>
      </w:r>
      <w:r w:rsidRPr="005E2A47">
        <w:rPr>
          <w:rFonts w:cs="Arial"/>
          <w:szCs w:val="18"/>
        </w:rPr>
        <w:t xml:space="preserve"> (24 </w:t>
      </w:r>
      <w:r w:rsidRPr="00FB031A">
        <w:rPr>
          <w:rFonts w:cs="Arial"/>
          <w:szCs w:val="18"/>
        </w:rPr>
        <w:t xml:space="preserve">September 2023), </w:t>
      </w:r>
      <w:r w:rsidRPr="00FB031A">
        <w:rPr>
          <w:rStyle w:val="Hyperlink"/>
          <w:rFonts w:cs="Arial"/>
          <w:szCs w:val="18"/>
        </w:rPr>
        <w:t>https://www.youtube.com/watch?app=desktop&amp;v=GgzaoD8meak&amp;t=2s</w:t>
      </w:r>
      <w:r w:rsidDel="009A0B44">
        <w:rPr>
          <w:rStyle w:val="Hyperlink"/>
          <w:rFonts w:cs="Arial"/>
          <w:szCs w:val="18"/>
        </w:rPr>
        <w:t xml:space="preserve"> </w:t>
      </w:r>
    </w:p>
  </w:endnote>
  <w:endnote w:id="217">
    <w:p w14:paraId="263954F9" w14:textId="669055E9" w:rsidR="00C3701E" w:rsidRPr="00FB031A" w:rsidRDefault="00C3701E" w:rsidP="00E45334">
      <w:pPr>
        <w:pStyle w:val="EndnoteText"/>
        <w:spacing w:before="120"/>
        <w:rPr>
          <w:rFonts w:cs="Arial"/>
          <w:szCs w:val="18"/>
        </w:rPr>
      </w:pPr>
      <w:r w:rsidRPr="00FB031A">
        <w:rPr>
          <w:rStyle w:val="EndnoteReference"/>
          <w:rFonts w:cs="Arial"/>
          <w:szCs w:val="18"/>
        </w:rPr>
        <w:endnoteRef/>
      </w:r>
      <w:r w:rsidRPr="00FB031A">
        <w:rPr>
          <w:rFonts w:cs="Arial"/>
          <w:szCs w:val="18"/>
        </w:rPr>
        <w:t xml:space="preserve"> A Dilworth School Survivors Vlog, We were children, Episode 8, The Dilworth Response Part 11 (14 May 2023), </w:t>
      </w:r>
      <w:hyperlink r:id="rId20" w:history="1">
        <w:r w:rsidRPr="00FB031A">
          <w:rPr>
            <w:rStyle w:val="Hyperlink"/>
            <w:rFonts w:cs="Arial"/>
            <w:szCs w:val="18"/>
          </w:rPr>
          <w:t>https://www.youtube.com/watch?v=cUwSsVfxN3c</w:t>
        </w:r>
      </w:hyperlink>
      <w:r w:rsidRPr="00FB031A">
        <w:rPr>
          <w:rFonts w:cs="Arial"/>
          <w:szCs w:val="18"/>
        </w:rPr>
        <w:t xml:space="preserve">; “RNZ </w:t>
      </w:r>
      <w:hyperlink r:id="rId21" w:history="1">
        <w:r w:rsidRPr="00FB031A">
          <w:rPr>
            <w:rFonts w:cs="Arial"/>
            <w:szCs w:val="18"/>
          </w:rPr>
          <w:t>Interview with Neil Harding in response to the [independent Dilworth]  report</w:t>
        </w:r>
      </w:hyperlink>
      <w:r w:rsidRPr="00FB031A">
        <w:rPr>
          <w:rFonts w:cs="Arial"/>
          <w:szCs w:val="18"/>
        </w:rPr>
        <w:t xml:space="preserve">,” RNZ News (24 September 2023), </w:t>
      </w:r>
      <w:hyperlink r:id="rId22" w:history="1">
        <w:r w:rsidRPr="00641874">
          <w:rPr>
            <w:rStyle w:val="Hyperlink"/>
            <w:rFonts w:cs="Arial"/>
            <w:szCs w:val="18"/>
          </w:rPr>
          <w:t>https://www.youtube.com/watch?app=desktop&amp;v=GgzaoD8meak&amp;t=2s</w:t>
        </w:r>
      </w:hyperlink>
    </w:p>
  </w:endnote>
  <w:endnote w:id="218">
    <w:p w14:paraId="7F395393" w14:textId="2CD54E23" w:rsidR="00C3701E" w:rsidRPr="00FB031A" w:rsidRDefault="00C3701E" w:rsidP="00E45334">
      <w:pPr>
        <w:pStyle w:val="EndnoteText"/>
        <w:spacing w:before="120"/>
        <w:rPr>
          <w:rFonts w:cs="Arial"/>
          <w:szCs w:val="18"/>
          <w:lang w:val="en-US"/>
        </w:rPr>
      </w:pPr>
      <w:r w:rsidRPr="00FB031A">
        <w:rPr>
          <w:rStyle w:val="EndnoteReference"/>
          <w:rFonts w:cs="Arial"/>
          <w:szCs w:val="18"/>
        </w:rPr>
        <w:endnoteRef/>
      </w:r>
      <w:r w:rsidRPr="00FB031A">
        <w:rPr>
          <w:rFonts w:cs="Arial"/>
          <w:szCs w:val="18"/>
        </w:rPr>
        <w:t xml:space="preserve"> A Dilworth School Survivors Vlog, We were children, Episode 8, The Dilworth Response Part 11 (14 May 2023), </w:t>
      </w:r>
      <w:hyperlink r:id="rId23" w:history="1">
        <w:r w:rsidRPr="00FB031A">
          <w:rPr>
            <w:rStyle w:val="Hyperlink"/>
            <w:rFonts w:cs="Arial"/>
            <w:szCs w:val="18"/>
          </w:rPr>
          <w:t>https://www.youtube.com/watch?v=cUwSsVfxN3c</w:t>
        </w:r>
      </w:hyperlink>
      <w:r w:rsidRPr="00FB031A">
        <w:rPr>
          <w:rFonts w:cs="Arial"/>
          <w:szCs w:val="18"/>
        </w:rPr>
        <w:t>.</w:t>
      </w:r>
    </w:p>
  </w:endnote>
  <w:endnote w:id="219">
    <w:p w14:paraId="5A4938B5" w14:textId="372EFE84" w:rsidR="00C3701E" w:rsidRPr="005E2A47" w:rsidRDefault="00C3701E" w:rsidP="00E45334">
      <w:pPr>
        <w:pStyle w:val="EndnoteText"/>
        <w:spacing w:before="120"/>
        <w:rPr>
          <w:rFonts w:cs="Arial"/>
          <w:szCs w:val="18"/>
          <w:lang w:val="en-US"/>
        </w:rPr>
      </w:pPr>
      <w:r w:rsidRPr="00FB031A">
        <w:rPr>
          <w:rStyle w:val="EndnoteReference"/>
          <w:rFonts w:cs="Arial"/>
          <w:szCs w:val="18"/>
        </w:rPr>
        <w:endnoteRef/>
      </w:r>
      <w:r w:rsidRPr="00FB031A">
        <w:rPr>
          <w:rFonts w:cs="Arial"/>
          <w:szCs w:val="18"/>
        </w:rPr>
        <w:t xml:space="preserve"> Dilworth Independent Inquiry, An Independent Inquiry into abuse at Dilworth School (September 2023, page 25, Recommendation 3).</w:t>
      </w:r>
    </w:p>
  </w:endnote>
  <w:endnote w:id="220">
    <w:p w14:paraId="02AF462C" w14:textId="479787FD" w:rsidR="00C3701E" w:rsidRPr="005E2A47" w:rsidRDefault="00C3701E" w:rsidP="00E45334">
      <w:pPr>
        <w:pStyle w:val="EndnoteText"/>
        <w:spacing w:before="120"/>
        <w:rPr>
          <w:rFonts w:cs="Arial"/>
          <w:szCs w:val="18"/>
        </w:rPr>
      </w:pPr>
      <w:r w:rsidRPr="005E2A47">
        <w:rPr>
          <w:rStyle w:val="EndnoteReference"/>
          <w:rFonts w:cs="Arial"/>
          <w:szCs w:val="18"/>
        </w:rPr>
        <w:endnoteRef/>
      </w:r>
      <w:r w:rsidRPr="005E2A47">
        <w:rPr>
          <w:rFonts w:cs="Arial"/>
          <w:szCs w:val="18"/>
        </w:rPr>
        <w:t xml:space="preserve"> 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pages 305–306).</w:t>
      </w:r>
    </w:p>
  </w:endnote>
  <w:endnote w:id="221">
    <w:p w14:paraId="584812B5" w14:textId="7AFE07AB" w:rsidR="00C3701E" w:rsidRPr="005E2A47" w:rsidRDefault="00C3701E" w:rsidP="00E45334">
      <w:pPr>
        <w:pStyle w:val="EndnoteText"/>
        <w:spacing w:before="120"/>
        <w:rPr>
          <w:rFonts w:cs="Arial"/>
          <w:szCs w:val="18"/>
          <w:lang w:val="en-US"/>
        </w:rPr>
      </w:pPr>
      <w:r w:rsidRPr="005E2A47">
        <w:rPr>
          <w:rStyle w:val="EndnoteReference"/>
          <w:rFonts w:cs="Arial"/>
          <w:szCs w:val="18"/>
        </w:rPr>
        <w:endnoteRef/>
      </w:r>
      <w:r w:rsidRPr="005E2A47">
        <w:rPr>
          <w:rFonts w:cs="Arial"/>
          <w:szCs w:val="18"/>
        </w:rPr>
        <w:t xml:space="preserve"> Regulation 5 of the Residential Institutions Redress Act 2002 (Section 17) Regulations 2002. See also regulation 4, regarding awards of aggravated damages. </w:t>
      </w:r>
      <w:r w:rsidRPr="004E5AFA">
        <w:t>We note, however, that the average payment was €62,253.00 (approximately NZ$100,</w:t>
      </w:r>
      <w:r>
        <w:t>0</w:t>
      </w:r>
      <w:r w:rsidRPr="004E5AFA">
        <w:t>00); https://www.rirb.ie/documents/Annual-Report-2018.pdf.</w:t>
      </w:r>
      <w:r w:rsidRPr="005E2A47">
        <w:rPr>
          <w:rFonts w:cs="Arial"/>
          <w:szCs w:val="18"/>
        </w:rPr>
        <w:t xml:space="preserve"> </w:t>
      </w:r>
    </w:p>
  </w:endnote>
  <w:endnote w:id="222">
    <w:p w14:paraId="43819737" w14:textId="1B48E06F" w:rsidR="00C3701E" w:rsidRPr="005A7DD1" w:rsidRDefault="00C3701E" w:rsidP="00E45334">
      <w:pPr>
        <w:pStyle w:val="EndnoteText"/>
        <w:spacing w:before="120"/>
        <w:rPr>
          <w:lang w:val="en-US"/>
        </w:rPr>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 xml:space="preserve">edress to Puretumu </w:t>
      </w:r>
      <w:r w:rsidRPr="005A7DD1">
        <w:rPr>
          <w:rFonts w:cs="Arial"/>
          <w:szCs w:val="18"/>
        </w:rPr>
        <w:t>Torowhānui, Volume 1 (2021, page 433, footnote 927).</w:t>
      </w:r>
    </w:p>
  </w:endnote>
  <w:endnote w:id="223">
    <w:p w14:paraId="5D92F8F6" w14:textId="12B97F35" w:rsidR="00C3701E" w:rsidRPr="00641874" w:rsidRDefault="00C3701E" w:rsidP="00E45334">
      <w:pPr>
        <w:pStyle w:val="EndnoteText"/>
        <w:spacing w:before="120"/>
      </w:pPr>
      <w:r w:rsidRPr="005A7DD1">
        <w:rPr>
          <w:rStyle w:val="EndnoteReference"/>
        </w:rPr>
        <w:endnoteRef/>
      </w:r>
      <w:r w:rsidRPr="005A7DD1">
        <w:t xml:space="preserve"> </w:t>
      </w:r>
      <w:r w:rsidRPr="00641874">
        <w:rPr>
          <w:rFonts w:cs="Arial"/>
          <w:szCs w:val="18"/>
        </w:rPr>
        <w:t>Dilworth Redress Programme Terms, Dilworth Redress (amended 30 October 2023, clause 10.</w:t>
      </w:r>
    </w:p>
  </w:endnote>
  <w:endnote w:id="224">
    <w:p w14:paraId="6A65E95B" w14:textId="785698C6" w:rsidR="00C3701E" w:rsidRPr="00641874" w:rsidRDefault="00C3701E" w:rsidP="00E45334">
      <w:pPr>
        <w:pStyle w:val="EndnoteText"/>
        <w:spacing w:before="120"/>
      </w:pPr>
      <w:r w:rsidRPr="00641874">
        <w:rPr>
          <w:rStyle w:val="EndnoteReference"/>
        </w:rPr>
        <w:endnoteRef/>
      </w:r>
      <w:r w:rsidRPr="00641874">
        <w:t xml:space="preserve"> </w:t>
      </w:r>
      <w:r w:rsidRPr="00641874">
        <w:rPr>
          <w:rFonts w:cs="Arial"/>
          <w:szCs w:val="18"/>
        </w:rPr>
        <w:t>Dilworth Redress Programme Terms, Dilworth Redress (amended 30 October 2023, clause 37.</w:t>
      </w:r>
    </w:p>
  </w:endnote>
  <w:endnote w:id="225">
    <w:p w14:paraId="62B628CA" w14:textId="55D6CEE6" w:rsidR="00C3701E" w:rsidRPr="00641874" w:rsidRDefault="00C3701E" w:rsidP="00E45334">
      <w:pPr>
        <w:pStyle w:val="EndnoteText"/>
        <w:spacing w:before="120"/>
        <w:rPr>
          <w:lang w:val="en-US"/>
        </w:rPr>
      </w:pPr>
      <w:r w:rsidRPr="00641874">
        <w:rPr>
          <w:rStyle w:val="EndnoteReference"/>
        </w:rPr>
        <w:endnoteRef/>
      </w:r>
      <w:r w:rsidRPr="00641874">
        <w:t xml:space="preserve"> </w:t>
      </w:r>
      <w:r w:rsidRPr="00641874">
        <w:rPr>
          <w:lang w:val="en-US"/>
        </w:rPr>
        <w:t xml:space="preserve">For a discussion of these varying standards of proof, see </w:t>
      </w:r>
      <w:r w:rsidRPr="005A7DD1">
        <w:rPr>
          <w:rFonts w:cs="Arial"/>
          <w:szCs w:val="18"/>
        </w:rPr>
        <w:t>Royal Commission of Inquiry into Abuse in Care, He Purapura Ora, he Māra Tipu:</w:t>
      </w:r>
      <w:r w:rsidRPr="005A7DD1" w:rsidDel="005F2FC2">
        <w:rPr>
          <w:rFonts w:cs="Arial"/>
          <w:szCs w:val="18"/>
        </w:rPr>
        <w:t xml:space="preserve"> </w:t>
      </w:r>
      <w:r w:rsidRPr="005A7DD1">
        <w:rPr>
          <w:rFonts w:cs="Arial"/>
          <w:szCs w:val="18"/>
        </w:rPr>
        <w:t xml:space="preserve">From </w:t>
      </w:r>
      <w:r>
        <w:rPr>
          <w:rFonts w:cs="Arial"/>
          <w:szCs w:val="18"/>
        </w:rPr>
        <w:t>R</w:t>
      </w:r>
      <w:r w:rsidRPr="005A7DD1">
        <w:rPr>
          <w:rFonts w:cs="Arial"/>
          <w:szCs w:val="18"/>
        </w:rPr>
        <w:t>edress to Puretumu Torowhānui, Volume 1 (2021, page</w:t>
      </w:r>
      <w:r w:rsidRPr="00641874">
        <w:rPr>
          <w:rFonts w:cs="Arial"/>
          <w:szCs w:val="18"/>
        </w:rPr>
        <w:t xml:space="preserve"> 293).</w:t>
      </w:r>
    </w:p>
  </w:endnote>
  <w:endnote w:id="226">
    <w:p w14:paraId="0147BA55" w14:textId="07DA1B32" w:rsidR="00C3701E" w:rsidRPr="000276E1" w:rsidRDefault="00C3701E" w:rsidP="00E45334">
      <w:pPr>
        <w:pStyle w:val="EndnoteText"/>
        <w:spacing w:before="120"/>
        <w:rPr>
          <w:lang w:val="en-US"/>
        </w:rPr>
      </w:pPr>
      <w:r w:rsidRPr="00641874">
        <w:rPr>
          <w:rStyle w:val="EndnoteReference"/>
        </w:rPr>
        <w:endnoteRef/>
      </w:r>
      <w:r w:rsidRPr="00641874">
        <w:t xml:space="preserve"> </w:t>
      </w:r>
      <w:r w:rsidRPr="00641874">
        <w:rPr>
          <w:rFonts w:cs="Arial"/>
          <w:szCs w:val="18"/>
        </w:rPr>
        <w:t>Dilworth Redress Programme,</w:t>
      </w:r>
      <w:r w:rsidRPr="00641874" w:rsidDel="00C87139">
        <w:rPr>
          <w:rFonts w:cs="Arial"/>
          <w:szCs w:val="18"/>
        </w:rPr>
        <w:t xml:space="preserve"> </w:t>
      </w:r>
      <w:r w:rsidRPr="00641874">
        <w:rPr>
          <w:rFonts w:cs="Arial"/>
          <w:szCs w:val="18"/>
        </w:rPr>
        <w:t>Dilworth Redress Terms (amended 30 October 2023, clause 1037).</w:t>
      </w:r>
    </w:p>
  </w:endnote>
  <w:endnote w:id="227">
    <w:p w14:paraId="37C40667" w14:textId="45B51748" w:rsidR="00C3701E" w:rsidRPr="00CD1AD6" w:rsidRDefault="00C3701E" w:rsidP="00E45334">
      <w:pPr>
        <w:pStyle w:val="EndnoteText"/>
        <w:spacing w:before="120"/>
        <w:rPr>
          <w:lang w:val="en-US"/>
        </w:rPr>
      </w:pPr>
      <w:r>
        <w:rPr>
          <w:rStyle w:val="EndnoteReference"/>
        </w:rPr>
        <w:endnoteRef/>
      </w:r>
      <w:r>
        <w:t xml:space="preserve"> </w:t>
      </w:r>
      <w:r w:rsidRPr="005E2A47">
        <w:rPr>
          <w:rFonts w:cs="Arial"/>
          <w:szCs w:val="18"/>
        </w:rPr>
        <w:t>Residential Institutions Redress Act 2002</w:t>
      </w:r>
      <w:r>
        <w:rPr>
          <w:rFonts w:cs="Arial"/>
          <w:szCs w:val="18"/>
        </w:rPr>
        <w:t xml:space="preserve">, </w:t>
      </w:r>
      <w:r>
        <w:t>section 11(8)(a)–(c)</w:t>
      </w:r>
      <w:r w:rsidRPr="005E2A47">
        <w:rPr>
          <w:rFonts w:cs="Arial"/>
          <w:szCs w:val="18"/>
        </w:rPr>
        <w:t>.</w:t>
      </w:r>
    </w:p>
  </w:endnote>
  <w:endnote w:id="228">
    <w:p w14:paraId="4F8917CF" w14:textId="2CCC3FD2" w:rsidR="00C3701E" w:rsidRPr="00766FA4" w:rsidRDefault="00C3701E" w:rsidP="00E45334">
      <w:pPr>
        <w:pStyle w:val="EndnoteText"/>
        <w:spacing w:before="120"/>
        <w:rPr>
          <w:lang w:val="en-US"/>
        </w:rPr>
      </w:pPr>
      <w:r>
        <w:rPr>
          <w:rStyle w:val="EndnoteReference"/>
        </w:rPr>
        <w:endnoteRef/>
      </w:r>
      <w:r>
        <w:t xml:space="preserv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 304).</w:t>
      </w:r>
    </w:p>
  </w:endnote>
  <w:endnote w:id="229">
    <w:p w14:paraId="24B3DB06" w14:textId="1C5E0AAD" w:rsidR="00C3701E" w:rsidRPr="00357A30" w:rsidRDefault="00C3701E">
      <w:pPr>
        <w:pStyle w:val="EndnoteText"/>
      </w:pPr>
      <w:r>
        <w:rPr>
          <w:rStyle w:val="EndnoteReference"/>
        </w:rPr>
        <w:endnoteRef/>
      </w:r>
      <w:r>
        <w:t xml:space="preserve"> See for example </w:t>
      </w:r>
      <w:r w:rsidRPr="005E2A47">
        <w:rPr>
          <w:rFonts w:cs="Arial"/>
          <w:szCs w:val="18"/>
        </w:rPr>
        <w:t>Royal Commission of Inquiry into Abuse in Care, He Purapura Ora, he Māra Tipu:</w:t>
      </w:r>
      <w:r w:rsidRPr="005E2A47" w:rsidDel="005F2FC2">
        <w:rPr>
          <w:rFonts w:cs="Arial"/>
          <w:szCs w:val="18"/>
        </w:rPr>
        <w:t xml:space="preserve"> </w:t>
      </w:r>
      <w:r w:rsidRPr="005E2A47">
        <w:rPr>
          <w:rFonts w:cs="Arial"/>
          <w:szCs w:val="18"/>
        </w:rPr>
        <w:t xml:space="preserve">From </w:t>
      </w:r>
      <w:r>
        <w:rPr>
          <w:rFonts w:cs="Arial"/>
          <w:szCs w:val="18"/>
        </w:rPr>
        <w:t>R</w:t>
      </w:r>
      <w:r w:rsidRPr="005E2A47">
        <w:rPr>
          <w:rFonts w:cs="Arial"/>
          <w:szCs w:val="18"/>
        </w:rPr>
        <w:t>edress to Puretumu Torowhānui, Volume 1 (2021, page</w:t>
      </w:r>
      <w:r>
        <w:rPr>
          <w:rFonts w:cs="Arial"/>
          <w:szCs w:val="18"/>
        </w:rPr>
        <w:t>s</w:t>
      </w:r>
      <w:r w:rsidRPr="005E2A47">
        <w:rPr>
          <w:rFonts w:cs="Arial"/>
          <w:szCs w:val="18"/>
        </w:rPr>
        <w:t xml:space="preserve"> 30</w:t>
      </w:r>
      <w:r>
        <w:rPr>
          <w:rFonts w:cs="Arial"/>
          <w:szCs w:val="18"/>
        </w:rPr>
        <w:t>3 and 30</w:t>
      </w:r>
      <w:r w:rsidRPr="005E2A47">
        <w:rPr>
          <w:rFonts w:cs="Arial"/>
          <w:szCs w:val="18"/>
        </w:rPr>
        <w:t>4).</w:t>
      </w:r>
    </w:p>
  </w:endnote>
  <w:endnote w:id="230">
    <w:p w14:paraId="4604D53A" w14:textId="77777777" w:rsidR="00C3701E" w:rsidRPr="0003210B" w:rsidRDefault="00C3701E" w:rsidP="00073E1D">
      <w:pPr>
        <w:pStyle w:val="EndnoteText"/>
        <w:spacing w:before="120"/>
        <w:rPr>
          <w:lang w:val="en-US"/>
        </w:rPr>
      </w:pPr>
      <w:r>
        <w:rPr>
          <w:rStyle w:val="EndnoteReference"/>
        </w:rPr>
        <w:endnoteRef/>
      </w:r>
      <w:r>
        <w:t xml:space="preserve"> </w:t>
      </w:r>
      <w:r w:rsidRPr="005E2A47">
        <w:rPr>
          <w:rStyle w:val="normaltextrun"/>
          <w:rFonts w:cs="Arial"/>
          <w:color w:val="000000"/>
          <w:szCs w:val="18"/>
          <w:shd w:val="clear" w:color="auto" w:fill="FFFFFF"/>
        </w:rPr>
        <w:t>Witness statement of Joshy Fitzgerald (25 February 2022).</w:t>
      </w:r>
      <w:r w:rsidRPr="005E2A47">
        <w:rPr>
          <w:rStyle w:val="eop"/>
          <w:rFonts w:cs="Arial"/>
          <w:color w:val="000000"/>
          <w:szCs w:val="18"/>
          <w:shd w:val="clear" w:color="auto" w:fill="FFFFFF"/>
        </w:rPr>
        <w:t> </w:t>
      </w:r>
    </w:p>
  </w:endnote>
  <w:endnote w:id="231">
    <w:p w14:paraId="2522F32F" w14:textId="080AB96F" w:rsidR="00C3701E" w:rsidRPr="001A1589" w:rsidRDefault="00C3701E" w:rsidP="00E45334">
      <w:pPr>
        <w:pStyle w:val="EndnoteText"/>
        <w:spacing w:before="120"/>
        <w:rPr>
          <w:lang w:val="mi-NZ"/>
        </w:rPr>
      </w:pPr>
      <w:r>
        <w:rPr>
          <w:rStyle w:val="EndnoteReference"/>
        </w:rPr>
        <w:endnoteRef/>
      </w:r>
      <w:r>
        <w:t xml:space="preserve"> </w:t>
      </w:r>
      <w:r w:rsidRPr="00641874">
        <w:rPr>
          <w:lang w:val="mi-NZ"/>
        </w:rPr>
        <w:t>Post, LA, Raile, ANW &amp; Raile, ED, “Defining political will,” Politics &amp; Policy, Volume 38, Issue 4 (2010, pages 653–676).</w:t>
      </w:r>
      <w:r>
        <w:rPr>
          <w:lang w:val="mi-NZ"/>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102505"/>
      <w:docPartObj>
        <w:docPartGallery w:val="Page Numbers (Bottom of Page)"/>
        <w:docPartUnique/>
      </w:docPartObj>
    </w:sdtPr>
    <w:sdtContent>
      <w:sdt>
        <w:sdtPr>
          <w:id w:val="-1769616900"/>
          <w:docPartObj>
            <w:docPartGallery w:val="Page Numbers (Top of Page)"/>
            <w:docPartUnique/>
          </w:docPartObj>
        </w:sdtPr>
        <w:sdtContent>
          <w:p w14:paraId="77579ACC" w14:textId="367A952D" w:rsidR="00BE217A" w:rsidRDefault="00BE21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782113" w14:textId="77777777" w:rsidR="00BE217A" w:rsidRDefault="00BE2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87F1C" w14:textId="77777777" w:rsidR="002F7FAF" w:rsidRDefault="002F7FAF" w:rsidP="009A2448">
      <w:pPr>
        <w:spacing w:after="0" w:line="240" w:lineRule="auto"/>
      </w:pPr>
      <w:r>
        <w:separator/>
      </w:r>
    </w:p>
  </w:footnote>
  <w:footnote w:type="continuationSeparator" w:id="0">
    <w:p w14:paraId="5A3C20D0" w14:textId="77777777" w:rsidR="002F7FAF" w:rsidRDefault="002F7FAF" w:rsidP="009A2448">
      <w:pPr>
        <w:spacing w:after="0" w:line="240" w:lineRule="auto"/>
      </w:pPr>
      <w:r>
        <w:continuationSeparator/>
      </w:r>
    </w:p>
  </w:footnote>
  <w:footnote w:type="continuationNotice" w:id="1">
    <w:p w14:paraId="22989078" w14:textId="77777777" w:rsidR="002F7FAF" w:rsidRDefault="002F7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4D35B" w14:textId="21734C39" w:rsidR="00BE217A" w:rsidRPr="004F7B59" w:rsidRDefault="00BE217A" w:rsidP="004A7BFA">
    <w:pPr>
      <w:pStyle w:val="Header"/>
      <w:spacing w:before="40" w:after="120"/>
      <w:jc w:val="right"/>
      <w:rPr>
        <w:color w:val="808080" w:themeColor="background1" w:themeShade="80"/>
        <w:lang w:val="mi-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CCE04DEA"/>
    <w:lvl w:ilvl="0">
      <w:start w:val="1"/>
      <w:numFmt w:val="bullet"/>
      <w:pStyle w:val="Heading5"/>
      <w:lvlText w:val=""/>
      <w:lvlJc w:val="left"/>
      <w:pPr>
        <w:tabs>
          <w:tab w:val="num" w:pos="631"/>
        </w:tabs>
        <w:ind w:left="631" w:hanging="360"/>
      </w:pPr>
      <w:rPr>
        <w:rFonts w:ascii="Symbol" w:hAnsi="Symbol" w:hint="default"/>
      </w:rPr>
    </w:lvl>
  </w:abstractNum>
  <w:abstractNum w:abstractNumId="1" w15:restartNumberingAfterBreak="0">
    <w:nsid w:val="01857AFB"/>
    <w:multiLevelType w:val="hybridMultilevel"/>
    <w:tmpl w:val="64D0F478"/>
    <w:lvl w:ilvl="0" w:tplc="DD7ED7A4">
      <w:start w:val="1"/>
      <w:numFmt w:val="decimal"/>
      <w:pStyle w:val="Vol4Numberedparas"/>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01">
      <w:start w:val="1"/>
      <w:numFmt w:val="bullet"/>
      <w:lvlText w:val=""/>
      <w:lvlJc w:val="left"/>
      <w:pPr>
        <w:ind w:left="2160" w:hanging="360"/>
      </w:pPr>
      <w:rPr>
        <w:rFonts w:ascii="Symbol" w:hAnsi="Symbol" w:hint="default"/>
      </w:r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2" w15:restartNumberingAfterBreak="0">
    <w:nsid w:val="022F62CE"/>
    <w:multiLevelType w:val="hybridMultilevel"/>
    <w:tmpl w:val="77766F8E"/>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3" w15:restartNumberingAfterBreak="0">
    <w:nsid w:val="214937A0"/>
    <w:multiLevelType w:val="hybridMultilevel"/>
    <w:tmpl w:val="569E8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8B3822"/>
    <w:multiLevelType w:val="hybridMultilevel"/>
    <w:tmpl w:val="4412C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8E7390"/>
    <w:multiLevelType w:val="hybridMultilevel"/>
    <w:tmpl w:val="74D69E2C"/>
    <w:lvl w:ilvl="0" w:tplc="1078223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92084D"/>
    <w:multiLevelType w:val="hybridMultilevel"/>
    <w:tmpl w:val="2DE4FF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4CC37D5"/>
    <w:multiLevelType w:val="hybridMultilevel"/>
    <w:tmpl w:val="6EDA2A24"/>
    <w:lvl w:ilvl="0" w:tplc="14090001">
      <w:start w:val="1"/>
      <w:numFmt w:val="bullet"/>
      <w:lvlText w:val=""/>
      <w:lvlJc w:val="left"/>
      <w:pPr>
        <w:ind w:left="1353" w:hanging="360"/>
      </w:pPr>
      <w:rPr>
        <w:rFonts w:ascii="Symbol" w:hAnsi="Symbol" w:hint="default"/>
      </w:rPr>
    </w:lvl>
    <w:lvl w:ilvl="1" w:tplc="14090003" w:tentative="1">
      <w:start w:val="1"/>
      <w:numFmt w:val="bullet"/>
      <w:lvlText w:val="o"/>
      <w:lvlJc w:val="left"/>
      <w:pPr>
        <w:ind w:left="2073" w:hanging="360"/>
      </w:pPr>
      <w:rPr>
        <w:rFonts w:ascii="Courier New" w:hAnsi="Courier New" w:cs="Courier New" w:hint="default"/>
      </w:rPr>
    </w:lvl>
    <w:lvl w:ilvl="2" w:tplc="14090005" w:tentative="1">
      <w:start w:val="1"/>
      <w:numFmt w:val="bullet"/>
      <w:lvlText w:val=""/>
      <w:lvlJc w:val="left"/>
      <w:pPr>
        <w:ind w:left="2793" w:hanging="360"/>
      </w:pPr>
      <w:rPr>
        <w:rFonts w:ascii="Wingdings" w:hAnsi="Wingdings" w:hint="default"/>
      </w:rPr>
    </w:lvl>
    <w:lvl w:ilvl="3" w:tplc="14090001" w:tentative="1">
      <w:start w:val="1"/>
      <w:numFmt w:val="bullet"/>
      <w:lvlText w:val=""/>
      <w:lvlJc w:val="left"/>
      <w:pPr>
        <w:ind w:left="3513" w:hanging="360"/>
      </w:pPr>
      <w:rPr>
        <w:rFonts w:ascii="Symbol" w:hAnsi="Symbol" w:hint="default"/>
      </w:rPr>
    </w:lvl>
    <w:lvl w:ilvl="4" w:tplc="14090003" w:tentative="1">
      <w:start w:val="1"/>
      <w:numFmt w:val="bullet"/>
      <w:lvlText w:val="o"/>
      <w:lvlJc w:val="left"/>
      <w:pPr>
        <w:ind w:left="4233" w:hanging="360"/>
      </w:pPr>
      <w:rPr>
        <w:rFonts w:ascii="Courier New" w:hAnsi="Courier New" w:cs="Courier New" w:hint="default"/>
      </w:rPr>
    </w:lvl>
    <w:lvl w:ilvl="5" w:tplc="14090005" w:tentative="1">
      <w:start w:val="1"/>
      <w:numFmt w:val="bullet"/>
      <w:lvlText w:val=""/>
      <w:lvlJc w:val="left"/>
      <w:pPr>
        <w:ind w:left="4953" w:hanging="360"/>
      </w:pPr>
      <w:rPr>
        <w:rFonts w:ascii="Wingdings" w:hAnsi="Wingdings" w:hint="default"/>
      </w:rPr>
    </w:lvl>
    <w:lvl w:ilvl="6" w:tplc="14090001" w:tentative="1">
      <w:start w:val="1"/>
      <w:numFmt w:val="bullet"/>
      <w:lvlText w:val=""/>
      <w:lvlJc w:val="left"/>
      <w:pPr>
        <w:ind w:left="5673" w:hanging="360"/>
      </w:pPr>
      <w:rPr>
        <w:rFonts w:ascii="Symbol" w:hAnsi="Symbol" w:hint="default"/>
      </w:rPr>
    </w:lvl>
    <w:lvl w:ilvl="7" w:tplc="14090003" w:tentative="1">
      <w:start w:val="1"/>
      <w:numFmt w:val="bullet"/>
      <w:lvlText w:val="o"/>
      <w:lvlJc w:val="left"/>
      <w:pPr>
        <w:ind w:left="6393" w:hanging="360"/>
      </w:pPr>
      <w:rPr>
        <w:rFonts w:ascii="Courier New" w:hAnsi="Courier New" w:cs="Courier New" w:hint="default"/>
      </w:rPr>
    </w:lvl>
    <w:lvl w:ilvl="8" w:tplc="14090005" w:tentative="1">
      <w:start w:val="1"/>
      <w:numFmt w:val="bullet"/>
      <w:lvlText w:val=""/>
      <w:lvlJc w:val="left"/>
      <w:pPr>
        <w:ind w:left="7113" w:hanging="360"/>
      </w:pPr>
      <w:rPr>
        <w:rFonts w:ascii="Wingdings" w:hAnsi="Wingdings" w:hint="default"/>
      </w:rPr>
    </w:lvl>
  </w:abstractNum>
  <w:abstractNum w:abstractNumId="8" w15:restartNumberingAfterBreak="0">
    <w:nsid w:val="4472123B"/>
    <w:multiLevelType w:val="hybridMultilevel"/>
    <w:tmpl w:val="07686C20"/>
    <w:lvl w:ilvl="0" w:tplc="1409000B">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4BFD6982"/>
    <w:multiLevelType w:val="hybridMultilevel"/>
    <w:tmpl w:val="CFFEE94A"/>
    <w:lvl w:ilvl="0" w:tplc="14090001">
      <w:start w:val="1"/>
      <w:numFmt w:val="bullet"/>
      <w:lvlText w:val=""/>
      <w:lvlJc w:val="left"/>
      <w:pPr>
        <w:ind w:left="1353" w:hanging="360"/>
      </w:pPr>
      <w:rPr>
        <w:rFonts w:ascii="Symbol" w:hAnsi="Symbol" w:hint="default"/>
      </w:rPr>
    </w:lvl>
    <w:lvl w:ilvl="1" w:tplc="14090003" w:tentative="1">
      <w:start w:val="1"/>
      <w:numFmt w:val="bullet"/>
      <w:lvlText w:val="o"/>
      <w:lvlJc w:val="left"/>
      <w:pPr>
        <w:ind w:left="2073" w:hanging="360"/>
      </w:pPr>
      <w:rPr>
        <w:rFonts w:ascii="Courier New" w:hAnsi="Courier New" w:cs="Courier New" w:hint="default"/>
      </w:rPr>
    </w:lvl>
    <w:lvl w:ilvl="2" w:tplc="14090005" w:tentative="1">
      <w:start w:val="1"/>
      <w:numFmt w:val="bullet"/>
      <w:lvlText w:val=""/>
      <w:lvlJc w:val="left"/>
      <w:pPr>
        <w:ind w:left="2793" w:hanging="360"/>
      </w:pPr>
      <w:rPr>
        <w:rFonts w:ascii="Wingdings" w:hAnsi="Wingdings" w:hint="default"/>
      </w:rPr>
    </w:lvl>
    <w:lvl w:ilvl="3" w:tplc="14090001" w:tentative="1">
      <w:start w:val="1"/>
      <w:numFmt w:val="bullet"/>
      <w:lvlText w:val=""/>
      <w:lvlJc w:val="left"/>
      <w:pPr>
        <w:ind w:left="3513" w:hanging="360"/>
      </w:pPr>
      <w:rPr>
        <w:rFonts w:ascii="Symbol" w:hAnsi="Symbol" w:hint="default"/>
      </w:rPr>
    </w:lvl>
    <w:lvl w:ilvl="4" w:tplc="14090003" w:tentative="1">
      <w:start w:val="1"/>
      <w:numFmt w:val="bullet"/>
      <w:lvlText w:val="o"/>
      <w:lvlJc w:val="left"/>
      <w:pPr>
        <w:ind w:left="4233" w:hanging="360"/>
      </w:pPr>
      <w:rPr>
        <w:rFonts w:ascii="Courier New" w:hAnsi="Courier New" w:cs="Courier New" w:hint="default"/>
      </w:rPr>
    </w:lvl>
    <w:lvl w:ilvl="5" w:tplc="14090005" w:tentative="1">
      <w:start w:val="1"/>
      <w:numFmt w:val="bullet"/>
      <w:lvlText w:val=""/>
      <w:lvlJc w:val="left"/>
      <w:pPr>
        <w:ind w:left="4953" w:hanging="360"/>
      </w:pPr>
      <w:rPr>
        <w:rFonts w:ascii="Wingdings" w:hAnsi="Wingdings" w:hint="default"/>
      </w:rPr>
    </w:lvl>
    <w:lvl w:ilvl="6" w:tplc="14090001" w:tentative="1">
      <w:start w:val="1"/>
      <w:numFmt w:val="bullet"/>
      <w:lvlText w:val=""/>
      <w:lvlJc w:val="left"/>
      <w:pPr>
        <w:ind w:left="5673" w:hanging="360"/>
      </w:pPr>
      <w:rPr>
        <w:rFonts w:ascii="Symbol" w:hAnsi="Symbol" w:hint="default"/>
      </w:rPr>
    </w:lvl>
    <w:lvl w:ilvl="7" w:tplc="14090003" w:tentative="1">
      <w:start w:val="1"/>
      <w:numFmt w:val="bullet"/>
      <w:lvlText w:val="o"/>
      <w:lvlJc w:val="left"/>
      <w:pPr>
        <w:ind w:left="6393" w:hanging="360"/>
      </w:pPr>
      <w:rPr>
        <w:rFonts w:ascii="Courier New" w:hAnsi="Courier New" w:cs="Courier New" w:hint="default"/>
      </w:rPr>
    </w:lvl>
    <w:lvl w:ilvl="8" w:tplc="14090005" w:tentative="1">
      <w:start w:val="1"/>
      <w:numFmt w:val="bullet"/>
      <w:lvlText w:val=""/>
      <w:lvlJc w:val="left"/>
      <w:pPr>
        <w:ind w:left="7113" w:hanging="360"/>
      </w:pPr>
      <w:rPr>
        <w:rFonts w:ascii="Wingdings" w:hAnsi="Wingdings" w:hint="default"/>
      </w:rPr>
    </w:lvl>
  </w:abstractNum>
  <w:abstractNum w:abstractNumId="10" w15:restartNumberingAfterBreak="0">
    <w:nsid w:val="52C76CB4"/>
    <w:multiLevelType w:val="hybridMultilevel"/>
    <w:tmpl w:val="2D86DBA0"/>
    <w:lvl w:ilvl="0" w:tplc="14090001">
      <w:start w:val="1"/>
      <w:numFmt w:val="bullet"/>
      <w:lvlText w:val=""/>
      <w:lvlJc w:val="left"/>
      <w:pPr>
        <w:ind w:left="1351" w:hanging="360"/>
      </w:pPr>
      <w:rPr>
        <w:rFonts w:ascii="Symbol" w:hAnsi="Symbol" w:hint="default"/>
      </w:rPr>
    </w:lvl>
    <w:lvl w:ilvl="1" w:tplc="14090003" w:tentative="1">
      <w:start w:val="1"/>
      <w:numFmt w:val="bullet"/>
      <w:lvlText w:val="o"/>
      <w:lvlJc w:val="left"/>
      <w:pPr>
        <w:ind w:left="2071" w:hanging="360"/>
      </w:pPr>
      <w:rPr>
        <w:rFonts w:ascii="Courier New" w:hAnsi="Courier New" w:cs="Courier New" w:hint="default"/>
      </w:rPr>
    </w:lvl>
    <w:lvl w:ilvl="2" w:tplc="14090005" w:tentative="1">
      <w:start w:val="1"/>
      <w:numFmt w:val="bullet"/>
      <w:lvlText w:val=""/>
      <w:lvlJc w:val="left"/>
      <w:pPr>
        <w:ind w:left="2791" w:hanging="360"/>
      </w:pPr>
      <w:rPr>
        <w:rFonts w:ascii="Wingdings" w:hAnsi="Wingdings" w:hint="default"/>
      </w:rPr>
    </w:lvl>
    <w:lvl w:ilvl="3" w:tplc="14090001" w:tentative="1">
      <w:start w:val="1"/>
      <w:numFmt w:val="bullet"/>
      <w:lvlText w:val=""/>
      <w:lvlJc w:val="left"/>
      <w:pPr>
        <w:ind w:left="3511" w:hanging="360"/>
      </w:pPr>
      <w:rPr>
        <w:rFonts w:ascii="Symbol" w:hAnsi="Symbol" w:hint="default"/>
      </w:rPr>
    </w:lvl>
    <w:lvl w:ilvl="4" w:tplc="14090003" w:tentative="1">
      <w:start w:val="1"/>
      <w:numFmt w:val="bullet"/>
      <w:lvlText w:val="o"/>
      <w:lvlJc w:val="left"/>
      <w:pPr>
        <w:ind w:left="4231" w:hanging="360"/>
      </w:pPr>
      <w:rPr>
        <w:rFonts w:ascii="Courier New" w:hAnsi="Courier New" w:cs="Courier New" w:hint="default"/>
      </w:rPr>
    </w:lvl>
    <w:lvl w:ilvl="5" w:tplc="14090005" w:tentative="1">
      <w:start w:val="1"/>
      <w:numFmt w:val="bullet"/>
      <w:lvlText w:val=""/>
      <w:lvlJc w:val="left"/>
      <w:pPr>
        <w:ind w:left="4951" w:hanging="360"/>
      </w:pPr>
      <w:rPr>
        <w:rFonts w:ascii="Wingdings" w:hAnsi="Wingdings" w:hint="default"/>
      </w:rPr>
    </w:lvl>
    <w:lvl w:ilvl="6" w:tplc="14090001" w:tentative="1">
      <w:start w:val="1"/>
      <w:numFmt w:val="bullet"/>
      <w:lvlText w:val=""/>
      <w:lvlJc w:val="left"/>
      <w:pPr>
        <w:ind w:left="5671" w:hanging="360"/>
      </w:pPr>
      <w:rPr>
        <w:rFonts w:ascii="Symbol" w:hAnsi="Symbol" w:hint="default"/>
      </w:rPr>
    </w:lvl>
    <w:lvl w:ilvl="7" w:tplc="14090003" w:tentative="1">
      <w:start w:val="1"/>
      <w:numFmt w:val="bullet"/>
      <w:lvlText w:val="o"/>
      <w:lvlJc w:val="left"/>
      <w:pPr>
        <w:ind w:left="6391" w:hanging="360"/>
      </w:pPr>
      <w:rPr>
        <w:rFonts w:ascii="Courier New" w:hAnsi="Courier New" w:cs="Courier New" w:hint="default"/>
      </w:rPr>
    </w:lvl>
    <w:lvl w:ilvl="8" w:tplc="14090005" w:tentative="1">
      <w:start w:val="1"/>
      <w:numFmt w:val="bullet"/>
      <w:lvlText w:val=""/>
      <w:lvlJc w:val="left"/>
      <w:pPr>
        <w:ind w:left="7111" w:hanging="360"/>
      </w:pPr>
      <w:rPr>
        <w:rFonts w:ascii="Wingdings" w:hAnsi="Wingdings" w:hint="default"/>
      </w:rPr>
    </w:lvl>
  </w:abstractNum>
  <w:abstractNum w:abstractNumId="11" w15:restartNumberingAfterBreak="0">
    <w:nsid w:val="5CC9582F"/>
    <w:multiLevelType w:val="hybridMultilevel"/>
    <w:tmpl w:val="0C86B60A"/>
    <w:lvl w:ilvl="0" w:tplc="12C67B70">
      <w:start w:val="1"/>
      <w:numFmt w:val="decimal"/>
      <w:pStyle w:val="ListParagraph"/>
      <w:lvlText w:val="%1."/>
      <w:lvlJc w:val="left"/>
      <w:pPr>
        <w:ind w:left="57" w:hanging="57"/>
      </w:pPr>
      <w:rPr>
        <w:rFonts w:hint="default"/>
        <w:b w:val="0"/>
        <w:bCs/>
        <w:i w:val="0"/>
        <w:color w:val="auto"/>
        <w:sz w:val="22"/>
        <w:szCs w:val="22"/>
        <w:vertAlign w:val="baseline"/>
      </w:rPr>
    </w:lvl>
    <w:lvl w:ilvl="1" w:tplc="14090019">
      <w:start w:val="1"/>
      <w:numFmt w:val="lowerLetter"/>
      <w:lvlText w:val="%2."/>
      <w:lvlJc w:val="left"/>
      <w:pPr>
        <w:ind w:left="1582" w:hanging="360"/>
      </w:pPr>
    </w:lvl>
    <w:lvl w:ilvl="2" w:tplc="1409001B">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2" w15:restartNumberingAfterBreak="0">
    <w:nsid w:val="7514FFA6"/>
    <w:multiLevelType w:val="multilevel"/>
    <w:tmpl w:val="C69CD3A8"/>
    <w:lvl w:ilvl="0">
      <w:start w:val="1"/>
      <w:numFmt w:val="decimal"/>
      <w:pStyle w:val="Numparas"/>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294865579">
    <w:abstractNumId w:val="0"/>
  </w:num>
  <w:num w:numId="2" w16cid:durableId="1422294793">
    <w:abstractNumId w:val="6"/>
  </w:num>
  <w:num w:numId="3" w16cid:durableId="1585799603">
    <w:abstractNumId w:val="11"/>
  </w:num>
  <w:num w:numId="4" w16cid:durableId="687482674">
    <w:abstractNumId w:val="1"/>
  </w:num>
  <w:num w:numId="5" w16cid:durableId="630212001">
    <w:abstractNumId w:val="12"/>
  </w:num>
  <w:num w:numId="6" w16cid:durableId="773675749">
    <w:abstractNumId w:val="8"/>
  </w:num>
  <w:num w:numId="7" w16cid:durableId="881525823">
    <w:abstractNumId w:val="3"/>
  </w:num>
  <w:num w:numId="8" w16cid:durableId="1269046258">
    <w:abstractNumId w:val="11"/>
  </w:num>
  <w:num w:numId="9" w16cid:durableId="450445080">
    <w:abstractNumId w:val="10"/>
  </w:num>
  <w:num w:numId="10" w16cid:durableId="2016640029">
    <w:abstractNumId w:val="0"/>
  </w:num>
  <w:num w:numId="11" w16cid:durableId="1648051465">
    <w:abstractNumId w:val="0"/>
  </w:num>
  <w:num w:numId="12" w16cid:durableId="1960524665">
    <w:abstractNumId w:val="0"/>
  </w:num>
  <w:num w:numId="13" w16cid:durableId="371928811">
    <w:abstractNumId w:val="0"/>
  </w:num>
  <w:num w:numId="14" w16cid:durableId="174998590">
    <w:abstractNumId w:val="0"/>
  </w:num>
  <w:num w:numId="15" w16cid:durableId="621886391">
    <w:abstractNumId w:val="0"/>
  </w:num>
  <w:num w:numId="16" w16cid:durableId="2100130817">
    <w:abstractNumId w:val="0"/>
  </w:num>
  <w:num w:numId="17" w16cid:durableId="904992642">
    <w:abstractNumId w:val="0"/>
  </w:num>
  <w:num w:numId="18" w16cid:durableId="1929343355">
    <w:abstractNumId w:val="0"/>
  </w:num>
  <w:num w:numId="19" w16cid:durableId="2084181333">
    <w:abstractNumId w:val="0"/>
  </w:num>
  <w:num w:numId="20" w16cid:durableId="1631207572">
    <w:abstractNumId w:val="0"/>
  </w:num>
  <w:num w:numId="21" w16cid:durableId="204761263">
    <w:abstractNumId w:val="1"/>
  </w:num>
  <w:num w:numId="22" w16cid:durableId="1027559034">
    <w:abstractNumId w:val="1"/>
  </w:num>
  <w:num w:numId="23" w16cid:durableId="1415587667">
    <w:abstractNumId w:val="1"/>
  </w:num>
  <w:num w:numId="24" w16cid:durableId="1094546244">
    <w:abstractNumId w:val="1"/>
  </w:num>
  <w:num w:numId="25" w16cid:durableId="255018176">
    <w:abstractNumId w:val="1"/>
  </w:num>
  <w:num w:numId="26" w16cid:durableId="510533532">
    <w:abstractNumId w:val="1"/>
  </w:num>
  <w:num w:numId="27" w16cid:durableId="70202835">
    <w:abstractNumId w:val="1"/>
  </w:num>
  <w:num w:numId="28" w16cid:durableId="439765710">
    <w:abstractNumId w:val="1"/>
  </w:num>
  <w:num w:numId="29" w16cid:durableId="146363644">
    <w:abstractNumId w:val="1"/>
  </w:num>
  <w:num w:numId="30" w16cid:durableId="906841661">
    <w:abstractNumId w:val="1"/>
  </w:num>
  <w:num w:numId="31" w16cid:durableId="2129277592">
    <w:abstractNumId w:val="1"/>
  </w:num>
  <w:num w:numId="32" w16cid:durableId="1097095117">
    <w:abstractNumId w:val="1"/>
  </w:num>
  <w:num w:numId="33" w16cid:durableId="1761102455">
    <w:abstractNumId w:val="1"/>
  </w:num>
  <w:num w:numId="34" w16cid:durableId="1472595229">
    <w:abstractNumId w:val="1"/>
  </w:num>
  <w:num w:numId="35" w16cid:durableId="86925118">
    <w:abstractNumId w:val="1"/>
  </w:num>
  <w:num w:numId="36" w16cid:durableId="1757438034">
    <w:abstractNumId w:val="1"/>
  </w:num>
  <w:num w:numId="37" w16cid:durableId="1094672050">
    <w:abstractNumId w:val="1"/>
  </w:num>
  <w:num w:numId="38" w16cid:durableId="1415515562">
    <w:abstractNumId w:val="1"/>
  </w:num>
  <w:num w:numId="39" w16cid:durableId="1728141137">
    <w:abstractNumId w:val="1"/>
  </w:num>
  <w:num w:numId="40" w16cid:durableId="202719025">
    <w:abstractNumId w:val="1"/>
  </w:num>
  <w:num w:numId="41" w16cid:durableId="796946474">
    <w:abstractNumId w:val="1"/>
  </w:num>
  <w:num w:numId="42" w16cid:durableId="1638798542">
    <w:abstractNumId w:val="1"/>
  </w:num>
  <w:num w:numId="43" w16cid:durableId="463432407">
    <w:abstractNumId w:val="1"/>
  </w:num>
  <w:num w:numId="44" w16cid:durableId="2090157284">
    <w:abstractNumId w:val="1"/>
  </w:num>
  <w:num w:numId="45" w16cid:durableId="480804788">
    <w:abstractNumId w:val="1"/>
  </w:num>
  <w:num w:numId="46" w16cid:durableId="1088229488">
    <w:abstractNumId w:val="1"/>
  </w:num>
  <w:num w:numId="47" w16cid:durableId="258487759">
    <w:abstractNumId w:val="1"/>
  </w:num>
  <w:num w:numId="48" w16cid:durableId="727341784">
    <w:abstractNumId w:val="1"/>
  </w:num>
  <w:num w:numId="49" w16cid:durableId="1357579946">
    <w:abstractNumId w:val="1"/>
  </w:num>
  <w:num w:numId="50" w16cid:durableId="1712801999">
    <w:abstractNumId w:val="1"/>
  </w:num>
  <w:num w:numId="51" w16cid:durableId="1145973809">
    <w:abstractNumId w:val="1"/>
  </w:num>
  <w:num w:numId="52" w16cid:durableId="1452939907">
    <w:abstractNumId w:val="1"/>
  </w:num>
  <w:num w:numId="53" w16cid:durableId="496118481">
    <w:abstractNumId w:val="1"/>
  </w:num>
  <w:num w:numId="54" w16cid:durableId="1865896786">
    <w:abstractNumId w:val="1"/>
  </w:num>
  <w:num w:numId="55" w16cid:durableId="633869091">
    <w:abstractNumId w:val="1"/>
  </w:num>
  <w:num w:numId="56" w16cid:durableId="825589092">
    <w:abstractNumId w:val="1"/>
  </w:num>
  <w:num w:numId="57" w16cid:durableId="1827211177">
    <w:abstractNumId w:val="1"/>
  </w:num>
  <w:num w:numId="58" w16cid:durableId="1991321128">
    <w:abstractNumId w:val="1"/>
  </w:num>
  <w:num w:numId="59" w16cid:durableId="258031985">
    <w:abstractNumId w:val="1"/>
  </w:num>
  <w:num w:numId="60" w16cid:durableId="1758558903">
    <w:abstractNumId w:val="1"/>
  </w:num>
  <w:num w:numId="61" w16cid:durableId="846603262">
    <w:abstractNumId w:val="1"/>
  </w:num>
  <w:num w:numId="62" w16cid:durableId="1669164000">
    <w:abstractNumId w:val="1"/>
  </w:num>
  <w:num w:numId="63" w16cid:durableId="2065375038">
    <w:abstractNumId w:val="1"/>
  </w:num>
  <w:num w:numId="64" w16cid:durableId="1003360202">
    <w:abstractNumId w:val="1"/>
  </w:num>
  <w:num w:numId="65" w16cid:durableId="49697677">
    <w:abstractNumId w:val="1"/>
  </w:num>
  <w:num w:numId="66" w16cid:durableId="129901841">
    <w:abstractNumId w:val="1"/>
  </w:num>
  <w:num w:numId="67" w16cid:durableId="191502323">
    <w:abstractNumId w:val="1"/>
  </w:num>
  <w:num w:numId="68" w16cid:durableId="2005937424">
    <w:abstractNumId w:val="1"/>
  </w:num>
  <w:num w:numId="69" w16cid:durableId="1666592482">
    <w:abstractNumId w:val="1"/>
  </w:num>
  <w:num w:numId="70" w16cid:durableId="90861493">
    <w:abstractNumId w:val="1"/>
  </w:num>
  <w:num w:numId="71" w16cid:durableId="346447700">
    <w:abstractNumId w:val="1"/>
  </w:num>
  <w:num w:numId="72" w16cid:durableId="792986022">
    <w:abstractNumId w:val="1"/>
  </w:num>
  <w:num w:numId="73" w16cid:durableId="647053848">
    <w:abstractNumId w:val="1"/>
  </w:num>
  <w:num w:numId="74" w16cid:durableId="451365320">
    <w:abstractNumId w:val="1"/>
  </w:num>
  <w:num w:numId="75" w16cid:durableId="408968106">
    <w:abstractNumId w:val="1"/>
  </w:num>
  <w:num w:numId="76" w16cid:durableId="2034727546">
    <w:abstractNumId w:val="1"/>
  </w:num>
  <w:num w:numId="77" w16cid:durableId="383723427">
    <w:abstractNumId w:val="1"/>
  </w:num>
  <w:num w:numId="78" w16cid:durableId="544291966">
    <w:abstractNumId w:val="1"/>
  </w:num>
  <w:num w:numId="79" w16cid:durableId="1313176954">
    <w:abstractNumId w:val="1"/>
  </w:num>
  <w:num w:numId="80" w16cid:durableId="1146698944">
    <w:abstractNumId w:val="1"/>
  </w:num>
  <w:num w:numId="81" w16cid:durableId="2118404257">
    <w:abstractNumId w:val="1"/>
  </w:num>
  <w:num w:numId="82" w16cid:durableId="1269001667">
    <w:abstractNumId w:val="1"/>
  </w:num>
  <w:num w:numId="83" w16cid:durableId="1847741333">
    <w:abstractNumId w:val="1"/>
  </w:num>
  <w:num w:numId="84" w16cid:durableId="1716539799">
    <w:abstractNumId w:val="1"/>
  </w:num>
  <w:num w:numId="85" w16cid:durableId="155805874">
    <w:abstractNumId w:val="1"/>
  </w:num>
  <w:num w:numId="86" w16cid:durableId="1222902732">
    <w:abstractNumId w:val="1"/>
  </w:num>
  <w:num w:numId="87" w16cid:durableId="188493730">
    <w:abstractNumId w:val="1"/>
  </w:num>
  <w:num w:numId="88" w16cid:durableId="1278216881">
    <w:abstractNumId w:val="1"/>
  </w:num>
  <w:num w:numId="89" w16cid:durableId="1160196906">
    <w:abstractNumId w:val="1"/>
  </w:num>
  <w:num w:numId="90" w16cid:durableId="1788741177">
    <w:abstractNumId w:val="1"/>
  </w:num>
  <w:num w:numId="91" w16cid:durableId="1993672910">
    <w:abstractNumId w:val="1"/>
  </w:num>
  <w:num w:numId="92" w16cid:durableId="55474597">
    <w:abstractNumId w:val="1"/>
  </w:num>
  <w:num w:numId="93" w16cid:durableId="1997948970">
    <w:abstractNumId w:val="1"/>
  </w:num>
  <w:num w:numId="94" w16cid:durableId="2072459745">
    <w:abstractNumId w:val="1"/>
  </w:num>
  <w:num w:numId="95" w16cid:durableId="503787334">
    <w:abstractNumId w:val="1"/>
  </w:num>
  <w:num w:numId="96" w16cid:durableId="489254449">
    <w:abstractNumId w:val="1"/>
  </w:num>
  <w:num w:numId="97" w16cid:durableId="1906135901">
    <w:abstractNumId w:val="1"/>
  </w:num>
  <w:num w:numId="98" w16cid:durableId="4526172">
    <w:abstractNumId w:val="1"/>
  </w:num>
  <w:num w:numId="99" w16cid:durableId="1439108389">
    <w:abstractNumId w:val="1"/>
  </w:num>
  <w:num w:numId="100" w16cid:durableId="1884243846">
    <w:abstractNumId w:val="1"/>
  </w:num>
  <w:num w:numId="101" w16cid:durableId="216860204">
    <w:abstractNumId w:val="1"/>
  </w:num>
  <w:num w:numId="102" w16cid:durableId="504058123">
    <w:abstractNumId w:val="1"/>
  </w:num>
  <w:num w:numId="103" w16cid:durableId="99229320">
    <w:abstractNumId w:val="1"/>
  </w:num>
  <w:num w:numId="104" w16cid:durableId="1559049140">
    <w:abstractNumId w:val="1"/>
  </w:num>
  <w:num w:numId="105" w16cid:durableId="1918130144">
    <w:abstractNumId w:val="1"/>
  </w:num>
  <w:num w:numId="106" w16cid:durableId="92870811">
    <w:abstractNumId w:val="1"/>
  </w:num>
  <w:num w:numId="107" w16cid:durableId="171187361">
    <w:abstractNumId w:val="1"/>
  </w:num>
  <w:num w:numId="108" w16cid:durableId="1161890491">
    <w:abstractNumId w:val="1"/>
  </w:num>
  <w:num w:numId="109" w16cid:durableId="508910890">
    <w:abstractNumId w:val="1"/>
  </w:num>
  <w:num w:numId="110" w16cid:durableId="1633906379">
    <w:abstractNumId w:val="1"/>
  </w:num>
  <w:num w:numId="111" w16cid:durableId="1755083352">
    <w:abstractNumId w:val="1"/>
  </w:num>
  <w:num w:numId="112" w16cid:durableId="529681728">
    <w:abstractNumId w:val="1"/>
  </w:num>
  <w:num w:numId="113" w16cid:durableId="1500584298">
    <w:abstractNumId w:val="1"/>
  </w:num>
  <w:num w:numId="114" w16cid:durableId="692269858">
    <w:abstractNumId w:val="1"/>
  </w:num>
  <w:num w:numId="115" w16cid:durableId="1729453318">
    <w:abstractNumId w:val="1"/>
  </w:num>
  <w:num w:numId="116" w16cid:durableId="1714883476">
    <w:abstractNumId w:val="1"/>
  </w:num>
  <w:num w:numId="117" w16cid:durableId="1427920654">
    <w:abstractNumId w:val="1"/>
  </w:num>
  <w:num w:numId="118" w16cid:durableId="1824157744">
    <w:abstractNumId w:val="1"/>
  </w:num>
  <w:num w:numId="119" w16cid:durableId="422458072">
    <w:abstractNumId w:val="1"/>
  </w:num>
  <w:num w:numId="120" w16cid:durableId="1582716315">
    <w:abstractNumId w:val="1"/>
  </w:num>
  <w:num w:numId="121" w16cid:durableId="1475028954">
    <w:abstractNumId w:val="1"/>
  </w:num>
  <w:num w:numId="122" w16cid:durableId="1875192367">
    <w:abstractNumId w:val="1"/>
  </w:num>
  <w:num w:numId="123" w16cid:durableId="1228423103">
    <w:abstractNumId w:val="1"/>
  </w:num>
  <w:num w:numId="124" w16cid:durableId="1276209623">
    <w:abstractNumId w:val="1"/>
  </w:num>
  <w:num w:numId="125" w16cid:durableId="910310005">
    <w:abstractNumId w:val="1"/>
  </w:num>
  <w:num w:numId="126" w16cid:durableId="968778866">
    <w:abstractNumId w:val="1"/>
  </w:num>
  <w:num w:numId="127" w16cid:durableId="1563756502">
    <w:abstractNumId w:val="1"/>
  </w:num>
  <w:num w:numId="128" w16cid:durableId="1904679975">
    <w:abstractNumId w:val="1"/>
  </w:num>
  <w:num w:numId="129" w16cid:durableId="1998994590">
    <w:abstractNumId w:val="1"/>
  </w:num>
  <w:num w:numId="130" w16cid:durableId="594171084">
    <w:abstractNumId w:val="1"/>
  </w:num>
  <w:num w:numId="131" w16cid:durableId="901251133">
    <w:abstractNumId w:val="1"/>
  </w:num>
  <w:num w:numId="132" w16cid:durableId="1126238724">
    <w:abstractNumId w:val="1"/>
  </w:num>
  <w:num w:numId="133" w16cid:durableId="829171695">
    <w:abstractNumId w:val="1"/>
  </w:num>
  <w:num w:numId="134" w16cid:durableId="2002462089">
    <w:abstractNumId w:val="1"/>
  </w:num>
  <w:num w:numId="135" w16cid:durableId="1027027744">
    <w:abstractNumId w:val="1"/>
  </w:num>
  <w:num w:numId="136" w16cid:durableId="1578784640">
    <w:abstractNumId w:val="1"/>
  </w:num>
  <w:num w:numId="137" w16cid:durableId="1080179271">
    <w:abstractNumId w:val="1"/>
  </w:num>
  <w:num w:numId="138" w16cid:durableId="975338160">
    <w:abstractNumId w:val="1"/>
  </w:num>
  <w:num w:numId="139" w16cid:durableId="1860698420">
    <w:abstractNumId w:val="1"/>
  </w:num>
  <w:num w:numId="140" w16cid:durableId="1238982133">
    <w:abstractNumId w:val="1"/>
  </w:num>
  <w:num w:numId="141" w16cid:durableId="1945962741">
    <w:abstractNumId w:val="1"/>
  </w:num>
  <w:num w:numId="142" w16cid:durableId="557211286">
    <w:abstractNumId w:val="1"/>
  </w:num>
  <w:num w:numId="143" w16cid:durableId="2075546636">
    <w:abstractNumId w:val="1"/>
  </w:num>
  <w:num w:numId="144" w16cid:durableId="225259798">
    <w:abstractNumId w:val="1"/>
  </w:num>
  <w:num w:numId="145" w16cid:durableId="966013296">
    <w:abstractNumId w:val="1"/>
  </w:num>
  <w:num w:numId="146" w16cid:durableId="491482081">
    <w:abstractNumId w:val="1"/>
  </w:num>
  <w:num w:numId="147" w16cid:durableId="1869442105">
    <w:abstractNumId w:val="1"/>
  </w:num>
  <w:num w:numId="148" w16cid:durableId="334305090">
    <w:abstractNumId w:val="1"/>
  </w:num>
  <w:num w:numId="149" w16cid:durableId="74323375">
    <w:abstractNumId w:val="1"/>
  </w:num>
  <w:num w:numId="150" w16cid:durableId="23871696">
    <w:abstractNumId w:val="1"/>
  </w:num>
  <w:num w:numId="151" w16cid:durableId="155849859">
    <w:abstractNumId w:val="1"/>
  </w:num>
  <w:num w:numId="152" w16cid:durableId="1648778969">
    <w:abstractNumId w:val="1"/>
  </w:num>
  <w:num w:numId="153" w16cid:durableId="1216501168">
    <w:abstractNumId w:val="1"/>
  </w:num>
  <w:num w:numId="154" w16cid:durableId="1333601749">
    <w:abstractNumId w:val="1"/>
  </w:num>
  <w:num w:numId="155" w16cid:durableId="679628389">
    <w:abstractNumId w:val="1"/>
  </w:num>
  <w:num w:numId="156" w16cid:durableId="1696928133">
    <w:abstractNumId w:val="1"/>
  </w:num>
  <w:num w:numId="157" w16cid:durableId="2041127239">
    <w:abstractNumId w:val="1"/>
  </w:num>
  <w:num w:numId="158" w16cid:durableId="90591204">
    <w:abstractNumId w:val="1"/>
  </w:num>
  <w:num w:numId="159" w16cid:durableId="1900554913">
    <w:abstractNumId w:val="1"/>
  </w:num>
  <w:num w:numId="160" w16cid:durableId="1259758119">
    <w:abstractNumId w:val="1"/>
  </w:num>
  <w:num w:numId="161" w16cid:durableId="1294941828">
    <w:abstractNumId w:val="1"/>
  </w:num>
  <w:num w:numId="162" w16cid:durableId="867109772">
    <w:abstractNumId w:val="1"/>
  </w:num>
  <w:num w:numId="163" w16cid:durableId="1353606435">
    <w:abstractNumId w:val="1"/>
  </w:num>
  <w:num w:numId="164" w16cid:durableId="610091725">
    <w:abstractNumId w:val="1"/>
  </w:num>
  <w:num w:numId="165" w16cid:durableId="164051917">
    <w:abstractNumId w:val="2"/>
  </w:num>
  <w:num w:numId="166" w16cid:durableId="1862434085">
    <w:abstractNumId w:val="1"/>
  </w:num>
  <w:num w:numId="167" w16cid:durableId="538008572">
    <w:abstractNumId w:val="9"/>
  </w:num>
  <w:num w:numId="168" w16cid:durableId="1844468086">
    <w:abstractNumId w:val="11"/>
  </w:num>
  <w:num w:numId="169" w16cid:durableId="1569808141">
    <w:abstractNumId w:val="11"/>
  </w:num>
  <w:num w:numId="170" w16cid:durableId="1484808082">
    <w:abstractNumId w:val="7"/>
  </w:num>
  <w:num w:numId="171" w16cid:durableId="1630084217">
    <w:abstractNumId w:val="1"/>
  </w:num>
  <w:num w:numId="172" w16cid:durableId="227158207">
    <w:abstractNumId w:val="1"/>
  </w:num>
  <w:num w:numId="173" w16cid:durableId="1414357619">
    <w:abstractNumId w:val="1"/>
  </w:num>
  <w:num w:numId="174" w16cid:durableId="1188446059">
    <w:abstractNumId w:val="1"/>
  </w:num>
  <w:num w:numId="175" w16cid:durableId="776293915">
    <w:abstractNumId w:val="4"/>
  </w:num>
  <w:num w:numId="176" w16cid:durableId="54092270">
    <w:abstractNumId w:val="5"/>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6358CD-7981-4D01-9E30-AC29BA467CB4}"/>
    <w:docVar w:name="dgnword-eventsink" w:val="2230178899056"/>
    <w:docVar w:name="dgnword-lastRevisionsView" w:val="0"/>
  </w:docVars>
  <w:rsids>
    <w:rsidRoot w:val="009A2448"/>
    <w:rsid w:val="00000057"/>
    <w:rsid w:val="00001B42"/>
    <w:rsid w:val="000026ED"/>
    <w:rsid w:val="00002E4C"/>
    <w:rsid w:val="0000339C"/>
    <w:rsid w:val="00003BA9"/>
    <w:rsid w:val="00004492"/>
    <w:rsid w:val="00005009"/>
    <w:rsid w:val="00005711"/>
    <w:rsid w:val="0000590D"/>
    <w:rsid w:val="00005D11"/>
    <w:rsid w:val="00006A92"/>
    <w:rsid w:val="00007774"/>
    <w:rsid w:val="00010040"/>
    <w:rsid w:val="00010A8F"/>
    <w:rsid w:val="000114B0"/>
    <w:rsid w:val="00011F98"/>
    <w:rsid w:val="0001276D"/>
    <w:rsid w:val="00013CA4"/>
    <w:rsid w:val="00015C93"/>
    <w:rsid w:val="0001601D"/>
    <w:rsid w:val="00017033"/>
    <w:rsid w:val="0001761F"/>
    <w:rsid w:val="00017630"/>
    <w:rsid w:val="00021FFE"/>
    <w:rsid w:val="00022595"/>
    <w:rsid w:val="00022AFA"/>
    <w:rsid w:val="00022C85"/>
    <w:rsid w:val="000232C5"/>
    <w:rsid w:val="000247B4"/>
    <w:rsid w:val="000249F8"/>
    <w:rsid w:val="00024BC1"/>
    <w:rsid w:val="0002513E"/>
    <w:rsid w:val="00026121"/>
    <w:rsid w:val="0002774B"/>
    <w:rsid w:val="0003075C"/>
    <w:rsid w:val="00030A85"/>
    <w:rsid w:val="000319AD"/>
    <w:rsid w:val="00031DCF"/>
    <w:rsid w:val="0003210B"/>
    <w:rsid w:val="00033656"/>
    <w:rsid w:val="00033B78"/>
    <w:rsid w:val="0003430C"/>
    <w:rsid w:val="00034348"/>
    <w:rsid w:val="00035289"/>
    <w:rsid w:val="00035D0A"/>
    <w:rsid w:val="00035E61"/>
    <w:rsid w:val="00036265"/>
    <w:rsid w:val="00037A62"/>
    <w:rsid w:val="00040EEF"/>
    <w:rsid w:val="00041139"/>
    <w:rsid w:val="00041B72"/>
    <w:rsid w:val="0004225A"/>
    <w:rsid w:val="0004314C"/>
    <w:rsid w:val="000435CE"/>
    <w:rsid w:val="00045A8E"/>
    <w:rsid w:val="00045BA1"/>
    <w:rsid w:val="00045C79"/>
    <w:rsid w:val="00045D4B"/>
    <w:rsid w:val="0004698D"/>
    <w:rsid w:val="0004770F"/>
    <w:rsid w:val="00047F5E"/>
    <w:rsid w:val="00052AEC"/>
    <w:rsid w:val="00052BD1"/>
    <w:rsid w:val="00052E85"/>
    <w:rsid w:val="00053656"/>
    <w:rsid w:val="0005380C"/>
    <w:rsid w:val="00054763"/>
    <w:rsid w:val="00054FC5"/>
    <w:rsid w:val="000552BE"/>
    <w:rsid w:val="00055E71"/>
    <w:rsid w:val="00056723"/>
    <w:rsid w:val="000569B9"/>
    <w:rsid w:val="00056C80"/>
    <w:rsid w:val="000573E1"/>
    <w:rsid w:val="0006008C"/>
    <w:rsid w:val="000602B6"/>
    <w:rsid w:val="000612D9"/>
    <w:rsid w:val="0006224F"/>
    <w:rsid w:val="0006258D"/>
    <w:rsid w:val="0006284E"/>
    <w:rsid w:val="00062C04"/>
    <w:rsid w:val="00062FBE"/>
    <w:rsid w:val="000630B8"/>
    <w:rsid w:val="000635B4"/>
    <w:rsid w:val="00063A34"/>
    <w:rsid w:val="00063C6C"/>
    <w:rsid w:val="00063FD3"/>
    <w:rsid w:val="00064002"/>
    <w:rsid w:val="000645B4"/>
    <w:rsid w:val="000652D4"/>
    <w:rsid w:val="000657F0"/>
    <w:rsid w:val="000674FE"/>
    <w:rsid w:val="00067771"/>
    <w:rsid w:val="00067A80"/>
    <w:rsid w:val="00067CC1"/>
    <w:rsid w:val="00070071"/>
    <w:rsid w:val="000705A5"/>
    <w:rsid w:val="00070F31"/>
    <w:rsid w:val="000718B5"/>
    <w:rsid w:val="00071B92"/>
    <w:rsid w:val="000728A5"/>
    <w:rsid w:val="000730E7"/>
    <w:rsid w:val="00073ACE"/>
    <w:rsid w:val="00073E1D"/>
    <w:rsid w:val="00074245"/>
    <w:rsid w:val="000744D9"/>
    <w:rsid w:val="00074895"/>
    <w:rsid w:val="00074930"/>
    <w:rsid w:val="000755E2"/>
    <w:rsid w:val="0007562E"/>
    <w:rsid w:val="00077791"/>
    <w:rsid w:val="000778C4"/>
    <w:rsid w:val="00077B9D"/>
    <w:rsid w:val="00077BB4"/>
    <w:rsid w:val="00077D30"/>
    <w:rsid w:val="00080B30"/>
    <w:rsid w:val="000812DE"/>
    <w:rsid w:val="0008197F"/>
    <w:rsid w:val="00083FDE"/>
    <w:rsid w:val="000843B4"/>
    <w:rsid w:val="00085145"/>
    <w:rsid w:val="00085DB5"/>
    <w:rsid w:val="00086531"/>
    <w:rsid w:val="00086575"/>
    <w:rsid w:val="00086C9C"/>
    <w:rsid w:val="00087093"/>
    <w:rsid w:val="00090DAF"/>
    <w:rsid w:val="0009103F"/>
    <w:rsid w:val="00091697"/>
    <w:rsid w:val="00091EEF"/>
    <w:rsid w:val="000923F8"/>
    <w:rsid w:val="00092AE2"/>
    <w:rsid w:val="000936E8"/>
    <w:rsid w:val="00094417"/>
    <w:rsid w:val="000946EA"/>
    <w:rsid w:val="00094F05"/>
    <w:rsid w:val="00096036"/>
    <w:rsid w:val="000A0B3A"/>
    <w:rsid w:val="000A1916"/>
    <w:rsid w:val="000A1C75"/>
    <w:rsid w:val="000A1F26"/>
    <w:rsid w:val="000A212E"/>
    <w:rsid w:val="000A2649"/>
    <w:rsid w:val="000A2ED8"/>
    <w:rsid w:val="000A3117"/>
    <w:rsid w:val="000A3747"/>
    <w:rsid w:val="000A3938"/>
    <w:rsid w:val="000A3BCA"/>
    <w:rsid w:val="000A4768"/>
    <w:rsid w:val="000A4ADF"/>
    <w:rsid w:val="000A5B16"/>
    <w:rsid w:val="000A5B8C"/>
    <w:rsid w:val="000A675A"/>
    <w:rsid w:val="000A682B"/>
    <w:rsid w:val="000A7543"/>
    <w:rsid w:val="000A787E"/>
    <w:rsid w:val="000A7AB4"/>
    <w:rsid w:val="000A7BAA"/>
    <w:rsid w:val="000B08B7"/>
    <w:rsid w:val="000B0D2C"/>
    <w:rsid w:val="000B18D6"/>
    <w:rsid w:val="000B1CC5"/>
    <w:rsid w:val="000B2346"/>
    <w:rsid w:val="000B238B"/>
    <w:rsid w:val="000B2B07"/>
    <w:rsid w:val="000B3294"/>
    <w:rsid w:val="000B3804"/>
    <w:rsid w:val="000B3DAB"/>
    <w:rsid w:val="000B44D4"/>
    <w:rsid w:val="000B4712"/>
    <w:rsid w:val="000B60AB"/>
    <w:rsid w:val="000B6E4B"/>
    <w:rsid w:val="000B7DAD"/>
    <w:rsid w:val="000C048D"/>
    <w:rsid w:val="000C15EC"/>
    <w:rsid w:val="000C2011"/>
    <w:rsid w:val="000C2C1F"/>
    <w:rsid w:val="000C305E"/>
    <w:rsid w:val="000C33F5"/>
    <w:rsid w:val="000C347F"/>
    <w:rsid w:val="000C3998"/>
    <w:rsid w:val="000C3BBB"/>
    <w:rsid w:val="000C4C0C"/>
    <w:rsid w:val="000C5A48"/>
    <w:rsid w:val="000C5AF8"/>
    <w:rsid w:val="000C7045"/>
    <w:rsid w:val="000C70B1"/>
    <w:rsid w:val="000C78C7"/>
    <w:rsid w:val="000C7ADF"/>
    <w:rsid w:val="000C7D84"/>
    <w:rsid w:val="000D1258"/>
    <w:rsid w:val="000D183C"/>
    <w:rsid w:val="000D1E37"/>
    <w:rsid w:val="000D2008"/>
    <w:rsid w:val="000D256C"/>
    <w:rsid w:val="000D2BCC"/>
    <w:rsid w:val="000D2F36"/>
    <w:rsid w:val="000D33FE"/>
    <w:rsid w:val="000D44C1"/>
    <w:rsid w:val="000D44F7"/>
    <w:rsid w:val="000D4E16"/>
    <w:rsid w:val="000D5B39"/>
    <w:rsid w:val="000D72D1"/>
    <w:rsid w:val="000D7395"/>
    <w:rsid w:val="000D777D"/>
    <w:rsid w:val="000D796C"/>
    <w:rsid w:val="000D7D28"/>
    <w:rsid w:val="000D7DB4"/>
    <w:rsid w:val="000E101B"/>
    <w:rsid w:val="000E10FF"/>
    <w:rsid w:val="000E1677"/>
    <w:rsid w:val="000E1C5C"/>
    <w:rsid w:val="000E28A2"/>
    <w:rsid w:val="000E4493"/>
    <w:rsid w:val="000E4DF0"/>
    <w:rsid w:val="000E5308"/>
    <w:rsid w:val="000E5564"/>
    <w:rsid w:val="000E762D"/>
    <w:rsid w:val="000E7E9F"/>
    <w:rsid w:val="000F10E5"/>
    <w:rsid w:val="000F12F0"/>
    <w:rsid w:val="000F1514"/>
    <w:rsid w:val="000F1827"/>
    <w:rsid w:val="000F1C72"/>
    <w:rsid w:val="000F2327"/>
    <w:rsid w:val="000F277B"/>
    <w:rsid w:val="000F29DE"/>
    <w:rsid w:val="000F2B38"/>
    <w:rsid w:val="000F3695"/>
    <w:rsid w:val="000F485B"/>
    <w:rsid w:val="000F5F15"/>
    <w:rsid w:val="000F65D7"/>
    <w:rsid w:val="000F6775"/>
    <w:rsid w:val="000F6C6E"/>
    <w:rsid w:val="000F6F88"/>
    <w:rsid w:val="000F740B"/>
    <w:rsid w:val="000F7585"/>
    <w:rsid w:val="000F7DEE"/>
    <w:rsid w:val="000F7F30"/>
    <w:rsid w:val="0010063B"/>
    <w:rsid w:val="0010074D"/>
    <w:rsid w:val="001018A6"/>
    <w:rsid w:val="00101AE3"/>
    <w:rsid w:val="00101F34"/>
    <w:rsid w:val="00101F5E"/>
    <w:rsid w:val="00102198"/>
    <w:rsid w:val="00102E58"/>
    <w:rsid w:val="00103C06"/>
    <w:rsid w:val="001063A0"/>
    <w:rsid w:val="00106537"/>
    <w:rsid w:val="0010688E"/>
    <w:rsid w:val="001070DE"/>
    <w:rsid w:val="00110947"/>
    <w:rsid w:val="00110DD6"/>
    <w:rsid w:val="00111A78"/>
    <w:rsid w:val="00112144"/>
    <w:rsid w:val="00112853"/>
    <w:rsid w:val="00113093"/>
    <w:rsid w:val="00113A5C"/>
    <w:rsid w:val="001141A6"/>
    <w:rsid w:val="00114765"/>
    <w:rsid w:val="00114E79"/>
    <w:rsid w:val="001157C1"/>
    <w:rsid w:val="0011598A"/>
    <w:rsid w:val="00115E4D"/>
    <w:rsid w:val="00116F0D"/>
    <w:rsid w:val="00116F4E"/>
    <w:rsid w:val="0011743F"/>
    <w:rsid w:val="00120158"/>
    <w:rsid w:val="0012040C"/>
    <w:rsid w:val="00120A3D"/>
    <w:rsid w:val="00121098"/>
    <w:rsid w:val="001218C8"/>
    <w:rsid w:val="00122338"/>
    <w:rsid w:val="00122BBF"/>
    <w:rsid w:val="00122E32"/>
    <w:rsid w:val="00123F8B"/>
    <w:rsid w:val="00124427"/>
    <w:rsid w:val="00124A3B"/>
    <w:rsid w:val="0012603C"/>
    <w:rsid w:val="00126732"/>
    <w:rsid w:val="00126AFA"/>
    <w:rsid w:val="00126DFB"/>
    <w:rsid w:val="0012733C"/>
    <w:rsid w:val="001273BF"/>
    <w:rsid w:val="0012760C"/>
    <w:rsid w:val="00127BCB"/>
    <w:rsid w:val="00127FF4"/>
    <w:rsid w:val="00130723"/>
    <w:rsid w:val="00130DC1"/>
    <w:rsid w:val="001312F5"/>
    <w:rsid w:val="00131DAC"/>
    <w:rsid w:val="00132073"/>
    <w:rsid w:val="0013217A"/>
    <w:rsid w:val="0013249D"/>
    <w:rsid w:val="00132998"/>
    <w:rsid w:val="00132A66"/>
    <w:rsid w:val="00132D59"/>
    <w:rsid w:val="0013495C"/>
    <w:rsid w:val="00134A98"/>
    <w:rsid w:val="001378C6"/>
    <w:rsid w:val="001401B3"/>
    <w:rsid w:val="001408B0"/>
    <w:rsid w:val="001408F7"/>
    <w:rsid w:val="00140B45"/>
    <w:rsid w:val="001414B5"/>
    <w:rsid w:val="00141C55"/>
    <w:rsid w:val="0014261A"/>
    <w:rsid w:val="001429B0"/>
    <w:rsid w:val="00143597"/>
    <w:rsid w:val="00143FCB"/>
    <w:rsid w:val="00144050"/>
    <w:rsid w:val="001440AC"/>
    <w:rsid w:val="001447F5"/>
    <w:rsid w:val="001458A2"/>
    <w:rsid w:val="001458F5"/>
    <w:rsid w:val="00145904"/>
    <w:rsid w:val="00145B47"/>
    <w:rsid w:val="00145F0E"/>
    <w:rsid w:val="00147DB0"/>
    <w:rsid w:val="00150CCA"/>
    <w:rsid w:val="00151302"/>
    <w:rsid w:val="00151811"/>
    <w:rsid w:val="00151B8F"/>
    <w:rsid w:val="00152675"/>
    <w:rsid w:val="00152AF5"/>
    <w:rsid w:val="00152E80"/>
    <w:rsid w:val="0015349F"/>
    <w:rsid w:val="00153C18"/>
    <w:rsid w:val="00154453"/>
    <w:rsid w:val="00154595"/>
    <w:rsid w:val="001549B5"/>
    <w:rsid w:val="00154DDE"/>
    <w:rsid w:val="00154F1F"/>
    <w:rsid w:val="00156129"/>
    <w:rsid w:val="001567CC"/>
    <w:rsid w:val="0015682A"/>
    <w:rsid w:val="00156A14"/>
    <w:rsid w:val="00157949"/>
    <w:rsid w:val="00157BAD"/>
    <w:rsid w:val="00160AAB"/>
    <w:rsid w:val="00162090"/>
    <w:rsid w:val="001644A0"/>
    <w:rsid w:val="00164516"/>
    <w:rsid w:val="00164E32"/>
    <w:rsid w:val="00165633"/>
    <w:rsid w:val="00166115"/>
    <w:rsid w:val="00167A4C"/>
    <w:rsid w:val="00167EEC"/>
    <w:rsid w:val="0017012F"/>
    <w:rsid w:val="0017144B"/>
    <w:rsid w:val="00171921"/>
    <w:rsid w:val="0017308A"/>
    <w:rsid w:val="00173BE7"/>
    <w:rsid w:val="0017507A"/>
    <w:rsid w:val="00175664"/>
    <w:rsid w:val="0017600D"/>
    <w:rsid w:val="00176903"/>
    <w:rsid w:val="00176AB4"/>
    <w:rsid w:val="00176DD6"/>
    <w:rsid w:val="00177A1B"/>
    <w:rsid w:val="001802AA"/>
    <w:rsid w:val="001811DC"/>
    <w:rsid w:val="0018128F"/>
    <w:rsid w:val="00182102"/>
    <w:rsid w:val="0018267B"/>
    <w:rsid w:val="00182695"/>
    <w:rsid w:val="00184565"/>
    <w:rsid w:val="00185630"/>
    <w:rsid w:val="0018634E"/>
    <w:rsid w:val="00186F25"/>
    <w:rsid w:val="00191397"/>
    <w:rsid w:val="0019195B"/>
    <w:rsid w:val="00191BF3"/>
    <w:rsid w:val="001930A3"/>
    <w:rsid w:val="001952CE"/>
    <w:rsid w:val="001953A4"/>
    <w:rsid w:val="00195800"/>
    <w:rsid w:val="00195D95"/>
    <w:rsid w:val="001A0493"/>
    <w:rsid w:val="001A06FD"/>
    <w:rsid w:val="001A0A0D"/>
    <w:rsid w:val="001A11F8"/>
    <w:rsid w:val="001A1589"/>
    <w:rsid w:val="001A281B"/>
    <w:rsid w:val="001A3098"/>
    <w:rsid w:val="001A4653"/>
    <w:rsid w:val="001A54F7"/>
    <w:rsid w:val="001A619A"/>
    <w:rsid w:val="001A62B0"/>
    <w:rsid w:val="001A687F"/>
    <w:rsid w:val="001A7308"/>
    <w:rsid w:val="001A75C6"/>
    <w:rsid w:val="001B028D"/>
    <w:rsid w:val="001B12D0"/>
    <w:rsid w:val="001B15C6"/>
    <w:rsid w:val="001B2EE7"/>
    <w:rsid w:val="001B3A5D"/>
    <w:rsid w:val="001B4B87"/>
    <w:rsid w:val="001B6395"/>
    <w:rsid w:val="001B6426"/>
    <w:rsid w:val="001B6EAD"/>
    <w:rsid w:val="001B7C94"/>
    <w:rsid w:val="001C0D6C"/>
    <w:rsid w:val="001C27D9"/>
    <w:rsid w:val="001C3300"/>
    <w:rsid w:val="001C4A5C"/>
    <w:rsid w:val="001C4B96"/>
    <w:rsid w:val="001C4CA6"/>
    <w:rsid w:val="001C4E7D"/>
    <w:rsid w:val="001C5001"/>
    <w:rsid w:val="001C5145"/>
    <w:rsid w:val="001C51FE"/>
    <w:rsid w:val="001C530D"/>
    <w:rsid w:val="001C6412"/>
    <w:rsid w:val="001C6954"/>
    <w:rsid w:val="001C77FE"/>
    <w:rsid w:val="001C7C73"/>
    <w:rsid w:val="001D04F9"/>
    <w:rsid w:val="001D0E49"/>
    <w:rsid w:val="001D0FA1"/>
    <w:rsid w:val="001D14E0"/>
    <w:rsid w:val="001D2085"/>
    <w:rsid w:val="001D2DC6"/>
    <w:rsid w:val="001D36A5"/>
    <w:rsid w:val="001D4AC9"/>
    <w:rsid w:val="001D6BEC"/>
    <w:rsid w:val="001D774E"/>
    <w:rsid w:val="001D7C9A"/>
    <w:rsid w:val="001E0259"/>
    <w:rsid w:val="001E0B75"/>
    <w:rsid w:val="001E0D34"/>
    <w:rsid w:val="001E0E5C"/>
    <w:rsid w:val="001E2403"/>
    <w:rsid w:val="001E2667"/>
    <w:rsid w:val="001E2DD8"/>
    <w:rsid w:val="001E4954"/>
    <w:rsid w:val="001E59F8"/>
    <w:rsid w:val="001E5C46"/>
    <w:rsid w:val="001E5EDD"/>
    <w:rsid w:val="001E6EE6"/>
    <w:rsid w:val="001F01CE"/>
    <w:rsid w:val="001F0AED"/>
    <w:rsid w:val="001F1643"/>
    <w:rsid w:val="001F1FF7"/>
    <w:rsid w:val="001F20D1"/>
    <w:rsid w:val="001F2498"/>
    <w:rsid w:val="001F294D"/>
    <w:rsid w:val="001F3302"/>
    <w:rsid w:val="001F3DA7"/>
    <w:rsid w:val="001F3E9C"/>
    <w:rsid w:val="001F45BB"/>
    <w:rsid w:val="001F52D4"/>
    <w:rsid w:val="001F6124"/>
    <w:rsid w:val="001F64E8"/>
    <w:rsid w:val="001F7BA1"/>
    <w:rsid w:val="0020019F"/>
    <w:rsid w:val="002007A2"/>
    <w:rsid w:val="00200ADB"/>
    <w:rsid w:val="002016F9"/>
    <w:rsid w:val="00201A29"/>
    <w:rsid w:val="00201B0F"/>
    <w:rsid w:val="002022CA"/>
    <w:rsid w:val="00202843"/>
    <w:rsid w:val="0020375C"/>
    <w:rsid w:val="002052D8"/>
    <w:rsid w:val="00205AAB"/>
    <w:rsid w:val="00206F96"/>
    <w:rsid w:val="00207321"/>
    <w:rsid w:val="002076E5"/>
    <w:rsid w:val="00212DE7"/>
    <w:rsid w:val="00212E6F"/>
    <w:rsid w:val="0021362E"/>
    <w:rsid w:val="00213765"/>
    <w:rsid w:val="00213C6A"/>
    <w:rsid w:val="002147F4"/>
    <w:rsid w:val="00214F40"/>
    <w:rsid w:val="0021567E"/>
    <w:rsid w:val="00215EBC"/>
    <w:rsid w:val="00217B69"/>
    <w:rsid w:val="00217F7A"/>
    <w:rsid w:val="00220C0B"/>
    <w:rsid w:val="002224C6"/>
    <w:rsid w:val="00222D85"/>
    <w:rsid w:val="00222FD0"/>
    <w:rsid w:val="00223E93"/>
    <w:rsid w:val="00224209"/>
    <w:rsid w:val="00224219"/>
    <w:rsid w:val="0022457F"/>
    <w:rsid w:val="00224C4B"/>
    <w:rsid w:val="00224CB8"/>
    <w:rsid w:val="002253AA"/>
    <w:rsid w:val="002261CE"/>
    <w:rsid w:val="002262ED"/>
    <w:rsid w:val="002266DA"/>
    <w:rsid w:val="00227135"/>
    <w:rsid w:val="0023000B"/>
    <w:rsid w:val="0023119C"/>
    <w:rsid w:val="00231785"/>
    <w:rsid w:val="002323CC"/>
    <w:rsid w:val="00232874"/>
    <w:rsid w:val="00232DC9"/>
    <w:rsid w:val="0023382A"/>
    <w:rsid w:val="00233A1E"/>
    <w:rsid w:val="002344BA"/>
    <w:rsid w:val="00236938"/>
    <w:rsid w:val="00236CB9"/>
    <w:rsid w:val="00237A5B"/>
    <w:rsid w:val="00237A8C"/>
    <w:rsid w:val="0024053D"/>
    <w:rsid w:val="00241DC5"/>
    <w:rsid w:val="002425AF"/>
    <w:rsid w:val="0024265E"/>
    <w:rsid w:val="002427B9"/>
    <w:rsid w:val="00242F56"/>
    <w:rsid w:val="00243247"/>
    <w:rsid w:val="00243FFB"/>
    <w:rsid w:val="00244D16"/>
    <w:rsid w:val="0024518D"/>
    <w:rsid w:val="00245231"/>
    <w:rsid w:val="00245CE1"/>
    <w:rsid w:val="0024608F"/>
    <w:rsid w:val="0024681F"/>
    <w:rsid w:val="00246C68"/>
    <w:rsid w:val="00247524"/>
    <w:rsid w:val="00247CD0"/>
    <w:rsid w:val="00247FA6"/>
    <w:rsid w:val="00250C4A"/>
    <w:rsid w:val="00252636"/>
    <w:rsid w:val="002529A6"/>
    <w:rsid w:val="00253224"/>
    <w:rsid w:val="002533ED"/>
    <w:rsid w:val="00253695"/>
    <w:rsid w:val="002538ED"/>
    <w:rsid w:val="00254E49"/>
    <w:rsid w:val="00255587"/>
    <w:rsid w:val="00255FC7"/>
    <w:rsid w:val="00256F48"/>
    <w:rsid w:val="00257AAA"/>
    <w:rsid w:val="0026139B"/>
    <w:rsid w:val="00262F9C"/>
    <w:rsid w:val="00263544"/>
    <w:rsid w:val="00264CAF"/>
    <w:rsid w:val="00267B5A"/>
    <w:rsid w:val="0027018E"/>
    <w:rsid w:val="0027049C"/>
    <w:rsid w:val="00270DB9"/>
    <w:rsid w:val="0027211F"/>
    <w:rsid w:val="002722C4"/>
    <w:rsid w:val="002722D1"/>
    <w:rsid w:val="00272913"/>
    <w:rsid w:val="002734DB"/>
    <w:rsid w:val="002736CA"/>
    <w:rsid w:val="002740F0"/>
    <w:rsid w:val="00275105"/>
    <w:rsid w:val="002770DF"/>
    <w:rsid w:val="002803FB"/>
    <w:rsid w:val="00280852"/>
    <w:rsid w:val="002818C5"/>
    <w:rsid w:val="00282B30"/>
    <w:rsid w:val="0028305B"/>
    <w:rsid w:val="002841DC"/>
    <w:rsid w:val="0028448B"/>
    <w:rsid w:val="00284639"/>
    <w:rsid w:val="00285588"/>
    <w:rsid w:val="0028563A"/>
    <w:rsid w:val="00285D78"/>
    <w:rsid w:val="00287163"/>
    <w:rsid w:val="002876E2"/>
    <w:rsid w:val="00287C7E"/>
    <w:rsid w:val="002908E7"/>
    <w:rsid w:val="002913B9"/>
    <w:rsid w:val="00292667"/>
    <w:rsid w:val="0029353D"/>
    <w:rsid w:val="00293AF7"/>
    <w:rsid w:val="00293D8F"/>
    <w:rsid w:val="00294622"/>
    <w:rsid w:val="002956DA"/>
    <w:rsid w:val="0029593F"/>
    <w:rsid w:val="002960F4"/>
    <w:rsid w:val="0029662C"/>
    <w:rsid w:val="00296918"/>
    <w:rsid w:val="002971D8"/>
    <w:rsid w:val="002A16AA"/>
    <w:rsid w:val="002A24A0"/>
    <w:rsid w:val="002A2906"/>
    <w:rsid w:val="002A2C77"/>
    <w:rsid w:val="002A443E"/>
    <w:rsid w:val="002A47F5"/>
    <w:rsid w:val="002A48D2"/>
    <w:rsid w:val="002A4CC1"/>
    <w:rsid w:val="002A6690"/>
    <w:rsid w:val="002A78DD"/>
    <w:rsid w:val="002A795D"/>
    <w:rsid w:val="002A79EC"/>
    <w:rsid w:val="002B0412"/>
    <w:rsid w:val="002B0A09"/>
    <w:rsid w:val="002B0BB1"/>
    <w:rsid w:val="002B3FE0"/>
    <w:rsid w:val="002B49F2"/>
    <w:rsid w:val="002B4A5D"/>
    <w:rsid w:val="002B4EF8"/>
    <w:rsid w:val="002B4FCD"/>
    <w:rsid w:val="002B5615"/>
    <w:rsid w:val="002B73E8"/>
    <w:rsid w:val="002B7E51"/>
    <w:rsid w:val="002C1AEC"/>
    <w:rsid w:val="002C1EE6"/>
    <w:rsid w:val="002C1F91"/>
    <w:rsid w:val="002C2438"/>
    <w:rsid w:val="002C2F2A"/>
    <w:rsid w:val="002C3F22"/>
    <w:rsid w:val="002C44D9"/>
    <w:rsid w:val="002C4E99"/>
    <w:rsid w:val="002C4FB9"/>
    <w:rsid w:val="002C5C43"/>
    <w:rsid w:val="002C6585"/>
    <w:rsid w:val="002C67CE"/>
    <w:rsid w:val="002C7F69"/>
    <w:rsid w:val="002D01D4"/>
    <w:rsid w:val="002D0218"/>
    <w:rsid w:val="002D033D"/>
    <w:rsid w:val="002D1CB8"/>
    <w:rsid w:val="002D1E7F"/>
    <w:rsid w:val="002D2D84"/>
    <w:rsid w:val="002D2DA1"/>
    <w:rsid w:val="002D40DC"/>
    <w:rsid w:val="002D4323"/>
    <w:rsid w:val="002D474F"/>
    <w:rsid w:val="002D487A"/>
    <w:rsid w:val="002D4F67"/>
    <w:rsid w:val="002D50FF"/>
    <w:rsid w:val="002D52FD"/>
    <w:rsid w:val="002D55D4"/>
    <w:rsid w:val="002D5823"/>
    <w:rsid w:val="002D5931"/>
    <w:rsid w:val="002D5F46"/>
    <w:rsid w:val="002D6D5B"/>
    <w:rsid w:val="002D7F00"/>
    <w:rsid w:val="002D7FB8"/>
    <w:rsid w:val="002E018E"/>
    <w:rsid w:val="002E034C"/>
    <w:rsid w:val="002E04CD"/>
    <w:rsid w:val="002E18B9"/>
    <w:rsid w:val="002E3D20"/>
    <w:rsid w:val="002E43C5"/>
    <w:rsid w:val="002E449D"/>
    <w:rsid w:val="002E4772"/>
    <w:rsid w:val="002E49AB"/>
    <w:rsid w:val="002E4B96"/>
    <w:rsid w:val="002E57CC"/>
    <w:rsid w:val="002E58D9"/>
    <w:rsid w:val="002E6076"/>
    <w:rsid w:val="002E6E4F"/>
    <w:rsid w:val="002F02A3"/>
    <w:rsid w:val="002F02B8"/>
    <w:rsid w:val="002F0DA4"/>
    <w:rsid w:val="002F272F"/>
    <w:rsid w:val="002F2868"/>
    <w:rsid w:val="002F2F65"/>
    <w:rsid w:val="002F3F24"/>
    <w:rsid w:val="002F4002"/>
    <w:rsid w:val="002F4153"/>
    <w:rsid w:val="002F5954"/>
    <w:rsid w:val="002F5D08"/>
    <w:rsid w:val="002F5D5F"/>
    <w:rsid w:val="002F7FAF"/>
    <w:rsid w:val="0030065F"/>
    <w:rsid w:val="00300CAE"/>
    <w:rsid w:val="0030117A"/>
    <w:rsid w:val="00301807"/>
    <w:rsid w:val="00301C57"/>
    <w:rsid w:val="00301C6C"/>
    <w:rsid w:val="00302731"/>
    <w:rsid w:val="00302F2F"/>
    <w:rsid w:val="00303032"/>
    <w:rsid w:val="00303142"/>
    <w:rsid w:val="00304304"/>
    <w:rsid w:val="00304529"/>
    <w:rsid w:val="003049B4"/>
    <w:rsid w:val="00304F13"/>
    <w:rsid w:val="00305BB8"/>
    <w:rsid w:val="0030753E"/>
    <w:rsid w:val="00307C70"/>
    <w:rsid w:val="003101A4"/>
    <w:rsid w:val="00310AF3"/>
    <w:rsid w:val="00311490"/>
    <w:rsid w:val="003124FC"/>
    <w:rsid w:val="00312F9A"/>
    <w:rsid w:val="00313BBD"/>
    <w:rsid w:val="00314A7B"/>
    <w:rsid w:val="00314AF4"/>
    <w:rsid w:val="00314F6F"/>
    <w:rsid w:val="00315424"/>
    <w:rsid w:val="00315C05"/>
    <w:rsid w:val="00320453"/>
    <w:rsid w:val="0032061A"/>
    <w:rsid w:val="00320D54"/>
    <w:rsid w:val="00321712"/>
    <w:rsid w:val="00321CFE"/>
    <w:rsid w:val="0032320A"/>
    <w:rsid w:val="003236BC"/>
    <w:rsid w:val="00323C91"/>
    <w:rsid w:val="00323D62"/>
    <w:rsid w:val="00325B0A"/>
    <w:rsid w:val="00325E30"/>
    <w:rsid w:val="003276D0"/>
    <w:rsid w:val="003306CD"/>
    <w:rsid w:val="003308E3"/>
    <w:rsid w:val="003309FE"/>
    <w:rsid w:val="00330C28"/>
    <w:rsid w:val="00330CAF"/>
    <w:rsid w:val="00331CE5"/>
    <w:rsid w:val="00332A77"/>
    <w:rsid w:val="00332B12"/>
    <w:rsid w:val="00333403"/>
    <w:rsid w:val="00333459"/>
    <w:rsid w:val="0033374F"/>
    <w:rsid w:val="00333DE0"/>
    <w:rsid w:val="00335B84"/>
    <w:rsid w:val="00337339"/>
    <w:rsid w:val="00340304"/>
    <w:rsid w:val="00340671"/>
    <w:rsid w:val="003406BF"/>
    <w:rsid w:val="003407A2"/>
    <w:rsid w:val="003407A5"/>
    <w:rsid w:val="0034092C"/>
    <w:rsid w:val="00340C65"/>
    <w:rsid w:val="00341708"/>
    <w:rsid w:val="003418FD"/>
    <w:rsid w:val="0034385B"/>
    <w:rsid w:val="00343D58"/>
    <w:rsid w:val="00343E51"/>
    <w:rsid w:val="00344FE8"/>
    <w:rsid w:val="00346FA3"/>
    <w:rsid w:val="003477D7"/>
    <w:rsid w:val="00347DAC"/>
    <w:rsid w:val="0035104F"/>
    <w:rsid w:val="00351BA6"/>
    <w:rsid w:val="003524C2"/>
    <w:rsid w:val="003531B2"/>
    <w:rsid w:val="0035336C"/>
    <w:rsid w:val="003535B4"/>
    <w:rsid w:val="00354020"/>
    <w:rsid w:val="003541C4"/>
    <w:rsid w:val="00354A12"/>
    <w:rsid w:val="00355CE4"/>
    <w:rsid w:val="00357A30"/>
    <w:rsid w:val="00357BBC"/>
    <w:rsid w:val="003616DD"/>
    <w:rsid w:val="00362971"/>
    <w:rsid w:val="00362ABF"/>
    <w:rsid w:val="00362EB2"/>
    <w:rsid w:val="00363B6E"/>
    <w:rsid w:val="00363DC7"/>
    <w:rsid w:val="00363E88"/>
    <w:rsid w:val="003648C4"/>
    <w:rsid w:val="00364E41"/>
    <w:rsid w:val="0036554B"/>
    <w:rsid w:val="00367B15"/>
    <w:rsid w:val="00367D58"/>
    <w:rsid w:val="00370073"/>
    <w:rsid w:val="0037008E"/>
    <w:rsid w:val="00370569"/>
    <w:rsid w:val="0037075B"/>
    <w:rsid w:val="003709F7"/>
    <w:rsid w:val="00370A8F"/>
    <w:rsid w:val="00370B16"/>
    <w:rsid w:val="00371290"/>
    <w:rsid w:val="003714CA"/>
    <w:rsid w:val="00371D2E"/>
    <w:rsid w:val="003720F2"/>
    <w:rsid w:val="00372331"/>
    <w:rsid w:val="003729A3"/>
    <w:rsid w:val="00372C6D"/>
    <w:rsid w:val="003731B5"/>
    <w:rsid w:val="003753E9"/>
    <w:rsid w:val="00376841"/>
    <w:rsid w:val="00377298"/>
    <w:rsid w:val="003810C0"/>
    <w:rsid w:val="003811C4"/>
    <w:rsid w:val="003871B1"/>
    <w:rsid w:val="0038772B"/>
    <w:rsid w:val="0038792E"/>
    <w:rsid w:val="00387CBC"/>
    <w:rsid w:val="00387FBB"/>
    <w:rsid w:val="00390698"/>
    <w:rsid w:val="003907EE"/>
    <w:rsid w:val="00390E4D"/>
    <w:rsid w:val="00390FF2"/>
    <w:rsid w:val="003914EE"/>
    <w:rsid w:val="0039178C"/>
    <w:rsid w:val="00391AD2"/>
    <w:rsid w:val="00391F4E"/>
    <w:rsid w:val="00392FAB"/>
    <w:rsid w:val="003931EF"/>
    <w:rsid w:val="0039351C"/>
    <w:rsid w:val="003952B4"/>
    <w:rsid w:val="0039570B"/>
    <w:rsid w:val="003957BC"/>
    <w:rsid w:val="00395C06"/>
    <w:rsid w:val="00396CD9"/>
    <w:rsid w:val="00396E8F"/>
    <w:rsid w:val="003972C5"/>
    <w:rsid w:val="003972FE"/>
    <w:rsid w:val="0039771A"/>
    <w:rsid w:val="00397726"/>
    <w:rsid w:val="003A15C5"/>
    <w:rsid w:val="003A1B78"/>
    <w:rsid w:val="003A1B83"/>
    <w:rsid w:val="003A2878"/>
    <w:rsid w:val="003A42A0"/>
    <w:rsid w:val="003A42A2"/>
    <w:rsid w:val="003A5F8F"/>
    <w:rsid w:val="003A68D0"/>
    <w:rsid w:val="003A6B2A"/>
    <w:rsid w:val="003A6CE6"/>
    <w:rsid w:val="003A729E"/>
    <w:rsid w:val="003B057D"/>
    <w:rsid w:val="003B0B96"/>
    <w:rsid w:val="003B0E03"/>
    <w:rsid w:val="003B105D"/>
    <w:rsid w:val="003B1C91"/>
    <w:rsid w:val="003B30A7"/>
    <w:rsid w:val="003B3342"/>
    <w:rsid w:val="003B3DE3"/>
    <w:rsid w:val="003B437B"/>
    <w:rsid w:val="003B4B6D"/>
    <w:rsid w:val="003B529C"/>
    <w:rsid w:val="003B55E4"/>
    <w:rsid w:val="003B55F2"/>
    <w:rsid w:val="003B6551"/>
    <w:rsid w:val="003B6628"/>
    <w:rsid w:val="003B6752"/>
    <w:rsid w:val="003B67D1"/>
    <w:rsid w:val="003B68CF"/>
    <w:rsid w:val="003C0198"/>
    <w:rsid w:val="003C0782"/>
    <w:rsid w:val="003C0871"/>
    <w:rsid w:val="003C10BB"/>
    <w:rsid w:val="003C1D06"/>
    <w:rsid w:val="003C1E4D"/>
    <w:rsid w:val="003C1F2E"/>
    <w:rsid w:val="003C200F"/>
    <w:rsid w:val="003C21B0"/>
    <w:rsid w:val="003C3EC7"/>
    <w:rsid w:val="003C4549"/>
    <w:rsid w:val="003C4A4C"/>
    <w:rsid w:val="003C5B11"/>
    <w:rsid w:val="003C5B24"/>
    <w:rsid w:val="003C601B"/>
    <w:rsid w:val="003C69D0"/>
    <w:rsid w:val="003C6DE3"/>
    <w:rsid w:val="003C7768"/>
    <w:rsid w:val="003C78C1"/>
    <w:rsid w:val="003C7C57"/>
    <w:rsid w:val="003C7D05"/>
    <w:rsid w:val="003D0932"/>
    <w:rsid w:val="003D1EF0"/>
    <w:rsid w:val="003D1F79"/>
    <w:rsid w:val="003D23D2"/>
    <w:rsid w:val="003D2943"/>
    <w:rsid w:val="003D2AA8"/>
    <w:rsid w:val="003D2D52"/>
    <w:rsid w:val="003D2E87"/>
    <w:rsid w:val="003D3972"/>
    <w:rsid w:val="003D3E5E"/>
    <w:rsid w:val="003D4368"/>
    <w:rsid w:val="003D44DA"/>
    <w:rsid w:val="003D6851"/>
    <w:rsid w:val="003E01B6"/>
    <w:rsid w:val="003E0E4A"/>
    <w:rsid w:val="003E0FF6"/>
    <w:rsid w:val="003E130E"/>
    <w:rsid w:val="003E1884"/>
    <w:rsid w:val="003E2251"/>
    <w:rsid w:val="003E23DB"/>
    <w:rsid w:val="003E24CA"/>
    <w:rsid w:val="003E2651"/>
    <w:rsid w:val="003E2886"/>
    <w:rsid w:val="003E2A0A"/>
    <w:rsid w:val="003E3413"/>
    <w:rsid w:val="003E342C"/>
    <w:rsid w:val="003E39E2"/>
    <w:rsid w:val="003E3B7C"/>
    <w:rsid w:val="003E4BD2"/>
    <w:rsid w:val="003E535A"/>
    <w:rsid w:val="003E602D"/>
    <w:rsid w:val="003E77D8"/>
    <w:rsid w:val="003E797A"/>
    <w:rsid w:val="003F059F"/>
    <w:rsid w:val="003F07EE"/>
    <w:rsid w:val="003F0958"/>
    <w:rsid w:val="003F0FBE"/>
    <w:rsid w:val="003F2045"/>
    <w:rsid w:val="003F241F"/>
    <w:rsid w:val="003F2B04"/>
    <w:rsid w:val="003F362C"/>
    <w:rsid w:val="003F36F1"/>
    <w:rsid w:val="003F435B"/>
    <w:rsid w:val="003F4933"/>
    <w:rsid w:val="003F4CB8"/>
    <w:rsid w:val="003F55D5"/>
    <w:rsid w:val="003F5804"/>
    <w:rsid w:val="003F65BA"/>
    <w:rsid w:val="003F6859"/>
    <w:rsid w:val="004019BF"/>
    <w:rsid w:val="00401BE1"/>
    <w:rsid w:val="0040201A"/>
    <w:rsid w:val="004028FC"/>
    <w:rsid w:val="00402C79"/>
    <w:rsid w:val="00403CFC"/>
    <w:rsid w:val="00404279"/>
    <w:rsid w:val="0040481D"/>
    <w:rsid w:val="004049F4"/>
    <w:rsid w:val="00404D37"/>
    <w:rsid w:val="00406010"/>
    <w:rsid w:val="00406514"/>
    <w:rsid w:val="00406841"/>
    <w:rsid w:val="004073C1"/>
    <w:rsid w:val="00407936"/>
    <w:rsid w:val="00407A51"/>
    <w:rsid w:val="00407BD7"/>
    <w:rsid w:val="0041002A"/>
    <w:rsid w:val="00410368"/>
    <w:rsid w:val="00411705"/>
    <w:rsid w:val="004122C5"/>
    <w:rsid w:val="00412748"/>
    <w:rsid w:val="004129E7"/>
    <w:rsid w:val="00412A29"/>
    <w:rsid w:val="00412F8C"/>
    <w:rsid w:val="00413591"/>
    <w:rsid w:val="00413B7D"/>
    <w:rsid w:val="00414240"/>
    <w:rsid w:val="0041476C"/>
    <w:rsid w:val="00414F8A"/>
    <w:rsid w:val="00417C3E"/>
    <w:rsid w:val="00417D83"/>
    <w:rsid w:val="00417FFC"/>
    <w:rsid w:val="004229AF"/>
    <w:rsid w:val="00422DB0"/>
    <w:rsid w:val="0042361E"/>
    <w:rsid w:val="00424929"/>
    <w:rsid w:val="004253BC"/>
    <w:rsid w:val="0042650E"/>
    <w:rsid w:val="00426B05"/>
    <w:rsid w:val="00430A35"/>
    <w:rsid w:val="00430ED1"/>
    <w:rsid w:val="0043145C"/>
    <w:rsid w:val="00431657"/>
    <w:rsid w:val="00432679"/>
    <w:rsid w:val="00432D70"/>
    <w:rsid w:val="00432E5B"/>
    <w:rsid w:val="00433272"/>
    <w:rsid w:val="0043371C"/>
    <w:rsid w:val="00433B8D"/>
    <w:rsid w:val="0043441C"/>
    <w:rsid w:val="004346BE"/>
    <w:rsid w:val="00434E8E"/>
    <w:rsid w:val="00435ABF"/>
    <w:rsid w:val="00435DA1"/>
    <w:rsid w:val="0043647B"/>
    <w:rsid w:val="0043781B"/>
    <w:rsid w:val="00437993"/>
    <w:rsid w:val="004401AF"/>
    <w:rsid w:val="00440442"/>
    <w:rsid w:val="0044051F"/>
    <w:rsid w:val="004411B8"/>
    <w:rsid w:val="0044277E"/>
    <w:rsid w:val="00443079"/>
    <w:rsid w:val="0044376D"/>
    <w:rsid w:val="00443960"/>
    <w:rsid w:val="00443970"/>
    <w:rsid w:val="0044402D"/>
    <w:rsid w:val="004445A4"/>
    <w:rsid w:val="00444CD0"/>
    <w:rsid w:val="00445302"/>
    <w:rsid w:val="004453D9"/>
    <w:rsid w:val="0044578B"/>
    <w:rsid w:val="00445D39"/>
    <w:rsid w:val="00445D6C"/>
    <w:rsid w:val="0044637C"/>
    <w:rsid w:val="004470C9"/>
    <w:rsid w:val="00447947"/>
    <w:rsid w:val="00447DFC"/>
    <w:rsid w:val="00447F37"/>
    <w:rsid w:val="004503FD"/>
    <w:rsid w:val="00450A59"/>
    <w:rsid w:val="00450E80"/>
    <w:rsid w:val="0045320B"/>
    <w:rsid w:val="00453540"/>
    <w:rsid w:val="00453ED6"/>
    <w:rsid w:val="00454CB3"/>
    <w:rsid w:val="00455290"/>
    <w:rsid w:val="00455978"/>
    <w:rsid w:val="0045702D"/>
    <w:rsid w:val="00457889"/>
    <w:rsid w:val="00457A0D"/>
    <w:rsid w:val="00457DDF"/>
    <w:rsid w:val="00461CD2"/>
    <w:rsid w:val="00461F76"/>
    <w:rsid w:val="004623F3"/>
    <w:rsid w:val="00462B75"/>
    <w:rsid w:val="004634EC"/>
    <w:rsid w:val="0046357E"/>
    <w:rsid w:val="00464203"/>
    <w:rsid w:val="004661D3"/>
    <w:rsid w:val="0046783A"/>
    <w:rsid w:val="0047058B"/>
    <w:rsid w:val="00470F5F"/>
    <w:rsid w:val="0047148C"/>
    <w:rsid w:val="004714F6"/>
    <w:rsid w:val="004717FB"/>
    <w:rsid w:val="00472851"/>
    <w:rsid w:val="004731AA"/>
    <w:rsid w:val="00473923"/>
    <w:rsid w:val="004741FF"/>
    <w:rsid w:val="004744DC"/>
    <w:rsid w:val="004753B0"/>
    <w:rsid w:val="00475E8A"/>
    <w:rsid w:val="004761D4"/>
    <w:rsid w:val="004762B1"/>
    <w:rsid w:val="00476A15"/>
    <w:rsid w:val="0047766A"/>
    <w:rsid w:val="00480401"/>
    <w:rsid w:val="00481415"/>
    <w:rsid w:val="00481DE5"/>
    <w:rsid w:val="004824A4"/>
    <w:rsid w:val="004842FF"/>
    <w:rsid w:val="004846E6"/>
    <w:rsid w:val="00484CD7"/>
    <w:rsid w:val="004852BB"/>
    <w:rsid w:val="00485493"/>
    <w:rsid w:val="00485C43"/>
    <w:rsid w:val="00486506"/>
    <w:rsid w:val="0048669B"/>
    <w:rsid w:val="004866AC"/>
    <w:rsid w:val="00486A3B"/>
    <w:rsid w:val="00486D12"/>
    <w:rsid w:val="004870BE"/>
    <w:rsid w:val="004872DA"/>
    <w:rsid w:val="0048739C"/>
    <w:rsid w:val="00487A9F"/>
    <w:rsid w:val="00487DC8"/>
    <w:rsid w:val="00490867"/>
    <w:rsid w:val="004908AD"/>
    <w:rsid w:val="00490ABE"/>
    <w:rsid w:val="00492178"/>
    <w:rsid w:val="004924BF"/>
    <w:rsid w:val="00492FE8"/>
    <w:rsid w:val="00493208"/>
    <w:rsid w:val="00493227"/>
    <w:rsid w:val="00493746"/>
    <w:rsid w:val="004939E1"/>
    <w:rsid w:val="00494040"/>
    <w:rsid w:val="00494427"/>
    <w:rsid w:val="004947DA"/>
    <w:rsid w:val="0049549D"/>
    <w:rsid w:val="0049596D"/>
    <w:rsid w:val="00495996"/>
    <w:rsid w:val="004959F0"/>
    <w:rsid w:val="00495AAA"/>
    <w:rsid w:val="00495B9A"/>
    <w:rsid w:val="00495C53"/>
    <w:rsid w:val="00496319"/>
    <w:rsid w:val="004975DD"/>
    <w:rsid w:val="004A09E8"/>
    <w:rsid w:val="004A1AC8"/>
    <w:rsid w:val="004A2FF1"/>
    <w:rsid w:val="004A4088"/>
    <w:rsid w:val="004A569F"/>
    <w:rsid w:val="004A5AFC"/>
    <w:rsid w:val="004A5BBC"/>
    <w:rsid w:val="004A5C1A"/>
    <w:rsid w:val="004A60F7"/>
    <w:rsid w:val="004A61BC"/>
    <w:rsid w:val="004A6B7D"/>
    <w:rsid w:val="004A6CC3"/>
    <w:rsid w:val="004A6E63"/>
    <w:rsid w:val="004A745A"/>
    <w:rsid w:val="004A75FF"/>
    <w:rsid w:val="004A776A"/>
    <w:rsid w:val="004A7BFA"/>
    <w:rsid w:val="004B0457"/>
    <w:rsid w:val="004B06A3"/>
    <w:rsid w:val="004B06F0"/>
    <w:rsid w:val="004B0B7D"/>
    <w:rsid w:val="004B11AC"/>
    <w:rsid w:val="004B1843"/>
    <w:rsid w:val="004B2B9E"/>
    <w:rsid w:val="004B2C87"/>
    <w:rsid w:val="004B2F5A"/>
    <w:rsid w:val="004B3574"/>
    <w:rsid w:val="004B3A66"/>
    <w:rsid w:val="004B3FFD"/>
    <w:rsid w:val="004B53CB"/>
    <w:rsid w:val="004B5854"/>
    <w:rsid w:val="004B5DE0"/>
    <w:rsid w:val="004B6294"/>
    <w:rsid w:val="004B7BCD"/>
    <w:rsid w:val="004B7E2B"/>
    <w:rsid w:val="004C20E1"/>
    <w:rsid w:val="004C2C65"/>
    <w:rsid w:val="004C2CA1"/>
    <w:rsid w:val="004C34F1"/>
    <w:rsid w:val="004C35EA"/>
    <w:rsid w:val="004C3720"/>
    <w:rsid w:val="004C3731"/>
    <w:rsid w:val="004C3A00"/>
    <w:rsid w:val="004C3EB0"/>
    <w:rsid w:val="004C441C"/>
    <w:rsid w:val="004C47F9"/>
    <w:rsid w:val="004C4AF1"/>
    <w:rsid w:val="004C5315"/>
    <w:rsid w:val="004C5389"/>
    <w:rsid w:val="004C5402"/>
    <w:rsid w:val="004C62B3"/>
    <w:rsid w:val="004C7886"/>
    <w:rsid w:val="004D0D73"/>
    <w:rsid w:val="004D2722"/>
    <w:rsid w:val="004D3297"/>
    <w:rsid w:val="004D3FFF"/>
    <w:rsid w:val="004D4D4E"/>
    <w:rsid w:val="004D5166"/>
    <w:rsid w:val="004D5186"/>
    <w:rsid w:val="004D5306"/>
    <w:rsid w:val="004D5965"/>
    <w:rsid w:val="004D5A60"/>
    <w:rsid w:val="004D5AA1"/>
    <w:rsid w:val="004D6304"/>
    <w:rsid w:val="004D6A96"/>
    <w:rsid w:val="004D7051"/>
    <w:rsid w:val="004D7380"/>
    <w:rsid w:val="004D7475"/>
    <w:rsid w:val="004E0600"/>
    <w:rsid w:val="004E0B10"/>
    <w:rsid w:val="004E24E6"/>
    <w:rsid w:val="004E3107"/>
    <w:rsid w:val="004E3170"/>
    <w:rsid w:val="004E31DF"/>
    <w:rsid w:val="004E3E2C"/>
    <w:rsid w:val="004E42AE"/>
    <w:rsid w:val="004E56CB"/>
    <w:rsid w:val="004E5AFA"/>
    <w:rsid w:val="004E6F52"/>
    <w:rsid w:val="004E7138"/>
    <w:rsid w:val="004E7557"/>
    <w:rsid w:val="004F15F7"/>
    <w:rsid w:val="004F1841"/>
    <w:rsid w:val="004F240E"/>
    <w:rsid w:val="004F2AE3"/>
    <w:rsid w:val="004F2E7E"/>
    <w:rsid w:val="004F398A"/>
    <w:rsid w:val="004F3A74"/>
    <w:rsid w:val="004F3EB7"/>
    <w:rsid w:val="004F408F"/>
    <w:rsid w:val="004F41A4"/>
    <w:rsid w:val="004F45D7"/>
    <w:rsid w:val="004F4737"/>
    <w:rsid w:val="004F639F"/>
    <w:rsid w:val="004F6A63"/>
    <w:rsid w:val="004F7B59"/>
    <w:rsid w:val="005000C2"/>
    <w:rsid w:val="0050015F"/>
    <w:rsid w:val="005002F8"/>
    <w:rsid w:val="0050049E"/>
    <w:rsid w:val="005009F8"/>
    <w:rsid w:val="00500A62"/>
    <w:rsid w:val="00500F1C"/>
    <w:rsid w:val="00501563"/>
    <w:rsid w:val="005017C7"/>
    <w:rsid w:val="00501B89"/>
    <w:rsid w:val="0050221C"/>
    <w:rsid w:val="00503393"/>
    <w:rsid w:val="005036E5"/>
    <w:rsid w:val="00503A69"/>
    <w:rsid w:val="0050458A"/>
    <w:rsid w:val="00504629"/>
    <w:rsid w:val="00504B7F"/>
    <w:rsid w:val="00504F20"/>
    <w:rsid w:val="00505CED"/>
    <w:rsid w:val="00505D6B"/>
    <w:rsid w:val="00506426"/>
    <w:rsid w:val="00506E31"/>
    <w:rsid w:val="005072BF"/>
    <w:rsid w:val="0050774F"/>
    <w:rsid w:val="00507CD0"/>
    <w:rsid w:val="00507E4D"/>
    <w:rsid w:val="00507F5F"/>
    <w:rsid w:val="00510017"/>
    <w:rsid w:val="005117B1"/>
    <w:rsid w:val="00512B82"/>
    <w:rsid w:val="005134A5"/>
    <w:rsid w:val="005138EF"/>
    <w:rsid w:val="00516872"/>
    <w:rsid w:val="00517C48"/>
    <w:rsid w:val="00517C67"/>
    <w:rsid w:val="00520344"/>
    <w:rsid w:val="00520793"/>
    <w:rsid w:val="00521226"/>
    <w:rsid w:val="00521414"/>
    <w:rsid w:val="00522CC7"/>
    <w:rsid w:val="00522CDB"/>
    <w:rsid w:val="00523A8C"/>
    <w:rsid w:val="0052521A"/>
    <w:rsid w:val="005252B3"/>
    <w:rsid w:val="00525619"/>
    <w:rsid w:val="0052635F"/>
    <w:rsid w:val="0052725B"/>
    <w:rsid w:val="005306E0"/>
    <w:rsid w:val="00530C62"/>
    <w:rsid w:val="0053151F"/>
    <w:rsid w:val="00531899"/>
    <w:rsid w:val="0053213E"/>
    <w:rsid w:val="005322A5"/>
    <w:rsid w:val="00532430"/>
    <w:rsid w:val="0053269A"/>
    <w:rsid w:val="00535005"/>
    <w:rsid w:val="005350CF"/>
    <w:rsid w:val="0053512F"/>
    <w:rsid w:val="00536491"/>
    <w:rsid w:val="005368CD"/>
    <w:rsid w:val="0053702A"/>
    <w:rsid w:val="0053776E"/>
    <w:rsid w:val="00537EC0"/>
    <w:rsid w:val="00540590"/>
    <w:rsid w:val="00540725"/>
    <w:rsid w:val="005410A8"/>
    <w:rsid w:val="005412A5"/>
    <w:rsid w:val="00542057"/>
    <w:rsid w:val="00542679"/>
    <w:rsid w:val="00542D66"/>
    <w:rsid w:val="00542DFB"/>
    <w:rsid w:val="0054360B"/>
    <w:rsid w:val="00543863"/>
    <w:rsid w:val="00544066"/>
    <w:rsid w:val="00544946"/>
    <w:rsid w:val="005452E2"/>
    <w:rsid w:val="00545B2A"/>
    <w:rsid w:val="00546173"/>
    <w:rsid w:val="00546438"/>
    <w:rsid w:val="005464CC"/>
    <w:rsid w:val="005466A2"/>
    <w:rsid w:val="00546AFB"/>
    <w:rsid w:val="00546C2A"/>
    <w:rsid w:val="00546CC1"/>
    <w:rsid w:val="00547799"/>
    <w:rsid w:val="005503C2"/>
    <w:rsid w:val="00550773"/>
    <w:rsid w:val="00550862"/>
    <w:rsid w:val="00550D89"/>
    <w:rsid w:val="00550EDE"/>
    <w:rsid w:val="00551073"/>
    <w:rsid w:val="00553329"/>
    <w:rsid w:val="00555108"/>
    <w:rsid w:val="005559B0"/>
    <w:rsid w:val="00556CB1"/>
    <w:rsid w:val="0055701F"/>
    <w:rsid w:val="00560E4F"/>
    <w:rsid w:val="00561E3A"/>
    <w:rsid w:val="00561E70"/>
    <w:rsid w:val="0056253B"/>
    <w:rsid w:val="00563A40"/>
    <w:rsid w:val="00563DE6"/>
    <w:rsid w:val="00563F1B"/>
    <w:rsid w:val="005650F7"/>
    <w:rsid w:val="0056533B"/>
    <w:rsid w:val="00565BB0"/>
    <w:rsid w:val="0056647F"/>
    <w:rsid w:val="00566797"/>
    <w:rsid w:val="00567403"/>
    <w:rsid w:val="00572B18"/>
    <w:rsid w:val="00572B1C"/>
    <w:rsid w:val="00574A5E"/>
    <w:rsid w:val="005750AF"/>
    <w:rsid w:val="00575434"/>
    <w:rsid w:val="00575857"/>
    <w:rsid w:val="00575888"/>
    <w:rsid w:val="005759B2"/>
    <w:rsid w:val="00577BAC"/>
    <w:rsid w:val="00577E84"/>
    <w:rsid w:val="005801DB"/>
    <w:rsid w:val="0058118E"/>
    <w:rsid w:val="00581614"/>
    <w:rsid w:val="00581FF1"/>
    <w:rsid w:val="00582361"/>
    <w:rsid w:val="00582812"/>
    <w:rsid w:val="00583B50"/>
    <w:rsid w:val="005842AF"/>
    <w:rsid w:val="00584CBD"/>
    <w:rsid w:val="0058530A"/>
    <w:rsid w:val="00585C96"/>
    <w:rsid w:val="00586617"/>
    <w:rsid w:val="00590020"/>
    <w:rsid w:val="0059016A"/>
    <w:rsid w:val="0059081F"/>
    <w:rsid w:val="00590E5F"/>
    <w:rsid w:val="00591354"/>
    <w:rsid w:val="00592617"/>
    <w:rsid w:val="005938C0"/>
    <w:rsid w:val="0059407D"/>
    <w:rsid w:val="005941F1"/>
    <w:rsid w:val="00594805"/>
    <w:rsid w:val="00595185"/>
    <w:rsid w:val="00595544"/>
    <w:rsid w:val="00595C81"/>
    <w:rsid w:val="005961A6"/>
    <w:rsid w:val="00596370"/>
    <w:rsid w:val="00597756"/>
    <w:rsid w:val="00597813"/>
    <w:rsid w:val="00597B0A"/>
    <w:rsid w:val="005A02B9"/>
    <w:rsid w:val="005A1275"/>
    <w:rsid w:val="005A1297"/>
    <w:rsid w:val="005A1458"/>
    <w:rsid w:val="005A16B2"/>
    <w:rsid w:val="005A1CA1"/>
    <w:rsid w:val="005A2417"/>
    <w:rsid w:val="005A2BE6"/>
    <w:rsid w:val="005A3134"/>
    <w:rsid w:val="005A40A6"/>
    <w:rsid w:val="005A49F6"/>
    <w:rsid w:val="005A4DCD"/>
    <w:rsid w:val="005A6151"/>
    <w:rsid w:val="005A6551"/>
    <w:rsid w:val="005A689D"/>
    <w:rsid w:val="005A6904"/>
    <w:rsid w:val="005A6AB4"/>
    <w:rsid w:val="005A6C52"/>
    <w:rsid w:val="005A6E6F"/>
    <w:rsid w:val="005A700E"/>
    <w:rsid w:val="005A7DD1"/>
    <w:rsid w:val="005B00DA"/>
    <w:rsid w:val="005B0235"/>
    <w:rsid w:val="005B0494"/>
    <w:rsid w:val="005B05DE"/>
    <w:rsid w:val="005B0616"/>
    <w:rsid w:val="005B0DFC"/>
    <w:rsid w:val="005B10A4"/>
    <w:rsid w:val="005B1779"/>
    <w:rsid w:val="005B1E83"/>
    <w:rsid w:val="005B2148"/>
    <w:rsid w:val="005B338E"/>
    <w:rsid w:val="005B347B"/>
    <w:rsid w:val="005B36A0"/>
    <w:rsid w:val="005B3AEE"/>
    <w:rsid w:val="005B3C64"/>
    <w:rsid w:val="005B3F98"/>
    <w:rsid w:val="005B43F3"/>
    <w:rsid w:val="005B45E1"/>
    <w:rsid w:val="005B4803"/>
    <w:rsid w:val="005B4BA9"/>
    <w:rsid w:val="005B4C95"/>
    <w:rsid w:val="005B4F85"/>
    <w:rsid w:val="005B51D7"/>
    <w:rsid w:val="005B5967"/>
    <w:rsid w:val="005B6A77"/>
    <w:rsid w:val="005B6A99"/>
    <w:rsid w:val="005B7CAB"/>
    <w:rsid w:val="005C11B5"/>
    <w:rsid w:val="005C1BEF"/>
    <w:rsid w:val="005C1D4E"/>
    <w:rsid w:val="005C29CD"/>
    <w:rsid w:val="005C31CD"/>
    <w:rsid w:val="005C40A5"/>
    <w:rsid w:val="005C6B4A"/>
    <w:rsid w:val="005C6E81"/>
    <w:rsid w:val="005C7498"/>
    <w:rsid w:val="005C7BA2"/>
    <w:rsid w:val="005D04EE"/>
    <w:rsid w:val="005D0B89"/>
    <w:rsid w:val="005D0E53"/>
    <w:rsid w:val="005D14F4"/>
    <w:rsid w:val="005D1A2D"/>
    <w:rsid w:val="005D1B49"/>
    <w:rsid w:val="005D1D46"/>
    <w:rsid w:val="005D2051"/>
    <w:rsid w:val="005D21DC"/>
    <w:rsid w:val="005D282B"/>
    <w:rsid w:val="005D2F75"/>
    <w:rsid w:val="005D3372"/>
    <w:rsid w:val="005D33C2"/>
    <w:rsid w:val="005D3A83"/>
    <w:rsid w:val="005D3B25"/>
    <w:rsid w:val="005D42A0"/>
    <w:rsid w:val="005D4885"/>
    <w:rsid w:val="005D4EE7"/>
    <w:rsid w:val="005D5050"/>
    <w:rsid w:val="005D507E"/>
    <w:rsid w:val="005D5216"/>
    <w:rsid w:val="005D5C61"/>
    <w:rsid w:val="005D6034"/>
    <w:rsid w:val="005D622C"/>
    <w:rsid w:val="005E0BEF"/>
    <w:rsid w:val="005E118E"/>
    <w:rsid w:val="005E1EBB"/>
    <w:rsid w:val="005E208E"/>
    <w:rsid w:val="005E25F7"/>
    <w:rsid w:val="005E2A47"/>
    <w:rsid w:val="005E2E04"/>
    <w:rsid w:val="005E48C1"/>
    <w:rsid w:val="005E4A00"/>
    <w:rsid w:val="005E4BAF"/>
    <w:rsid w:val="005E4D89"/>
    <w:rsid w:val="005E4F74"/>
    <w:rsid w:val="005E56DD"/>
    <w:rsid w:val="005E6BC4"/>
    <w:rsid w:val="005E6C71"/>
    <w:rsid w:val="005E6E3F"/>
    <w:rsid w:val="005E6F85"/>
    <w:rsid w:val="005E70C1"/>
    <w:rsid w:val="005E7275"/>
    <w:rsid w:val="005E797F"/>
    <w:rsid w:val="005E79DF"/>
    <w:rsid w:val="005F0882"/>
    <w:rsid w:val="005F0C8C"/>
    <w:rsid w:val="005F1618"/>
    <w:rsid w:val="005F1D4F"/>
    <w:rsid w:val="005F242D"/>
    <w:rsid w:val="005F2AAC"/>
    <w:rsid w:val="005F3091"/>
    <w:rsid w:val="005F3FC9"/>
    <w:rsid w:val="005F403C"/>
    <w:rsid w:val="005F4134"/>
    <w:rsid w:val="005F52CC"/>
    <w:rsid w:val="005F5652"/>
    <w:rsid w:val="005F622F"/>
    <w:rsid w:val="005F6491"/>
    <w:rsid w:val="005F675E"/>
    <w:rsid w:val="005F75E4"/>
    <w:rsid w:val="005F7859"/>
    <w:rsid w:val="005F7B2E"/>
    <w:rsid w:val="005F7C3A"/>
    <w:rsid w:val="0060076B"/>
    <w:rsid w:val="0060088B"/>
    <w:rsid w:val="00600D5A"/>
    <w:rsid w:val="0060102A"/>
    <w:rsid w:val="00601188"/>
    <w:rsid w:val="00603454"/>
    <w:rsid w:val="0060346E"/>
    <w:rsid w:val="00604405"/>
    <w:rsid w:val="00604611"/>
    <w:rsid w:val="00604CEC"/>
    <w:rsid w:val="00604E29"/>
    <w:rsid w:val="00606202"/>
    <w:rsid w:val="00607396"/>
    <w:rsid w:val="006102C4"/>
    <w:rsid w:val="00611212"/>
    <w:rsid w:val="006121A2"/>
    <w:rsid w:val="00613E66"/>
    <w:rsid w:val="00616965"/>
    <w:rsid w:val="00616D9E"/>
    <w:rsid w:val="00617004"/>
    <w:rsid w:val="0061713D"/>
    <w:rsid w:val="0061720D"/>
    <w:rsid w:val="00617AA5"/>
    <w:rsid w:val="00617C01"/>
    <w:rsid w:val="00620AFD"/>
    <w:rsid w:val="00620CE2"/>
    <w:rsid w:val="006217DC"/>
    <w:rsid w:val="00622132"/>
    <w:rsid w:val="00622C4C"/>
    <w:rsid w:val="00622FB1"/>
    <w:rsid w:val="00623894"/>
    <w:rsid w:val="006256F8"/>
    <w:rsid w:val="00625F57"/>
    <w:rsid w:val="00627A11"/>
    <w:rsid w:val="00627A5B"/>
    <w:rsid w:val="00630C7D"/>
    <w:rsid w:val="00630F35"/>
    <w:rsid w:val="006312D8"/>
    <w:rsid w:val="00631BED"/>
    <w:rsid w:val="00631BF3"/>
    <w:rsid w:val="00633068"/>
    <w:rsid w:val="0063331B"/>
    <w:rsid w:val="0063354D"/>
    <w:rsid w:val="00634AEC"/>
    <w:rsid w:val="00634F11"/>
    <w:rsid w:val="006354F1"/>
    <w:rsid w:val="00635512"/>
    <w:rsid w:val="00635773"/>
    <w:rsid w:val="00635F66"/>
    <w:rsid w:val="006368B3"/>
    <w:rsid w:val="00637196"/>
    <w:rsid w:val="006375C5"/>
    <w:rsid w:val="00637FA9"/>
    <w:rsid w:val="00640242"/>
    <w:rsid w:val="006404AD"/>
    <w:rsid w:val="0064056A"/>
    <w:rsid w:val="006409DB"/>
    <w:rsid w:val="00640A63"/>
    <w:rsid w:val="00640FA9"/>
    <w:rsid w:val="0064131F"/>
    <w:rsid w:val="0064185C"/>
    <w:rsid w:val="00641874"/>
    <w:rsid w:val="00641A6A"/>
    <w:rsid w:val="00641CD0"/>
    <w:rsid w:val="0064314C"/>
    <w:rsid w:val="006437B4"/>
    <w:rsid w:val="006447AE"/>
    <w:rsid w:val="00644C3A"/>
    <w:rsid w:val="006473E2"/>
    <w:rsid w:val="00650118"/>
    <w:rsid w:val="00650E1B"/>
    <w:rsid w:val="00650EB9"/>
    <w:rsid w:val="00651FE1"/>
    <w:rsid w:val="00653873"/>
    <w:rsid w:val="00653979"/>
    <w:rsid w:val="006558A8"/>
    <w:rsid w:val="00655A41"/>
    <w:rsid w:val="0065637A"/>
    <w:rsid w:val="006579A3"/>
    <w:rsid w:val="00660C67"/>
    <w:rsid w:val="00660D9E"/>
    <w:rsid w:val="00661220"/>
    <w:rsid w:val="0066142A"/>
    <w:rsid w:val="00661E59"/>
    <w:rsid w:val="00663100"/>
    <w:rsid w:val="006633FA"/>
    <w:rsid w:val="006635BD"/>
    <w:rsid w:val="00663BD4"/>
    <w:rsid w:val="006641DB"/>
    <w:rsid w:val="006651F1"/>
    <w:rsid w:val="006656F2"/>
    <w:rsid w:val="00665F3A"/>
    <w:rsid w:val="00666116"/>
    <w:rsid w:val="00666E4E"/>
    <w:rsid w:val="00667010"/>
    <w:rsid w:val="00667ADD"/>
    <w:rsid w:val="006704C3"/>
    <w:rsid w:val="006708E7"/>
    <w:rsid w:val="006711BF"/>
    <w:rsid w:val="0067242A"/>
    <w:rsid w:val="00672D9D"/>
    <w:rsid w:val="00672E31"/>
    <w:rsid w:val="0067367E"/>
    <w:rsid w:val="00673E01"/>
    <w:rsid w:val="00673ECF"/>
    <w:rsid w:val="00674A63"/>
    <w:rsid w:val="00676554"/>
    <w:rsid w:val="0067656C"/>
    <w:rsid w:val="00676A02"/>
    <w:rsid w:val="006801C8"/>
    <w:rsid w:val="00680DED"/>
    <w:rsid w:val="006822BC"/>
    <w:rsid w:val="006824E6"/>
    <w:rsid w:val="006836D2"/>
    <w:rsid w:val="00683F72"/>
    <w:rsid w:val="00685435"/>
    <w:rsid w:val="0068578C"/>
    <w:rsid w:val="00685D95"/>
    <w:rsid w:val="00685E57"/>
    <w:rsid w:val="00686DFC"/>
    <w:rsid w:val="00686E67"/>
    <w:rsid w:val="006874A4"/>
    <w:rsid w:val="00687A46"/>
    <w:rsid w:val="00690025"/>
    <w:rsid w:val="006901A7"/>
    <w:rsid w:val="006914F1"/>
    <w:rsid w:val="00691933"/>
    <w:rsid w:val="00692739"/>
    <w:rsid w:val="006928E8"/>
    <w:rsid w:val="00692EC4"/>
    <w:rsid w:val="00693D6A"/>
    <w:rsid w:val="00694905"/>
    <w:rsid w:val="006951C6"/>
    <w:rsid w:val="00695CDF"/>
    <w:rsid w:val="00697D67"/>
    <w:rsid w:val="006A00D0"/>
    <w:rsid w:val="006A0172"/>
    <w:rsid w:val="006A0D07"/>
    <w:rsid w:val="006A10DB"/>
    <w:rsid w:val="006A252D"/>
    <w:rsid w:val="006A289D"/>
    <w:rsid w:val="006A306D"/>
    <w:rsid w:val="006A362F"/>
    <w:rsid w:val="006A3721"/>
    <w:rsid w:val="006A3812"/>
    <w:rsid w:val="006A3E9B"/>
    <w:rsid w:val="006A4344"/>
    <w:rsid w:val="006A4F43"/>
    <w:rsid w:val="006A5A05"/>
    <w:rsid w:val="006A5EAE"/>
    <w:rsid w:val="006A61A0"/>
    <w:rsid w:val="006A648A"/>
    <w:rsid w:val="006B0045"/>
    <w:rsid w:val="006B0130"/>
    <w:rsid w:val="006B0891"/>
    <w:rsid w:val="006B1BC2"/>
    <w:rsid w:val="006B200E"/>
    <w:rsid w:val="006B2AF3"/>
    <w:rsid w:val="006B3376"/>
    <w:rsid w:val="006B33F0"/>
    <w:rsid w:val="006B442A"/>
    <w:rsid w:val="006B46C5"/>
    <w:rsid w:val="006B475E"/>
    <w:rsid w:val="006B4C05"/>
    <w:rsid w:val="006B502C"/>
    <w:rsid w:val="006B6305"/>
    <w:rsid w:val="006B7038"/>
    <w:rsid w:val="006C10AF"/>
    <w:rsid w:val="006C15D4"/>
    <w:rsid w:val="006C1DFE"/>
    <w:rsid w:val="006C1F4F"/>
    <w:rsid w:val="006C223F"/>
    <w:rsid w:val="006C2E0E"/>
    <w:rsid w:val="006C30E8"/>
    <w:rsid w:val="006C3794"/>
    <w:rsid w:val="006C37AC"/>
    <w:rsid w:val="006C3A06"/>
    <w:rsid w:val="006C48B1"/>
    <w:rsid w:val="006C54C7"/>
    <w:rsid w:val="006C65AD"/>
    <w:rsid w:val="006C67D7"/>
    <w:rsid w:val="006C72CA"/>
    <w:rsid w:val="006C79AA"/>
    <w:rsid w:val="006C7D2D"/>
    <w:rsid w:val="006D07C0"/>
    <w:rsid w:val="006D0A4C"/>
    <w:rsid w:val="006D0C2F"/>
    <w:rsid w:val="006D0E37"/>
    <w:rsid w:val="006D193D"/>
    <w:rsid w:val="006D1BB1"/>
    <w:rsid w:val="006D1F41"/>
    <w:rsid w:val="006D2697"/>
    <w:rsid w:val="006D3088"/>
    <w:rsid w:val="006D34AD"/>
    <w:rsid w:val="006D37FC"/>
    <w:rsid w:val="006D44C4"/>
    <w:rsid w:val="006D4CFE"/>
    <w:rsid w:val="006D5255"/>
    <w:rsid w:val="006D5375"/>
    <w:rsid w:val="006D5AEF"/>
    <w:rsid w:val="006D6DAB"/>
    <w:rsid w:val="006D6E11"/>
    <w:rsid w:val="006D738C"/>
    <w:rsid w:val="006D7962"/>
    <w:rsid w:val="006D7A7C"/>
    <w:rsid w:val="006D7C8E"/>
    <w:rsid w:val="006D7E44"/>
    <w:rsid w:val="006E01C2"/>
    <w:rsid w:val="006E10F3"/>
    <w:rsid w:val="006E1A2D"/>
    <w:rsid w:val="006E209F"/>
    <w:rsid w:val="006E2586"/>
    <w:rsid w:val="006E30E7"/>
    <w:rsid w:val="006E3403"/>
    <w:rsid w:val="006E38D0"/>
    <w:rsid w:val="006E3D56"/>
    <w:rsid w:val="006E4006"/>
    <w:rsid w:val="006E4788"/>
    <w:rsid w:val="006E4AB7"/>
    <w:rsid w:val="006E4E2A"/>
    <w:rsid w:val="006E5F41"/>
    <w:rsid w:val="006E6B23"/>
    <w:rsid w:val="006E7BC8"/>
    <w:rsid w:val="006F0615"/>
    <w:rsid w:val="006F0728"/>
    <w:rsid w:val="006F0810"/>
    <w:rsid w:val="006F109E"/>
    <w:rsid w:val="006F31DA"/>
    <w:rsid w:val="006F3ADF"/>
    <w:rsid w:val="006F4EFC"/>
    <w:rsid w:val="006F52AF"/>
    <w:rsid w:val="006F6121"/>
    <w:rsid w:val="006F616B"/>
    <w:rsid w:val="006F70C2"/>
    <w:rsid w:val="006F76BA"/>
    <w:rsid w:val="006F7DFF"/>
    <w:rsid w:val="0070085D"/>
    <w:rsid w:val="00700909"/>
    <w:rsid w:val="00700EBB"/>
    <w:rsid w:val="007012BB"/>
    <w:rsid w:val="0070187A"/>
    <w:rsid w:val="00701CC4"/>
    <w:rsid w:val="00701E7E"/>
    <w:rsid w:val="00702D9E"/>
    <w:rsid w:val="007037F2"/>
    <w:rsid w:val="0070490A"/>
    <w:rsid w:val="007049D3"/>
    <w:rsid w:val="0070576B"/>
    <w:rsid w:val="00705A03"/>
    <w:rsid w:val="00705E06"/>
    <w:rsid w:val="007063F9"/>
    <w:rsid w:val="007064F0"/>
    <w:rsid w:val="00706B16"/>
    <w:rsid w:val="00706F16"/>
    <w:rsid w:val="00707D4A"/>
    <w:rsid w:val="00707E17"/>
    <w:rsid w:val="00707F33"/>
    <w:rsid w:val="0071054A"/>
    <w:rsid w:val="00710F15"/>
    <w:rsid w:val="00710FE5"/>
    <w:rsid w:val="007113EE"/>
    <w:rsid w:val="00711FA0"/>
    <w:rsid w:val="007124B8"/>
    <w:rsid w:val="0071267C"/>
    <w:rsid w:val="007135A0"/>
    <w:rsid w:val="00713FEF"/>
    <w:rsid w:val="0071452B"/>
    <w:rsid w:val="007151B0"/>
    <w:rsid w:val="00715967"/>
    <w:rsid w:val="00716DA8"/>
    <w:rsid w:val="0071763E"/>
    <w:rsid w:val="00717C8A"/>
    <w:rsid w:val="00717E6E"/>
    <w:rsid w:val="00717F7A"/>
    <w:rsid w:val="00720383"/>
    <w:rsid w:val="0072125C"/>
    <w:rsid w:val="00721573"/>
    <w:rsid w:val="00721E59"/>
    <w:rsid w:val="00722C55"/>
    <w:rsid w:val="0072315C"/>
    <w:rsid w:val="00723830"/>
    <w:rsid w:val="00724544"/>
    <w:rsid w:val="00724805"/>
    <w:rsid w:val="00725FC4"/>
    <w:rsid w:val="007260AB"/>
    <w:rsid w:val="007272B1"/>
    <w:rsid w:val="00727443"/>
    <w:rsid w:val="00730432"/>
    <w:rsid w:val="007309F8"/>
    <w:rsid w:val="00730F24"/>
    <w:rsid w:val="00731503"/>
    <w:rsid w:val="00731EE5"/>
    <w:rsid w:val="007325B3"/>
    <w:rsid w:val="007329BB"/>
    <w:rsid w:val="00732ADC"/>
    <w:rsid w:val="007352B5"/>
    <w:rsid w:val="007352EF"/>
    <w:rsid w:val="0073739F"/>
    <w:rsid w:val="007374FD"/>
    <w:rsid w:val="00737603"/>
    <w:rsid w:val="00740150"/>
    <w:rsid w:val="007403DD"/>
    <w:rsid w:val="00740507"/>
    <w:rsid w:val="0074111C"/>
    <w:rsid w:val="00741623"/>
    <w:rsid w:val="007419C1"/>
    <w:rsid w:val="007421AF"/>
    <w:rsid w:val="00742FA1"/>
    <w:rsid w:val="007443B9"/>
    <w:rsid w:val="00744572"/>
    <w:rsid w:val="00744763"/>
    <w:rsid w:val="00744F9D"/>
    <w:rsid w:val="007456A2"/>
    <w:rsid w:val="00745AFC"/>
    <w:rsid w:val="00745D36"/>
    <w:rsid w:val="0074782A"/>
    <w:rsid w:val="00750386"/>
    <w:rsid w:val="00751339"/>
    <w:rsid w:val="00751957"/>
    <w:rsid w:val="0075213E"/>
    <w:rsid w:val="0075225C"/>
    <w:rsid w:val="007526E5"/>
    <w:rsid w:val="007530EE"/>
    <w:rsid w:val="0075346A"/>
    <w:rsid w:val="00753C64"/>
    <w:rsid w:val="00754B8A"/>
    <w:rsid w:val="00755123"/>
    <w:rsid w:val="00755C05"/>
    <w:rsid w:val="0075674B"/>
    <w:rsid w:val="0075711A"/>
    <w:rsid w:val="00757607"/>
    <w:rsid w:val="00757AA7"/>
    <w:rsid w:val="00757C09"/>
    <w:rsid w:val="007610BD"/>
    <w:rsid w:val="00761464"/>
    <w:rsid w:val="00761AA1"/>
    <w:rsid w:val="007627AF"/>
    <w:rsid w:val="0076284A"/>
    <w:rsid w:val="00762ECC"/>
    <w:rsid w:val="007636E9"/>
    <w:rsid w:val="00763D05"/>
    <w:rsid w:val="00763DEE"/>
    <w:rsid w:val="00764D57"/>
    <w:rsid w:val="007653E4"/>
    <w:rsid w:val="00765791"/>
    <w:rsid w:val="00766059"/>
    <w:rsid w:val="00766092"/>
    <w:rsid w:val="00766691"/>
    <w:rsid w:val="007668D5"/>
    <w:rsid w:val="007671F4"/>
    <w:rsid w:val="00767352"/>
    <w:rsid w:val="0076736E"/>
    <w:rsid w:val="00767AD8"/>
    <w:rsid w:val="00767DAA"/>
    <w:rsid w:val="007710D8"/>
    <w:rsid w:val="00771968"/>
    <w:rsid w:val="00772599"/>
    <w:rsid w:val="00772B0E"/>
    <w:rsid w:val="007739D4"/>
    <w:rsid w:val="0077416C"/>
    <w:rsid w:val="0077439D"/>
    <w:rsid w:val="007748FC"/>
    <w:rsid w:val="00775625"/>
    <w:rsid w:val="00775D15"/>
    <w:rsid w:val="00776649"/>
    <w:rsid w:val="00777250"/>
    <w:rsid w:val="00780A8C"/>
    <w:rsid w:val="00780D1D"/>
    <w:rsid w:val="00781313"/>
    <w:rsid w:val="00781C67"/>
    <w:rsid w:val="00781EE1"/>
    <w:rsid w:val="00782855"/>
    <w:rsid w:val="007829CB"/>
    <w:rsid w:val="00782BE9"/>
    <w:rsid w:val="007833D3"/>
    <w:rsid w:val="007849E2"/>
    <w:rsid w:val="0078526A"/>
    <w:rsid w:val="00785E5A"/>
    <w:rsid w:val="007861ED"/>
    <w:rsid w:val="00786245"/>
    <w:rsid w:val="0078744E"/>
    <w:rsid w:val="007902AA"/>
    <w:rsid w:val="007905E6"/>
    <w:rsid w:val="00790835"/>
    <w:rsid w:val="00791FA5"/>
    <w:rsid w:val="007939C2"/>
    <w:rsid w:val="00793D72"/>
    <w:rsid w:val="007940BD"/>
    <w:rsid w:val="0079433E"/>
    <w:rsid w:val="00794982"/>
    <w:rsid w:val="00794BC6"/>
    <w:rsid w:val="0079566D"/>
    <w:rsid w:val="00796312"/>
    <w:rsid w:val="007963AD"/>
    <w:rsid w:val="007965D3"/>
    <w:rsid w:val="00796941"/>
    <w:rsid w:val="007970DD"/>
    <w:rsid w:val="007A013F"/>
    <w:rsid w:val="007A07BB"/>
    <w:rsid w:val="007A1391"/>
    <w:rsid w:val="007A1578"/>
    <w:rsid w:val="007A20D1"/>
    <w:rsid w:val="007A31B9"/>
    <w:rsid w:val="007A32A3"/>
    <w:rsid w:val="007A3321"/>
    <w:rsid w:val="007A35B3"/>
    <w:rsid w:val="007A3A0B"/>
    <w:rsid w:val="007A3DE3"/>
    <w:rsid w:val="007A4118"/>
    <w:rsid w:val="007A5967"/>
    <w:rsid w:val="007A5EE9"/>
    <w:rsid w:val="007A60B7"/>
    <w:rsid w:val="007A714E"/>
    <w:rsid w:val="007A74C2"/>
    <w:rsid w:val="007B06DD"/>
    <w:rsid w:val="007B1115"/>
    <w:rsid w:val="007B15D6"/>
    <w:rsid w:val="007B2F97"/>
    <w:rsid w:val="007B3207"/>
    <w:rsid w:val="007B4402"/>
    <w:rsid w:val="007B669A"/>
    <w:rsid w:val="007B6736"/>
    <w:rsid w:val="007B6D2B"/>
    <w:rsid w:val="007C0B91"/>
    <w:rsid w:val="007C0CEB"/>
    <w:rsid w:val="007C0FBE"/>
    <w:rsid w:val="007C15B6"/>
    <w:rsid w:val="007C1956"/>
    <w:rsid w:val="007C1CCF"/>
    <w:rsid w:val="007C2090"/>
    <w:rsid w:val="007C20BA"/>
    <w:rsid w:val="007C2242"/>
    <w:rsid w:val="007C29E6"/>
    <w:rsid w:val="007C2CFF"/>
    <w:rsid w:val="007C39FB"/>
    <w:rsid w:val="007C3E53"/>
    <w:rsid w:val="007C401B"/>
    <w:rsid w:val="007C421F"/>
    <w:rsid w:val="007C613C"/>
    <w:rsid w:val="007C6FAB"/>
    <w:rsid w:val="007C74F7"/>
    <w:rsid w:val="007D009D"/>
    <w:rsid w:val="007D03A4"/>
    <w:rsid w:val="007D04B3"/>
    <w:rsid w:val="007D1608"/>
    <w:rsid w:val="007D1F0A"/>
    <w:rsid w:val="007D1F9A"/>
    <w:rsid w:val="007D1FFD"/>
    <w:rsid w:val="007D3141"/>
    <w:rsid w:val="007D3479"/>
    <w:rsid w:val="007D3B98"/>
    <w:rsid w:val="007D4D92"/>
    <w:rsid w:val="007D5127"/>
    <w:rsid w:val="007D607C"/>
    <w:rsid w:val="007D61D8"/>
    <w:rsid w:val="007D6511"/>
    <w:rsid w:val="007D752F"/>
    <w:rsid w:val="007D7568"/>
    <w:rsid w:val="007D775D"/>
    <w:rsid w:val="007D7D94"/>
    <w:rsid w:val="007E1275"/>
    <w:rsid w:val="007E1A4B"/>
    <w:rsid w:val="007E2486"/>
    <w:rsid w:val="007E2B2D"/>
    <w:rsid w:val="007E2DBF"/>
    <w:rsid w:val="007E313E"/>
    <w:rsid w:val="007E389A"/>
    <w:rsid w:val="007E3BE0"/>
    <w:rsid w:val="007E3C57"/>
    <w:rsid w:val="007E3FBE"/>
    <w:rsid w:val="007E4A79"/>
    <w:rsid w:val="007E544C"/>
    <w:rsid w:val="007E5979"/>
    <w:rsid w:val="007E5C7B"/>
    <w:rsid w:val="007E5D52"/>
    <w:rsid w:val="007E5DED"/>
    <w:rsid w:val="007E66A1"/>
    <w:rsid w:val="007E7172"/>
    <w:rsid w:val="007F072E"/>
    <w:rsid w:val="007F076D"/>
    <w:rsid w:val="007F0939"/>
    <w:rsid w:val="007F0B7F"/>
    <w:rsid w:val="007F1130"/>
    <w:rsid w:val="007F11C7"/>
    <w:rsid w:val="007F1A23"/>
    <w:rsid w:val="007F2510"/>
    <w:rsid w:val="007F29CC"/>
    <w:rsid w:val="007F3966"/>
    <w:rsid w:val="007F39D2"/>
    <w:rsid w:val="007F3B7D"/>
    <w:rsid w:val="007F3EC5"/>
    <w:rsid w:val="007F5848"/>
    <w:rsid w:val="007F5CEA"/>
    <w:rsid w:val="007F6F14"/>
    <w:rsid w:val="007F7A50"/>
    <w:rsid w:val="007F7AE6"/>
    <w:rsid w:val="00800B8B"/>
    <w:rsid w:val="0080185B"/>
    <w:rsid w:val="00802273"/>
    <w:rsid w:val="008028E9"/>
    <w:rsid w:val="0080324F"/>
    <w:rsid w:val="00804044"/>
    <w:rsid w:val="008048C0"/>
    <w:rsid w:val="00804B8C"/>
    <w:rsid w:val="0080510E"/>
    <w:rsid w:val="00805B3C"/>
    <w:rsid w:val="008065A4"/>
    <w:rsid w:val="00806DCB"/>
    <w:rsid w:val="00806EDE"/>
    <w:rsid w:val="0080740C"/>
    <w:rsid w:val="00807BF2"/>
    <w:rsid w:val="0081001A"/>
    <w:rsid w:val="00811011"/>
    <w:rsid w:val="00811758"/>
    <w:rsid w:val="0081390F"/>
    <w:rsid w:val="00813CF9"/>
    <w:rsid w:val="00814E2B"/>
    <w:rsid w:val="00815381"/>
    <w:rsid w:val="00815AE8"/>
    <w:rsid w:val="008162E3"/>
    <w:rsid w:val="00816E41"/>
    <w:rsid w:val="0081705C"/>
    <w:rsid w:val="008178CA"/>
    <w:rsid w:val="008209D6"/>
    <w:rsid w:val="00821284"/>
    <w:rsid w:val="0082279D"/>
    <w:rsid w:val="008229FE"/>
    <w:rsid w:val="00822BFC"/>
    <w:rsid w:val="00822E28"/>
    <w:rsid w:val="0082387B"/>
    <w:rsid w:val="008243B5"/>
    <w:rsid w:val="008244D6"/>
    <w:rsid w:val="00824ECB"/>
    <w:rsid w:val="00825DA0"/>
    <w:rsid w:val="0082615C"/>
    <w:rsid w:val="008261AF"/>
    <w:rsid w:val="0082794A"/>
    <w:rsid w:val="00827A96"/>
    <w:rsid w:val="008302F5"/>
    <w:rsid w:val="008313B0"/>
    <w:rsid w:val="008315CB"/>
    <w:rsid w:val="0083172C"/>
    <w:rsid w:val="00831CAF"/>
    <w:rsid w:val="00831FD3"/>
    <w:rsid w:val="00832A30"/>
    <w:rsid w:val="008341D5"/>
    <w:rsid w:val="008347EF"/>
    <w:rsid w:val="0083484B"/>
    <w:rsid w:val="00835043"/>
    <w:rsid w:val="0083592E"/>
    <w:rsid w:val="008362C1"/>
    <w:rsid w:val="00836D34"/>
    <w:rsid w:val="008377A9"/>
    <w:rsid w:val="008403E8"/>
    <w:rsid w:val="008415AD"/>
    <w:rsid w:val="0084181B"/>
    <w:rsid w:val="00842BD3"/>
    <w:rsid w:val="00842C2A"/>
    <w:rsid w:val="00842E5E"/>
    <w:rsid w:val="0084528B"/>
    <w:rsid w:val="008476FE"/>
    <w:rsid w:val="00850872"/>
    <w:rsid w:val="0085211C"/>
    <w:rsid w:val="008526C4"/>
    <w:rsid w:val="00854E3F"/>
    <w:rsid w:val="00855C9E"/>
    <w:rsid w:val="00856181"/>
    <w:rsid w:val="0085670C"/>
    <w:rsid w:val="008567BB"/>
    <w:rsid w:val="00856AB3"/>
    <w:rsid w:val="0086115F"/>
    <w:rsid w:val="008615BE"/>
    <w:rsid w:val="0086270E"/>
    <w:rsid w:val="008635F3"/>
    <w:rsid w:val="008637FF"/>
    <w:rsid w:val="008639F9"/>
    <w:rsid w:val="00864BD4"/>
    <w:rsid w:val="00865932"/>
    <w:rsid w:val="00866399"/>
    <w:rsid w:val="00866671"/>
    <w:rsid w:val="00867175"/>
    <w:rsid w:val="00867E44"/>
    <w:rsid w:val="008709A0"/>
    <w:rsid w:val="0087107A"/>
    <w:rsid w:val="00871416"/>
    <w:rsid w:val="0087168E"/>
    <w:rsid w:val="00871C8A"/>
    <w:rsid w:val="00871C8D"/>
    <w:rsid w:val="00872FC9"/>
    <w:rsid w:val="008737B0"/>
    <w:rsid w:val="008738AC"/>
    <w:rsid w:val="008739BE"/>
    <w:rsid w:val="00874173"/>
    <w:rsid w:val="00874568"/>
    <w:rsid w:val="0087565B"/>
    <w:rsid w:val="008767CB"/>
    <w:rsid w:val="00876AA5"/>
    <w:rsid w:val="00877038"/>
    <w:rsid w:val="00880139"/>
    <w:rsid w:val="008803EE"/>
    <w:rsid w:val="00880A4C"/>
    <w:rsid w:val="00880F46"/>
    <w:rsid w:val="00880FA8"/>
    <w:rsid w:val="00882075"/>
    <w:rsid w:val="00883CBF"/>
    <w:rsid w:val="00885454"/>
    <w:rsid w:val="00885A9D"/>
    <w:rsid w:val="00886115"/>
    <w:rsid w:val="00886121"/>
    <w:rsid w:val="00886585"/>
    <w:rsid w:val="00886DAF"/>
    <w:rsid w:val="008870A5"/>
    <w:rsid w:val="00887A28"/>
    <w:rsid w:val="00890D4B"/>
    <w:rsid w:val="0089138B"/>
    <w:rsid w:val="008914A2"/>
    <w:rsid w:val="00891C36"/>
    <w:rsid w:val="00892B46"/>
    <w:rsid w:val="00892DA4"/>
    <w:rsid w:val="00895076"/>
    <w:rsid w:val="008970A5"/>
    <w:rsid w:val="008971B6"/>
    <w:rsid w:val="008972A3"/>
    <w:rsid w:val="008972F6"/>
    <w:rsid w:val="00897D06"/>
    <w:rsid w:val="008A075D"/>
    <w:rsid w:val="008A13B8"/>
    <w:rsid w:val="008A16ED"/>
    <w:rsid w:val="008A1F95"/>
    <w:rsid w:val="008A2122"/>
    <w:rsid w:val="008A22F4"/>
    <w:rsid w:val="008A24DF"/>
    <w:rsid w:val="008A2D67"/>
    <w:rsid w:val="008A332F"/>
    <w:rsid w:val="008A3B23"/>
    <w:rsid w:val="008A3D16"/>
    <w:rsid w:val="008A468F"/>
    <w:rsid w:val="008A5726"/>
    <w:rsid w:val="008A6389"/>
    <w:rsid w:val="008A70E6"/>
    <w:rsid w:val="008A75AA"/>
    <w:rsid w:val="008A7630"/>
    <w:rsid w:val="008B0353"/>
    <w:rsid w:val="008B07EE"/>
    <w:rsid w:val="008B1146"/>
    <w:rsid w:val="008B28DA"/>
    <w:rsid w:val="008B3DD1"/>
    <w:rsid w:val="008B40C1"/>
    <w:rsid w:val="008B43E5"/>
    <w:rsid w:val="008B4EA1"/>
    <w:rsid w:val="008B546C"/>
    <w:rsid w:val="008B5E23"/>
    <w:rsid w:val="008B5E7B"/>
    <w:rsid w:val="008B5ECF"/>
    <w:rsid w:val="008B65BF"/>
    <w:rsid w:val="008B7314"/>
    <w:rsid w:val="008B7C77"/>
    <w:rsid w:val="008C079E"/>
    <w:rsid w:val="008C33E0"/>
    <w:rsid w:val="008C36EB"/>
    <w:rsid w:val="008C38B7"/>
    <w:rsid w:val="008C396D"/>
    <w:rsid w:val="008C46B4"/>
    <w:rsid w:val="008C4BC5"/>
    <w:rsid w:val="008C504C"/>
    <w:rsid w:val="008C523A"/>
    <w:rsid w:val="008C55FC"/>
    <w:rsid w:val="008C5749"/>
    <w:rsid w:val="008C756F"/>
    <w:rsid w:val="008C7732"/>
    <w:rsid w:val="008D074A"/>
    <w:rsid w:val="008D094E"/>
    <w:rsid w:val="008D0DC0"/>
    <w:rsid w:val="008D0DC5"/>
    <w:rsid w:val="008D1B4A"/>
    <w:rsid w:val="008D2D2B"/>
    <w:rsid w:val="008D2EC2"/>
    <w:rsid w:val="008D3301"/>
    <w:rsid w:val="008D33D7"/>
    <w:rsid w:val="008D37D2"/>
    <w:rsid w:val="008D380A"/>
    <w:rsid w:val="008D4B62"/>
    <w:rsid w:val="008D5C81"/>
    <w:rsid w:val="008D6097"/>
    <w:rsid w:val="008D6949"/>
    <w:rsid w:val="008D7775"/>
    <w:rsid w:val="008E2506"/>
    <w:rsid w:val="008E2817"/>
    <w:rsid w:val="008E2F93"/>
    <w:rsid w:val="008E2FC7"/>
    <w:rsid w:val="008E3DC3"/>
    <w:rsid w:val="008E3FA8"/>
    <w:rsid w:val="008E428C"/>
    <w:rsid w:val="008E451D"/>
    <w:rsid w:val="008E5191"/>
    <w:rsid w:val="008E5D86"/>
    <w:rsid w:val="008E6232"/>
    <w:rsid w:val="008E72F0"/>
    <w:rsid w:val="008E7628"/>
    <w:rsid w:val="008E788C"/>
    <w:rsid w:val="008F1A77"/>
    <w:rsid w:val="008F1C71"/>
    <w:rsid w:val="008F3F99"/>
    <w:rsid w:val="008F4001"/>
    <w:rsid w:val="008F4ADC"/>
    <w:rsid w:val="008F4CD0"/>
    <w:rsid w:val="008F5146"/>
    <w:rsid w:val="008F5276"/>
    <w:rsid w:val="008F5D18"/>
    <w:rsid w:val="008F69DE"/>
    <w:rsid w:val="0090052A"/>
    <w:rsid w:val="00900B59"/>
    <w:rsid w:val="0090154C"/>
    <w:rsid w:val="00901B8B"/>
    <w:rsid w:val="0090219F"/>
    <w:rsid w:val="009035E4"/>
    <w:rsid w:val="00903B4B"/>
    <w:rsid w:val="00903D9C"/>
    <w:rsid w:val="009043B2"/>
    <w:rsid w:val="00905974"/>
    <w:rsid w:val="00906437"/>
    <w:rsid w:val="0090655F"/>
    <w:rsid w:val="009073DA"/>
    <w:rsid w:val="00907A4A"/>
    <w:rsid w:val="00910481"/>
    <w:rsid w:val="00910CB1"/>
    <w:rsid w:val="00910D72"/>
    <w:rsid w:val="00911200"/>
    <w:rsid w:val="00911DF5"/>
    <w:rsid w:val="009126E4"/>
    <w:rsid w:val="00913437"/>
    <w:rsid w:val="00913EC8"/>
    <w:rsid w:val="009146A9"/>
    <w:rsid w:val="00914DA1"/>
    <w:rsid w:val="009154C9"/>
    <w:rsid w:val="00915B93"/>
    <w:rsid w:val="00915DB4"/>
    <w:rsid w:val="009163BE"/>
    <w:rsid w:val="00916487"/>
    <w:rsid w:val="0091669D"/>
    <w:rsid w:val="00916ED1"/>
    <w:rsid w:val="009170A8"/>
    <w:rsid w:val="00917390"/>
    <w:rsid w:val="009206A4"/>
    <w:rsid w:val="009210F3"/>
    <w:rsid w:val="009218E2"/>
    <w:rsid w:val="00921D22"/>
    <w:rsid w:val="009226B2"/>
    <w:rsid w:val="00923C1A"/>
    <w:rsid w:val="0092514E"/>
    <w:rsid w:val="0092530E"/>
    <w:rsid w:val="00925388"/>
    <w:rsid w:val="00925796"/>
    <w:rsid w:val="00925E80"/>
    <w:rsid w:val="009265DE"/>
    <w:rsid w:val="00926B1A"/>
    <w:rsid w:val="00927D53"/>
    <w:rsid w:val="00927D5C"/>
    <w:rsid w:val="00932215"/>
    <w:rsid w:val="00932F0E"/>
    <w:rsid w:val="00933215"/>
    <w:rsid w:val="009338C7"/>
    <w:rsid w:val="00933995"/>
    <w:rsid w:val="009339D9"/>
    <w:rsid w:val="00934239"/>
    <w:rsid w:val="00934AA4"/>
    <w:rsid w:val="00935118"/>
    <w:rsid w:val="0093577D"/>
    <w:rsid w:val="00935897"/>
    <w:rsid w:val="0093596A"/>
    <w:rsid w:val="00935ADA"/>
    <w:rsid w:val="00935C2C"/>
    <w:rsid w:val="00935FF7"/>
    <w:rsid w:val="0093610E"/>
    <w:rsid w:val="009376DE"/>
    <w:rsid w:val="009379F1"/>
    <w:rsid w:val="00937D48"/>
    <w:rsid w:val="00940001"/>
    <w:rsid w:val="00940BCA"/>
    <w:rsid w:val="00941262"/>
    <w:rsid w:val="00941FE4"/>
    <w:rsid w:val="00944658"/>
    <w:rsid w:val="0094495D"/>
    <w:rsid w:val="00944CF5"/>
    <w:rsid w:val="0094568D"/>
    <w:rsid w:val="00945F2F"/>
    <w:rsid w:val="00946337"/>
    <w:rsid w:val="00946CE6"/>
    <w:rsid w:val="0094721A"/>
    <w:rsid w:val="0094785E"/>
    <w:rsid w:val="009478F5"/>
    <w:rsid w:val="00947990"/>
    <w:rsid w:val="00947C23"/>
    <w:rsid w:val="00950470"/>
    <w:rsid w:val="00950CA6"/>
    <w:rsid w:val="0095172B"/>
    <w:rsid w:val="009517A7"/>
    <w:rsid w:val="00952CD1"/>
    <w:rsid w:val="00952EDC"/>
    <w:rsid w:val="00953226"/>
    <w:rsid w:val="00953FFD"/>
    <w:rsid w:val="00954407"/>
    <w:rsid w:val="009546A9"/>
    <w:rsid w:val="009546B2"/>
    <w:rsid w:val="00956652"/>
    <w:rsid w:val="009566C0"/>
    <w:rsid w:val="009567E5"/>
    <w:rsid w:val="009570AB"/>
    <w:rsid w:val="00957E1C"/>
    <w:rsid w:val="0096030F"/>
    <w:rsid w:val="00960694"/>
    <w:rsid w:val="00960927"/>
    <w:rsid w:val="0096095F"/>
    <w:rsid w:val="009610A5"/>
    <w:rsid w:val="009612E4"/>
    <w:rsid w:val="00961568"/>
    <w:rsid w:val="00961CDA"/>
    <w:rsid w:val="00962479"/>
    <w:rsid w:val="009627B5"/>
    <w:rsid w:val="00962ABA"/>
    <w:rsid w:val="00962F6F"/>
    <w:rsid w:val="00963516"/>
    <w:rsid w:val="00963A65"/>
    <w:rsid w:val="00963BE9"/>
    <w:rsid w:val="00964E29"/>
    <w:rsid w:val="009659EB"/>
    <w:rsid w:val="00965A1F"/>
    <w:rsid w:val="00965B28"/>
    <w:rsid w:val="009665E0"/>
    <w:rsid w:val="00967142"/>
    <w:rsid w:val="009671D0"/>
    <w:rsid w:val="00970FF1"/>
    <w:rsid w:val="009722B3"/>
    <w:rsid w:val="009724E8"/>
    <w:rsid w:val="009732FA"/>
    <w:rsid w:val="00973BF6"/>
    <w:rsid w:val="00973C06"/>
    <w:rsid w:val="009751C8"/>
    <w:rsid w:val="00976893"/>
    <w:rsid w:val="009778AC"/>
    <w:rsid w:val="009778BF"/>
    <w:rsid w:val="00977B56"/>
    <w:rsid w:val="009806AD"/>
    <w:rsid w:val="009811E9"/>
    <w:rsid w:val="00981C53"/>
    <w:rsid w:val="0098244D"/>
    <w:rsid w:val="009835DF"/>
    <w:rsid w:val="00983EE4"/>
    <w:rsid w:val="00983F67"/>
    <w:rsid w:val="009842FA"/>
    <w:rsid w:val="009843D0"/>
    <w:rsid w:val="00984C90"/>
    <w:rsid w:val="009855CC"/>
    <w:rsid w:val="00985901"/>
    <w:rsid w:val="00986408"/>
    <w:rsid w:val="00986F5A"/>
    <w:rsid w:val="0098718F"/>
    <w:rsid w:val="009902A2"/>
    <w:rsid w:val="009931C4"/>
    <w:rsid w:val="009943E7"/>
    <w:rsid w:val="0099468C"/>
    <w:rsid w:val="00996BD9"/>
    <w:rsid w:val="00996BEC"/>
    <w:rsid w:val="00996C78"/>
    <w:rsid w:val="009971CC"/>
    <w:rsid w:val="00997B93"/>
    <w:rsid w:val="009A0158"/>
    <w:rsid w:val="009A0891"/>
    <w:rsid w:val="009A0B44"/>
    <w:rsid w:val="009A0BDB"/>
    <w:rsid w:val="009A0CF1"/>
    <w:rsid w:val="009A17DB"/>
    <w:rsid w:val="009A1AC6"/>
    <w:rsid w:val="009A1FD1"/>
    <w:rsid w:val="009A2448"/>
    <w:rsid w:val="009A2B62"/>
    <w:rsid w:val="009A3601"/>
    <w:rsid w:val="009A37EF"/>
    <w:rsid w:val="009A4C89"/>
    <w:rsid w:val="009A556A"/>
    <w:rsid w:val="009A573E"/>
    <w:rsid w:val="009A5773"/>
    <w:rsid w:val="009A5C21"/>
    <w:rsid w:val="009A638E"/>
    <w:rsid w:val="009A6F25"/>
    <w:rsid w:val="009A79CE"/>
    <w:rsid w:val="009A7B0E"/>
    <w:rsid w:val="009B04D7"/>
    <w:rsid w:val="009B0DC5"/>
    <w:rsid w:val="009B114C"/>
    <w:rsid w:val="009B15CE"/>
    <w:rsid w:val="009B1C43"/>
    <w:rsid w:val="009B21A5"/>
    <w:rsid w:val="009B2CE5"/>
    <w:rsid w:val="009B2D58"/>
    <w:rsid w:val="009B356A"/>
    <w:rsid w:val="009B399B"/>
    <w:rsid w:val="009B42C7"/>
    <w:rsid w:val="009B4C12"/>
    <w:rsid w:val="009B5281"/>
    <w:rsid w:val="009B54F7"/>
    <w:rsid w:val="009B5F93"/>
    <w:rsid w:val="009B6129"/>
    <w:rsid w:val="009B67CC"/>
    <w:rsid w:val="009B6872"/>
    <w:rsid w:val="009C0AA3"/>
    <w:rsid w:val="009C104D"/>
    <w:rsid w:val="009C1A0F"/>
    <w:rsid w:val="009C1EA1"/>
    <w:rsid w:val="009C2A40"/>
    <w:rsid w:val="009C2B5F"/>
    <w:rsid w:val="009C31DB"/>
    <w:rsid w:val="009C3206"/>
    <w:rsid w:val="009C3B0E"/>
    <w:rsid w:val="009C3EBD"/>
    <w:rsid w:val="009C4774"/>
    <w:rsid w:val="009C4A93"/>
    <w:rsid w:val="009C4E22"/>
    <w:rsid w:val="009C5BB4"/>
    <w:rsid w:val="009C5C76"/>
    <w:rsid w:val="009C60F6"/>
    <w:rsid w:val="009D0AE1"/>
    <w:rsid w:val="009D0D75"/>
    <w:rsid w:val="009D1304"/>
    <w:rsid w:val="009D19C1"/>
    <w:rsid w:val="009D1A7D"/>
    <w:rsid w:val="009D2891"/>
    <w:rsid w:val="009D2A4E"/>
    <w:rsid w:val="009D3FDA"/>
    <w:rsid w:val="009D55DD"/>
    <w:rsid w:val="009D6227"/>
    <w:rsid w:val="009D6351"/>
    <w:rsid w:val="009D683E"/>
    <w:rsid w:val="009D6B7A"/>
    <w:rsid w:val="009D6C37"/>
    <w:rsid w:val="009D6C7C"/>
    <w:rsid w:val="009D725A"/>
    <w:rsid w:val="009D7B52"/>
    <w:rsid w:val="009E0B7B"/>
    <w:rsid w:val="009E1449"/>
    <w:rsid w:val="009E19B7"/>
    <w:rsid w:val="009E2E0A"/>
    <w:rsid w:val="009E485D"/>
    <w:rsid w:val="009E4AAE"/>
    <w:rsid w:val="009E5AA7"/>
    <w:rsid w:val="009E5EFF"/>
    <w:rsid w:val="009E786F"/>
    <w:rsid w:val="009E7D01"/>
    <w:rsid w:val="009F17C2"/>
    <w:rsid w:val="009F1A47"/>
    <w:rsid w:val="009F1FF8"/>
    <w:rsid w:val="009F24AD"/>
    <w:rsid w:val="009F51CC"/>
    <w:rsid w:val="009F6423"/>
    <w:rsid w:val="009F6A1E"/>
    <w:rsid w:val="009F7070"/>
    <w:rsid w:val="009F72AF"/>
    <w:rsid w:val="009F7FED"/>
    <w:rsid w:val="00A00F0C"/>
    <w:rsid w:val="00A01057"/>
    <w:rsid w:val="00A018BD"/>
    <w:rsid w:val="00A022D0"/>
    <w:rsid w:val="00A02373"/>
    <w:rsid w:val="00A0272C"/>
    <w:rsid w:val="00A027AE"/>
    <w:rsid w:val="00A02D85"/>
    <w:rsid w:val="00A04F0D"/>
    <w:rsid w:val="00A05C8F"/>
    <w:rsid w:val="00A07B13"/>
    <w:rsid w:val="00A07BAA"/>
    <w:rsid w:val="00A10E42"/>
    <w:rsid w:val="00A11182"/>
    <w:rsid w:val="00A1170F"/>
    <w:rsid w:val="00A11749"/>
    <w:rsid w:val="00A11E22"/>
    <w:rsid w:val="00A12735"/>
    <w:rsid w:val="00A130B1"/>
    <w:rsid w:val="00A132C2"/>
    <w:rsid w:val="00A133DD"/>
    <w:rsid w:val="00A13EC8"/>
    <w:rsid w:val="00A13F10"/>
    <w:rsid w:val="00A13FEA"/>
    <w:rsid w:val="00A1423B"/>
    <w:rsid w:val="00A150BF"/>
    <w:rsid w:val="00A153CC"/>
    <w:rsid w:val="00A154DE"/>
    <w:rsid w:val="00A163C2"/>
    <w:rsid w:val="00A16410"/>
    <w:rsid w:val="00A1647A"/>
    <w:rsid w:val="00A16CCF"/>
    <w:rsid w:val="00A20328"/>
    <w:rsid w:val="00A2085B"/>
    <w:rsid w:val="00A20A71"/>
    <w:rsid w:val="00A22915"/>
    <w:rsid w:val="00A22E10"/>
    <w:rsid w:val="00A23D2F"/>
    <w:rsid w:val="00A24B65"/>
    <w:rsid w:val="00A24EF3"/>
    <w:rsid w:val="00A24F51"/>
    <w:rsid w:val="00A25170"/>
    <w:rsid w:val="00A2557C"/>
    <w:rsid w:val="00A26B17"/>
    <w:rsid w:val="00A270DA"/>
    <w:rsid w:val="00A27B6F"/>
    <w:rsid w:val="00A27ECB"/>
    <w:rsid w:val="00A30F3E"/>
    <w:rsid w:val="00A31A9F"/>
    <w:rsid w:val="00A327C3"/>
    <w:rsid w:val="00A33810"/>
    <w:rsid w:val="00A3400F"/>
    <w:rsid w:val="00A3423D"/>
    <w:rsid w:val="00A3590B"/>
    <w:rsid w:val="00A35B96"/>
    <w:rsid w:val="00A35CDF"/>
    <w:rsid w:val="00A36294"/>
    <w:rsid w:val="00A36F0D"/>
    <w:rsid w:val="00A37E19"/>
    <w:rsid w:val="00A40460"/>
    <w:rsid w:val="00A40F13"/>
    <w:rsid w:val="00A41857"/>
    <w:rsid w:val="00A41885"/>
    <w:rsid w:val="00A41BF7"/>
    <w:rsid w:val="00A4221E"/>
    <w:rsid w:val="00A42655"/>
    <w:rsid w:val="00A42E82"/>
    <w:rsid w:val="00A42EA8"/>
    <w:rsid w:val="00A43860"/>
    <w:rsid w:val="00A4444A"/>
    <w:rsid w:val="00A44838"/>
    <w:rsid w:val="00A45E6C"/>
    <w:rsid w:val="00A46C66"/>
    <w:rsid w:val="00A46FC7"/>
    <w:rsid w:val="00A47361"/>
    <w:rsid w:val="00A4751D"/>
    <w:rsid w:val="00A5090B"/>
    <w:rsid w:val="00A50F0D"/>
    <w:rsid w:val="00A515CB"/>
    <w:rsid w:val="00A51DF8"/>
    <w:rsid w:val="00A51F86"/>
    <w:rsid w:val="00A54006"/>
    <w:rsid w:val="00A549CD"/>
    <w:rsid w:val="00A55735"/>
    <w:rsid w:val="00A5686F"/>
    <w:rsid w:val="00A57376"/>
    <w:rsid w:val="00A574CB"/>
    <w:rsid w:val="00A5793B"/>
    <w:rsid w:val="00A57BAE"/>
    <w:rsid w:val="00A57C40"/>
    <w:rsid w:val="00A603B3"/>
    <w:rsid w:val="00A60E6D"/>
    <w:rsid w:val="00A61A71"/>
    <w:rsid w:val="00A621F3"/>
    <w:rsid w:val="00A629CC"/>
    <w:rsid w:val="00A63A03"/>
    <w:rsid w:val="00A63CD6"/>
    <w:rsid w:val="00A64974"/>
    <w:rsid w:val="00A64AB3"/>
    <w:rsid w:val="00A652EA"/>
    <w:rsid w:val="00A6599D"/>
    <w:rsid w:val="00A66E34"/>
    <w:rsid w:val="00A670D6"/>
    <w:rsid w:val="00A671F1"/>
    <w:rsid w:val="00A674FF"/>
    <w:rsid w:val="00A67706"/>
    <w:rsid w:val="00A711AF"/>
    <w:rsid w:val="00A711EF"/>
    <w:rsid w:val="00A71243"/>
    <w:rsid w:val="00A713D3"/>
    <w:rsid w:val="00A71A2F"/>
    <w:rsid w:val="00A71CBD"/>
    <w:rsid w:val="00A7258E"/>
    <w:rsid w:val="00A72BE3"/>
    <w:rsid w:val="00A73E9B"/>
    <w:rsid w:val="00A744A8"/>
    <w:rsid w:val="00A744C8"/>
    <w:rsid w:val="00A75498"/>
    <w:rsid w:val="00A757A7"/>
    <w:rsid w:val="00A75E45"/>
    <w:rsid w:val="00A75F56"/>
    <w:rsid w:val="00A75F95"/>
    <w:rsid w:val="00A76051"/>
    <w:rsid w:val="00A762B6"/>
    <w:rsid w:val="00A768B2"/>
    <w:rsid w:val="00A77658"/>
    <w:rsid w:val="00A77A71"/>
    <w:rsid w:val="00A8068C"/>
    <w:rsid w:val="00A8191C"/>
    <w:rsid w:val="00A81DB3"/>
    <w:rsid w:val="00A82385"/>
    <w:rsid w:val="00A82478"/>
    <w:rsid w:val="00A8300C"/>
    <w:rsid w:val="00A83762"/>
    <w:rsid w:val="00A838E1"/>
    <w:rsid w:val="00A85804"/>
    <w:rsid w:val="00A862A3"/>
    <w:rsid w:val="00A902BA"/>
    <w:rsid w:val="00A91037"/>
    <w:rsid w:val="00A92551"/>
    <w:rsid w:val="00A935AA"/>
    <w:rsid w:val="00A94A56"/>
    <w:rsid w:val="00A94AE9"/>
    <w:rsid w:val="00A9500F"/>
    <w:rsid w:val="00A96A86"/>
    <w:rsid w:val="00A96F09"/>
    <w:rsid w:val="00A97D2C"/>
    <w:rsid w:val="00AA013B"/>
    <w:rsid w:val="00AA088C"/>
    <w:rsid w:val="00AA1795"/>
    <w:rsid w:val="00AA19DD"/>
    <w:rsid w:val="00AB20D5"/>
    <w:rsid w:val="00AB2349"/>
    <w:rsid w:val="00AB289F"/>
    <w:rsid w:val="00AB33A7"/>
    <w:rsid w:val="00AB425F"/>
    <w:rsid w:val="00AB44F9"/>
    <w:rsid w:val="00AB454A"/>
    <w:rsid w:val="00AB55E3"/>
    <w:rsid w:val="00AB66D7"/>
    <w:rsid w:val="00AB6FC1"/>
    <w:rsid w:val="00AB714B"/>
    <w:rsid w:val="00AB7764"/>
    <w:rsid w:val="00AB7A51"/>
    <w:rsid w:val="00AB7BA2"/>
    <w:rsid w:val="00AC0815"/>
    <w:rsid w:val="00AC0B17"/>
    <w:rsid w:val="00AC1A7E"/>
    <w:rsid w:val="00AC24CD"/>
    <w:rsid w:val="00AC2EED"/>
    <w:rsid w:val="00AC2FE1"/>
    <w:rsid w:val="00AC33DC"/>
    <w:rsid w:val="00AC35E1"/>
    <w:rsid w:val="00AC503A"/>
    <w:rsid w:val="00AC54F7"/>
    <w:rsid w:val="00AC6209"/>
    <w:rsid w:val="00AC741A"/>
    <w:rsid w:val="00AD0291"/>
    <w:rsid w:val="00AD0A79"/>
    <w:rsid w:val="00AD0B48"/>
    <w:rsid w:val="00AD1422"/>
    <w:rsid w:val="00AD230C"/>
    <w:rsid w:val="00AD24DF"/>
    <w:rsid w:val="00AD294F"/>
    <w:rsid w:val="00AD2B9B"/>
    <w:rsid w:val="00AD2FAB"/>
    <w:rsid w:val="00AD4094"/>
    <w:rsid w:val="00AD4476"/>
    <w:rsid w:val="00AD4EF7"/>
    <w:rsid w:val="00AD50CE"/>
    <w:rsid w:val="00AD55F0"/>
    <w:rsid w:val="00AD575C"/>
    <w:rsid w:val="00AD5FA9"/>
    <w:rsid w:val="00AD6169"/>
    <w:rsid w:val="00AD65DF"/>
    <w:rsid w:val="00AD6A1C"/>
    <w:rsid w:val="00AD6A59"/>
    <w:rsid w:val="00AD6AE2"/>
    <w:rsid w:val="00AD6B18"/>
    <w:rsid w:val="00AD7F91"/>
    <w:rsid w:val="00AE0D2F"/>
    <w:rsid w:val="00AE0EEA"/>
    <w:rsid w:val="00AE1314"/>
    <w:rsid w:val="00AE1741"/>
    <w:rsid w:val="00AE19A6"/>
    <w:rsid w:val="00AE2041"/>
    <w:rsid w:val="00AE2B86"/>
    <w:rsid w:val="00AE3103"/>
    <w:rsid w:val="00AE4197"/>
    <w:rsid w:val="00AE428C"/>
    <w:rsid w:val="00AE43C8"/>
    <w:rsid w:val="00AE4411"/>
    <w:rsid w:val="00AE48EE"/>
    <w:rsid w:val="00AE4AA0"/>
    <w:rsid w:val="00AE4D86"/>
    <w:rsid w:val="00AE5383"/>
    <w:rsid w:val="00AF1581"/>
    <w:rsid w:val="00AF2A64"/>
    <w:rsid w:val="00AF2C8C"/>
    <w:rsid w:val="00AF3FA2"/>
    <w:rsid w:val="00AF40DE"/>
    <w:rsid w:val="00AF493E"/>
    <w:rsid w:val="00AF6190"/>
    <w:rsid w:val="00AF6A12"/>
    <w:rsid w:val="00AF6D14"/>
    <w:rsid w:val="00AF7963"/>
    <w:rsid w:val="00AF7D6C"/>
    <w:rsid w:val="00B000FD"/>
    <w:rsid w:val="00B00ADE"/>
    <w:rsid w:val="00B01FA5"/>
    <w:rsid w:val="00B03C23"/>
    <w:rsid w:val="00B0401D"/>
    <w:rsid w:val="00B0519F"/>
    <w:rsid w:val="00B0545A"/>
    <w:rsid w:val="00B0593D"/>
    <w:rsid w:val="00B05B4D"/>
    <w:rsid w:val="00B05BDA"/>
    <w:rsid w:val="00B06F69"/>
    <w:rsid w:val="00B07663"/>
    <w:rsid w:val="00B10061"/>
    <w:rsid w:val="00B10B1B"/>
    <w:rsid w:val="00B12063"/>
    <w:rsid w:val="00B128BC"/>
    <w:rsid w:val="00B12A50"/>
    <w:rsid w:val="00B12E26"/>
    <w:rsid w:val="00B13227"/>
    <w:rsid w:val="00B13542"/>
    <w:rsid w:val="00B14F01"/>
    <w:rsid w:val="00B1509E"/>
    <w:rsid w:val="00B15348"/>
    <w:rsid w:val="00B161A1"/>
    <w:rsid w:val="00B164ED"/>
    <w:rsid w:val="00B168D7"/>
    <w:rsid w:val="00B17A73"/>
    <w:rsid w:val="00B2032C"/>
    <w:rsid w:val="00B211B2"/>
    <w:rsid w:val="00B212B9"/>
    <w:rsid w:val="00B22BFF"/>
    <w:rsid w:val="00B2430D"/>
    <w:rsid w:val="00B2569B"/>
    <w:rsid w:val="00B268DD"/>
    <w:rsid w:val="00B26E0B"/>
    <w:rsid w:val="00B27941"/>
    <w:rsid w:val="00B3040B"/>
    <w:rsid w:val="00B305D0"/>
    <w:rsid w:val="00B31503"/>
    <w:rsid w:val="00B31F5E"/>
    <w:rsid w:val="00B32405"/>
    <w:rsid w:val="00B32A75"/>
    <w:rsid w:val="00B32FC3"/>
    <w:rsid w:val="00B3359A"/>
    <w:rsid w:val="00B33887"/>
    <w:rsid w:val="00B33CB9"/>
    <w:rsid w:val="00B33E61"/>
    <w:rsid w:val="00B3462E"/>
    <w:rsid w:val="00B34694"/>
    <w:rsid w:val="00B35921"/>
    <w:rsid w:val="00B36262"/>
    <w:rsid w:val="00B36ADC"/>
    <w:rsid w:val="00B37A04"/>
    <w:rsid w:val="00B4004E"/>
    <w:rsid w:val="00B40740"/>
    <w:rsid w:val="00B40CAD"/>
    <w:rsid w:val="00B41134"/>
    <w:rsid w:val="00B418E3"/>
    <w:rsid w:val="00B41C18"/>
    <w:rsid w:val="00B4416C"/>
    <w:rsid w:val="00B4423A"/>
    <w:rsid w:val="00B4482E"/>
    <w:rsid w:val="00B457DF"/>
    <w:rsid w:val="00B458CF"/>
    <w:rsid w:val="00B45D1B"/>
    <w:rsid w:val="00B45DDF"/>
    <w:rsid w:val="00B45FF6"/>
    <w:rsid w:val="00B460ED"/>
    <w:rsid w:val="00B464C1"/>
    <w:rsid w:val="00B476BE"/>
    <w:rsid w:val="00B47B2D"/>
    <w:rsid w:val="00B50943"/>
    <w:rsid w:val="00B5137C"/>
    <w:rsid w:val="00B51A88"/>
    <w:rsid w:val="00B520FE"/>
    <w:rsid w:val="00B522D8"/>
    <w:rsid w:val="00B52898"/>
    <w:rsid w:val="00B52F68"/>
    <w:rsid w:val="00B545A8"/>
    <w:rsid w:val="00B5462C"/>
    <w:rsid w:val="00B54813"/>
    <w:rsid w:val="00B550C1"/>
    <w:rsid w:val="00B55F45"/>
    <w:rsid w:val="00B56017"/>
    <w:rsid w:val="00B56735"/>
    <w:rsid w:val="00B56BB0"/>
    <w:rsid w:val="00B56D9E"/>
    <w:rsid w:val="00B56E62"/>
    <w:rsid w:val="00B60844"/>
    <w:rsid w:val="00B60F96"/>
    <w:rsid w:val="00B61A3F"/>
    <w:rsid w:val="00B631B5"/>
    <w:rsid w:val="00B633EF"/>
    <w:rsid w:val="00B634CE"/>
    <w:rsid w:val="00B63F31"/>
    <w:rsid w:val="00B6475E"/>
    <w:rsid w:val="00B647D0"/>
    <w:rsid w:val="00B64CBA"/>
    <w:rsid w:val="00B6559D"/>
    <w:rsid w:val="00B663CB"/>
    <w:rsid w:val="00B66512"/>
    <w:rsid w:val="00B67607"/>
    <w:rsid w:val="00B6776B"/>
    <w:rsid w:val="00B701F6"/>
    <w:rsid w:val="00B70A66"/>
    <w:rsid w:val="00B70A7D"/>
    <w:rsid w:val="00B70BCA"/>
    <w:rsid w:val="00B70CA9"/>
    <w:rsid w:val="00B70CBC"/>
    <w:rsid w:val="00B70EBD"/>
    <w:rsid w:val="00B71FDB"/>
    <w:rsid w:val="00B723F2"/>
    <w:rsid w:val="00B72434"/>
    <w:rsid w:val="00B72C60"/>
    <w:rsid w:val="00B73D4C"/>
    <w:rsid w:val="00B74035"/>
    <w:rsid w:val="00B74D0B"/>
    <w:rsid w:val="00B74F8E"/>
    <w:rsid w:val="00B75789"/>
    <w:rsid w:val="00B7674C"/>
    <w:rsid w:val="00B77FA8"/>
    <w:rsid w:val="00B8006E"/>
    <w:rsid w:val="00B80085"/>
    <w:rsid w:val="00B800DC"/>
    <w:rsid w:val="00B80495"/>
    <w:rsid w:val="00B8169D"/>
    <w:rsid w:val="00B82D8F"/>
    <w:rsid w:val="00B83389"/>
    <w:rsid w:val="00B83E3D"/>
    <w:rsid w:val="00B854AB"/>
    <w:rsid w:val="00B85B78"/>
    <w:rsid w:val="00B86350"/>
    <w:rsid w:val="00B86565"/>
    <w:rsid w:val="00B86BFD"/>
    <w:rsid w:val="00B86DE4"/>
    <w:rsid w:val="00B87187"/>
    <w:rsid w:val="00B87639"/>
    <w:rsid w:val="00B87D75"/>
    <w:rsid w:val="00B90F8D"/>
    <w:rsid w:val="00B9118A"/>
    <w:rsid w:val="00B91D9A"/>
    <w:rsid w:val="00B9256F"/>
    <w:rsid w:val="00B94017"/>
    <w:rsid w:val="00B9460B"/>
    <w:rsid w:val="00B948B2"/>
    <w:rsid w:val="00B9494A"/>
    <w:rsid w:val="00B94B11"/>
    <w:rsid w:val="00B951B9"/>
    <w:rsid w:val="00B956A6"/>
    <w:rsid w:val="00B956C8"/>
    <w:rsid w:val="00B957B2"/>
    <w:rsid w:val="00B961BC"/>
    <w:rsid w:val="00B9629D"/>
    <w:rsid w:val="00B964EE"/>
    <w:rsid w:val="00B9662F"/>
    <w:rsid w:val="00B96FE6"/>
    <w:rsid w:val="00B97A06"/>
    <w:rsid w:val="00BA0032"/>
    <w:rsid w:val="00BA03D5"/>
    <w:rsid w:val="00BA16C5"/>
    <w:rsid w:val="00BA20AB"/>
    <w:rsid w:val="00BA3F4A"/>
    <w:rsid w:val="00BA4102"/>
    <w:rsid w:val="00BA4DD3"/>
    <w:rsid w:val="00BA5A78"/>
    <w:rsid w:val="00BA5D1F"/>
    <w:rsid w:val="00BA6396"/>
    <w:rsid w:val="00BA6415"/>
    <w:rsid w:val="00BA6E38"/>
    <w:rsid w:val="00BA7002"/>
    <w:rsid w:val="00BA75D9"/>
    <w:rsid w:val="00BA7BD0"/>
    <w:rsid w:val="00BA7F51"/>
    <w:rsid w:val="00BB03F0"/>
    <w:rsid w:val="00BB07A0"/>
    <w:rsid w:val="00BB0CF7"/>
    <w:rsid w:val="00BB1297"/>
    <w:rsid w:val="00BB1485"/>
    <w:rsid w:val="00BB1A8D"/>
    <w:rsid w:val="00BB1D99"/>
    <w:rsid w:val="00BB35F1"/>
    <w:rsid w:val="00BB362D"/>
    <w:rsid w:val="00BB41B8"/>
    <w:rsid w:val="00BB42FD"/>
    <w:rsid w:val="00BB4D12"/>
    <w:rsid w:val="00BB5CF4"/>
    <w:rsid w:val="00BB6034"/>
    <w:rsid w:val="00BB7C39"/>
    <w:rsid w:val="00BC0DB6"/>
    <w:rsid w:val="00BC0F28"/>
    <w:rsid w:val="00BC1A3F"/>
    <w:rsid w:val="00BC1E18"/>
    <w:rsid w:val="00BC1F64"/>
    <w:rsid w:val="00BC1FB2"/>
    <w:rsid w:val="00BC2127"/>
    <w:rsid w:val="00BC2424"/>
    <w:rsid w:val="00BC31A5"/>
    <w:rsid w:val="00BC35E5"/>
    <w:rsid w:val="00BC3A60"/>
    <w:rsid w:val="00BC4D33"/>
    <w:rsid w:val="00BC59FA"/>
    <w:rsid w:val="00BC5BE7"/>
    <w:rsid w:val="00BC633B"/>
    <w:rsid w:val="00BC6716"/>
    <w:rsid w:val="00BD083B"/>
    <w:rsid w:val="00BD098F"/>
    <w:rsid w:val="00BD18E4"/>
    <w:rsid w:val="00BD1D6A"/>
    <w:rsid w:val="00BD245C"/>
    <w:rsid w:val="00BD266E"/>
    <w:rsid w:val="00BD271A"/>
    <w:rsid w:val="00BD2C1D"/>
    <w:rsid w:val="00BD2C84"/>
    <w:rsid w:val="00BD35A9"/>
    <w:rsid w:val="00BD42F5"/>
    <w:rsid w:val="00BD5336"/>
    <w:rsid w:val="00BD561C"/>
    <w:rsid w:val="00BD6909"/>
    <w:rsid w:val="00BD7348"/>
    <w:rsid w:val="00BD7B88"/>
    <w:rsid w:val="00BD7DB0"/>
    <w:rsid w:val="00BE05D9"/>
    <w:rsid w:val="00BE0A82"/>
    <w:rsid w:val="00BE191D"/>
    <w:rsid w:val="00BE217A"/>
    <w:rsid w:val="00BE31B0"/>
    <w:rsid w:val="00BE36DE"/>
    <w:rsid w:val="00BE3C33"/>
    <w:rsid w:val="00BE4D67"/>
    <w:rsid w:val="00BE5BFF"/>
    <w:rsid w:val="00BE72EF"/>
    <w:rsid w:val="00BE78DD"/>
    <w:rsid w:val="00BE792D"/>
    <w:rsid w:val="00BE7A18"/>
    <w:rsid w:val="00BE7BAC"/>
    <w:rsid w:val="00BF0307"/>
    <w:rsid w:val="00BF0E3E"/>
    <w:rsid w:val="00BF100C"/>
    <w:rsid w:val="00BF1528"/>
    <w:rsid w:val="00BF29F1"/>
    <w:rsid w:val="00BF2DE9"/>
    <w:rsid w:val="00BF3D74"/>
    <w:rsid w:val="00BF4760"/>
    <w:rsid w:val="00BF48DB"/>
    <w:rsid w:val="00BF50F4"/>
    <w:rsid w:val="00BF5B8D"/>
    <w:rsid w:val="00BF5DFC"/>
    <w:rsid w:val="00BF630D"/>
    <w:rsid w:val="00BF6522"/>
    <w:rsid w:val="00BF6525"/>
    <w:rsid w:val="00BF653C"/>
    <w:rsid w:val="00BF71BC"/>
    <w:rsid w:val="00BF7324"/>
    <w:rsid w:val="00BF7999"/>
    <w:rsid w:val="00C02225"/>
    <w:rsid w:val="00C02781"/>
    <w:rsid w:val="00C02B31"/>
    <w:rsid w:val="00C02E9F"/>
    <w:rsid w:val="00C03361"/>
    <w:rsid w:val="00C037F6"/>
    <w:rsid w:val="00C04A34"/>
    <w:rsid w:val="00C04A5D"/>
    <w:rsid w:val="00C04C44"/>
    <w:rsid w:val="00C04F4A"/>
    <w:rsid w:val="00C0537D"/>
    <w:rsid w:val="00C05584"/>
    <w:rsid w:val="00C07275"/>
    <w:rsid w:val="00C078AD"/>
    <w:rsid w:val="00C07948"/>
    <w:rsid w:val="00C11709"/>
    <w:rsid w:val="00C11AE7"/>
    <w:rsid w:val="00C13F7E"/>
    <w:rsid w:val="00C140F7"/>
    <w:rsid w:val="00C14CE7"/>
    <w:rsid w:val="00C15780"/>
    <w:rsid w:val="00C159DF"/>
    <w:rsid w:val="00C15B3E"/>
    <w:rsid w:val="00C16348"/>
    <w:rsid w:val="00C174E5"/>
    <w:rsid w:val="00C17533"/>
    <w:rsid w:val="00C17C7C"/>
    <w:rsid w:val="00C20778"/>
    <w:rsid w:val="00C20B9E"/>
    <w:rsid w:val="00C20BD4"/>
    <w:rsid w:val="00C222A9"/>
    <w:rsid w:val="00C23733"/>
    <w:rsid w:val="00C23A76"/>
    <w:rsid w:val="00C23E10"/>
    <w:rsid w:val="00C23F30"/>
    <w:rsid w:val="00C24032"/>
    <w:rsid w:val="00C242F2"/>
    <w:rsid w:val="00C253CC"/>
    <w:rsid w:val="00C25CF7"/>
    <w:rsid w:val="00C25FBE"/>
    <w:rsid w:val="00C26028"/>
    <w:rsid w:val="00C26792"/>
    <w:rsid w:val="00C27B65"/>
    <w:rsid w:val="00C3098F"/>
    <w:rsid w:val="00C30BD9"/>
    <w:rsid w:val="00C33673"/>
    <w:rsid w:val="00C3388C"/>
    <w:rsid w:val="00C33DA8"/>
    <w:rsid w:val="00C33EF5"/>
    <w:rsid w:val="00C3488C"/>
    <w:rsid w:val="00C34CF1"/>
    <w:rsid w:val="00C34E22"/>
    <w:rsid w:val="00C368FE"/>
    <w:rsid w:val="00C369AD"/>
    <w:rsid w:val="00C3701E"/>
    <w:rsid w:val="00C373D6"/>
    <w:rsid w:val="00C40DF1"/>
    <w:rsid w:val="00C41D40"/>
    <w:rsid w:val="00C4249E"/>
    <w:rsid w:val="00C42716"/>
    <w:rsid w:val="00C444F2"/>
    <w:rsid w:val="00C462DE"/>
    <w:rsid w:val="00C46BD8"/>
    <w:rsid w:val="00C4774C"/>
    <w:rsid w:val="00C5083A"/>
    <w:rsid w:val="00C5144E"/>
    <w:rsid w:val="00C515C5"/>
    <w:rsid w:val="00C51F0D"/>
    <w:rsid w:val="00C52367"/>
    <w:rsid w:val="00C52384"/>
    <w:rsid w:val="00C527F1"/>
    <w:rsid w:val="00C52FB8"/>
    <w:rsid w:val="00C53C0C"/>
    <w:rsid w:val="00C54D04"/>
    <w:rsid w:val="00C55908"/>
    <w:rsid w:val="00C55CFB"/>
    <w:rsid w:val="00C55D9C"/>
    <w:rsid w:val="00C560C5"/>
    <w:rsid w:val="00C56861"/>
    <w:rsid w:val="00C56BF9"/>
    <w:rsid w:val="00C572C7"/>
    <w:rsid w:val="00C577FA"/>
    <w:rsid w:val="00C61020"/>
    <w:rsid w:val="00C61763"/>
    <w:rsid w:val="00C632C6"/>
    <w:rsid w:val="00C634F5"/>
    <w:rsid w:val="00C63653"/>
    <w:rsid w:val="00C63829"/>
    <w:rsid w:val="00C63B34"/>
    <w:rsid w:val="00C63BEA"/>
    <w:rsid w:val="00C63F6C"/>
    <w:rsid w:val="00C64149"/>
    <w:rsid w:val="00C64695"/>
    <w:rsid w:val="00C65901"/>
    <w:rsid w:val="00C66304"/>
    <w:rsid w:val="00C665C6"/>
    <w:rsid w:val="00C6773D"/>
    <w:rsid w:val="00C678FC"/>
    <w:rsid w:val="00C67AF8"/>
    <w:rsid w:val="00C67C63"/>
    <w:rsid w:val="00C7033F"/>
    <w:rsid w:val="00C7060D"/>
    <w:rsid w:val="00C70BF9"/>
    <w:rsid w:val="00C72083"/>
    <w:rsid w:val="00C723D3"/>
    <w:rsid w:val="00C72933"/>
    <w:rsid w:val="00C737C1"/>
    <w:rsid w:val="00C73C8C"/>
    <w:rsid w:val="00C74579"/>
    <w:rsid w:val="00C74F34"/>
    <w:rsid w:val="00C75497"/>
    <w:rsid w:val="00C754CE"/>
    <w:rsid w:val="00C7579C"/>
    <w:rsid w:val="00C76984"/>
    <w:rsid w:val="00C77C93"/>
    <w:rsid w:val="00C77E7A"/>
    <w:rsid w:val="00C7C349"/>
    <w:rsid w:val="00C815C0"/>
    <w:rsid w:val="00C8174C"/>
    <w:rsid w:val="00C822D7"/>
    <w:rsid w:val="00C82C4E"/>
    <w:rsid w:val="00C8342A"/>
    <w:rsid w:val="00C83518"/>
    <w:rsid w:val="00C835B6"/>
    <w:rsid w:val="00C83A6E"/>
    <w:rsid w:val="00C83F5B"/>
    <w:rsid w:val="00C8532E"/>
    <w:rsid w:val="00C85B14"/>
    <w:rsid w:val="00C85EEE"/>
    <w:rsid w:val="00C865D4"/>
    <w:rsid w:val="00C86643"/>
    <w:rsid w:val="00C86CF2"/>
    <w:rsid w:val="00C870D6"/>
    <w:rsid w:val="00C87139"/>
    <w:rsid w:val="00C8746A"/>
    <w:rsid w:val="00C907E7"/>
    <w:rsid w:val="00C9086E"/>
    <w:rsid w:val="00C91214"/>
    <w:rsid w:val="00C923BE"/>
    <w:rsid w:val="00C93987"/>
    <w:rsid w:val="00C94287"/>
    <w:rsid w:val="00C94959"/>
    <w:rsid w:val="00C94AF4"/>
    <w:rsid w:val="00C94F44"/>
    <w:rsid w:val="00C950C2"/>
    <w:rsid w:val="00C95A20"/>
    <w:rsid w:val="00C95D1A"/>
    <w:rsid w:val="00C96589"/>
    <w:rsid w:val="00C96932"/>
    <w:rsid w:val="00CA0772"/>
    <w:rsid w:val="00CA0984"/>
    <w:rsid w:val="00CA1436"/>
    <w:rsid w:val="00CA1C97"/>
    <w:rsid w:val="00CA1D93"/>
    <w:rsid w:val="00CA3E09"/>
    <w:rsid w:val="00CA3FBF"/>
    <w:rsid w:val="00CA5214"/>
    <w:rsid w:val="00CA579A"/>
    <w:rsid w:val="00CA5F64"/>
    <w:rsid w:val="00CA67D6"/>
    <w:rsid w:val="00CA6A74"/>
    <w:rsid w:val="00CA6B87"/>
    <w:rsid w:val="00CA6BA6"/>
    <w:rsid w:val="00CA6E61"/>
    <w:rsid w:val="00CB0198"/>
    <w:rsid w:val="00CB08FD"/>
    <w:rsid w:val="00CB0BCF"/>
    <w:rsid w:val="00CB0F60"/>
    <w:rsid w:val="00CB22B7"/>
    <w:rsid w:val="00CB2873"/>
    <w:rsid w:val="00CB2B26"/>
    <w:rsid w:val="00CB2FF7"/>
    <w:rsid w:val="00CB3003"/>
    <w:rsid w:val="00CB30B9"/>
    <w:rsid w:val="00CB4C83"/>
    <w:rsid w:val="00CB59E3"/>
    <w:rsid w:val="00CB5DC0"/>
    <w:rsid w:val="00CB7414"/>
    <w:rsid w:val="00CB7936"/>
    <w:rsid w:val="00CB7E21"/>
    <w:rsid w:val="00CC0710"/>
    <w:rsid w:val="00CC0A0F"/>
    <w:rsid w:val="00CC0F5A"/>
    <w:rsid w:val="00CC1161"/>
    <w:rsid w:val="00CC31EE"/>
    <w:rsid w:val="00CC5F38"/>
    <w:rsid w:val="00CC6DC9"/>
    <w:rsid w:val="00CC71FD"/>
    <w:rsid w:val="00CD040C"/>
    <w:rsid w:val="00CD040D"/>
    <w:rsid w:val="00CD06DA"/>
    <w:rsid w:val="00CD0C49"/>
    <w:rsid w:val="00CD217D"/>
    <w:rsid w:val="00CD39B1"/>
    <w:rsid w:val="00CD3F79"/>
    <w:rsid w:val="00CD4B73"/>
    <w:rsid w:val="00CD55AD"/>
    <w:rsid w:val="00CD5AB3"/>
    <w:rsid w:val="00CD5AFB"/>
    <w:rsid w:val="00CD62C5"/>
    <w:rsid w:val="00CD6541"/>
    <w:rsid w:val="00CD675A"/>
    <w:rsid w:val="00CE007D"/>
    <w:rsid w:val="00CE09BF"/>
    <w:rsid w:val="00CE1D1B"/>
    <w:rsid w:val="00CE3224"/>
    <w:rsid w:val="00CE33C9"/>
    <w:rsid w:val="00CE3AAE"/>
    <w:rsid w:val="00CE43BA"/>
    <w:rsid w:val="00CE47A6"/>
    <w:rsid w:val="00CE4D51"/>
    <w:rsid w:val="00CE5530"/>
    <w:rsid w:val="00CE5637"/>
    <w:rsid w:val="00CE57BC"/>
    <w:rsid w:val="00CE5ECD"/>
    <w:rsid w:val="00CE6CE3"/>
    <w:rsid w:val="00CE7418"/>
    <w:rsid w:val="00CE7533"/>
    <w:rsid w:val="00CF010C"/>
    <w:rsid w:val="00CF0278"/>
    <w:rsid w:val="00CF0BAB"/>
    <w:rsid w:val="00CF1A63"/>
    <w:rsid w:val="00CF1BA2"/>
    <w:rsid w:val="00CF1CF5"/>
    <w:rsid w:val="00CF27D4"/>
    <w:rsid w:val="00CF2B29"/>
    <w:rsid w:val="00CF3841"/>
    <w:rsid w:val="00CF51C3"/>
    <w:rsid w:val="00CF53E9"/>
    <w:rsid w:val="00CF6071"/>
    <w:rsid w:val="00CF67C7"/>
    <w:rsid w:val="00CF7782"/>
    <w:rsid w:val="00D00208"/>
    <w:rsid w:val="00D00E21"/>
    <w:rsid w:val="00D01B6E"/>
    <w:rsid w:val="00D01F1F"/>
    <w:rsid w:val="00D025FF"/>
    <w:rsid w:val="00D02BB3"/>
    <w:rsid w:val="00D03ABE"/>
    <w:rsid w:val="00D046E9"/>
    <w:rsid w:val="00D050B8"/>
    <w:rsid w:val="00D05603"/>
    <w:rsid w:val="00D071DB"/>
    <w:rsid w:val="00D072ED"/>
    <w:rsid w:val="00D07E6C"/>
    <w:rsid w:val="00D07F45"/>
    <w:rsid w:val="00D100DC"/>
    <w:rsid w:val="00D10967"/>
    <w:rsid w:val="00D10C2C"/>
    <w:rsid w:val="00D118F9"/>
    <w:rsid w:val="00D11B5A"/>
    <w:rsid w:val="00D11C65"/>
    <w:rsid w:val="00D1239F"/>
    <w:rsid w:val="00D124D2"/>
    <w:rsid w:val="00D12926"/>
    <w:rsid w:val="00D12F4D"/>
    <w:rsid w:val="00D13E50"/>
    <w:rsid w:val="00D13F5A"/>
    <w:rsid w:val="00D15503"/>
    <w:rsid w:val="00D158F3"/>
    <w:rsid w:val="00D15CDE"/>
    <w:rsid w:val="00D15DF9"/>
    <w:rsid w:val="00D178F6"/>
    <w:rsid w:val="00D17E15"/>
    <w:rsid w:val="00D20111"/>
    <w:rsid w:val="00D206E9"/>
    <w:rsid w:val="00D20960"/>
    <w:rsid w:val="00D21E66"/>
    <w:rsid w:val="00D22271"/>
    <w:rsid w:val="00D22992"/>
    <w:rsid w:val="00D23163"/>
    <w:rsid w:val="00D236A8"/>
    <w:rsid w:val="00D23D73"/>
    <w:rsid w:val="00D24968"/>
    <w:rsid w:val="00D2506A"/>
    <w:rsid w:val="00D261C0"/>
    <w:rsid w:val="00D26F46"/>
    <w:rsid w:val="00D27247"/>
    <w:rsid w:val="00D27E48"/>
    <w:rsid w:val="00D27EE1"/>
    <w:rsid w:val="00D30093"/>
    <w:rsid w:val="00D30627"/>
    <w:rsid w:val="00D31307"/>
    <w:rsid w:val="00D31587"/>
    <w:rsid w:val="00D320D5"/>
    <w:rsid w:val="00D330E3"/>
    <w:rsid w:val="00D338EA"/>
    <w:rsid w:val="00D3390D"/>
    <w:rsid w:val="00D35899"/>
    <w:rsid w:val="00D36863"/>
    <w:rsid w:val="00D36A54"/>
    <w:rsid w:val="00D36C89"/>
    <w:rsid w:val="00D37CCB"/>
    <w:rsid w:val="00D37FB6"/>
    <w:rsid w:val="00D402C6"/>
    <w:rsid w:val="00D41E62"/>
    <w:rsid w:val="00D43662"/>
    <w:rsid w:val="00D445A4"/>
    <w:rsid w:val="00D44C2E"/>
    <w:rsid w:val="00D452BF"/>
    <w:rsid w:val="00D45832"/>
    <w:rsid w:val="00D463A5"/>
    <w:rsid w:val="00D47B28"/>
    <w:rsid w:val="00D5002E"/>
    <w:rsid w:val="00D51308"/>
    <w:rsid w:val="00D514D0"/>
    <w:rsid w:val="00D519F2"/>
    <w:rsid w:val="00D520C3"/>
    <w:rsid w:val="00D52258"/>
    <w:rsid w:val="00D53439"/>
    <w:rsid w:val="00D5428B"/>
    <w:rsid w:val="00D54924"/>
    <w:rsid w:val="00D54B69"/>
    <w:rsid w:val="00D54CEE"/>
    <w:rsid w:val="00D553B2"/>
    <w:rsid w:val="00D566D5"/>
    <w:rsid w:val="00D56A12"/>
    <w:rsid w:val="00D56BDF"/>
    <w:rsid w:val="00D57A5A"/>
    <w:rsid w:val="00D57DC4"/>
    <w:rsid w:val="00D603E1"/>
    <w:rsid w:val="00D614B1"/>
    <w:rsid w:val="00D614E7"/>
    <w:rsid w:val="00D615B0"/>
    <w:rsid w:val="00D622EA"/>
    <w:rsid w:val="00D63B1B"/>
    <w:rsid w:val="00D63B39"/>
    <w:rsid w:val="00D66242"/>
    <w:rsid w:val="00D66DEE"/>
    <w:rsid w:val="00D67744"/>
    <w:rsid w:val="00D677E3"/>
    <w:rsid w:val="00D70CA5"/>
    <w:rsid w:val="00D716F7"/>
    <w:rsid w:val="00D71AE3"/>
    <w:rsid w:val="00D71C08"/>
    <w:rsid w:val="00D71DFE"/>
    <w:rsid w:val="00D736BA"/>
    <w:rsid w:val="00D7373E"/>
    <w:rsid w:val="00D73D22"/>
    <w:rsid w:val="00D7417E"/>
    <w:rsid w:val="00D74305"/>
    <w:rsid w:val="00D74326"/>
    <w:rsid w:val="00D744CA"/>
    <w:rsid w:val="00D760B8"/>
    <w:rsid w:val="00D76346"/>
    <w:rsid w:val="00D80A90"/>
    <w:rsid w:val="00D80AA5"/>
    <w:rsid w:val="00D81330"/>
    <w:rsid w:val="00D81908"/>
    <w:rsid w:val="00D8245F"/>
    <w:rsid w:val="00D826BC"/>
    <w:rsid w:val="00D8324F"/>
    <w:rsid w:val="00D844EC"/>
    <w:rsid w:val="00D8469E"/>
    <w:rsid w:val="00D8578F"/>
    <w:rsid w:val="00D85FEC"/>
    <w:rsid w:val="00D86072"/>
    <w:rsid w:val="00D869F3"/>
    <w:rsid w:val="00D86B83"/>
    <w:rsid w:val="00D86D3C"/>
    <w:rsid w:val="00D87DBD"/>
    <w:rsid w:val="00D90414"/>
    <w:rsid w:val="00D91104"/>
    <w:rsid w:val="00D9115C"/>
    <w:rsid w:val="00D916F3"/>
    <w:rsid w:val="00D918C9"/>
    <w:rsid w:val="00D91E02"/>
    <w:rsid w:val="00D91F87"/>
    <w:rsid w:val="00D92873"/>
    <w:rsid w:val="00D92905"/>
    <w:rsid w:val="00D93A9D"/>
    <w:rsid w:val="00D9474B"/>
    <w:rsid w:val="00D94F86"/>
    <w:rsid w:val="00D95EB1"/>
    <w:rsid w:val="00D95EBD"/>
    <w:rsid w:val="00D961BB"/>
    <w:rsid w:val="00D96318"/>
    <w:rsid w:val="00D977FD"/>
    <w:rsid w:val="00D97936"/>
    <w:rsid w:val="00D97F75"/>
    <w:rsid w:val="00DA036D"/>
    <w:rsid w:val="00DA110B"/>
    <w:rsid w:val="00DA126B"/>
    <w:rsid w:val="00DA1768"/>
    <w:rsid w:val="00DA18D3"/>
    <w:rsid w:val="00DA31AF"/>
    <w:rsid w:val="00DA3551"/>
    <w:rsid w:val="00DA3EBD"/>
    <w:rsid w:val="00DA6555"/>
    <w:rsid w:val="00DA727B"/>
    <w:rsid w:val="00DA78F8"/>
    <w:rsid w:val="00DB0EBF"/>
    <w:rsid w:val="00DB1935"/>
    <w:rsid w:val="00DB1F9F"/>
    <w:rsid w:val="00DB3717"/>
    <w:rsid w:val="00DB3D81"/>
    <w:rsid w:val="00DB5412"/>
    <w:rsid w:val="00DB58E9"/>
    <w:rsid w:val="00DB5F85"/>
    <w:rsid w:val="00DB6133"/>
    <w:rsid w:val="00DB751A"/>
    <w:rsid w:val="00DB7EDD"/>
    <w:rsid w:val="00DC0CE1"/>
    <w:rsid w:val="00DC15A0"/>
    <w:rsid w:val="00DC15DD"/>
    <w:rsid w:val="00DC1775"/>
    <w:rsid w:val="00DC1BB3"/>
    <w:rsid w:val="00DC23A7"/>
    <w:rsid w:val="00DC2ED8"/>
    <w:rsid w:val="00DC32B3"/>
    <w:rsid w:val="00DC3C3B"/>
    <w:rsid w:val="00DC3D2D"/>
    <w:rsid w:val="00DC48B3"/>
    <w:rsid w:val="00DC4D1A"/>
    <w:rsid w:val="00DC5380"/>
    <w:rsid w:val="00DC5744"/>
    <w:rsid w:val="00DC607A"/>
    <w:rsid w:val="00DC6745"/>
    <w:rsid w:val="00DC6D42"/>
    <w:rsid w:val="00DC7265"/>
    <w:rsid w:val="00DC78CB"/>
    <w:rsid w:val="00DD10D5"/>
    <w:rsid w:val="00DD1F96"/>
    <w:rsid w:val="00DD2B1C"/>
    <w:rsid w:val="00DD30B5"/>
    <w:rsid w:val="00DD396B"/>
    <w:rsid w:val="00DD3ECA"/>
    <w:rsid w:val="00DD5112"/>
    <w:rsid w:val="00DD612E"/>
    <w:rsid w:val="00DD6993"/>
    <w:rsid w:val="00DD6B63"/>
    <w:rsid w:val="00DD6DA9"/>
    <w:rsid w:val="00DD6E75"/>
    <w:rsid w:val="00DD6E80"/>
    <w:rsid w:val="00DE025C"/>
    <w:rsid w:val="00DE18BB"/>
    <w:rsid w:val="00DE29C4"/>
    <w:rsid w:val="00DE33DD"/>
    <w:rsid w:val="00DE36B3"/>
    <w:rsid w:val="00DE3AA3"/>
    <w:rsid w:val="00DE3CE3"/>
    <w:rsid w:val="00DE450D"/>
    <w:rsid w:val="00DE46C7"/>
    <w:rsid w:val="00DE4C0E"/>
    <w:rsid w:val="00DE5344"/>
    <w:rsid w:val="00DE6160"/>
    <w:rsid w:val="00DE6928"/>
    <w:rsid w:val="00DE6C4E"/>
    <w:rsid w:val="00DE7025"/>
    <w:rsid w:val="00DE706B"/>
    <w:rsid w:val="00DE7267"/>
    <w:rsid w:val="00DE7392"/>
    <w:rsid w:val="00DE7A67"/>
    <w:rsid w:val="00DE7A82"/>
    <w:rsid w:val="00DE7AA5"/>
    <w:rsid w:val="00DF0E25"/>
    <w:rsid w:val="00DF1B15"/>
    <w:rsid w:val="00DF1C8D"/>
    <w:rsid w:val="00DF242A"/>
    <w:rsid w:val="00DF28B7"/>
    <w:rsid w:val="00DF2B99"/>
    <w:rsid w:val="00DF2C6B"/>
    <w:rsid w:val="00DF3050"/>
    <w:rsid w:val="00DF30AB"/>
    <w:rsid w:val="00DF42E6"/>
    <w:rsid w:val="00DF5460"/>
    <w:rsid w:val="00DF7358"/>
    <w:rsid w:val="00DF7F88"/>
    <w:rsid w:val="00E000E6"/>
    <w:rsid w:val="00E009F6"/>
    <w:rsid w:val="00E012C0"/>
    <w:rsid w:val="00E01622"/>
    <w:rsid w:val="00E024F6"/>
    <w:rsid w:val="00E02DD4"/>
    <w:rsid w:val="00E037FC"/>
    <w:rsid w:val="00E04041"/>
    <w:rsid w:val="00E0419F"/>
    <w:rsid w:val="00E04DFE"/>
    <w:rsid w:val="00E05982"/>
    <w:rsid w:val="00E05AE5"/>
    <w:rsid w:val="00E069AD"/>
    <w:rsid w:val="00E06DC2"/>
    <w:rsid w:val="00E06DC3"/>
    <w:rsid w:val="00E06E95"/>
    <w:rsid w:val="00E07D61"/>
    <w:rsid w:val="00E11609"/>
    <w:rsid w:val="00E11DE7"/>
    <w:rsid w:val="00E12166"/>
    <w:rsid w:val="00E12845"/>
    <w:rsid w:val="00E13049"/>
    <w:rsid w:val="00E14627"/>
    <w:rsid w:val="00E15336"/>
    <w:rsid w:val="00E1576E"/>
    <w:rsid w:val="00E160FD"/>
    <w:rsid w:val="00E1685B"/>
    <w:rsid w:val="00E16FA2"/>
    <w:rsid w:val="00E17889"/>
    <w:rsid w:val="00E17ACF"/>
    <w:rsid w:val="00E20F66"/>
    <w:rsid w:val="00E2178C"/>
    <w:rsid w:val="00E21C9A"/>
    <w:rsid w:val="00E226CF"/>
    <w:rsid w:val="00E2276E"/>
    <w:rsid w:val="00E23380"/>
    <w:rsid w:val="00E23B02"/>
    <w:rsid w:val="00E2441E"/>
    <w:rsid w:val="00E2473D"/>
    <w:rsid w:val="00E24931"/>
    <w:rsid w:val="00E24D02"/>
    <w:rsid w:val="00E2581E"/>
    <w:rsid w:val="00E26137"/>
    <w:rsid w:val="00E2634A"/>
    <w:rsid w:val="00E263AD"/>
    <w:rsid w:val="00E26552"/>
    <w:rsid w:val="00E26E11"/>
    <w:rsid w:val="00E27407"/>
    <w:rsid w:val="00E300D0"/>
    <w:rsid w:val="00E30C3A"/>
    <w:rsid w:val="00E32A4E"/>
    <w:rsid w:val="00E33C27"/>
    <w:rsid w:val="00E34D3A"/>
    <w:rsid w:val="00E3519A"/>
    <w:rsid w:val="00E3547E"/>
    <w:rsid w:val="00E36186"/>
    <w:rsid w:val="00E36420"/>
    <w:rsid w:val="00E36753"/>
    <w:rsid w:val="00E3694C"/>
    <w:rsid w:val="00E36A31"/>
    <w:rsid w:val="00E37398"/>
    <w:rsid w:val="00E40194"/>
    <w:rsid w:val="00E4050F"/>
    <w:rsid w:val="00E408CC"/>
    <w:rsid w:val="00E40D2E"/>
    <w:rsid w:val="00E4152E"/>
    <w:rsid w:val="00E4156D"/>
    <w:rsid w:val="00E41956"/>
    <w:rsid w:val="00E41A69"/>
    <w:rsid w:val="00E4205A"/>
    <w:rsid w:val="00E421D0"/>
    <w:rsid w:val="00E4447E"/>
    <w:rsid w:val="00E45334"/>
    <w:rsid w:val="00E45648"/>
    <w:rsid w:val="00E50523"/>
    <w:rsid w:val="00E50D9D"/>
    <w:rsid w:val="00E51DFC"/>
    <w:rsid w:val="00E526EA"/>
    <w:rsid w:val="00E52C13"/>
    <w:rsid w:val="00E53847"/>
    <w:rsid w:val="00E53906"/>
    <w:rsid w:val="00E53BAA"/>
    <w:rsid w:val="00E547FE"/>
    <w:rsid w:val="00E566A2"/>
    <w:rsid w:val="00E578D7"/>
    <w:rsid w:val="00E60700"/>
    <w:rsid w:val="00E62119"/>
    <w:rsid w:val="00E634CA"/>
    <w:rsid w:val="00E63871"/>
    <w:rsid w:val="00E6389D"/>
    <w:rsid w:val="00E65899"/>
    <w:rsid w:val="00E65EB7"/>
    <w:rsid w:val="00E66A36"/>
    <w:rsid w:val="00E67502"/>
    <w:rsid w:val="00E678C0"/>
    <w:rsid w:val="00E67B06"/>
    <w:rsid w:val="00E67BBE"/>
    <w:rsid w:val="00E700EC"/>
    <w:rsid w:val="00E70316"/>
    <w:rsid w:val="00E715E9"/>
    <w:rsid w:val="00E71CE9"/>
    <w:rsid w:val="00E723E4"/>
    <w:rsid w:val="00E7241B"/>
    <w:rsid w:val="00E72C42"/>
    <w:rsid w:val="00E7302F"/>
    <w:rsid w:val="00E744B5"/>
    <w:rsid w:val="00E74864"/>
    <w:rsid w:val="00E74B63"/>
    <w:rsid w:val="00E762CF"/>
    <w:rsid w:val="00E771F8"/>
    <w:rsid w:val="00E77714"/>
    <w:rsid w:val="00E77DAA"/>
    <w:rsid w:val="00E77E21"/>
    <w:rsid w:val="00E808EE"/>
    <w:rsid w:val="00E8280F"/>
    <w:rsid w:val="00E8307E"/>
    <w:rsid w:val="00E83785"/>
    <w:rsid w:val="00E838BF"/>
    <w:rsid w:val="00E83EC3"/>
    <w:rsid w:val="00E83FB4"/>
    <w:rsid w:val="00E845F7"/>
    <w:rsid w:val="00E85308"/>
    <w:rsid w:val="00E853FB"/>
    <w:rsid w:val="00E85537"/>
    <w:rsid w:val="00E85968"/>
    <w:rsid w:val="00E85F0C"/>
    <w:rsid w:val="00E85FF6"/>
    <w:rsid w:val="00E86220"/>
    <w:rsid w:val="00E8683C"/>
    <w:rsid w:val="00E86E87"/>
    <w:rsid w:val="00E87A6C"/>
    <w:rsid w:val="00E87E10"/>
    <w:rsid w:val="00E87F9E"/>
    <w:rsid w:val="00E9032A"/>
    <w:rsid w:val="00E907AA"/>
    <w:rsid w:val="00E90A1E"/>
    <w:rsid w:val="00E90DFC"/>
    <w:rsid w:val="00E916A4"/>
    <w:rsid w:val="00E916C1"/>
    <w:rsid w:val="00E91A45"/>
    <w:rsid w:val="00E91D1A"/>
    <w:rsid w:val="00E9316B"/>
    <w:rsid w:val="00E93949"/>
    <w:rsid w:val="00E93953"/>
    <w:rsid w:val="00E93D51"/>
    <w:rsid w:val="00E94332"/>
    <w:rsid w:val="00E944AA"/>
    <w:rsid w:val="00E94C8C"/>
    <w:rsid w:val="00E94E38"/>
    <w:rsid w:val="00E95304"/>
    <w:rsid w:val="00E95BE5"/>
    <w:rsid w:val="00E95FDD"/>
    <w:rsid w:val="00E96118"/>
    <w:rsid w:val="00E978AE"/>
    <w:rsid w:val="00E97D1C"/>
    <w:rsid w:val="00EA1653"/>
    <w:rsid w:val="00EA1D8F"/>
    <w:rsid w:val="00EA2948"/>
    <w:rsid w:val="00EA2B3E"/>
    <w:rsid w:val="00EA3782"/>
    <w:rsid w:val="00EA39B3"/>
    <w:rsid w:val="00EA4DDD"/>
    <w:rsid w:val="00EA4ECE"/>
    <w:rsid w:val="00EA6018"/>
    <w:rsid w:val="00EA7314"/>
    <w:rsid w:val="00EA7C1C"/>
    <w:rsid w:val="00EB0051"/>
    <w:rsid w:val="00EB1329"/>
    <w:rsid w:val="00EB1CB1"/>
    <w:rsid w:val="00EB1D9F"/>
    <w:rsid w:val="00EB26CC"/>
    <w:rsid w:val="00EB3B43"/>
    <w:rsid w:val="00EB3C50"/>
    <w:rsid w:val="00EB447C"/>
    <w:rsid w:val="00EB450A"/>
    <w:rsid w:val="00EB4550"/>
    <w:rsid w:val="00EB477D"/>
    <w:rsid w:val="00EB49DF"/>
    <w:rsid w:val="00EB4B03"/>
    <w:rsid w:val="00EB4DC6"/>
    <w:rsid w:val="00EB52A6"/>
    <w:rsid w:val="00EB5D9A"/>
    <w:rsid w:val="00EB63CA"/>
    <w:rsid w:val="00EB6649"/>
    <w:rsid w:val="00EB67CB"/>
    <w:rsid w:val="00EB7166"/>
    <w:rsid w:val="00EC109E"/>
    <w:rsid w:val="00EC1622"/>
    <w:rsid w:val="00EC1A3F"/>
    <w:rsid w:val="00EC2CE1"/>
    <w:rsid w:val="00EC4955"/>
    <w:rsid w:val="00EC4D11"/>
    <w:rsid w:val="00EC599E"/>
    <w:rsid w:val="00EC5AEF"/>
    <w:rsid w:val="00EC5F8F"/>
    <w:rsid w:val="00EC6016"/>
    <w:rsid w:val="00EC6019"/>
    <w:rsid w:val="00EC6516"/>
    <w:rsid w:val="00EC6A77"/>
    <w:rsid w:val="00EC7C0A"/>
    <w:rsid w:val="00ED05DE"/>
    <w:rsid w:val="00ED3190"/>
    <w:rsid w:val="00ED48A0"/>
    <w:rsid w:val="00ED4B78"/>
    <w:rsid w:val="00ED4C88"/>
    <w:rsid w:val="00ED4CC4"/>
    <w:rsid w:val="00ED539F"/>
    <w:rsid w:val="00ED554C"/>
    <w:rsid w:val="00ED615B"/>
    <w:rsid w:val="00ED6230"/>
    <w:rsid w:val="00ED6803"/>
    <w:rsid w:val="00ED6D0D"/>
    <w:rsid w:val="00ED72D0"/>
    <w:rsid w:val="00ED77BE"/>
    <w:rsid w:val="00EE09A0"/>
    <w:rsid w:val="00EE28F1"/>
    <w:rsid w:val="00EE2D72"/>
    <w:rsid w:val="00EE3638"/>
    <w:rsid w:val="00EE3FD2"/>
    <w:rsid w:val="00EE6124"/>
    <w:rsid w:val="00EE6927"/>
    <w:rsid w:val="00EE6DA5"/>
    <w:rsid w:val="00EF0681"/>
    <w:rsid w:val="00EF09B1"/>
    <w:rsid w:val="00EF0D7C"/>
    <w:rsid w:val="00EF0F0B"/>
    <w:rsid w:val="00EF13EF"/>
    <w:rsid w:val="00EF17B1"/>
    <w:rsid w:val="00EF1AD9"/>
    <w:rsid w:val="00EF1F38"/>
    <w:rsid w:val="00EF2298"/>
    <w:rsid w:val="00EF2368"/>
    <w:rsid w:val="00EF24DE"/>
    <w:rsid w:val="00EF350A"/>
    <w:rsid w:val="00EF366A"/>
    <w:rsid w:val="00EF3875"/>
    <w:rsid w:val="00EF3A15"/>
    <w:rsid w:val="00EF3A31"/>
    <w:rsid w:val="00EF3C17"/>
    <w:rsid w:val="00EF44F7"/>
    <w:rsid w:val="00EF4581"/>
    <w:rsid w:val="00EF4601"/>
    <w:rsid w:val="00EF4B73"/>
    <w:rsid w:val="00EF5327"/>
    <w:rsid w:val="00EF5E8B"/>
    <w:rsid w:val="00EF5F74"/>
    <w:rsid w:val="00EF657A"/>
    <w:rsid w:val="00EF6B3C"/>
    <w:rsid w:val="00EF7E6D"/>
    <w:rsid w:val="00F009DF"/>
    <w:rsid w:val="00F00CA6"/>
    <w:rsid w:val="00F01224"/>
    <w:rsid w:val="00F01474"/>
    <w:rsid w:val="00F01C63"/>
    <w:rsid w:val="00F021C8"/>
    <w:rsid w:val="00F0274D"/>
    <w:rsid w:val="00F02CBD"/>
    <w:rsid w:val="00F038A8"/>
    <w:rsid w:val="00F048FE"/>
    <w:rsid w:val="00F04ABA"/>
    <w:rsid w:val="00F05975"/>
    <w:rsid w:val="00F05BA3"/>
    <w:rsid w:val="00F06AB2"/>
    <w:rsid w:val="00F07BD5"/>
    <w:rsid w:val="00F07E33"/>
    <w:rsid w:val="00F07F1C"/>
    <w:rsid w:val="00F1048D"/>
    <w:rsid w:val="00F10E99"/>
    <w:rsid w:val="00F1221D"/>
    <w:rsid w:val="00F12AEF"/>
    <w:rsid w:val="00F12D62"/>
    <w:rsid w:val="00F12E2A"/>
    <w:rsid w:val="00F144FB"/>
    <w:rsid w:val="00F14EC6"/>
    <w:rsid w:val="00F15C25"/>
    <w:rsid w:val="00F16CB3"/>
    <w:rsid w:val="00F1734F"/>
    <w:rsid w:val="00F17F4F"/>
    <w:rsid w:val="00F2000B"/>
    <w:rsid w:val="00F20CDA"/>
    <w:rsid w:val="00F21A33"/>
    <w:rsid w:val="00F2351F"/>
    <w:rsid w:val="00F23838"/>
    <w:rsid w:val="00F23B28"/>
    <w:rsid w:val="00F23EA5"/>
    <w:rsid w:val="00F24092"/>
    <w:rsid w:val="00F24593"/>
    <w:rsid w:val="00F2496C"/>
    <w:rsid w:val="00F2530E"/>
    <w:rsid w:val="00F25E3A"/>
    <w:rsid w:val="00F25F8B"/>
    <w:rsid w:val="00F26776"/>
    <w:rsid w:val="00F26F6A"/>
    <w:rsid w:val="00F27350"/>
    <w:rsid w:val="00F276E5"/>
    <w:rsid w:val="00F27AF2"/>
    <w:rsid w:val="00F30433"/>
    <w:rsid w:val="00F30713"/>
    <w:rsid w:val="00F30A78"/>
    <w:rsid w:val="00F30B4F"/>
    <w:rsid w:val="00F32387"/>
    <w:rsid w:val="00F32D35"/>
    <w:rsid w:val="00F33509"/>
    <w:rsid w:val="00F337C1"/>
    <w:rsid w:val="00F33D71"/>
    <w:rsid w:val="00F33E37"/>
    <w:rsid w:val="00F341AF"/>
    <w:rsid w:val="00F34D6A"/>
    <w:rsid w:val="00F34E61"/>
    <w:rsid w:val="00F351E3"/>
    <w:rsid w:val="00F35867"/>
    <w:rsid w:val="00F36D6A"/>
    <w:rsid w:val="00F37970"/>
    <w:rsid w:val="00F4045B"/>
    <w:rsid w:val="00F419CC"/>
    <w:rsid w:val="00F41F64"/>
    <w:rsid w:val="00F42828"/>
    <w:rsid w:val="00F429E8"/>
    <w:rsid w:val="00F42C4F"/>
    <w:rsid w:val="00F43676"/>
    <w:rsid w:val="00F43A4B"/>
    <w:rsid w:val="00F44600"/>
    <w:rsid w:val="00F44B92"/>
    <w:rsid w:val="00F4516A"/>
    <w:rsid w:val="00F451F4"/>
    <w:rsid w:val="00F465A6"/>
    <w:rsid w:val="00F47563"/>
    <w:rsid w:val="00F4798A"/>
    <w:rsid w:val="00F47D3B"/>
    <w:rsid w:val="00F47F10"/>
    <w:rsid w:val="00F5066B"/>
    <w:rsid w:val="00F50947"/>
    <w:rsid w:val="00F50C9C"/>
    <w:rsid w:val="00F50D0A"/>
    <w:rsid w:val="00F51C0D"/>
    <w:rsid w:val="00F51C48"/>
    <w:rsid w:val="00F525B0"/>
    <w:rsid w:val="00F52602"/>
    <w:rsid w:val="00F53E1E"/>
    <w:rsid w:val="00F547F8"/>
    <w:rsid w:val="00F54E52"/>
    <w:rsid w:val="00F54F5B"/>
    <w:rsid w:val="00F55C43"/>
    <w:rsid w:val="00F5693C"/>
    <w:rsid w:val="00F56DC5"/>
    <w:rsid w:val="00F602E8"/>
    <w:rsid w:val="00F606AD"/>
    <w:rsid w:val="00F60DB7"/>
    <w:rsid w:val="00F61422"/>
    <w:rsid w:val="00F622CD"/>
    <w:rsid w:val="00F623D0"/>
    <w:rsid w:val="00F627F9"/>
    <w:rsid w:val="00F6297D"/>
    <w:rsid w:val="00F62E6E"/>
    <w:rsid w:val="00F632C7"/>
    <w:rsid w:val="00F637D1"/>
    <w:rsid w:val="00F646FC"/>
    <w:rsid w:val="00F6521A"/>
    <w:rsid w:val="00F6568D"/>
    <w:rsid w:val="00F65866"/>
    <w:rsid w:val="00F65ECC"/>
    <w:rsid w:val="00F662F9"/>
    <w:rsid w:val="00F66BE7"/>
    <w:rsid w:val="00F67ABB"/>
    <w:rsid w:val="00F7019A"/>
    <w:rsid w:val="00F70825"/>
    <w:rsid w:val="00F71A2A"/>
    <w:rsid w:val="00F71FD7"/>
    <w:rsid w:val="00F72616"/>
    <w:rsid w:val="00F7287A"/>
    <w:rsid w:val="00F72D17"/>
    <w:rsid w:val="00F72D8D"/>
    <w:rsid w:val="00F735B7"/>
    <w:rsid w:val="00F73640"/>
    <w:rsid w:val="00F7429B"/>
    <w:rsid w:val="00F75C42"/>
    <w:rsid w:val="00F75D1B"/>
    <w:rsid w:val="00F76334"/>
    <w:rsid w:val="00F773C2"/>
    <w:rsid w:val="00F808A4"/>
    <w:rsid w:val="00F81668"/>
    <w:rsid w:val="00F81A67"/>
    <w:rsid w:val="00F81D92"/>
    <w:rsid w:val="00F81E5B"/>
    <w:rsid w:val="00F81FD9"/>
    <w:rsid w:val="00F8224E"/>
    <w:rsid w:val="00F83826"/>
    <w:rsid w:val="00F83E78"/>
    <w:rsid w:val="00F83FA1"/>
    <w:rsid w:val="00F844A1"/>
    <w:rsid w:val="00F84A79"/>
    <w:rsid w:val="00F86DAD"/>
    <w:rsid w:val="00F8702C"/>
    <w:rsid w:val="00F871CF"/>
    <w:rsid w:val="00F87643"/>
    <w:rsid w:val="00F9024D"/>
    <w:rsid w:val="00F90C06"/>
    <w:rsid w:val="00F90D46"/>
    <w:rsid w:val="00F910D6"/>
    <w:rsid w:val="00F9166B"/>
    <w:rsid w:val="00F91E5A"/>
    <w:rsid w:val="00F92295"/>
    <w:rsid w:val="00F924AD"/>
    <w:rsid w:val="00F92EF2"/>
    <w:rsid w:val="00F93540"/>
    <w:rsid w:val="00F94D1E"/>
    <w:rsid w:val="00F95A64"/>
    <w:rsid w:val="00F95AA8"/>
    <w:rsid w:val="00F95CC3"/>
    <w:rsid w:val="00F96A11"/>
    <w:rsid w:val="00F974B4"/>
    <w:rsid w:val="00F97F8E"/>
    <w:rsid w:val="00FA0EFF"/>
    <w:rsid w:val="00FA1766"/>
    <w:rsid w:val="00FA1B09"/>
    <w:rsid w:val="00FA263E"/>
    <w:rsid w:val="00FA2BEE"/>
    <w:rsid w:val="00FA2E4D"/>
    <w:rsid w:val="00FA3BFF"/>
    <w:rsid w:val="00FA3C8D"/>
    <w:rsid w:val="00FA4913"/>
    <w:rsid w:val="00FA5643"/>
    <w:rsid w:val="00FA576D"/>
    <w:rsid w:val="00FA62DB"/>
    <w:rsid w:val="00FA663E"/>
    <w:rsid w:val="00FA69B9"/>
    <w:rsid w:val="00FA7CAE"/>
    <w:rsid w:val="00FA7E4E"/>
    <w:rsid w:val="00FB0063"/>
    <w:rsid w:val="00FB02C6"/>
    <w:rsid w:val="00FB031A"/>
    <w:rsid w:val="00FB0498"/>
    <w:rsid w:val="00FB0769"/>
    <w:rsid w:val="00FB07CF"/>
    <w:rsid w:val="00FB0920"/>
    <w:rsid w:val="00FB12E8"/>
    <w:rsid w:val="00FB254C"/>
    <w:rsid w:val="00FB38C9"/>
    <w:rsid w:val="00FB4557"/>
    <w:rsid w:val="00FB5065"/>
    <w:rsid w:val="00FB5722"/>
    <w:rsid w:val="00FB5A7D"/>
    <w:rsid w:val="00FB5AF6"/>
    <w:rsid w:val="00FB607D"/>
    <w:rsid w:val="00FB706C"/>
    <w:rsid w:val="00FC24D9"/>
    <w:rsid w:val="00FC366C"/>
    <w:rsid w:val="00FC4427"/>
    <w:rsid w:val="00FC45C3"/>
    <w:rsid w:val="00FC46E7"/>
    <w:rsid w:val="00FC51EB"/>
    <w:rsid w:val="00FC6159"/>
    <w:rsid w:val="00FC6275"/>
    <w:rsid w:val="00FC6673"/>
    <w:rsid w:val="00FC6779"/>
    <w:rsid w:val="00FC6CF9"/>
    <w:rsid w:val="00FC7440"/>
    <w:rsid w:val="00FC7C63"/>
    <w:rsid w:val="00FC7D48"/>
    <w:rsid w:val="00FC7F29"/>
    <w:rsid w:val="00FD052E"/>
    <w:rsid w:val="00FD06E6"/>
    <w:rsid w:val="00FD081B"/>
    <w:rsid w:val="00FD0BE5"/>
    <w:rsid w:val="00FD196A"/>
    <w:rsid w:val="00FD1B4C"/>
    <w:rsid w:val="00FD3BFA"/>
    <w:rsid w:val="00FD3E25"/>
    <w:rsid w:val="00FD4BC5"/>
    <w:rsid w:val="00FD4E7F"/>
    <w:rsid w:val="00FD4FB6"/>
    <w:rsid w:val="00FD5E38"/>
    <w:rsid w:val="00FD5EEA"/>
    <w:rsid w:val="00FD622D"/>
    <w:rsid w:val="00FD6672"/>
    <w:rsid w:val="00FD667D"/>
    <w:rsid w:val="00FD72E6"/>
    <w:rsid w:val="00FD75BC"/>
    <w:rsid w:val="00FD7651"/>
    <w:rsid w:val="00FD7A0E"/>
    <w:rsid w:val="00FD7BA2"/>
    <w:rsid w:val="00FD7DD8"/>
    <w:rsid w:val="00FE03CD"/>
    <w:rsid w:val="00FE0810"/>
    <w:rsid w:val="00FE0B5A"/>
    <w:rsid w:val="00FE2B1D"/>
    <w:rsid w:val="00FE2D63"/>
    <w:rsid w:val="00FE3B5A"/>
    <w:rsid w:val="00FE5230"/>
    <w:rsid w:val="00FE52E1"/>
    <w:rsid w:val="00FE5D6C"/>
    <w:rsid w:val="00FE5F08"/>
    <w:rsid w:val="00FE6360"/>
    <w:rsid w:val="00FE66BF"/>
    <w:rsid w:val="00FE6833"/>
    <w:rsid w:val="00FE6BAB"/>
    <w:rsid w:val="00FE72CD"/>
    <w:rsid w:val="00FE7444"/>
    <w:rsid w:val="00FF0E84"/>
    <w:rsid w:val="00FF1DDF"/>
    <w:rsid w:val="00FF340C"/>
    <w:rsid w:val="00FF40C2"/>
    <w:rsid w:val="00FF439B"/>
    <w:rsid w:val="00FF48D2"/>
    <w:rsid w:val="00FF5E78"/>
    <w:rsid w:val="00FF63A5"/>
    <w:rsid w:val="00FF6F93"/>
    <w:rsid w:val="00FF7314"/>
    <w:rsid w:val="0124219D"/>
    <w:rsid w:val="048AAC6A"/>
    <w:rsid w:val="04AB6071"/>
    <w:rsid w:val="06122ECA"/>
    <w:rsid w:val="066E4799"/>
    <w:rsid w:val="06B8FA04"/>
    <w:rsid w:val="07911B39"/>
    <w:rsid w:val="07AFD0F3"/>
    <w:rsid w:val="08260939"/>
    <w:rsid w:val="08C34167"/>
    <w:rsid w:val="09058105"/>
    <w:rsid w:val="0919D36D"/>
    <w:rsid w:val="09B6D7F9"/>
    <w:rsid w:val="09B88C0D"/>
    <w:rsid w:val="0A0B4C56"/>
    <w:rsid w:val="0B9EE29E"/>
    <w:rsid w:val="0C16DC01"/>
    <w:rsid w:val="0C262779"/>
    <w:rsid w:val="0D02C308"/>
    <w:rsid w:val="0D755A82"/>
    <w:rsid w:val="0E3276A3"/>
    <w:rsid w:val="0E50BF5B"/>
    <w:rsid w:val="0E9E0843"/>
    <w:rsid w:val="0F250DEA"/>
    <w:rsid w:val="0F74366F"/>
    <w:rsid w:val="10259EB8"/>
    <w:rsid w:val="12366D16"/>
    <w:rsid w:val="12AEDC43"/>
    <w:rsid w:val="1340C996"/>
    <w:rsid w:val="13477565"/>
    <w:rsid w:val="148B2471"/>
    <w:rsid w:val="1561FEAB"/>
    <w:rsid w:val="15A495EA"/>
    <w:rsid w:val="16157B77"/>
    <w:rsid w:val="16DC4E18"/>
    <w:rsid w:val="1708C68D"/>
    <w:rsid w:val="17679B83"/>
    <w:rsid w:val="17E7D4F0"/>
    <w:rsid w:val="184EDD6F"/>
    <w:rsid w:val="1887E9C9"/>
    <w:rsid w:val="191A0F11"/>
    <w:rsid w:val="19D85ABC"/>
    <w:rsid w:val="1A190EDB"/>
    <w:rsid w:val="1A23BA2A"/>
    <w:rsid w:val="1AA6D3F5"/>
    <w:rsid w:val="1B36A343"/>
    <w:rsid w:val="1B7126D8"/>
    <w:rsid w:val="1C5733CF"/>
    <w:rsid w:val="1D509DDA"/>
    <w:rsid w:val="1EE24CCB"/>
    <w:rsid w:val="1F86F308"/>
    <w:rsid w:val="1FAE3CF7"/>
    <w:rsid w:val="1FB459BF"/>
    <w:rsid w:val="20741E56"/>
    <w:rsid w:val="20E87D25"/>
    <w:rsid w:val="2172DB08"/>
    <w:rsid w:val="22D8D836"/>
    <w:rsid w:val="23C4CF7F"/>
    <w:rsid w:val="24296259"/>
    <w:rsid w:val="243EEB40"/>
    <w:rsid w:val="245EB82F"/>
    <w:rsid w:val="25200EEC"/>
    <w:rsid w:val="2538C875"/>
    <w:rsid w:val="25CAF9E6"/>
    <w:rsid w:val="26F0E05D"/>
    <w:rsid w:val="2748E308"/>
    <w:rsid w:val="27DD0A3D"/>
    <w:rsid w:val="27DDF23C"/>
    <w:rsid w:val="27F214E7"/>
    <w:rsid w:val="282D75CB"/>
    <w:rsid w:val="2830077C"/>
    <w:rsid w:val="28B9362D"/>
    <w:rsid w:val="29603611"/>
    <w:rsid w:val="298A227E"/>
    <w:rsid w:val="29C17331"/>
    <w:rsid w:val="2A2B13AA"/>
    <w:rsid w:val="2B7E96C8"/>
    <w:rsid w:val="2BE45E2F"/>
    <w:rsid w:val="2C03093C"/>
    <w:rsid w:val="2C051944"/>
    <w:rsid w:val="2D54DFC4"/>
    <w:rsid w:val="2DA987A2"/>
    <w:rsid w:val="2DFA3CF6"/>
    <w:rsid w:val="2EBB163A"/>
    <w:rsid w:val="2EC47765"/>
    <w:rsid w:val="2F2FCF5D"/>
    <w:rsid w:val="2F65F2CD"/>
    <w:rsid w:val="309C2E7C"/>
    <w:rsid w:val="312F1AA2"/>
    <w:rsid w:val="31C166A4"/>
    <w:rsid w:val="320DA2A3"/>
    <w:rsid w:val="32F901B9"/>
    <w:rsid w:val="3373A318"/>
    <w:rsid w:val="33E6D03E"/>
    <w:rsid w:val="34738948"/>
    <w:rsid w:val="3562C302"/>
    <w:rsid w:val="35C01DFF"/>
    <w:rsid w:val="376A265A"/>
    <w:rsid w:val="37C568FE"/>
    <w:rsid w:val="37FEF784"/>
    <w:rsid w:val="384E4664"/>
    <w:rsid w:val="3869BC4D"/>
    <w:rsid w:val="3870ACB9"/>
    <w:rsid w:val="38D08712"/>
    <w:rsid w:val="39224F28"/>
    <w:rsid w:val="397BC521"/>
    <w:rsid w:val="3A013FBD"/>
    <w:rsid w:val="3B11AE60"/>
    <w:rsid w:val="3B15BDD2"/>
    <w:rsid w:val="3B2EC0DD"/>
    <w:rsid w:val="3BC07469"/>
    <w:rsid w:val="3BF4619A"/>
    <w:rsid w:val="3C5585B6"/>
    <w:rsid w:val="3D607D96"/>
    <w:rsid w:val="3E5A1604"/>
    <w:rsid w:val="4090E25E"/>
    <w:rsid w:val="409929E9"/>
    <w:rsid w:val="415BA14F"/>
    <w:rsid w:val="41BED91B"/>
    <w:rsid w:val="420676BF"/>
    <w:rsid w:val="420DB22E"/>
    <w:rsid w:val="4214055F"/>
    <w:rsid w:val="42C5FC89"/>
    <w:rsid w:val="43D8741B"/>
    <w:rsid w:val="44CECC95"/>
    <w:rsid w:val="45F585AD"/>
    <w:rsid w:val="45FAF33D"/>
    <w:rsid w:val="47042192"/>
    <w:rsid w:val="4716373C"/>
    <w:rsid w:val="473D89B6"/>
    <w:rsid w:val="489C7844"/>
    <w:rsid w:val="4992D8A9"/>
    <w:rsid w:val="49A852D5"/>
    <w:rsid w:val="4A340AF9"/>
    <w:rsid w:val="4A53044D"/>
    <w:rsid w:val="4ABF3709"/>
    <w:rsid w:val="4B1AE70C"/>
    <w:rsid w:val="4B375806"/>
    <w:rsid w:val="4B487367"/>
    <w:rsid w:val="4BABE3AD"/>
    <w:rsid w:val="4C423FFA"/>
    <w:rsid w:val="4C4F48DA"/>
    <w:rsid w:val="4C778F97"/>
    <w:rsid w:val="4C9F571D"/>
    <w:rsid w:val="4CBC8DBF"/>
    <w:rsid w:val="4D1332D8"/>
    <w:rsid w:val="4D2986C6"/>
    <w:rsid w:val="4E30EAFA"/>
    <w:rsid w:val="4ED50EB5"/>
    <w:rsid w:val="4EF0FC99"/>
    <w:rsid w:val="530CF620"/>
    <w:rsid w:val="5344FEA3"/>
    <w:rsid w:val="538C3BC3"/>
    <w:rsid w:val="5409B605"/>
    <w:rsid w:val="54233C15"/>
    <w:rsid w:val="5434DFB6"/>
    <w:rsid w:val="5491482E"/>
    <w:rsid w:val="549BCF5F"/>
    <w:rsid w:val="55106D5F"/>
    <w:rsid w:val="55BF4C57"/>
    <w:rsid w:val="5625CA18"/>
    <w:rsid w:val="566F154A"/>
    <w:rsid w:val="57BD2BC5"/>
    <w:rsid w:val="57C1AC00"/>
    <w:rsid w:val="596B5030"/>
    <w:rsid w:val="5A1E844E"/>
    <w:rsid w:val="5A27FB28"/>
    <w:rsid w:val="5B80901C"/>
    <w:rsid w:val="5B8B8F14"/>
    <w:rsid w:val="5B9C3C84"/>
    <w:rsid w:val="5BC9C003"/>
    <w:rsid w:val="5BE5B26D"/>
    <w:rsid w:val="5C628661"/>
    <w:rsid w:val="5C76F24C"/>
    <w:rsid w:val="5D2F6404"/>
    <w:rsid w:val="5E24F731"/>
    <w:rsid w:val="5F9803FD"/>
    <w:rsid w:val="602E8DA6"/>
    <w:rsid w:val="60DFCC4B"/>
    <w:rsid w:val="60E0F85A"/>
    <w:rsid w:val="61895088"/>
    <w:rsid w:val="62CD348D"/>
    <w:rsid w:val="65380FD3"/>
    <w:rsid w:val="65704202"/>
    <w:rsid w:val="65A4F388"/>
    <w:rsid w:val="67947173"/>
    <w:rsid w:val="67B69890"/>
    <w:rsid w:val="67CC2392"/>
    <w:rsid w:val="67DA1AE5"/>
    <w:rsid w:val="688E7C20"/>
    <w:rsid w:val="6964D076"/>
    <w:rsid w:val="6979A285"/>
    <w:rsid w:val="697EA5DC"/>
    <w:rsid w:val="69AA400E"/>
    <w:rsid w:val="69CBB437"/>
    <w:rsid w:val="6A349261"/>
    <w:rsid w:val="6A8B3EFD"/>
    <w:rsid w:val="6B339F1D"/>
    <w:rsid w:val="6BC2C1D9"/>
    <w:rsid w:val="6BD58B13"/>
    <w:rsid w:val="6C55F6A2"/>
    <w:rsid w:val="6C788E72"/>
    <w:rsid w:val="6E8DE549"/>
    <w:rsid w:val="6EC8AC3D"/>
    <w:rsid w:val="6F2F1C13"/>
    <w:rsid w:val="6FA78F73"/>
    <w:rsid w:val="70B3B72B"/>
    <w:rsid w:val="7150B156"/>
    <w:rsid w:val="71BD22D2"/>
    <w:rsid w:val="71EF4CFD"/>
    <w:rsid w:val="72A7FB51"/>
    <w:rsid w:val="72ADD608"/>
    <w:rsid w:val="736E997E"/>
    <w:rsid w:val="73DB07CD"/>
    <w:rsid w:val="749F1BA2"/>
    <w:rsid w:val="74D5482F"/>
    <w:rsid w:val="7576AAED"/>
    <w:rsid w:val="75AD28E2"/>
    <w:rsid w:val="762111B6"/>
    <w:rsid w:val="76F3113C"/>
    <w:rsid w:val="770862E3"/>
    <w:rsid w:val="773328C5"/>
    <w:rsid w:val="77614D8E"/>
    <w:rsid w:val="7987E021"/>
    <w:rsid w:val="7B6E5DA6"/>
    <w:rsid w:val="7BACFACF"/>
    <w:rsid w:val="7BE433E9"/>
    <w:rsid w:val="7BEE9D9C"/>
    <w:rsid w:val="7C8A52DF"/>
    <w:rsid w:val="7C8BE1A6"/>
    <w:rsid w:val="7CFE722A"/>
    <w:rsid w:val="7E8F7B95"/>
    <w:rsid w:val="7EF1BE39"/>
    <w:rsid w:val="7F08E20B"/>
    <w:rsid w:val="7F644605"/>
    <w:rsid w:val="7F881EC6"/>
    <w:rsid w:val="7FBB965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7C44"/>
  <w15:chartTrackingRefBased/>
  <w15:docId w15:val="{1185C524-5E41-466D-8A24-F471AC65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2448"/>
    <w:pPr>
      <w:spacing w:after="240"/>
    </w:pPr>
  </w:style>
  <w:style w:type="paragraph" w:styleId="Heading1">
    <w:name w:val="heading 1"/>
    <w:aliases w:val="Vol 4 Heading 1"/>
    <w:basedOn w:val="Normal"/>
    <w:next w:val="Normal"/>
    <w:link w:val="Heading1Char"/>
    <w:uiPriority w:val="8"/>
    <w:qFormat/>
    <w:rsid w:val="009A2448"/>
    <w:pPr>
      <w:keepNext/>
      <w:keepLines/>
      <w:spacing w:before="240"/>
      <w:outlineLvl w:val="0"/>
    </w:pPr>
    <w:rPr>
      <w:rFonts w:ascii="Arial" w:eastAsiaTheme="majorEastAsia" w:hAnsi="Arial" w:cstheme="majorBidi"/>
      <w:b/>
      <w:color w:val="385623" w:themeColor="accent6" w:themeShade="80"/>
      <w:sz w:val="40"/>
      <w:szCs w:val="32"/>
    </w:rPr>
  </w:style>
  <w:style w:type="paragraph" w:styleId="Heading2">
    <w:name w:val="heading 2"/>
    <w:basedOn w:val="Normal"/>
    <w:next w:val="Normal"/>
    <w:link w:val="Heading2Char"/>
    <w:uiPriority w:val="9"/>
    <w:unhideWhenUsed/>
    <w:qFormat/>
    <w:rsid w:val="009A2448"/>
    <w:pPr>
      <w:keepNext/>
      <w:keepLines/>
      <w:spacing w:before="120" w:after="120" w:line="276" w:lineRule="auto"/>
      <w:jc w:val="both"/>
      <w:outlineLvl w:val="1"/>
    </w:pPr>
    <w:rPr>
      <w:rFonts w:ascii="Arial" w:eastAsiaTheme="majorEastAsia" w:hAnsi="Arial" w:cstheme="majorBidi"/>
      <w:b/>
      <w:color w:val="385623" w:themeColor="accent6" w:themeShade="80"/>
      <w:sz w:val="28"/>
      <w:szCs w:val="26"/>
    </w:rPr>
  </w:style>
  <w:style w:type="paragraph" w:styleId="Heading3">
    <w:name w:val="heading 3"/>
    <w:aliases w:val="Vol 4 Heading 3"/>
    <w:basedOn w:val="Normal"/>
    <w:next w:val="Normal"/>
    <w:link w:val="Heading3Char"/>
    <w:uiPriority w:val="9"/>
    <w:unhideWhenUsed/>
    <w:qFormat/>
    <w:rsid w:val="009A2448"/>
    <w:pPr>
      <w:keepNext/>
      <w:keepLines/>
      <w:spacing w:before="40" w:after="0" w:line="276" w:lineRule="auto"/>
      <w:outlineLvl w:val="2"/>
    </w:pPr>
    <w:rPr>
      <w:rFonts w:ascii="Arial" w:eastAsia="Arial" w:hAnsi="Arial" w:cs="Arial"/>
      <w:b/>
      <w:color w:val="385623" w:themeColor="accent6" w:themeShade="80"/>
      <w:sz w:val="26"/>
    </w:rPr>
  </w:style>
  <w:style w:type="paragraph" w:styleId="Heading4">
    <w:name w:val="heading 4"/>
    <w:aliases w:val="Volume 4,Sub Heading 4"/>
    <w:basedOn w:val="Normal"/>
    <w:next w:val="Normal"/>
    <w:link w:val="Heading4Char"/>
    <w:unhideWhenUsed/>
    <w:qFormat/>
    <w:rsid w:val="00ED72D0"/>
    <w:pPr>
      <w:keepNext/>
      <w:keepLines/>
      <w:spacing w:before="40" w:after="0"/>
      <w:outlineLvl w:val="3"/>
    </w:pPr>
    <w:rPr>
      <w:rFonts w:ascii="Arial" w:eastAsiaTheme="majorEastAsia" w:hAnsi="Arial" w:cstheme="majorBidi"/>
      <w:b/>
      <w:bCs/>
      <w:iCs/>
      <w:color w:val="385623" w:themeColor="accent6" w:themeShade="80"/>
      <w:szCs w:val="24"/>
    </w:rPr>
  </w:style>
  <w:style w:type="paragraph" w:styleId="Heading5">
    <w:name w:val="heading 5"/>
    <w:basedOn w:val="Normal"/>
    <w:next w:val="BodyText"/>
    <w:link w:val="Heading5Char"/>
    <w:uiPriority w:val="1"/>
    <w:semiHidden/>
    <w:qFormat/>
    <w:rsid w:val="009A2448"/>
    <w:pPr>
      <w:keepNext/>
      <w:keepLines/>
      <w:numPr>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E6124"/>
    <w:pPr>
      <w:keepNext/>
      <w:keepLines/>
      <w:spacing w:before="40" w:after="0"/>
      <w:outlineLvl w:val="5"/>
    </w:pPr>
    <w:rPr>
      <w:rFonts w:asciiTheme="majorHAnsi" w:eastAsia="Arial" w:hAnsiTheme="majorHAnsi" w:cstheme="majorBidi"/>
      <w:b/>
      <w:bCs/>
      <w:color w:val="385623" w:themeColor="accent6" w:themeShade="80"/>
    </w:rPr>
  </w:style>
  <w:style w:type="paragraph" w:styleId="Heading7">
    <w:name w:val="heading 7"/>
    <w:basedOn w:val="Normal"/>
    <w:next w:val="Normal"/>
    <w:link w:val="Heading7Char"/>
    <w:uiPriority w:val="9"/>
    <w:unhideWhenUsed/>
    <w:qFormat/>
    <w:rsid w:val="009146A9"/>
    <w:pPr>
      <w:keepNext/>
      <w:keepLines/>
      <w:spacing w:before="40" w:after="0"/>
      <w:outlineLvl w:val="6"/>
    </w:pPr>
    <w:rPr>
      <w:rFonts w:asciiTheme="majorHAnsi" w:eastAsia="Arial" w:hAnsiTheme="majorHAnsi" w:cstheme="majorBidi"/>
      <w:b/>
      <w:bCs/>
      <w:i/>
      <w:iCs/>
      <w:color w:val="385623" w:themeColor="accent6" w:themeShade="80"/>
    </w:rPr>
  </w:style>
  <w:style w:type="paragraph" w:styleId="Heading8">
    <w:name w:val="heading 8"/>
    <w:basedOn w:val="Normal"/>
    <w:next w:val="Normal"/>
    <w:link w:val="Heading8Char"/>
    <w:uiPriority w:val="9"/>
    <w:unhideWhenUsed/>
    <w:qFormat/>
    <w:rsid w:val="006D0E3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ol 4 Heading 1 Char"/>
    <w:basedOn w:val="DefaultParagraphFont"/>
    <w:link w:val="Heading1"/>
    <w:uiPriority w:val="8"/>
    <w:rsid w:val="009A2448"/>
    <w:rPr>
      <w:rFonts w:ascii="Arial" w:eastAsiaTheme="majorEastAsia" w:hAnsi="Arial" w:cstheme="majorBidi"/>
      <w:b/>
      <w:color w:val="385623" w:themeColor="accent6" w:themeShade="80"/>
      <w:sz w:val="40"/>
      <w:szCs w:val="32"/>
    </w:rPr>
  </w:style>
  <w:style w:type="character" w:customStyle="1" w:styleId="Heading2Char">
    <w:name w:val="Heading 2 Char"/>
    <w:basedOn w:val="DefaultParagraphFont"/>
    <w:link w:val="Heading2"/>
    <w:uiPriority w:val="9"/>
    <w:rsid w:val="009A2448"/>
    <w:rPr>
      <w:rFonts w:ascii="Arial" w:eastAsiaTheme="majorEastAsia" w:hAnsi="Arial" w:cstheme="majorBidi"/>
      <w:b/>
      <w:color w:val="385623" w:themeColor="accent6" w:themeShade="80"/>
      <w:sz w:val="28"/>
      <w:szCs w:val="26"/>
    </w:rPr>
  </w:style>
  <w:style w:type="character" w:customStyle="1" w:styleId="Heading3Char">
    <w:name w:val="Heading 3 Char"/>
    <w:aliases w:val="Vol 4 Heading 3 Char"/>
    <w:basedOn w:val="DefaultParagraphFont"/>
    <w:link w:val="Heading3"/>
    <w:uiPriority w:val="9"/>
    <w:rsid w:val="009A2448"/>
    <w:rPr>
      <w:rFonts w:ascii="Arial" w:eastAsia="Arial" w:hAnsi="Arial" w:cs="Arial"/>
      <w:b/>
      <w:color w:val="385623" w:themeColor="accent6" w:themeShade="80"/>
      <w:sz w:val="26"/>
    </w:rPr>
  </w:style>
  <w:style w:type="character" w:customStyle="1" w:styleId="Heading4Char">
    <w:name w:val="Heading 4 Char"/>
    <w:aliases w:val="Volume 4 Char,Sub Heading 4 Char"/>
    <w:basedOn w:val="DefaultParagraphFont"/>
    <w:link w:val="Heading4"/>
    <w:rsid w:val="00CB0198"/>
    <w:rPr>
      <w:rFonts w:ascii="Arial" w:eastAsiaTheme="majorEastAsia" w:hAnsi="Arial" w:cstheme="majorBidi"/>
      <w:b/>
      <w:bCs/>
      <w:iCs/>
      <w:color w:val="385623" w:themeColor="accent6" w:themeShade="80"/>
      <w:szCs w:val="24"/>
    </w:rPr>
  </w:style>
  <w:style w:type="paragraph" w:styleId="BodyText">
    <w:name w:val="Body Text"/>
    <w:basedOn w:val="Normal"/>
    <w:link w:val="BodyTextChar"/>
    <w:uiPriority w:val="99"/>
    <w:semiHidden/>
    <w:unhideWhenUsed/>
    <w:rsid w:val="009A2448"/>
    <w:pPr>
      <w:spacing w:after="120"/>
    </w:pPr>
  </w:style>
  <w:style w:type="character" w:customStyle="1" w:styleId="BodyTextChar">
    <w:name w:val="Body Text Char"/>
    <w:basedOn w:val="DefaultParagraphFont"/>
    <w:link w:val="BodyText"/>
    <w:uiPriority w:val="99"/>
    <w:semiHidden/>
    <w:rsid w:val="009A2448"/>
  </w:style>
  <w:style w:type="character" w:customStyle="1" w:styleId="Heading5Char">
    <w:name w:val="Heading 5 Char"/>
    <w:basedOn w:val="DefaultParagraphFont"/>
    <w:link w:val="Heading5"/>
    <w:uiPriority w:val="1"/>
    <w:semiHidden/>
    <w:rsid w:val="009A244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E6124"/>
    <w:rPr>
      <w:rFonts w:asciiTheme="majorHAnsi" w:eastAsia="Arial" w:hAnsiTheme="majorHAnsi" w:cstheme="majorBidi"/>
      <w:b/>
      <w:bCs/>
      <w:color w:val="385623" w:themeColor="accent6" w:themeShade="80"/>
    </w:rPr>
  </w:style>
  <w:style w:type="character" w:customStyle="1" w:styleId="Heading7Char">
    <w:name w:val="Heading 7 Char"/>
    <w:basedOn w:val="DefaultParagraphFont"/>
    <w:link w:val="Heading7"/>
    <w:uiPriority w:val="9"/>
    <w:rsid w:val="009146A9"/>
    <w:rPr>
      <w:rFonts w:asciiTheme="majorHAnsi" w:eastAsia="Arial" w:hAnsiTheme="majorHAnsi" w:cstheme="majorBidi"/>
      <w:b/>
      <w:bCs/>
      <w:i/>
      <w:iCs/>
      <w:color w:val="385623" w:themeColor="accent6" w:themeShade="80"/>
    </w:rPr>
  </w:style>
  <w:style w:type="character" w:customStyle="1" w:styleId="Heading8Char">
    <w:name w:val="Heading 8 Char"/>
    <w:basedOn w:val="DefaultParagraphFont"/>
    <w:link w:val="Heading8"/>
    <w:uiPriority w:val="9"/>
    <w:rsid w:val="006D0E37"/>
    <w:rPr>
      <w:rFonts w:asciiTheme="majorHAnsi" w:eastAsiaTheme="majorEastAsia" w:hAnsiTheme="majorHAnsi" w:cstheme="majorBidi"/>
      <w:color w:val="272727" w:themeColor="text1" w:themeTint="D8"/>
      <w:sz w:val="21"/>
      <w:szCs w:val="21"/>
    </w:rPr>
  </w:style>
  <w:style w:type="paragraph" w:styleId="ListParagraph">
    <w:name w:val="List Paragraph"/>
    <w:aliases w:val="Unordered List Paragraph,List Paragraph1,Recommendation,List Paragraph11,TOC style,lp1,Bullet OSM,Proposal Bullet List,Bullets,List Paragraph numbered,List Bullet indent,Level 3,Rec para,List 1,Other List,FooterText,numbered,列出段落,列出段落1,Bo"/>
    <w:basedOn w:val="Normal"/>
    <w:link w:val="ListParagraphChar"/>
    <w:uiPriority w:val="34"/>
    <w:qFormat/>
    <w:rsid w:val="009A2448"/>
    <w:pPr>
      <w:widowControl w:val="0"/>
      <w:numPr>
        <w:numId w:val="3"/>
      </w:numPr>
      <w:spacing w:before="120" w:line="276" w:lineRule="auto"/>
      <w:contextualSpacing/>
      <w:jc w:val="both"/>
      <w:textAlignment w:val="baseline"/>
    </w:pPr>
    <w:rPr>
      <w:rFonts w:ascii="Arial" w:eastAsia="Times New Roman" w:hAnsi="Arial" w:cs="Arial"/>
      <w:lang w:eastAsia="en-NZ"/>
    </w:rPr>
  </w:style>
  <w:style w:type="character" w:customStyle="1" w:styleId="ListParagraphChar">
    <w:name w:val="List Paragraph Char"/>
    <w:aliases w:val="Unordered List Paragraph Char,List Paragraph1 Char,Recommendation Char,List Paragraph11 Char,TOC style Char,lp1 Char,Bullet OSM Char,Proposal Bullet List Char,Bullets Char,List Paragraph numbered Char,List Bullet indent Char,Bo Char"/>
    <w:link w:val="ListParagraph"/>
    <w:uiPriority w:val="34"/>
    <w:qFormat/>
    <w:locked/>
    <w:rsid w:val="009A2448"/>
    <w:rPr>
      <w:rFonts w:ascii="Arial" w:eastAsia="Times New Roman" w:hAnsi="Arial" w:cs="Arial"/>
      <w:lang w:eastAsia="en-NZ"/>
    </w:rPr>
  </w:style>
  <w:style w:type="character" w:styleId="Hyperlink">
    <w:name w:val="Hyperlink"/>
    <w:uiPriority w:val="99"/>
    <w:rsid w:val="009A2448"/>
    <w:rPr>
      <w:color w:val="44546A" w:themeColor="text2"/>
      <w:u w:val="single"/>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basedOn w:val="DefaultParagraphFont"/>
    <w:link w:val="FootnoteText"/>
    <w:uiPriority w:val="99"/>
    <w:locked/>
    <w:rsid w:val="009A2448"/>
    <w:rPr>
      <w:rFonts w:ascii="Arial" w:hAnsi="Arial" w:cs="Times New Roman"/>
      <w:sz w:val="18"/>
      <w:szCs w:val="20"/>
    </w:rPr>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
    <w:basedOn w:val="Normal"/>
    <w:link w:val="FootnoteTextChar"/>
    <w:uiPriority w:val="99"/>
    <w:unhideWhenUsed/>
    <w:qFormat/>
    <w:rsid w:val="009A2448"/>
    <w:pPr>
      <w:keepLines/>
      <w:spacing w:before="60" w:after="60" w:line="192" w:lineRule="auto"/>
      <w:ind w:left="130" w:hanging="130"/>
    </w:pPr>
    <w:rPr>
      <w:rFonts w:ascii="Arial" w:hAnsi="Arial" w:cs="Times New Roman"/>
      <w:sz w:val="18"/>
      <w:szCs w:val="20"/>
    </w:rPr>
  </w:style>
  <w:style w:type="character" w:customStyle="1" w:styleId="FootnoteTextChar1">
    <w:name w:val="Footnote Text Char1"/>
    <w:basedOn w:val="DefaultParagraphFont"/>
    <w:uiPriority w:val="99"/>
    <w:semiHidden/>
    <w:rsid w:val="009A2448"/>
    <w:rPr>
      <w:sz w:val="20"/>
      <w:szCs w:val="20"/>
    </w:rPr>
  </w:style>
  <w:style w:type="character" w:styleId="FootnoteReference">
    <w:name w:val="footnote reference"/>
    <w:aliases w:val="Fago Fuﬂnotenzeichen,Fago Fußnotenzeichen,Footnotes refss,Footnote number,Footnote,4_G,Appel note de bas de page,Fago Fu?notenzeichen,Stinking Styles,fr,References/Footnotes,Fago Fuß notenzeichen"/>
    <w:uiPriority w:val="99"/>
    <w:unhideWhenUsed/>
    <w:qFormat/>
    <w:rsid w:val="009A2448"/>
    <w:rPr>
      <w:rFonts w:ascii="Arial" w:hAnsi="Arial" w:cs="Calibri"/>
      <w:sz w:val="18"/>
      <w:vertAlign w:val="superscript"/>
    </w:rPr>
  </w:style>
  <w:style w:type="character" w:customStyle="1" w:styleId="normaltextrun">
    <w:name w:val="normaltextrun"/>
    <w:basedOn w:val="DefaultParagraphFont"/>
    <w:rsid w:val="009A2448"/>
  </w:style>
  <w:style w:type="character" w:customStyle="1" w:styleId="eop">
    <w:name w:val="eop"/>
    <w:basedOn w:val="DefaultParagraphFont"/>
    <w:rsid w:val="009A2448"/>
  </w:style>
  <w:style w:type="character" w:customStyle="1" w:styleId="findhit">
    <w:name w:val="findhit"/>
    <w:basedOn w:val="DefaultParagraphFont"/>
    <w:rsid w:val="009A2448"/>
  </w:style>
  <w:style w:type="paragraph" w:customStyle="1" w:styleId="Vol4Numberedparas">
    <w:name w:val="Vol 4 Numbered paras"/>
    <w:basedOn w:val="Normal"/>
    <w:link w:val="Vol4NumberedparasChar"/>
    <w:qFormat/>
    <w:rsid w:val="009A2448"/>
    <w:pPr>
      <w:widowControl w:val="0"/>
      <w:numPr>
        <w:numId w:val="4"/>
      </w:numPr>
      <w:spacing w:before="120" w:after="120" w:line="276" w:lineRule="auto"/>
      <w:mirrorIndents/>
    </w:pPr>
    <w:rPr>
      <w:rFonts w:ascii="Arial" w:eastAsiaTheme="minorEastAsia" w:hAnsi="Arial" w:cs="Arial"/>
      <w:kern w:val="2"/>
      <w:lang w:eastAsia="en-NZ"/>
      <w14:ligatures w14:val="standardContextual"/>
    </w:rPr>
  </w:style>
  <w:style w:type="character" w:customStyle="1" w:styleId="Vol4NumberedparasChar">
    <w:name w:val="Vol 4 Numbered paras Char"/>
    <w:basedOn w:val="DefaultParagraphFont"/>
    <w:link w:val="Vol4Numberedparas"/>
    <w:rsid w:val="009A2448"/>
    <w:rPr>
      <w:rFonts w:ascii="Arial" w:eastAsiaTheme="minorEastAsia" w:hAnsi="Arial" w:cs="Arial"/>
      <w:kern w:val="2"/>
      <w:lang w:eastAsia="en-NZ"/>
      <w14:ligatures w14:val="standardContextual"/>
    </w:rPr>
  </w:style>
  <w:style w:type="table" w:customStyle="1" w:styleId="DIATable">
    <w:name w:val="_DIA Table"/>
    <w:basedOn w:val="TableNormal"/>
    <w:uiPriority w:val="99"/>
    <w:rsid w:val="009A2448"/>
    <w:pPr>
      <w:spacing w:before="56" w:after="32" w:line="240" w:lineRule="auto"/>
    </w:pPr>
    <w:rPr>
      <w:rFonts w:ascii="Calibri" w:hAnsi="Calibri"/>
      <w:szCs w:val="24"/>
    </w:rPr>
    <w:tblPr>
      <w:tblInd w:w="108"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6" w:space="0" w:color="44546A" w:themeColor="text2"/>
        <w:insideV w:val="single" w:sz="6" w:space="0" w:color="44546A"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44546A" w:themeColor="text2"/>
          <w:left w:val="single" w:sz="12" w:space="0" w:color="44546A" w:themeColor="text2"/>
          <w:bottom w:val="nil"/>
          <w:right w:val="single" w:sz="12" w:space="0" w:color="44546A" w:themeColor="text2"/>
          <w:insideH w:val="single" w:sz="6" w:space="0" w:color="FFFFFF" w:themeColor="background1"/>
          <w:insideV w:val="single" w:sz="6" w:space="0" w:color="FFFFFF" w:themeColor="background1"/>
          <w:tl2br w:val="nil"/>
          <w:tr2bl w:val="nil"/>
        </w:tcBorders>
        <w:shd w:val="clear" w:color="auto" w:fill="44546A" w:themeFill="text2"/>
      </w:tcPr>
    </w:tblStylePr>
  </w:style>
  <w:style w:type="paragraph" w:customStyle="1" w:styleId="NormDraftingnotes-nocategory">
    <w:name w:val="Norm Drafting notes - no category"/>
    <w:basedOn w:val="Normal"/>
    <w:link w:val="NormDraftingnotes-nocategoryChar"/>
    <w:rsid w:val="009A2448"/>
    <w:pPr>
      <w:keepLines/>
      <w:widowControl w:val="0"/>
      <w:spacing w:before="120" w:after="120"/>
    </w:pPr>
    <w:rPr>
      <w:rFonts w:ascii="Arial" w:eastAsiaTheme="minorEastAsia" w:hAnsi="Arial" w:cs="Arial"/>
      <w:bCs/>
      <w:iCs/>
      <w:color w:val="FF0000"/>
      <w:kern w:val="2"/>
      <w:lang w:val="en" w:eastAsia="en-NZ"/>
      <w14:ligatures w14:val="standardContextual"/>
    </w:rPr>
  </w:style>
  <w:style w:type="character" w:customStyle="1" w:styleId="NormDraftingnotes-nocategoryChar">
    <w:name w:val="Norm Drafting notes - no category Char"/>
    <w:basedOn w:val="DefaultParagraphFont"/>
    <w:link w:val="NormDraftingnotes-nocategory"/>
    <w:rsid w:val="009A2448"/>
    <w:rPr>
      <w:rFonts w:ascii="Arial" w:eastAsiaTheme="minorEastAsia" w:hAnsi="Arial" w:cs="Arial"/>
      <w:bCs/>
      <w:iCs/>
      <w:color w:val="FF0000"/>
      <w:kern w:val="2"/>
      <w:lang w:val="en" w:eastAsia="en-NZ"/>
      <w14:ligatures w14:val="standardContextual"/>
    </w:rPr>
  </w:style>
  <w:style w:type="paragraph" w:customStyle="1" w:styleId="Possible-Draftingnote">
    <w:name w:val="Possible - Drafting note"/>
    <w:basedOn w:val="NormDraftingnotes-nocategory"/>
    <w:link w:val="Possible-DraftingnoteChar"/>
    <w:qFormat/>
    <w:rsid w:val="009A2448"/>
  </w:style>
  <w:style w:type="character" w:customStyle="1" w:styleId="Possible-DraftingnoteChar">
    <w:name w:val="Possible - Drafting note Char"/>
    <w:basedOn w:val="NormDraftingnotes-nocategoryChar"/>
    <w:link w:val="Possible-Draftingnote"/>
    <w:rsid w:val="009A2448"/>
    <w:rPr>
      <w:rFonts w:ascii="Arial" w:eastAsiaTheme="minorEastAsia" w:hAnsi="Arial" w:cs="Arial"/>
      <w:bCs/>
      <w:iCs/>
      <w:color w:val="FF0000"/>
      <w:kern w:val="2"/>
      <w:lang w:val="en" w:eastAsia="en-NZ"/>
      <w14:ligatures w14:val="standardContextual"/>
    </w:rPr>
  </w:style>
  <w:style w:type="paragraph" w:styleId="Revision">
    <w:name w:val="Revision"/>
    <w:hidden/>
    <w:uiPriority w:val="99"/>
    <w:semiHidden/>
    <w:rsid w:val="00F2000B"/>
    <w:pPr>
      <w:spacing w:after="0" w:line="240" w:lineRule="auto"/>
    </w:pPr>
  </w:style>
  <w:style w:type="paragraph" w:customStyle="1" w:styleId="Numparas">
    <w:name w:val="Num paras"/>
    <w:basedOn w:val="Normal"/>
    <w:link w:val="NumparasChar"/>
    <w:uiPriority w:val="1"/>
    <w:qFormat/>
    <w:rsid w:val="002425AF"/>
    <w:pPr>
      <w:widowControl w:val="0"/>
      <w:numPr>
        <w:numId w:val="5"/>
      </w:numPr>
      <w:spacing w:before="80" w:after="0"/>
    </w:pPr>
    <w:rPr>
      <w:rFonts w:eastAsia="Calibri" w:cs="Calibri"/>
      <w:color w:val="404040" w:themeColor="text1" w:themeTint="BF"/>
      <w:lang w:eastAsia="en-NZ"/>
    </w:rPr>
  </w:style>
  <w:style w:type="character" w:customStyle="1" w:styleId="NumparasChar">
    <w:name w:val="Num paras Char"/>
    <w:basedOn w:val="DefaultParagraphFont"/>
    <w:link w:val="Numparas"/>
    <w:uiPriority w:val="1"/>
    <w:rsid w:val="002425AF"/>
    <w:rPr>
      <w:rFonts w:eastAsia="Calibri" w:cs="Calibri"/>
      <w:color w:val="404040" w:themeColor="text1" w:themeTint="BF"/>
      <w:lang w:eastAsia="en-NZ"/>
    </w:rPr>
  </w:style>
  <w:style w:type="character" w:styleId="CommentReference">
    <w:name w:val="annotation reference"/>
    <w:basedOn w:val="DefaultParagraphFont"/>
    <w:uiPriority w:val="99"/>
    <w:semiHidden/>
    <w:unhideWhenUsed/>
    <w:rsid w:val="00854E3F"/>
    <w:rPr>
      <w:sz w:val="16"/>
      <w:szCs w:val="16"/>
    </w:rPr>
  </w:style>
  <w:style w:type="paragraph" w:styleId="CommentText">
    <w:name w:val="annotation text"/>
    <w:basedOn w:val="Normal"/>
    <w:link w:val="CommentTextChar"/>
    <w:uiPriority w:val="99"/>
    <w:unhideWhenUsed/>
    <w:rsid w:val="00854E3F"/>
    <w:pPr>
      <w:spacing w:line="240" w:lineRule="auto"/>
    </w:pPr>
    <w:rPr>
      <w:sz w:val="20"/>
      <w:szCs w:val="20"/>
    </w:rPr>
  </w:style>
  <w:style w:type="character" w:customStyle="1" w:styleId="CommentTextChar">
    <w:name w:val="Comment Text Char"/>
    <w:basedOn w:val="DefaultParagraphFont"/>
    <w:link w:val="CommentText"/>
    <w:uiPriority w:val="99"/>
    <w:rsid w:val="00854E3F"/>
    <w:rPr>
      <w:sz w:val="20"/>
      <w:szCs w:val="20"/>
    </w:rPr>
  </w:style>
  <w:style w:type="paragraph" w:styleId="CommentSubject">
    <w:name w:val="annotation subject"/>
    <w:basedOn w:val="CommentText"/>
    <w:next w:val="CommentText"/>
    <w:link w:val="CommentSubjectChar"/>
    <w:uiPriority w:val="99"/>
    <w:semiHidden/>
    <w:unhideWhenUsed/>
    <w:rsid w:val="00854E3F"/>
    <w:rPr>
      <w:b/>
      <w:bCs/>
    </w:rPr>
  </w:style>
  <w:style w:type="character" w:customStyle="1" w:styleId="CommentSubjectChar">
    <w:name w:val="Comment Subject Char"/>
    <w:basedOn w:val="CommentTextChar"/>
    <w:link w:val="CommentSubject"/>
    <w:uiPriority w:val="99"/>
    <w:semiHidden/>
    <w:rsid w:val="00854E3F"/>
    <w:rPr>
      <w:b/>
      <w:bCs/>
      <w:sz w:val="20"/>
      <w:szCs w:val="20"/>
    </w:rPr>
  </w:style>
  <w:style w:type="paragraph" w:styleId="BalloonText">
    <w:name w:val="Balloon Text"/>
    <w:basedOn w:val="Normal"/>
    <w:link w:val="BalloonTextChar"/>
    <w:uiPriority w:val="99"/>
    <w:semiHidden/>
    <w:unhideWhenUsed/>
    <w:rsid w:val="00A51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F86"/>
    <w:rPr>
      <w:rFonts w:ascii="Segoe UI" w:hAnsi="Segoe UI" w:cs="Segoe UI"/>
      <w:sz w:val="18"/>
      <w:szCs w:val="18"/>
    </w:rPr>
  </w:style>
  <w:style w:type="table" w:styleId="TableGrid">
    <w:name w:val="Table Grid"/>
    <w:basedOn w:val="TableNormal"/>
    <w:uiPriority w:val="59"/>
    <w:rsid w:val="00A5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os">
    <w:name w:val="Bulletos"/>
    <w:basedOn w:val="Normal"/>
    <w:link w:val="BulletosChar"/>
    <w:qFormat/>
    <w:rsid w:val="006D0E37"/>
    <w:pPr>
      <w:widowControl w:val="0"/>
      <w:spacing w:before="120" w:after="120" w:line="276" w:lineRule="auto"/>
      <w:ind w:left="991" w:hanging="360"/>
      <w:textAlignment w:val="baseline"/>
    </w:pPr>
    <w:rPr>
      <w:rFonts w:ascii="Arial" w:eastAsia="Times New Roman" w:hAnsi="Arial" w:cs="Arial"/>
      <w:lang w:eastAsia="en-NZ"/>
    </w:rPr>
  </w:style>
  <w:style w:type="character" w:customStyle="1" w:styleId="BulletosChar">
    <w:name w:val="Bulletos Char"/>
    <w:basedOn w:val="DefaultParagraphFont"/>
    <w:link w:val="Bulletos"/>
    <w:rsid w:val="006D0E37"/>
    <w:rPr>
      <w:rFonts w:ascii="Arial" w:eastAsia="Times New Roman" w:hAnsi="Arial" w:cs="Arial"/>
      <w:lang w:eastAsia="en-NZ"/>
    </w:rPr>
  </w:style>
  <w:style w:type="paragraph" w:customStyle="1" w:styleId="Vol4Quotes">
    <w:name w:val="Vol 4 Quotes"/>
    <w:basedOn w:val="Normal"/>
    <w:link w:val="Vol4QuotesChar"/>
    <w:qFormat/>
    <w:rsid w:val="009855CC"/>
    <w:pPr>
      <w:widowControl w:val="0"/>
      <w:spacing w:before="120" w:after="120" w:line="276" w:lineRule="auto"/>
      <w:ind w:left="1701" w:right="1229"/>
    </w:pPr>
    <w:rPr>
      <w:rFonts w:ascii="Arial" w:hAnsi="Arial" w:cs="Arial"/>
    </w:rPr>
  </w:style>
  <w:style w:type="character" w:customStyle="1" w:styleId="Vol4QuotesChar">
    <w:name w:val="Vol 4 Quotes Char"/>
    <w:basedOn w:val="DefaultParagraphFont"/>
    <w:link w:val="Vol4Quotes"/>
    <w:rsid w:val="00B3040B"/>
    <w:rPr>
      <w:rFonts w:ascii="Arial" w:hAnsi="Arial" w:cs="Arial"/>
    </w:rPr>
  </w:style>
  <w:style w:type="paragraph" w:styleId="Header">
    <w:name w:val="header"/>
    <w:basedOn w:val="Normal"/>
    <w:link w:val="HeaderChar"/>
    <w:uiPriority w:val="99"/>
    <w:unhideWhenUsed/>
    <w:rsid w:val="00553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329"/>
  </w:style>
  <w:style w:type="paragraph" w:styleId="Footer">
    <w:name w:val="footer"/>
    <w:basedOn w:val="Normal"/>
    <w:link w:val="FooterChar"/>
    <w:uiPriority w:val="99"/>
    <w:unhideWhenUsed/>
    <w:rsid w:val="00553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329"/>
  </w:style>
  <w:style w:type="character" w:styleId="UnresolvedMention">
    <w:name w:val="Unresolved Mention"/>
    <w:basedOn w:val="DefaultParagraphFont"/>
    <w:uiPriority w:val="99"/>
    <w:semiHidden/>
    <w:unhideWhenUsed/>
    <w:rsid w:val="001F6124"/>
    <w:rPr>
      <w:color w:val="605E5C"/>
      <w:shd w:val="clear" w:color="auto" w:fill="E1DFDD"/>
    </w:rPr>
  </w:style>
  <w:style w:type="character" w:styleId="FollowedHyperlink">
    <w:name w:val="FollowedHyperlink"/>
    <w:basedOn w:val="DefaultParagraphFont"/>
    <w:uiPriority w:val="99"/>
    <w:semiHidden/>
    <w:unhideWhenUsed/>
    <w:rsid w:val="00AE5383"/>
    <w:rPr>
      <w:color w:val="954F72" w:themeColor="followedHyperlink"/>
      <w:u w:val="single"/>
    </w:rPr>
  </w:style>
  <w:style w:type="paragraph" w:styleId="TOCHeading">
    <w:name w:val="TOC Heading"/>
    <w:basedOn w:val="Heading1"/>
    <w:next w:val="Normal"/>
    <w:uiPriority w:val="39"/>
    <w:unhideWhenUsed/>
    <w:qFormat/>
    <w:rsid w:val="00F02CBD"/>
    <w:pPr>
      <w:spacing w:after="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F20D1"/>
    <w:pPr>
      <w:tabs>
        <w:tab w:val="right" w:leader="dot" w:pos="9016"/>
      </w:tabs>
      <w:spacing w:before="120" w:after="120" w:line="240" w:lineRule="auto"/>
    </w:pPr>
    <w:rPr>
      <w:rFonts w:ascii="Arial" w:hAnsi="Arial"/>
      <w:b/>
      <w:color w:val="385623" w:themeColor="accent6" w:themeShade="80"/>
    </w:rPr>
  </w:style>
  <w:style w:type="paragraph" w:styleId="TOC2">
    <w:name w:val="toc 2"/>
    <w:basedOn w:val="Normal"/>
    <w:next w:val="Normal"/>
    <w:autoRedefine/>
    <w:uiPriority w:val="39"/>
    <w:unhideWhenUsed/>
    <w:rsid w:val="00741623"/>
    <w:pPr>
      <w:spacing w:before="60" w:after="60" w:line="240" w:lineRule="auto"/>
      <w:ind w:left="284"/>
    </w:pPr>
    <w:rPr>
      <w:rFonts w:ascii="Arial" w:hAnsi="Arial"/>
      <w:b/>
    </w:rPr>
  </w:style>
  <w:style w:type="paragraph" w:styleId="TOC3">
    <w:name w:val="toc 3"/>
    <w:basedOn w:val="Normal"/>
    <w:next w:val="Normal"/>
    <w:autoRedefine/>
    <w:uiPriority w:val="39"/>
    <w:unhideWhenUsed/>
    <w:rsid w:val="001F20D1"/>
    <w:pPr>
      <w:tabs>
        <w:tab w:val="right" w:leader="dot" w:pos="9016"/>
      </w:tabs>
      <w:spacing w:after="0" w:line="240" w:lineRule="auto"/>
      <w:ind w:left="851"/>
    </w:pPr>
    <w:rPr>
      <w:rFonts w:ascii="Arial" w:hAnsi="Arial"/>
    </w:rPr>
  </w:style>
  <w:style w:type="character" w:styleId="Mention">
    <w:name w:val="Mention"/>
    <w:basedOn w:val="DefaultParagraphFont"/>
    <w:uiPriority w:val="99"/>
    <w:unhideWhenUsed/>
    <w:rsid w:val="00F33D71"/>
    <w:rPr>
      <w:color w:val="2B579A"/>
      <w:shd w:val="clear" w:color="auto" w:fill="E1DFDD"/>
    </w:rPr>
  </w:style>
  <w:style w:type="paragraph" w:customStyle="1" w:styleId="paragraph">
    <w:name w:val="paragraph"/>
    <w:basedOn w:val="Normal"/>
    <w:rsid w:val="006B4C0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cxw197130275">
    <w:name w:val="scxw197130275"/>
    <w:basedOn w:val="DefaultParagraphFont"/>
    <w:rsid w:val="00B40CAD"/>
  </w:style>
  <w:style w:type="character" w:customStyle="1" w:styleId="apple-converted-space">
    <w:name w:val="apple-converted-space"/>
    <w:basedOn w:val="DefaultParagraphFont"/>
    <w:rsid w:val="004F408F"/>
  </w:style>
  <w:style w:type="character" w:customStyle="1" w:styleId="cf01">
    <w:name w:val="cf01"/>
    <w:basedOn w:val="DefaultParagraphFont"/>
    <w:rsid w:val="00543863"/>
    <w:rPr>
      <w:rFonts w:ascii="Segoe UI" w:hAnsi="Segoe UI" w:cs="Segoe UI" w:hint="default"/>
      <w:sz w:val="18"/>
      <w:szCs w:val="18"/>
    </w:rPr>
  </w:style>
  <w:style w:type="character" w:styleId="Strong">
    <w:name w:val="Strong"/>
    <w:basedOn w:val="DefaultParagraphFont"/>
    <w:uiPriority w:val="22"/>
    <w:qFormat/>
    <w:rsid w:val="00BB1297"/>
    <w:rPr>
      <w:b/>
      <w:bCs/>
    </w:rPr>
  </w:style>
  <w:style w:type="paragraph" w:styleId="BodyTextIndent3">
    <w:name w:val="Body Text Indent 3"/>
    <w:basedOn w:val="Normal"/>
    <w:link w:val="BodyTextIndent3Char"/>
    <w:uiPriority w:val="99"/>
    <w:semiHidden/>
    <w:unhideWhenUsed/>
    <w:rsid w:val="005977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7756"/>
    <w:rPr>
      <w:sz w:val="16"/>
      <w:szCs w:val="16"/>
    </w:rPr>
  </w:style>
  <w:style w:type="paragraph" w:customStyle="1" w:styleId="body">
    <w:name w:val="body"/>
    <w:basedOn w:val="Normal"/>
    <w:link w:val="bodyChar"/>
    <w:qFormat/>
    <w:rsid w:val="00ED4B78"/>
    <w:pPr>
      <w:spacing w:after="160"/>
    </w:pPr>
    <w:rPr>
      <w:rFonts w:ascii="Arial" w:hAnsi="Arial" w:cs="Arial"/>
    </w:rPr>
  </w:style>
  <w:style w:type="character" w:customStyle="1" w:styleId="bodyChar">
    <w:name w:val="body Char"/>
    <w:basedOn w:val="DefaultParagraphFont"/>
    <w:link w:val="body"/>
    <w:rsid w:val="00ED4B78"/>
    <w:rPr>
      <w:rFonts w:ascii="Arial" w:hAnsi="Arial" w:cs="Arial"/>
    </w:rPr>
  </w:style>
  <w:style w:type="paragraph" w:customStyle="1" w:styleId="pop-outquote">
    <w:name w:val="pop-out quote"/>
    <w:basedOn w:val="Normal"/>
    <w:link w:val="pop-outquoteChar"/>
    <w:qFormat/>
    <w:rsid w:val="00ED4B78"/>
    <w:pPr>
      <w:spacing w:after="160" w:line="276" w:lineRule="auto"/>
      <w:ind w:left="1701" w:right="1230"/>
    </w:pPr>
    <w:rPr>
      <w:rFonts w:ascii="Arial" w:eastAsia="Times New Roman" w:hAnsi="Arial" w:cs="Arial"/>
      <w:b/>
      <w:lang w:eastAsia="en-NZ"/>
    </w:rPr>
  </w:style>
  <w:style w:type="character" w:customStyle="1" w:styleId="pop-outquoteChar">
    <w:name w:val="pop-out quote Char"/>
    <w:basedOn w:val="DefaultParagraphFont"/>
    <w:link w:val="pop-outquote"/>
    <w:rsid w:val="00ED4B78"/>
    <w:rPr>
      <w:rFonts w:ascii="Arial" w:eastAsia="Times New Roman" w:hAnsi="Arial" w:cs="Arial"/>
      <w:b/>
      <w:lang w:eastAsia="en-NZ"/>
    </w:rPr>
  </w:style>
  <w:style w:type="paragraph" w:styleId="TOC4">
    <w:name w:val="toc 4"/>
    <w:basedOn w:val="Normal"/>
    <w:next w:val="Normal"/>
    <w:autoRedefine/>
    <w:uiPriority w:val="39"/>
    <w:unhideWhenUsed/>
    <w:rsid w:val="005B3AEE"/>
    <w:pPr>
      <w:spacing w:after="100"/>
      <w:ind w:left="660"/>
    </w:pPr>
    <w:rPr>
      <w:rFonts w:eastAsiaTheme="minorEastAsia"/>
      <w:lang w:eastAsia="en-NZ"/>
    </w:rPr>
  </w:style>
  <w:style w:type="paragraph" w:styleId="TOC5">
    <w:name w:val="toc 5"/>
    <w:basedOn w:val="Normal"/>
    <w:next w:val="Normal"/>
    <w:autoRedefine/>
    <w:uiPriority w:val="39"/>
    <w:unhideWhenUsed/>
    <w:rsid w:val="005B3AEE"/>
    <w:pPr>
      <w:spacing w:after="100"/>
      <w:ind w:left="880"/>
    </w:pPr>
    <w:rPr>
      <w:rFonts w:eastAsiaTheme="minorEastAsia"/>
      <w:lang w:eastAsia="en-NZ"/>
    </w:rPr>
  </w:style>
  <w:style w:type="paragraph" w:styleId="TOC6">
    <w:name w:val="toc 6"/>
    <w:basedOn w:val="Normal"/>
    <w:next w:val="Normal"/>
    <w:autoRedefine/>
    <w:uiPriority w:val="39"/>
    <w:unhideWhenUsed/>
    <w:rsid w:val="005B3AEE"/>
    <w:pPr>
      <w:spacing w:after="100"/>
      <w:ind w:left="1100"/>
    </w:pPr>
    <w:rPr>
      <w:rFonts w:eastAsiaTheme="minorEastAsia"/>
      <w:lang w:eastAsia="en-NZ"/>
    </w:rPr>
  </w:style>
  <w:style w:type="paragraph" w:styleId="TOC7">
    <w:name w:val="toc 7"/>
    <w:basedOn w:val="Normal"/>
    <w:next w:val="Normal"/>
    <w:autoRedefine/>
    <w:uiPriority w:val="39"/>
    <w:unhideWhenUsed/>
    <w:rsid w:val="005B3AEE"/>
    <w:pPr>
      <w:spacing w:after="100"/>
      <w:ind w:left="1320"/>
    </w:pPr>
    <w:rPr>
      <w:rFonts w:eastAsiaTheme="minorEastAsia"/>
      <w:lang w:eastAsia="en-NZ"/>
    </w:rPr>
  </w:style>
  <w:style w:type="paragraph" w:styleId="TOC8">
    <w:name w:val="toc 8"/>
    <w:basedOn w:val="Normal"/>
    <w:next w:val="Normal"/>
    <w:autoRedefine/>
    <w:uiPriority w:val="39"/>
    <w:unhideWhenUsed/>
    <w:rsid w:val="005B3AEE"/>
    <w:pPr>
      <w:spacing w:after="100"/>
      <w:ind w:left="1540"/>
    </w:pPr>
    <w:rPr>
      <w:rFonts w:eastAsiaTheme="minorEastAsia"/>
      <w:lang w:eastAsia="en-NZ"/>
    </w:rPr>
  </w:style>
  <w:style w:type="paragraph" w:styleId="TOC9">
    <w:name w:val="toc 9"/>
    <w:basedOn w:val="Normal"/>
    <w:next w:val="Normal"/>
    <w:autoRedefine/>
    <w:uiPriority w:val="39"/>
    <w:unhideWhenUsed/>
    <w:rsid w:val="005B3AEE"/>
    <w:pPr>
      <w:spacing w:after="100"/>
      <w:ind w:left="1760"/>
    </w:pPr>
    <w:rPr>
      <w:rFonts w:eastAsiaTheme="minorEastAsia"/>
      <w:lang w:eastAsia="en-NZ"/>
    </w:rPr>
  </w:style>
  <w:style w:type="paragraph" w:styleId="EndnoteText">
    <w:name w:val="endnote text"/>
    <w:basedOn w:val="Normal"/>
    <w:link w:val="EndnoteTextChar"/>
    <w:uiPriority w:val="99"/>
    <w:semiHidden/>
    <w:unhideWhenUsed/>
    <w:rsid w:val="00C370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01E"/>
    <w:rPr>
      <w:sz w:val="20"/>
      <w:szCs w:val="20"/>
    </w:rPr>
  </w:style>
  <w:style w:type="character" w:styleId="EndnoteReference">
    <w:name w:val="endnote reference"/>
    <w:basedOn w:val="DefaultParagraphFont"/>
    <w:uiPriority w:val="99"/>
    <w:semiHidden/>
    <w:unhideWhenUsed/>
    <w:rsid w:val="00C37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3721">
      <w:bodyDiv w:val="1"/>
      <w:marLeft w:val="0"/>
      <w:marRight w:val="0"/>
      <w:marTop w:val="0"/>
      <w:marBottom w:val="0"/>
      <w:divBdr>
        <w:top w:val="none" w:sz="0" w:space="0" w:color="auto"/>
        <w:left w:val="none" w:sz="0" w:space="0" w:color="auto"/>
        <w:bottom w:val="none" w:sz="0" w:space="0" w:color="auto"/>
        <w:right w:val="none" w:sz="0" w:space="0" w:color="auto"/>
      </w:divBdr>
      <w:divsChild>
        <w:div w:id="537859619">
          <w:marLeft w:val="0"/>
          <w:marRight w:val="0"/>
          <w:marTop w:val="0"/>
          <w:marBottom w:val="0"/>
          <w:divBdr>
            <w:top w:val="none" w:sz="0" w:space="0" w:color="auto"/>
            <w:left w:val="none" w:sz="0" w:space="0" w:color="auto"/>
            <w:bottom w:val="none" w:sz="0" w:space="0" w:color="auto"/>
            <w:right w:val="none" w:sz="0" w:space="0" w:color="auto"/>
          </w:divBdr>
        </w:div>
        <w:div w:id="556167160">
          <w:marLeft w:val="0"/>
          <w:marRight w:val="0"/>
          <w:marTop w:val="0"/>
          <w:marBottom w:val="0"/>
          <w:divBdr>
            <w:top w:val="none" w:sz="0" w:space="0" w:color="auto"/>
            <w:left w:val="none" w:sz="0" w:space="0" w:color="auto"/>
            <w:bottom w:val="none" w:sz="0" w:space="0" w:color="auto"/>
            <w:right w:val="none" w:sz="0" w:space="0" w:color="auto"/>
          </w:divBdr>
        </w:div>
        <w:div w:id="993026057">
          <w:marLeft w:val="0"/>
          <w:marRight w:val="0"/>
          <w:marTop w:val="0"/>
          <w:marBottom w:val="0"/>
          <w:divBdr>
            <w:top w:val="none" w:sz="0" w:space="0" w:color="auto"/>
            <w:left w:val="none" w:sz="0" w:space="0" w:color="auto"/>
            <w:bottom w:val="none" w:sz="0" w:space="0" w:color="auto"/>
            <w:right w:val="none" w:sz="0" w:space="0" w:color="auto"/>
          </w:divBdr>
        </w:div>
        <w:div w:id="1036351522">
          <w:marLeft w:val="0"/>
          <w:marRight w:val="0"/>
          <w:marTop w:val="0"/>
          <w:marBottom w:val="0"/>
          <w:divBdr>
            <w:top w:val="none" w:sz="0" w:space="0" w:color="auto"/>
            <w:left w:val="none" w:sz="0" w:space="0" w:color="auto"/>
            <w:bottom w:val="none" w:sz="0" w:space="0" w:color="auto"/>
            <w:right w:val="none" w:sz="0" w:space="0" w:color="auto"/>
          </w:divBdr>
        </w:div>
        <w:div w:id="1063140291">
          <w:marLeft w:val="0"/>
          <w:marRight w:val="0"/>
          <w:marTop w:val="0"/>
          <w:marBottom w:val="0"/>
          <w:divBdr>
            <w:top w:val="none" w:sz="0" w:space="0" w:color="auto"/>
            <w:left w:val="none" w:sz="0" w:space="0" w:color="auto"/>
            <w:bottom w:val="none" w:sz="0" w:space="0" w:color="auto"/>
            <w:right w:val="none" w:sz="0" w:space="0" w:color="auto"/>
          </w:divBdr>
        </w:div>
        <w:div w:id="1377584045">
          <w:marLeft w:val="0"/>
          <w:marRight w:val="0"/>
          <w:marTop w:val="0"/>
          <w:marBottom w:val="0"/>
          <w:divBdr>
            <w:top w:val="none" w:sz="0" w:space="0" w:color="auto"/>
            <w:left w:val="none" w:sz="0" w:space="0" w:color="auto"/>
            <w:bottom w:val="none" w:sz="0" w:space="0" w:color="auto"/>
            <w:right w:val="none" w:sz="0" w:space="0" w:color="auto"/>
          </w:divBdr>
        </w:div>
        <w:div w:id="1391225258">
          <w:marLeft w:val="0"/>
          <w:marRight w:val="0"/>
          <w:marTop w:val="0"/>
          <w:marBottom w:val="0"/>
          <w:divBdr>
            <w:top w:val="none" w:sz="0" w:space="0" w:color="auto"/>
            <w:left w:val="none" w:sz="0" w:space="0" w:color="auto"/>
            <w:bottom w:val="none" w:sz="0" w:space="0" w:color="auto"/>
            <w:right w:val="none" w:sz="0" w:space="0" w:color="auto"/>
          </w:divBdr>
        </w:div>
        <w:div w:id="1401976039">
          <w:marLeft w:val="0"/>
          <w:marRight w:val="0"/>
          <w:marTop w:val="0"/>
          <w:marBottom w:val="0"/>
          <w:divBdr>
            <w:top w:val="none" w:sz="0" w:space="0" w:color="auto"/>
            <w:left w:val="none" w:sz="0" w:space="0" w:color="auto"/>
            <w:bottom w:val="none" w:sz="0" w:space="0" w:color="auto"/>
            <w:right w:val="none" w:sz="0" w:space="0" w:color="auto"/>
          </w:divBdr>
        </w:div>
        <w:div w:id="1555121640">
          <w:marLeft w:val="0"/>
          <w:marRight w:val="0"/>
          <w:marTop w:val="0"/>
          <w:marBottom w:val="0"/>
          <w:divBdr>
            <w:top w:val="none" w:sz="0" w:space="0" w:color="auto"/>
            <w:left w:val="none" w:sz="0" w:space="0" w:color="auto"/>
            <w:bottom w:val="none" w:sz="0" w:space="0" w:color="auto"/>
            <w:right w:val="none" w:sz="0" w:space="0" w:color="auto"/>
          </w:divBdr>
        </w:div>
        <w:div w:id="1689872588">
          <w:marLeft w:val="0"/>
          <w:marRight w:val="0"/>
          <w:marTop w:val="0"/>
          <w:marBottom w:val="0"/>
          <w:divBdr>
            <w:top w:val="none" w:sz="0" w:space="0" w:color="auto"/>
            <w:left w:val="none" w:sz="0" w:space="0" w:color="auto"/>
            <w:bottom w:val="none" w:sz="0" w:space="0" w:color="auto"/>
            <w:right w:val="none" w:sz="0" w:space="0" w:color="auto"/>
          </w:divBdr>
        </w:div>
        <w:div w:id="1700085385">
          <w:marLeft w:val="0"/>
          <w:marRight w:val="0"/>
          <w:marTop w:val="0"/>
          <w:marBottom w:val="0"/>
          <w:divBdr>
            <w:top w:val="none" w:sz="0" w:space="0" w:color="auto"/>
            <w:left w:val="none" w:sz="0" w:space="0" w:color="auto"/>
            <w:bottom w:val="none" w:sz="0" w:space="0" w:color="auto"/>
            <w:right w:val="none" w:sz="0" w:space="0" w:color="auto"/>
          </w:divBdr>
        </w:div>
      </w:divsChild>
    </w:div>
    <w:div w:id="266888834">
      <w:bodyDiv w:val="1"/>
      <w:marLeft w:val="0"/>
      <w:marRight w:val="0"/>
      <w:marTop w:val="0"/>
      <w:marBottom w:val="0"/>
      <w:divBdr>
        <w:top w:val="none" w:sz="0" w:space="0" w:color="auto"/>
        <w:left w:val="none" w:sz="0" w:space="0" w:color="auto"/>
        <w:bottom w:val="none" w:sz="0" w:space="0" w:color="auto"/>
        <w:right w:val="none" w:sz="0" w:space="0" w:color="auto"/>
      </w:divBdr>
    </w:div>
    <w:div w:id="1176656670">
      <w:bodyDiv w:val="1"/>
      <w:marLeft w:val="0"/>
      <w:marRight w:val="0"/>
      <w:marTop w:val="0"/>
      <w:marBottom w:val="0"/>
      <w:divBdr>
        <w:top w:val="none" w:sz="0" w:space="0" w:color="auto"/>
        <w:left w:val="none" w:sz="0" w:space="0" w:color="auto"/>
        <w:bottom w:val="none" w:sz="0" w:space="0" w:color="auto"/>
        <w:right w:val="none" w:sz="0" w:space="0" w:color="auto"/>
      </w:divBdr>
    </w:div>
    <w:div w:id="1255166386">
      <w:bodyDiv w:val="1"/>
      <w:marLeft w:val="0"/>
      <w:marRight w:val="0"/>
      <w:marTop w:val="0"/>
      <w:marBottom w:val="0"/>
      <w:divBdr>
        <w:top w:val="none" w:sz="0" w:space="0" w:color="auto"/>
        <w:left w:val="none" w:sz="0" w:space="0" w:color="auto"/>
        <w:bottom w:val="none" w:sz="0" w:space="0" w:color="auto"/>
        <w:right w:val="none" w:sz="0" w:space="0" w:color="auto"/>
      </w:divBdr>
      <w:divsChild>
        <w:div w:id="61564368">
          <w:marLeft w:val="0"/>
          <w:marRight w:val="0"/>
          <w:marTop w:val="0"/>
          <w:marBottom w:val="0"/>
          <w:divBdr>
            <w:top w:val="none" w:sz="0" w:space="0" w:color="auto"/>
            <w:left w:val="none" w:sz="0" w:space="0" w:color="auto"/>
            <w:bottom w:val="none" w:sz="0" w:space="0" w:color="auto"/>
            <w:right w:val="none" w:sz="0" w:space="0" w:color="auto"/>
          </w:divBdr>
        </w:div>
        <w:div w:id="115874698">
          <w:marLeft w:val="0"/>
          <w:marRight w:val="0"/>
          <w:marTop w:val="0"/>
          <w:marBottom w:val="0"/>
          <w:divBdr>
            <w:top w:val="none" w:sz="0" w:space="0" w:color="auto"/>
            <w:left w:val="none" w:sz="0" w:space="0" w:color="auto"/>
            <w:bottom w:val="none" w:sz="0" w:space="0" w:color="auto"/>
            <w:right w:val="none" w:sz="0" w:space="0" w:color="auto"/>
          </w:divBdr>
        </w:div>
        <w:div w:id="286200428">
          <w:marLeft w:val="0"/>
          <w:marRight w:val="0"/>
          <w:marTop w:val="0"/>
          <w:marBottom w:val="0"/>
          <w:divBdr>
            <w:top w:val="none" w:sz="0" w:space="0" w:color="auto"/>
            <w:left w:val="none" w:sz="0" w:space="0" w:color="auto"/>
            <w:bottom w:val="none" w:sz="0" w:space="0" w:color="auto"/>
            <w:right w:val="none" w:sz="0" w:space="0" w:color="auto"/>
          </w:divBdr>
        </w:div>
        <w:div w:id="455294282">
          <w:marLeft w:val="0"/>
          <w:marRight w:val="0"/>
          <w:marTop w:val="0"/>
          <w:marBottom w:val="0"/>
          <w:divBdr>
            <w:top w:val="none" w:sz="0" w:space="0" w:color="auto"/>
            <w:left w:val="none" w:sz="0" w:space="0" w:color="auto"/>
            <w:bottom w:val="none" w:sz="0" w:space="0" w:color="auto"/>
            <w:right w:val="none" w:sz="0" w:space="0" w:color="auto"/>
          </w:divBdr>
        </w:div>
        <w:div w:id="485249659">
          <w:marLeft w:val="0"/>
          <w:marRight w:val="0"/>
          <w:marTop w:val="0"/>
          <w:marBottom w:val="0"/>
          <w:divBdr>
            <w:top w:val="none" w:sz="0" w:space="0" w:color="auto"/>
            <w:left w:val="none" w:sz="0" w:space="0" w:color="auto"/>
            <w:bottom w:val="none" w:sz="0" w:space="0" w:color="auto"/>
            <w:right w:val="none" w:sz="0" w:space="0" w:color="auto"/>
          </w:divBdr>
        </w:div>
        <w:div w:id="922757902">
          <w:marLeft w:val="0"/>
          <w:marRight w:val="0"/>
          <w:marTop w:val="0"/>
          <w:marBottom w:val="0"/>
          <w:divBdr>
            <w:top w:val="none" w:sz="0" w:space="0" w:color="auto"/>
            <w:left w:val="none" w:sz="0" w:space="0" w:color="auto"/>
            <w:bottom w:val="none" w:sz="0" w:space="0" w:color="auto"/>
            <w:right w:val="none" w:sz="0" w:space="0" w:color="auto"/>
          </w:divBdr>
        </w:div>
        <w:div w:id="1124347510">
          <w:marLeft w:val="0"/>
          <w:marRight w:val="0"/>
          <w:marTop w:val="0"/>
          <w:marBottom w:val="0"/>
          <w:divBdr>
            <w:top w:val="none" w:sz="0" w:space="0" w:color="auto"/>
            <w:left w:val="none" w:sz="0" w:space="0" w:color="auto"/>
            <w:bottom w:val="none" w:sz="0" w:space="0" w:color="auto"/>
            <w:right w:val="none" w:sz="0" w:space="0" w:color="auto"/>
          </w:divBdr>
        </w:div>
        <w:div w:id="1501121902">
          <w:marLeft w:val="0"/>
          <w:marRight w:val="0"/>
          <w:marTop w:val="0"/>
          <w:marBottom w:val="0"/>
          <w:divBdr>
            <w:top w:val="none" w:sz="0" w:space="0" w:color="auto"/>
            <w:left w:val="none" w:sz="0" w:space="0" w:color="auto"/>
            <w:bottom w:val="none" w:sz="0" w:space="0" w:color="auto"/>
            <w:right w:val="none" w:sz="0" w:space="0" w:color="auto"/>
          </w:divBdr>
        </w:div>
        <w:div w:id="1590508432">
          <w:marLeft w:val="0"/>
          <w:marRight w:val="0"/>
          <w:marTop w:val="0"/>
          <w:marBottom w:val="0"/>
          <w:divBdr>
            <w:top w:val="none" w:sz="0" w:space="0" w:color="auto"/>
            <w:left w:val="none" w:sz="0" w:space="0" w:color="auto"/>
            <w:bottom w:val="none" w:sz="0" w:space="0" w:color="auto"/>
            <w:right w:val="none" w:sz="0" w:space="0" w:color="auto"/>
          </w:divBdr>
        </w:div>
      </w:divsChild>
    </w:div>
    <w:div w:id="1304433318">
      <w:bodyDiv w:val="1"/>
      <w:marLeft w:val="0"/>
      <w:marRight w:val="0"/>
      <w:marTop w:val="0"/>
      <w:marBottom w:val="0"/>
      <w:divBdr>
        <w:top w:val="none" w:sz="0" w:space="0" w:color="auto"/>
        <w:left w:val="none" w:sz="0" w:space="0" w:color="auto"/>
        <w:bottom w:val="none" w:sz="0" w:space="0" w:color="auto"/>
        <w:right w:val="none" w:sz="0" w:space="0" w:color="auto"/>
      </w:divBdr>
      <w:divsChild>
        <w:div w:id="90786825">
          <w:marLeft w:val="0"/>
          <w:marRight w:val="0"/>
          <w:marTop w:val="0"/>
          <w:marBottom w:val="0"/>
          <w:divBdr>
            <w:top w:val="none" w:sz="0" w:space="0" w:color="auto"/>
            <w:left w:val="none" w:sz="0" w:space="0" w:color="auto"/>
            <w:bottom w:val="none" w:sz="0" w:space="0" w:color="auto"/>
            <w:right w:val="none" w:sz="0" w:space="0" w:color="auto"/>
          </w:divBdr>
        </w:div>
        <w:div w:id="190270116">
          <w:marLeft w:val="0"/>
          <w:marRight w:val="0"/>
          <w:marTop w:val="0"/>
          <w:marBottom w:val="0"/>
          <w:divBdr>
            <w:top w:val="none" w:sz="0" w:space="0" w:color="auto"/>
            <w:left w:val="none" w:sz="0" w:space="0" w:color="auto"/>
            <w:bottom w:val="none" w:sz="0" w:space="0" w:color="auto"/>
            <w:right w:val="none" w:sz="0" w:space="0" w:color="auto"/>
          </w:divBdr>
        </w:div>
        <w:div w:id="231280304">
          <w:marLeft w:val="0"/>
          <w:marRight w:val="0"/>
          <w:marTop w:val="0"/>
          <w:marBottom w:val="0"/>
          <w:divBdr>
            <w:top w:val="none" w:sz="0" w:space="0" w:color="auto"/>
            <w:left w:val="none" w:sz="0" w:space="0" w:color="auto"/>
            <w:bottom w:val="none" w:sz="0" w:space="0" w:color="auto"/>
            <w:right w:val="none" w:sz="0" w:space="0" w:color="auto"/>
          </w:divBdr>
        </w:div>
        <w:div w:id="367990759">
          <w:marLeft w:val="0"/>
          <w:marRight w:val="0"/>
          <w:marTop w:val="0"/>
          <w:marBottom w:val="0"/>
          <w:divBdr>
            <w:top w:val="none" w:sz="0" w:space="0" w:color="auto"/>
            <w:left w:val="none" w:sz="0" w:space="0" w:color="auto"/>
            <w:bottom w:val="none" w:sz="0" w:space="0" w:color="auto"/>
            <w:right w:val="none" w:sz="0" w:space="0" w:color="auto"/>
          </w:divBdr>
        </w:div>
        <w:div w:id="477721800">
          <w:marLeft w:val="0"/>
          <w:marRight w:val="0"/>
          <w:marTop w:val="0"/>
          <w:marBottom w:val="0"/>
          <w:divBdr>
            <w:top w:val="none" w:sz="0" w:space="0" w:color="auto"/>
            <w:left w:val="none" w:sz="0" w:space="0" w:color="auto"/>
            <w:bottom w:val="none" w:sz="0" w:space="0" w:color="auto"/>
            <w:right w:val="none" w:sz="0" w:space="0" w:color="auto"/>
          </w:divBdr>
        </w:div>
        <w:div w:id="562108215">
          <w:marLeft w:val="0"/>
          <w:marRight w:val="0"/>
          <w:marTop w:val="0"/>
          <w:marBottom w:val="0"/>
          <w:divBdr>
            <w:top w:val="none" w:sz="0" w:space="0" w:color="auto"/>
            <w:left w:val="none" w:sz="0" w:space="0" w:color="auto"/>
            <w:bottom w:val="none" w:sz="0" w:space="0" w:color="auto"/>
            <w:right w:val="none" w:sz="0" w:space="0" w:color="auto"/>
          </w:divBdr>
        </w:div>
        <w:div w:id="571476214">
          <w:marLeft w:val="0"/>
          <w:marRight w:val="0"/>
          <w:marTop w:val="0"/>
          <w:marBottom w:val="0"/>
          <w:divBdr>
            <w:top w:val="none" w:sz="0" w:space="0" w:color="auto"/>
            <w:left w:val="none" w:sz="0" w:space="0" w:color="auto"/>
            <w:bottom w:val="none" w:sz="0" w:space="0" w:color="auto"/>
            <w:right w:val="none" w:sz="0" w:space="0" w:color="auto"/>
          </w:divBdr>
        </w:div>
        <w:div w:id="641345463">
          <w:marLeft w:val="0"/>
          <w:marRight w:val="0"/>
          <w:marTop w:val="0"/>
          <w:marBottom w:val="0"/>
          <w:divBdr>
            <w:top w:val="none" w:sz="0" w:space="0" w:color="auto"/>
            <w:left w:val="none" w:sz="0" w:space="0" w:color="auto"/>
            <w:bottom w:val="none" w:sz="0" w:space="0" w:color="auto"/>
            <w:right w:val="none" w:sz="0" w:space="0" w:color="auto"/>
          </w:divBdr>
        </w:div>
        <w:div w:id="665399414">
          <w:marLeft w:val="0"/>
          <w:marRight w:val="0"/>
          <w:marTop w:val="0"/>
          <w:marBottom w:val="0"/>
          <w:divBdr>
            <w:top w:val="none" w:sz="0" w:space="0" w:color="auto"/>
            <w:left w:val="none" w:sz="0" w:space="0" w:color="auto"/>
            <w:bottom w:val="none" w:sz="0" w:space="0" w:color="auto"/>
            <w:right w:val="none" w:sz="0" w:space="0" w:color="auto"/>
          </w:divBdr>
        </w:div>
        <w:div w:id="713698463">
          <w:marLeft w:val="0"/>
          <w:marRight w:val="0"/>
          <w:marTop w:val="0"/>
          <w:marBottom w:val="0"/>
          <w:divBdr>
            <w:top w:val="none" w:sz="0" w:space="0" w:color="auto"/>
            <w:left w:val="none" w:sz="0" w:space="0" w:color="auto"/>
            <w:bottom w:val="none" w:sz="0" w:space="0" w:color="auto"/>
            <w:right w:val="none" w:sz="0" w:space="0" w:color="auto"/>
          </w:divBdr>
        </w:div>
        <w:div w:id="963542381">
          <w:marLeft w:val="0"/>
          <w:marRight w:val="0"/>
          <w:marTop w:val="0"/>
          <w:marBottom w:val="0"/>
          <w:divBdr>
            <w:top w:val="none" w:sz="0" w:space="0" w:color="auto"/>
            <w:left w:val="none" w:sz="0" w:space="0" w:color="auto"/>
            <w:bottom w:val="none" w:sz="0" w:space="0" w:color="auto"/>
            <w:right w:val="none" w:sz="0" w:space="0" w:color="auto"/>
          </w:divBdr>
        </w:div>
        <w:div w:id="1496611322">
          <w:marLeft w:val="0"/>
          <w:marRight w:val="0"/>
          <w:marTop w:val="0"/>
          <w:marBottom w:val="0"/>
          <w:divBdr>
            <w:top w:val="none" w:sz="0" w:space="0" w:color="auto"/>
            <w:left w:val="none" w:sz="0" w:space="0" w:color="auto"/>
            <w:bottom w:val="none" w:sz="0" w:space="0" w:color="auto"/>
            <w:right w:val="none" w:sz="0" w:space="0" w:color="auto"/>
          </w:divBdr>
        </w:div>
        <w:div w:id="1642660238">
          <w:marLeft w:val="0"/>
          <w:marRight w:val="0"/>
          <w:marTop w:val="0"/>
          <w:marBottom w:val="0"/>
          <w:divBdr>
            <w:top w:val="none" w:sz="0" w:space="0" w:color="auto"/>
            <w:left w:val="none" w:sz="0" w:space="0" w:color="auto"/>
            <w:bottom w:val="none" w:sz="0" w:space="0" w:color="auto"/>
            <w:right w:val="none" w:sz="0" w:space="0" w:color="auto"/>
          </w:divBdr>
        </w:div>
        <w:div w:id="1740667650">
          <w:marLeft w:val="0"/>
          <w:marRight w:val="0"/>
          <w:marTop w:val="0"/>
          <w:marBottom w:val="0"/>
          <w:divBdr>
            <w:top w:val="none" w:sz="0" w:space="0" w:color="auto"/>
            <w:left w:val="none" w:sz="0" w:space="0" w:color="auto"/>
            <w:bottom w:val="none" w:sz="0" w:space="0" w:color="auto"/>
            <w:right w:val="none" w:sz="0" w:space="0" w:color="auto"/>
          </w:divBdr>
        </w:div>
        <w:div w:id="1854608345">
          <w:marLeft w:val="0"/>
          <w:marRight w:val="0"/>
          <w:marTop w:val="0"/>
          <w:marBottom w:val="0"/>
          <w:divBdr>
            <w:top w:val="none" w:sz="0" w:space="0" w:color="auto"/>
            <w:left w:val="none" w:sz="0" w:space="0" w:color="auto"/>
            <w:bottom w:val="none" w:sz="0" w:space="0" w:color="auto"/>
            <w:right w:val="none" w:sz="0" w:space="0" w:color="auto"/>
          </w:divBdr>
        </w:div>
        <w:div w:id="1895963572">
          <w:marLeft w:val="0"/>
          <w:marRight w:val="0"/>
          <w:marTop w:val="0"/>
          <w:marBottom w:val="0"/>
          <w:divBdr>
            <w:top w:val="none" w:sz="0" w:space="0" w:color="auto"/>
            <w:left w:val="none" w:sz="0" w:space="0" w:color="auto"/>
            <w:bottom w:val="none" w:sz="0" w:space="0" w:color="auto"/>
            <w:right w:val="none" w:sz="0" w:space="0" w:color="auto"/>
          </w:divBdr>
        </w:div>
        <w:div w:id="2013988455">
          <w:marLeft w:val="0"/>
          <w:marRight w:val="0"/>
          <w:marTop w:val="0"/>
          <w:marBottom w:val="0"/>
          <w:divBdr>
            <w:top w:val="none" w:sz="0" w:space="0" w:color="auto"/>
            <w:left w:val="none" w:sz="0" w:space="0" w:color="auto"/>
            <w:bottom w:val="none" w:sz="0" w:space="0" w:color="auto"/>
            <w:right w:val="none" w:sz="0" w:space="0" w:color="auto"/>
          </w:divBdr>
        </w:div>
        <w:div w:id="2057662836">
          <w:marLeft w:val="0"/>
          <w:marRight w:val="0"/>
          <w:marTop w:val="0"/>
          <w:marBottom w:val="0"/>
          <w:divBdr>
            <w:top w:val="none" w:sz="0" w:space="0" w:color="auto"/>
            <w:left w:val="none" w:sz="0" w:space="0" w:color="auto"/>
            <w:bottom w:val="none" w:sz="0" w:space="0" w:color="auto"/>
            <w:right w:val="none" w:sz="0" w:space="0" w:color="auto"/>
          </w:divBdr>
        </w:div>
      </w:divsChild>
    </w:div>
    <w:div w:id="1816988290">
      <w:bodyDiv w:val="1"/>
      <w:marLeft w:val="0"/>
      <w:marRight w:val="0"/>
      <w:marTop w:val="0"/>
      <w:marBottom w:val="0"/>
      <w:divBdr>
        <w:top w:val="none" w:sz="0" w:space="0" w:color="auto"/>
        <w:left w:val="none" w:sz="0" w:space="0" w:color="auto"/>
        <w:bottom w:val="none" w:sz="0" w:space="0" w:color="auto"/>
        <w:right w:val="none" w:sz="0" w:space="0" w:color="auto"/>
      </w:divBdr>
      <w:divsChild>
        <w:div w:id="215168931">
          <w:marLeft w:val="0"/>
          <w:marRight w:val="0"/>
          <w:marTop w:val="0"/>
          <w:marBottom w:val="0"/>
          <w:divBdr>
            <w:top w:val="none" w:sz="0" w:space="0" w:color="auto"/>
            <w:left w:val="none" w:sz="0" w:space="0" w:color="auto"/>
            <w:bottom w:val="none" w:sz="0" w:space="0" w:color="auto"/>
            <w:right w:val="none" w:sz="0" w:space="0" w:color="auto"/>
          </w:divBdr>
        </w:div>
        <w:div w:id="253829127">
          <w:marLeft w:val="0"/>
          <w:marRight w:val="0"/>
          <w:marTop w:val="0"/>
          <w:marBottom w:val="0"/>
          <w:divBdr>
            <w:top w:val="none" w:sz="0" w:space="0" w:color="auto"/>
            <w:left w:val="none" w:sz="0" w:space="0" w:color="auto"/>
            <w:bottom w:val="none" w:sz="0" w:space="0" w:color="auto"/>
            <w:right w:val="none" w:sz="0" w:space="0" w:color="auto"/>
          </w:divBdr>
        </w:div>
        <w:div w:id="254560458">
          <w:marLeft w:val="0"/>
          <w:marRight w:val="0"/>
          <w:marTop w:val="0"/>
          <w:marBottom w:val="0"/>
          <w:divBdr>
            <w:top w:val="none" w:sz="0" w:space="0" w:color="auto"/>
            <w:left w:val="none" w:sz="0" w:space="0" w:color="auto"/>
            <w:bottom w:val="none" w:sz="0" w:space="0" w:color="auto"/>
            <w:right w:val="none" w:sz="0" w:space="0" w:color="auto"/>
          </w:divBdr>
        </w:div>
        <w:div w:id="298532197">
          <w:marLeft w:val="0"/>
          <w:marRight w:val="0"/>
          <w:marTop w:val="0"/>
          <w:marBottom w:val="0"/>
          <w:divBdr>
            <w:top w:val="none" w:sz="0" w:space="0" w:color="auto"/>
            <w:left w:val="none" w:sz="0" w:space="0" w:color="auto"/>
            <w:bottom w:val="none" w:sz="0" w:space="0" w:color="auto"/>
            <w:right w:val="none" w:sz="0" w:space="0" w:color="auto"/>
          </w:divBdr>
        </w:div>
        <w:div w:id="306713898">
          <w:marLeft w:val="0"/>
          <w:marRight w:val="0"/>
          <w:marTop w:val="0"/>
          <w:marBottom w:val="0"/>
          <w:divBdr>
            <w:top w:val="none" w:sz="0" w:space="0" w:color="auto"/>
            <w:left w:val="none" w:sz="0" w:space="0" w:color="auto"/>
            <w:bottom w:val="none" w:sz="0" w:space="0" w:color="auto"/>
            <w:right w:val="none" w:sz="0" w:space="0" w:color="auto"/>
          </w:divBdr>
        </w:div>
        <w:div w:id="502743727">
          <w:marLeft w:val="0"/>
          <w:marRight w:val="0"/>
          <w:marTop w:val="0"/>
          <w:marBottom w:val="0"/>
          <w:divBdr>
            <w:top w:val="none" w:sz="0" w:space="0" w:color="auto"/>
            <w:left w:val="none" w:sz="0" w:space="0" w:color="auto"/>
            <w:bottom w:val="none" w:sz="0" w:space="0" w:color="auto"/>
            <w:right w:val="none" w:sz="0" w:space="0" w:color="auto"/>
          </w:divBdr>
        </w:div>
        <w:div w:id="681392009">
          <w:marLeft w:val="0"/>
          <w:marRight w:val="0"/>
          <w:marTop w:val="0"/>
          <w:marBottom w:val="0"/>
          <w:divBdr>
            <w:top w:val="none" w:sz="0" w:space="0" w:color="auto"/>
            <w:left w:val="none" w:sz="0" w:space="0" w:color="auto"/>
            <w:bottom w:val="none" w:sz="0" w:space="0" w:color="auto"/>
            <w:right w:val="none" w:sz="0" w:space="0" w:color="auto"/>
          </w:divBdr>
        </w:div>
        <w:div w:id="701175268">
          <w:marLeft w:val="0"/>
          <w:marRight w:val="0"/>
          <w:marTop w:val="0"/>
          <w:marBottom w:val="0"/>
          <w:divBdr>
            <w:top w:val="none" w:sz="0" w:space="0" w:color="auto"/>
            <w:left w:val="none" w:sz="0" w:space="0" w:color="auto"/>
            <w:bottom w:val="none" w:sz="0" w:space="0" w:color="auto"/>
            <w:right w:val="none" w:sz="0" w:space="0" w:color="auto"/>
          </w:divBdr>
        </w:div>
        <w:div w:id="776371344">
          <w:marLeft w:val="0"/>
          <w:marRight w:val="0"/>
          <w:marTop w:val="0"/>
          <w:marBottom w:val="0"/>
          <w:divBdr>
            <w:top w:val="none" w:sz="0" w:space="0" w:color="auto"/>
            <w:left w:val="none" w:sz="0" w:space="0" w:color="auto"/>
            <w:bottom w:val="none" w:sz="0" w:space="0" w:color="auto"/>
            <w:right w:val="none" w:sz="0" w:space="0" w:color="auto"/>
          </w:divBdr>
        </w:div>
        <w:div w:id="778796143">
          <w:marLeft w:val="0"/>
          <w:marRight w:val="0"/>
          <w:marTop w:val="0"/>
          <w:marBottom w:val="0"/>
          <w:divBdr>
            <w:top w:val="none" w:sz="0" w:space="0" w:color="auto"/>
            <w:left w:val="none" w:sz="0" w:space="0" w:color="auto"/>
            <w:bottom w:val="none" w:sz="0" w:space="0" w:color="auto"/>
            <w:right w:val="none" w:sz="0" w:space="0" w:color="auto"/>
          </w:divBdr>
        </w:div>
        <w:div w:id="794253615">
          <w:marLeft w:val="0"/>
          <w:marRight w:val="0"/>
          <w:marTop w:val="0"/>
          <w:marBottom w:val="0"/>
          <w:divBdr>
            <w:top w:val="none" w:sz="0" w:space="0" w:color="auto"/>
            <w:left w:val="none" w:sz="0" w:space="0" w:color="auto"/>
            <w:bottom w:val="none" w:sz="0" w:space="0" w:color="auto"/>
            <w:right w:val="none" w:sz="0" w:space="0" w:color="auto"/>
          </w:divBdr>
        </w:div>
        <w:div w:id="1118989202">
          <w:marLeft w:val="0"/>
          <w:marRight w:val="0"/>
          <w:marTop w:val="0"/>
          <w:marBottom w:val="0"/>
          <w:divBdr>
            <w:top w:val="none" w:sz="0" w:space="0" w:color="auto"/>
            <w:left w:val="none" w:sz="0" w:space="0" w:color="auto"/>
            <w:bottom w:val="none" w:sz="0" w:space="0" w:color="auto"/>
            <w:right w:val="none" w:sz="0" w:space="0" w:color="auto"/>
          </w:divBdr>
        </w:div>
        <w:div w:id="1225607622">
          <w:marLeft w:val="0"/>
          <w:marRight w:val="0"/>
          <w:marTop w:val="0"/>
          <w:marBottom w:val="0"/>
          <w:divBdr>
            <w:top w:val="none" w:sz="0" w:space="0" w:color="auto"/>
            <w:left w:val="none" w:sz="0" w:space="0" w:color="auto"/>
            <w:bottom w:val="none" w:sz="0" w:space="0" w:color="auto"/>
            <w:right w:val="none" w:sz="0" w:space="0" w:color="auto"/>
          </w:divBdr>
        </w:div>
        <w:div w:id="1271277518">
          <w:marLeft w:val="0"/>
          <w:marRight w:val="0"/>
          <w:marTop w:val="0"/>
          <w:marBottom w:val="0"/>
          <w:divBdr>
            <w:top w:val="none" w:sz="0" w:space="0" w:color="auto"/>
            <w:left w:val="none" w:sz="0" w:space="0" w:color="auto"/>
            <w:bottom w:val="none" w:sz="0" w:space="0" w:color="auto"/>
            <w:right w:val="none" w:sz="0" w:space="0" w:color="auto"/>
          </w:divBdr>
        </w:div>
        <w:div w:id="1357851398">
          <w:marLeft w:val="0"/>
          <w:marRight w:val="0"/>
          <w:marTop w:val="0"/>
          <w:marBottom w:val="0"/>
          <w:divBdr>
            <w:top w:val="none" w:sz="0" w:space="0" w:color="auto"/>
            <w:left w:val="none" w:sz="0" w:space="0" w:color="auto"/>
            <w:bottom w:val="none" w:sz="0" w:space="0" w:color="auto"/>
            <w:right w:val="none" w:sz="0" w:space="0" w:color="auto"/>
          </w:divBdr>
        </w:div>
        <w:div w:id="1441147240">
          <w:marLeft w:val="0"/>
          <w:marRight w:val="0"/>
          <w:marTop w:val="0"/>
          <w:marBottom w:val="0"/>
          <w:divBdr>
            <w:top w:val="none" w:sz="0" w:space="0" w:color="auto"/>
            <w:left w:val="none" w:sz="0" w:space="0" w:color="auto"/>
            <w:bottom w:val="none" w:sz="0" w:space="0" w:color="auto"/>
            <w:right w:val="none" w:sz="0" w:space="0" w:color="auto"/>
          </w:divBdr>
        </w:div>
        <w:div w:id="1805078701">
          <w:marLeft w:val="0"/>
          <w:marRight w:val="0"/>
          <w:marTop w:val="0"/>
          <w:marBottom w:val="0"/>
          <w:divBdr>
            <w:top w:val="none" w:sz="0" w:space="0" w:color="auto"/>
            <w:left w:val="none" w:sz="0" w:space="0" w:color="auto"/>
            <w:bottom w:val="none" w:sz="0" w:space="0" w:color="auto"/>
            <w:right w:val="none" w:sz="0" w:space="0" w:color="auto"/>
          </w:divBdr>
        </w:div>
        <w:div w:id="1871869987">
          <w:marLeft w:val="0"/>
          <w:marRight w:val="0"/>
          <w:marTop w:val="0"/>
          <w:marBottom w:val="0"/>
          <w:divBdr>
            <w:top w:val="none" w:sz="0" w:space="0" w:color="auto"/>
            <w:left w:val="none" w:sz="0" w:space="0" w:color="auto"/>
            <w:bottom w:val="none" w:sz="0" w:space="0" w:color="auto"/>
            <w:right w:val="none" w:sz="0" w:space="0" w:color="auto"/>
          </w:divBdr>
        </w:div>
        <w:div w:id="1873615378">
          <w:marLeft w:val="0"/>
          <w:marRight w:val="0"/>
          <w:marTop w:val="0"/>
          <w:marBottom w:val="0"/>
          <w:divBdr>
            <w:top w:val="none" w:sz="0" w:space="0" w:color="auto"/>
            <w:left w:val="none" w:sz="0" w:space="0" w:color="auto"/>
            <w:bottom w:val="none" w:sz="0" w:space="0" w:color="auto"/>
            <w:right w:val="none" w:sz="0" w:space="0" w:color="auto"/>
          </w:divBdr>
        </w:div>
        <w:div w:id="1982537773">
          <w:marLeft w:val="0"/>
          <w:marRight w:val="0"/>
          <w:marTop w:val="0"/>
          <w:marBottom w:val="0"/>
          <w:divBdr>
            <w:top w:val="none" w:sz="0" w:space="0" w:color="auto"/>
            <w:left w:val="none" w:sz="0" w:space="0" w:color="auto"/>
            <w:bottom w:val="none" w:sz="0" w:space="0" w:color="auto"/>
            <w:right w:val="none" w:sz="0" w:space="0" w:color="auto"/>
          </w:divBdr>
        </w:div>
        <w:div w:id="2109739593">
          <w:marLeft w:val="0"/>
          <w:marRight w:val="0"/>
          <w:marTop w:val="0"/>
          <w:marBottom w:val="0"/>
          <w:divBdr>
            <w:top w:val="none" w:sz="0" w:space="0" w:color="auto"/>
            <w:left w:val="none" w:sz="0" w:space="0" w:color="auto"/>
            <w:bottom w:val="none" w:sz="0" w:space="0" w:color="auto"/>
            <w:right w:val="none" w:sz="0" w:space="0" w:color="auto"/>
          </w:divBdr>
        </w:div>
      </w:divsChild>
    </w:div>
    <w:div w:id="1846360060">
      <w:bodyDiv w:val="1"/>
      <w:marLeft w:val="0"/>
      <w:marRight w:val="0"/>
      <w:marTop w:val="0"/>
      <w:marBottom w:val="0"/>
      <w:divBdr>
        <w:top w:val="none" w:sz="0" w:space="0" w:color="auto"/>
        <w:left w:val="none" w:sz="0" w:space="0" w:color="auto"/>
        <w:bottom w:val="none" w:sz="0" w:space="0" w:color="auto"/>
        <w:right w:val="none" w:sz="0" w:space="0" w:color="auto"/>
      </w:divBdr>
      <w:divsChild>
        <w:div w:id="68695560">
          <w:marLeft w:val="0"/>
          <w:marRight w:val="0"/>
          <w:marTop w:val="0"/>
          <w:marBottom w:val="0"/>
          <w:divBdr>
            <w:top w:val="none" w:sz="0" w:space="0" w:color="auto"/>
            <w:left w:val="none" w:sz="0" w:space="0" w:color="auto"/>
            <w:bottom w:val="none" w:sz="0" w:space="0" w:color="auto"/>
            <w:right w:val="none" w:sz="0" w:space="0" w:color="auto"/>
          </w:divBdr>
        </w:div>
        <w:div w:id="208877848">
          <w:marLeft w:val="0"/>
          <w:marRight w:val="0"/>
          <w:marTop w:val="0"/>
          <w:marBottom w:val="0"/>
          <w:divBdr>
            <w:top w:val="none" w:sz="0" w:space="0" w:color="auto"/>
            <w:left w:val="none" w:sz="0" w:space="0" w:color="auto"/>
            <w:bottom w:val="none" w:sz="0" w:space="0" w:color="auto"/>
            <w:right w:val="none" w:sz="0" w:space="0" w:color="auto"/>
          </w:divBdr>
        </w:div>
        <w:div w:id="518197482">
          <w:marLeft w:val="0"/>
          <w:marRight w:val="0"/>
          <w:marTop w:val="0"/>
          <w:marBottom w:val="0"/>
          <w:divBdr>
            <w:top w:val="none" w:sz="0" w:space="0" w:color="auto"/>
            <w:left w:val="none" w:sz="0" w:space="0" w:color="auto"/>
            <w:bottom w:val="none" w:sz="0" w:space="0" w:color="auto"/>
            <w:right w:val="none" w:sz="0" w:space="0" w:color="auto"/>
          </w:divBdr>
        </w:div>
        <w:div w:id="881672515">
          <w:marLeft w:val="0"/>
          <w:marRight w:val="0"/>
          <w:marTop w:val="0"/>
          <w:marBottom w:val="0"/>
          <w:divBdr>
            <w:top w:val="none" w:sz="0" w:space="0" w:color="auto"/>
            <w:left w:val="none" w:sz="0" w:space="0" w:color="auto"/>
            <w:bottom w:val="none" w:sz="0" w:space="0" w:color="auto"/>
            <w:right w:val="none" w:sz="0" w:space="0" w:color="auto"/>
          </w:divBdr>
        </w:div>
        <w:div w:id="900284558">
          <w:marLeft w:val="0"/>
          <w:marRight w:val="0"/>
          <w:marTop w:val="0"/>
          <w:marBottom w:val="0"/>
          <w:divBdr>
            <w:top w:val="none" w:sz="0" w:space="0" w:color="auto"/>
            <w:left w:val="none" w:sz="0" w:space="0" w:color="auto"/>
            <w:bottom w:val="none" w:sz="0" w:space="0" w:color="auto"/>
            <w:right w:val="none" w:sz="0" w:space="0" w:color="auto"/>
          </w:divBdr>
        </w:div>
        <w:div w:id="921522557">
          <w:marLeft w:val="0"/>
          <w:marRight w:val="0"/>
          <w:marTop w:val="0"/>
          <w:marBottom w:val="0"/>
          <w:divBdr>
            <w:top w:val="none" w:sz="0" w:space="0" w:color="auto"/>
            <w:left w:val="none" w:sz="0" w:space="0" w:color="auto"/>
            <w:bottom w:val="none" w:sz="0" w:space="0" w:color="auto"/>
            <w:right w:val="none" w:sz="0" w:space="0" w:color="auto"/>
          </w:divBdr>
        </w:div>
        <w:div w:id="964192265">
          <w:marLeft w:val="0"/>
          <w:marRight w:val="0"/>
          <w:marTop w:val="0"/>
          <w:marBottom w:val="0"/>
          <w:divBdr>
            <w:top w:val="none" w:sz="0" w:space="0" w:color="auto"/>
            <w:left w:val="none" w:sz="0" w:space="0" w:color="auto"/>
            <w:bottom w:val="none" w:sz="0" w:space="0" w:color="auto"/>
            <w:right w:val="none" w:sz="0" w:space="0" w:color="auto"/>
          </w:divBdr>
        </w:div>
        <w:div w:id="976256299">
          <w:marLeft w:val="0"/>
          <w:marRight w:val="0"/>
          <w:marTop w:val="0"/>
          <w:marBottom w:val="0"/>
          <w:divBdr>
            <w:top w:val="none" w:sz="0" w:space="0" w:color="auto"/>
            <w:left w:val="none" w:sz="0" w:space="0" w:color="auto"/>
            <w:bottom w:val="none" w:sz="0" w:space="0" w:color="auto"/>
            <w:right w:val="none" w:sz="0" w:space="0" w:color="auto"/>
          </w:divBdr>
        </w:div>
        <w:div w:id="1112019585">
          <w:marLeft w:val="0"/>
          <w:marRight w:val="0"/>
          <w:marTop w:val="0"/>
          <w:marBottom w:val="0"/>
          <w:divBdr>
            <w:top w:val="none" w:sz="0" w:space="0" w:color="auto"/>
            <w:left w:val="none" w:sz="0" w:space="0" w:color="auto"/>
            <w:bottom w:val="none" w:sz="0" w:space="0" w:color="auto"/>
            <w:right w:val="none" w:sz="0" w:space="0" w:color="auto"/>
          </w:divBdr>
        </w:div>
        <w:div w:id="1190870060">
          <w:marLeft w:val="0"/>
          <w:marRight w:val="0"/>
          <w:marTop w:val="0"/>
          <w:marBottom w:val="0"/>
          <w:divBdr>
            <w:top w:val="none" w:sz="0" w:space="0" w:color="auto"/>
            <w:left w:val="none" w:sz="0" w:space="0" w:color="auto"/>
            <w:bottom w:val="none" w:sz="0" w:space="0" w:color="auto"/>
            <w:right w:val="none" w:sz="0" w:space="0" w:color="auto"/>
          </w:divBdr>
        </w:div>
        <w:div w:id="1203593010">
          <w:marLeft w:val="0"/>
          <w:marRight w:val="0"/>
          <w:marTop w:val="0"/>
          <w:marBottom w:val="0"/>
          <w:divBdr>
            <w:top w:val="none" w:sz="0" w:space="0" w:color="auto"/>
            <w:left w:val="none" w:sz="0" w:space="0" w:color="auto"/>
            <w:bottom w:val="none" w:sz="0" w:space="0" w:color="auto"/>
            <w:right w:val="none" w:sz="0" w:space="0" w:color="auto"/>
          </w:divBdr>
        </w:div>
        <w:div w:id="1236010271">
          <w:marLeft w:val="0"/>
          <w:marRight w:val="0"/>
          <w:marTop w:val="0"/>
          <w:marBottom w:val="0"/>
          <w:divBdr>
            <w:top w:val="none" w:sz="0" w:space="0" w:color="auto"/>
            <w:left w:val="none" w:sz="0" w:space="0" w:color="auto"/>
            <w:bottom w:val="none" w:sz="0" w:space="0" w:color="auto"/>
            <w:right w:val="none" w:sz="0" w:space="0" w:color="auto"/>
          </w:divBdr>
        </w:div>
        <w:div w:id="1339237964">
          <w:marLeft w:val="0"/>
          <w:marRight w:val="0"/>
          <w:marTop w:val="0"/>
          <w:marBottom w:val="0"/>
          <w:divBdr>
            <w:top w:val="none" w:sz="0" w:space="0" w:color="auto"/>
            <w:left w:val="none" w:sz="0" w:space="0" w:color="auto"/>
            <w:bottom w:val="none" w:sz="0" w:space="0" w:color="auto"/>
            <w:right w:val="none" w:sz="0" w:space="0" w:color="auto"/>
          </w:divBdr>
        </w:div>
        <w:div w:id="1434667938">
          <w:marLeft w:val="0"/>
          <w:marRight w:val="0"/>
          <w:marTop w:val="0"/>
          <w:marBottom w:val="0"/>
          <w:divBdr>
            <w:top w:val="none" w:sz="0" w:space="0" w:color="auto"/>
            <w:left w:val="none" w:sz="0" w:space="0" w:color="auto"/>
            <w:bottom w:val="none" w:sz="0" w:space="0" w:color="auto"/>
            <w:right w:val="none" w:sz="0" w:space="0" w:color="auto"/>
          </w:divBdr>
        </w:div>
        <w:div w:id="1461727118">
          <w:marLeft w:val="0"/>
          <w:marRight w:val="0"/>
          <w:marTop w:val="0"/>
          <w:marBottom w:val="0"/>
          <w:divBdr>
            <w:top w:val="none" w:sz="0" w:space="0" w:color="auto"/>
            <w:left w:val="none" w:sz="0" w:space="0" w:color="auto"/>
            <w:bottom w:val="none" w:sz="0" w:space="0" w:color="auto"/>
            <w:right w:val="none" w:sz="0" w:space="0" w:color="auto"/>
          </w:divBdr>
        </w:div>
        <w:div w:id="1514954030">
          <w:marLeft w:val="0"/>
          <w:marRight w:val="0"/>
          <w:marTop w:val="0"/>
          <w:marBottom w:val="0"/>
          <w:divBdr>
            <w:top w:val="none" w:sz="0" w:space="0" w:color="auto"/>
            <w:left w:val="none" w:sz="0" w:space="0" w:color="auto"/>
            <w:bottom w:val="none" w:sz="0" w:space="0" w:color="auto"/>
            <w:right w:val="none" w:sz="0" w:space="0" w:color="auto"/>
          </w:divBdr>
        </w:div>
        <w:div w:id="1658459764">
          <w:marLeft w:val="0"/>
          <w:marRight w:val="0"/>
          <w:marTop w:val="0"/>
          <w:marBottom w:val="0"/>
          <w:divBdr>
            <w:top w:val="none" w:sz="0" w:space="0" w:color="auto"/>
            <w:left w:val="none" w:sz="0" w:space="0" w:color="auto"/>
            <w:bottom w:val="none" w:sz="0" w:space="0" w:color="auto"/>
            <w:right w:val="none" w:sz="0" w:space="0" w:color="auto"/>
          </w:divBdr>
        </w:div>
        <w:div w:id="1659963737">
          <w:marLeft w:val="0"/>
          <w:marRight w:val="0"/>
          <w:marTop w:val="0"/>
          <w:marBottom w:val="0"/>
          <w:divBdr>
            <w:top w:val="none" w:sz="0" w:space="0" w:color="auto"/>
            <w:left w:val="none" w:sz="0" w:space="0" w:color="auto"/>
            <w:bottom w:val="none" w:sz="0" w:space="0" w:color="auto"/>
            <w:right w:val="none" w:sz="0" w:space="0" w:color="auto"/>
          </w:divBdr>
        </w:div>
        <w:div w:id="1795321620">
          <w:marLeft w:val="0"/>
          <w:marRight w:val="0"/>
          <w:marTop w:val="0"/>
          <w:marBottom w:val="0"/>
          <w:divBdr>
            <w:top w:val="none" w:sz="0" w:space="0" w:color="auto"/>
            <w:left w:val="none" w:sz="0" w:space="0" w:color="auto"/>
            <w:bottom w:val="none" w:sz="0" w:space="0" w:color="auto"/>
            <w:right w:val="none" w:sz="0" w:space="0" w:color="auto"/>
          </w:divBdr>
        </w:div>
        <w:div w:id="1873423943">
          <w:marLeft w:val="0"/>
          <w:marRight w:val="0"/>
          <w:marTop w:val="0"/>
          <w:marBottom w:val="0"/>
          <w:divBdr>
            <w:top w:val="none" w:sz="0" w:space="0" w:color="auto"/>
            <w:left w:val="none" w:sz="0" w:space="0" w:color="auto"/>
            <w:bottom w:val="none" w:sz="0" w:space="0" w:color="auto"/>
            <w:right w:val="none" w:sz="0" w:space="0" w:color="auto"/>
          </w:divBdr>
        </w:div>
        <w:div w:id="1883248688">
          <w:marLeft w:val="0"/>
          <w:marRight w:val="0"/>
          <w:marTop w:val="0"/>
          <w:marBottom w:val="0"/>
          <w:divBdr>
            <w:top w:val="none" w:sz="0" w:space="0" w:color="auto"/>
            <w:left w:val="none" w:sz="0" w:space="0" w:color="auto"/>
            <w:bottom w:val="none" w:sz="0" w:space="0" w:color="auto"/>
            <w:right w:val="none" w:sz="0" w:space="0" w:color="auto"/>
          </w:divBdr>
        </w:div>
        <w:div w:id="1912736730">
          <w:marLeft w:val="0"/>
          <w:marRight w:val="0"/>
          <w:marTop w:val="0"/>
          <w:marBottom w:val="0"/>
          <w:divBdr>
            <w:top w:val="none" w:sz="0" w:space="0" w:color="auto"/>
            <w:left w:val="none" w:sz="0" w:space="0" w:color="auto"/>
            <w:bottom w:val="none" w:sz="0" w:space="0" w:color="auto"/>
            <w:right w:val="none" w:sz="0" w:space="0" w:color="auto"/>
          </w:divBdr>
        </w:div>
        <w:div w:id="2002271886">
          <w:marLeft w:val="0"/>
          <w:marRight w:val="0"/>
          <w:marTop w:val="0"/>
          <w:marBottom w:val="0"/>
          <w:divBdr>
            <w:top w:val="none" w:sz="0" w:space="0" w:color="auto"/>
            <w:left w:val="none" w:sz="0" w:space="0" w:color="auto"/>
            <w:bottom w:val="none" w:sz="0" w:space="0" w:color="auto"/>
            <w:right w:val="none" w:sz="0" w:space="0" w:color="auto"/>
          </w:divBdr>
        </w:div>
        <w:div w:id="2023238091">
          <w:marLeft w:val="0"/>
          <w:marRight w:val="0"/>
          <w:marTop w:val="0"/>
          <w:marBottom w:val="0"/>
          <w:divBdr>
            <w:top w:val="none" w:sz="0" w:space="0" w:color="auto"/>
            <w:left w:val="none" w:sz="0" w:space="0" w:color="auto"/>
            <w:bottom w:val="none" w:sz="0" w:space="0" w:color="auto"/>
            <w:right w:val="none" w:sz="0" w:space="0" w:color="auto"/>
          </w:divBdr>
        </w:div>
        <w:div w:id="2050373541">
          <w:marLeft w:val="0"/>
          <w:marRight w:val="0"/>
          <w:marTop w:val="0"/>
          <w:marBottom w:val="0"/>
          <w:divBdr>
            <w:top w:val="none" w:sz="0" w:space="0" w:color="auto"/>
            <w:left w:val="none" w:sz="0" w:space="0" w:color="auto"/>
            <w:bottom w:val="none" w:sz="0" w:space="0" w:color="auto"/>
            <w:right w:val="none" w:sz="0" w:space="0" w:color="auto"/>
          </w:divBdr>
        </w:div>
        <w:div w:id="2093114321">
          <w:marLeft w:val="0"/>
          <w:marRight w:val="0"/>
          <w:marTop w:val="0"/>
          <w:marBottom w:val="0"/>
          <w:divBdr>
            <w:top w:val="none" w:sz="0" w:space="0" w:color="auto"/>
            <w:left w:val="none" w:sz="0" w:space="0" w:color="auto"/>
            <w:bottom w:val="none" w:sz="0" w:space="0" w:color="auto"/>
            <w:right w:val="none" w:sz="0" w:space="0" w:color="auto"/>
          </w:divBdr>
        </w:div>
        <w:div w:id="2133863068">
          <w:marLeft w:val="0"/>
          <w:marRight w:val="0"/>
          <w:marTop w:val="0"/>
          <w:marBottom w:val="0"/>
          <w:divBdr>
            <w:top w:val="none" w:sz="0" w:space="0" w:color="auto"/>
            <w:left w:val="none" w:sz="0" w:space="0" w:color="auto"/>
            <w:bottom w:val="none" w:sz="0" w:space="0" w:color="auto"/>
            <w:right w:val="none" w:sz="0" w:space="0" w:color="auto"/>
          </w:divBdr>
        </w:div>
      </w:divsChild>
    </w:div>
    <w:div w:id="1974211530">
      <w:bodyDiv w:val="1"/>
      <w:marLeft w:val="0"/>
      <w:marRight w:val="0"/>
      <w:marTop w:val="0"/>
      <w:marBottom w:val="0"/>
      <w:divBdr>
        <w:top w:val="none" w:sz="0" w:space="0" w:color="auto"/>
        <w:left w:val="none" w:sz="0" w:space="0" w:color="auto"/>
        <w:bottom w:val="none" w:sz="0" w:space="0" w:color="auto"/>
        <w:right w:val="none" w:sz="0" w:space="0" w:color="auto"/>
      </w:divBdr>
      <w:divsChild>
        <w:div w:id="22559131">
          <w:marLeft w:val="0"/>
          <w:marRight w:val="0"/>
          <w:marTop w:val="0"/>
          <w:marBottom w:val="0"/>
          <w:divBdr>
            <w:top w:val="none" w:sz="0" w:space="0" w:color="auto"/>
            <w:left w:val="none" w:sz="0" w:space="0" w:color="auto"/>
            <w:bottom w:val="none" w:sz="0" w:space="0" w:color="auto"/>
            <w:right w:val="none" w:sz="0" w:space="0" w:color="auto"/>
          </w:divBdr>
        </w:div>
        <w:div w:id="206340059">
          <w:marLeft w:val="0"/>
          <w:marRight w:val="0"/>
          <w:marTop w:val="0"/>
          <w:marBottom w:val="0"/>
          <w:divBdr>
            <w:top w:val="none" w:sz="0" w:space="0" w:color="auto"/>
            <w:left w:val="none" w:sz="0" w:space="0" w:color="auto"/>
            <w:bottom w:val="none" w:sz="0" w:space="0" w:color="auto"/>
            <w:right w:val="none" w:sz="0" w:space="0" w:color="auto"/>
          </w:divBdr>
        </w:div>
        <w:div w:id="398527150">
          <w:marLeft w:val="0"/>
          <w:marRight w:val="0"/>
          <w:marTop w:val="0"/>
          <w:marBottom w:val="0"/>
          <w:divBdr>
            <w:top w:val="none" w:sz="0" w:space="0" w:color="auto"/>
            <w:left w:val="none" w:sz="0" w:space="0" w:color="auto"/>
            <w:bottom w:val="none" w:sz="0" w:space="0" w:color="auto"/>
            <w:right w:val="none" w:sz="0" w:space="0" w:color="auto"/>
          </w:divBdr>
        </w:div>
        <w:div w:id="834953251">
          <w:marLeft w:val="0"/>
          <w:marRight w:val="0"/>
          <w:marTop w:val="0"/>
          <w:marBottom w:val="0"/>
          <w:divBdr>
            <w:top w:val="none" w:sz="0" w:space="0" w:color="auto"/>
            <w:left w:val="none" w:sz="0" w:space="0" w:color="auto"/>
            <w:bottom w:val="none" w:sz="0" w:space="0" w:color="auto"/>
            <w:right w:val="none" w:sz="0" w:space="0" w:color="auto"/>
          </w:divBdr>
        </w:div>
        <w:div w:id="1000740993">
          <w:marLeft w:val="0"/>
          <w:marRight w:val="0"/>
          <w:marTop w:val="0"/>
          <w:marBottom w:val="0"/>
          <w:divBdr>
            <w:top w:val="none" w:sz="0" w:space="0" w:color="auto"/>
            <w:left w:val="none" w:sz="0" w:space="0" w:color="auto"/>
            <w:bottom w:val="none" w:sz="0" w:space="0" w:color="auto"/>
            <w:right w:val="none" w:sz="0" w:space="0" w:color="auto"/>
          </w:divBdr>
        </w:div>
        <w:div w:id="1301110967">
          <w:marLeft w:val="0"/>
          <w:marRight w:val="0"/>
          <w:marTop w:val="0"/>
          <w:marBottom w:val="0"/>
          <w:divBdr>
            <w:top w:val="none" w:sz="0" w:space="0" w:color="auto"/>
            <w:left w:val="none" w:sz="0" w:space="0" w:color="auto"/>
            <w:bottom w:val="none" w:sz="0" w:space="0" w:color="auto"/>
            <w:right w:val="none" w:sz="0" w:space="0" w:color="auto"/>
          </w:divBdr>
        </w:div>
        <w:div w:id="1335376747">
          <w:marLeft w:val="0"/>
          <w:marRight w:val="0"/>
          <w:marTop w:val="0"/>
          <w:marBottom w:val="0"/>
          <w:divBdr>
            <w:top w:val="none" w:sz="0" w:space="0" w:color="auto"/>
            <w:left w:val="none" w:sz="0" w:space="0" w:color="auto"/>
            <w:bottom w:val="none" w:sz="0" w:space="0" w:color="auto"/>
            <w:right w:val="none" w:sz="0" w:space="0" w:color="auto"/>
          </w:divBdr>
        </w:div>
        <w:div w:id="1812286285">
          <w:marLeft w:val="0"/>
          <w:marRight w:val="0"/>
          <w:marTop w:val="0"/>
          <w:marBottom w:val="0"/>
          <w:divBdr>
            <w:top w:val="none" w:sz="0" w:space="0" w:color="auto"/>
            <w:left w:val="none" w:sz="0" w:space="0" w:color="auto"/>
            <w:bottom w:val="none" w:sz="0" w:space="0" w:color="auto"/>
            <w:right w:val="none" w:sz="0" w:space="0" w:color="auto"/>
          </w:divBdr>
        </w:div>
        <w:div w:id="2126382052">
          <w:marLeft w:val="0"/>
          <w:marRight w:val="0"/>
          <w:marTop w:val="0"/>
          <w:marBottom w:val="0"/>
          <w:divBdr>
            <w:top w:val="none" w:sz="0" w:space="0" w:color="auto"/>
            <w:left w:val="none" w:sz="0" w:space="0" w:color="auto"/>
            <w:bottom w:val="none" w:sz="0" w:space="0" w:color="auto"/>
            <w:right w:val="none" w:sz="0" w:space="0" w:color="auto"/>
          </w:divBdr>
        </w:div>
      </w:divsChild>
    </w:div>
    <w:div w:id="2118790200">
      <w:bodyDiv w:val="1"/>
      <w:marLeft w:val="0"/>
      <w:marRight w:val="0"/>
      <w:marTop w:val="0"/>
      <w:marBottom w:val="0"/>
      <w:divBdr>
        <w:top w:val="none" w:sz="0" w:space="0" w:color="auto"/>
        <w:left w:val="none" w:sz="0" w:space="0" w:color="auto"/>
        <w:bottom w:val="none" w:sz="0" w:space="0" w:color="auto"/>
        <w:right w:val="none" w:sz="0" w:space="0" w:color="auto"/>
      </w:divBdr>
      <w:divsChild>
        <w:div w:id="439187169">
          <w:marLeft w:val="0"/>
          <w:marRight w:val="0"/>
          <w:marTop w:val="0"/>
          <w:marBottom w:val="0"/>
          <w:divBdr>
            <w:top w:val="none" w:sz="0" w:space="0" w:color="auto"/>
            <w:left w:val="none" w:sz="0" w:space="0" w:color="auto"/>
            <w:bottom w:val="none" w:sz="0" w:space="0" w:color="auto"/>
            <w:right w:val="none" w:sz="0" w:space="0" w:color="auto"/>
          </w:divBdr>
        </w:div>
        <w:div w:id="609582987">
          <w:marLeft w:val="0"/>
          <w:marRight w:val="0"/>
          <w:marTop w:val="0"/>
          <w:marBottom w:val="0"/>
          <w:divBdr>
            <w:top w:val="none" w:sz="0" w:space="0" w:color="auto"/>
            <w:left w:val="none" w:sz="0" w:space="0" w:color="auto"/>
            <w:bottom w:val="none" w:sz="0" w:space="0" w:color="auto"/>
            <w:right w:val="none" w:sz="0" w:space="0" w:color="auto"/>
          </w:divBdr>
        </w:div>
        <w:div w:id="613748517">
          <w:marLeft w:val="0"/>
          <w:marRight w:val="0"/>
          <w:marTop w:val="0"/>
          <w:marBottom w:val="0"/>
          <w:divBdr>
            <w:top w:val="none" w:sz="0" w:space="0" w:color="auto"/>
            <w:left w:val="none" w:sz="0" w:space="0" w:color="auto"/>
            <w:bottom w:val="none" w:sz="0" w:space="0" w:color="auto"/>
            <w:right w:val="none" w:sz="0" w:space="0" w:color="auto"/>
          </w:divBdr>
        </w:div>
        <w:div w:id="684088274">
          <w:marLeft w:val="0"/>
          <w:marRight w:val="0"/>
          <w:marTop w:val="0"/>
          <w:marBottom w:val="0"/>
          <w:divBdr>
            <w:top w:val="none" w:sz="0" w:space="0" w:color="auto"/>
            <w:left w:val="none" w:sz="0" w:space="0" w:color="auto"/>
            <w:bottom w:val="none" w:sz="0" w:space="0" w:color="auto"/>
            <w:right w:val="none" w:sz="0" w:space="0" w:color="auto"/>
          </w:divBdr>
        </w:div>
        <w:div w:id="759302763">
          <w:marLeft w:val="0"/>
          <w:marRight w:val="0"/>
          <w:marTop w:val="0"/>
          <w:marBottom w:val="0"/>
          <w:divBdr>
            <w:top w:val="none" w:sz="0" w:space="0" w:color="auto"/>
            <w:left w:val="none" w:sz="0" w:space="0" w:color="auto"/>
            <w:bottom w:val="none" w:sz="0" w:space="0" w:color="auto"/>
            <w:right w:val="none" w:sz="0" w:space="0" w:color="auto"/>
          </w:divBdr>
        </w:div>
        <w:div w:id="890532594">
          <w:marLeft w:val="0"/>
          <w:marRight w:val="0"/>
          <w:marTop w:val="0"/>
          <w:marBottom w:val="0"/>
          <w:divBdr>
            <w:top w:val="none" w:sz="0" w:space="0" w:color="auto"/>
            <w:left w:val="none" w:sz="0" w:space="0" w:color="auto"/>
            <w:bottom w:val="none" w:sz="0" w:space="0" w:color="auto"/>
            <w:right w:val="none" w:sz="0" w:space="0" w:color="auto"/>
          </w:divBdr>
        </w:div>
        <w:div w:id="1349210661">
          <w:marLeft w:val="0"/>
          <w:marRight w:val="0"/>
          <w:marTop w:val="0"/>
          <w:marBottom w:val="0"/>
          <w:divBdr>
            <w:top w:val="none" w:sz="0" w:space="0" w:color="auto"/>
            <w:left w:val="none" w:sz="0" w:space="0" w:color="auto"/>
            <w:bottom w:val="none" w:sz="0" w:space="0" w:color="auto"/>
            <w:right w:val="none" w:sz="0" w:space="0" w:color="auto"/>
          </w:divBdr>
        </w:div>
        <w:div w:id="1405495967">
          <w:marLeft w:val="0"/>
          <w:marRight w:val="0"/>
          <w:marTop w:val="0"/>
          <w:marBottom w:val="0"/>
          <w:divBdr>
            <w:top w:val="none" w:sz="0" w:space="0" w:color="auto"/>
            <w:left w:val="none" w:sz="0" w:space="0" w:color="auto"/>
            <w:bottom w:val="none" w:sz="0" w:space="0" w:color="auto"/>
            <w:right w:val="none" w:sz="0" w:space="0" w:color="auto"/>
          </w:divBdr>
        </w:div>
        <w:div w:id="1455169480">
          <w:marLeft w:val="0"/>
          <w:marRight w:val="0"/>
          <w:marTop w:val="0"/>
          <w:marBottom w:val="0"/>
          <w:divBdr>
            <w:top w:val="none" w:sz="0" w:space="0" w:color="auto"/>
            <w:left w:val="none" w:sz="0" w:space="0" w:color="auto"/>
            <w:bottom w:val="none" w:sz="0" w:space="0" w:color="auto"/>
            <w:right w:val="none" w:sz="0" w:space="0" w:color="auto"/>
          </w:divBdr>
        </w:div>
        <w:div w:id="1517769358">
          <w:marLeft w:val="0"/>
          <w:marRight w:val="0"/>
          <w:marTop w:val="0"/>
          <w:marBottom w:val="0"/>
          <w:divBdr>
            <w:top w:val="none" w:sz="0" w:space="0" w:color="auto"/>
            <w:left w:val="none" w:sz="0" w:space="0" w:color="auto"/>
            <w:bottom w:val="none" w:sz="0" w:space="0" w:color="auto"/>
            <w:right w:val="none" w:sz="0" w:space="0" w:color="auto"/>
          </w:divBdr>
        </w:div>
        <w:div w:id="1602490158">
          <w:marLeft w:val="0"/>
          <w:marRight w:val="0"/>
          <w:marTop w:val="0"/>
          <w:marBottom w:val="0"/>
          <w:divBdr>
            <w:top w:val="none" w:sz="0" w:space="0" w:color="auto"/>
            <w:left w:val="none" w:sz="0" w:space="0" w:color="auto"/>
            <w:bottom w:val="none" w:sz="0" w:space="0" w:color="auto"/>
            <w:right w:val="none" w:sz="0" w:space="0" w:color="auto"/>
          </w:divBdr>
        </w:div>
        <w:div w:id="1621179302">
          <w:marLeft w:val="0"/>
          <w:marRight w:val="0"/>
          <w:marTop w:val="0"/>
          <w:marBottom w:val="0"/>
          <w:divBdr>
            <w:top w:val="none" w:sz="0" w:space="0" w:color="auto"/>
            <w:left w:val="none" w:sz="0" w:space="0" w:color="auto"/>
            <w:bottom w:val="none" w:sz="0" w:space="0" w:color="auto"/>
            <w:right w:val="none" w:sz="0" w:space="0" w:color="auto"/>
          </w:divBdr>
        </w:div>
        <w:div w:id="199040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stuff.co.nz/nz-news/350186189/not-justice-survivors-advocate-slams-pathetic-settlement-offer" TargetMode="External"/><Relationship Id="rId13" Type="http://schemas.openxmlformats.org/officeDocument/2006/relationships/hyperlink" Target="https://christscollege.com/about-us/governance/royal-commission-of-inquiry" TargetMode="External"/><Relationship Id="rId18" Type="http://schemas.openxmlformats.org/officeDocument/2006/relationships/hyperlink" Target="https://dilworthredress.org.nz/faqs/" TargetMode="External"/><Relationship Id="rId3" Type="http://schemas.openxmlformats.org/officeDocument/2006/relationships/hyperlink" Target="https://www.beehive.govt.nz/release/rapid-payments-starting-historical-abuse-claimants" TargetMode="External"/><Relationship Id="rId21" Type="http://schemas.openxmlformats.org/officeDocument/2006/relationships/hyperlink" Target="https://www.youtube.com/watch?v=GgzaoD8meak&amp;t=2s" TargetMode="External"/><Relationship Id="rId7" Type="http://schemas.openxmlformats.org/officeDocument/2006/relationships/hyperlink" Target="https://www.thepress.co.nz/nz-news/350245091/survivors-abuse-care-celebrate-validating-name-change" TargetMode="External"/><Relationship Id="rId12" Type="http://schemas.openxmlformats.org/officeDocument/2006/relationships/hyperlink" Target="https://atwc.org.nz/wp-content/uploads/2021/05/ATWC-royal-commission-2.pdf" TargetMode="External"/><Relationship Id="rId17" Type="http://schemas.openxmlformats.org/officeDocument/2006/relationships/hyperlink" Target="https://dilworthredress.org.nz/faqs/" TargetMode="External"/><Relationship Id="rId2" Type="http://schemas.openxmlformats.org/officeDocument/2006/relationships/hyperlink" Target="https://survivorexperiences.govt.nz/about-the-service/" TargetMode="External"/><Relationship Id="rId16" Type="http://schemas.openxmlformats.org/officeDocument/2006/relationships/hyperlink" Target="https://dilworthredress.org.nz/faqs/" TargetMode="External"/><Relationship Id="rId20" Type="http://schemas.openxmlformats.org/officeDocument/2006/relationships/hyperlink" Target="https://www.youtube.com/watch?v=cUwSsVfxN3c" TargetMode="External"/><Relationship Id="rId1" Type="http://schemas.openxmlformats.org/officeDocument/2006/relationships/hyperlink" Target="https://www.beehive.govt.nz/release/survivors-abuse-state-and-faith-based-care-will-have-access-new-independent-redress-process" TargetMode="External"/><Relationship Id="rId6" Type="http://schemas.openxmlformats.org/officeDocument/2006/relationships/hyperlink" Target="https://www.rnz.co.nz/news/national/513667/new-names-floated-for-street-and-park-on-site-of-historic-abuses" TargetMode="External"/><Relationship Id="rId11" Type="http://schemas.openxmlformats.org/officeDocument/2006/relationships/hyperlink" Target="https://www.stpeters.school.nz/Alumni/Historical-Abuse-Apology" TargetMode="External"/><Relationship Id="rId5" Type="http://schemas.openxmlformats.org/officeDocument/2006/relationships/hyperlink" Target="https://www.rnz.co.nz/news/national/482185/nz-catholic-church-to-purge-abusers-names-from-titles" TargetMode="External"/><Relationship Id="rId15" Type="http://schemas.openxmlformats.org/officeDocument/2006/relationships/hyperlink" Target="https://dilworthredress.org.nz/faqs/" TargetMode="External"/><Relationship Id="rId23" Type="http://schemas.openxmlformats.org/officeDocument/2006/relationships/hyperlink" Target="https://www.youtube.com/watch?v=cUwSsVfxN3c" TargetMode="External"/><Relationship Id="rId10" Type="http://schemas.openxmlformats.org/officeDocument/2006/relationships/hyperlink" Target="https://www.justice.govt.nz/about/news-and-media/news/budget-2023-ministry-of-justice-te-tahu-o-te-ture" TargetMode="External"/><Relationship Id="rId19" Type="http://schemas.openxmlformats.org/officeDocument/2006/relationships/hyperlink" Target="https://www.youtube.com/watch?v=cUwSsVfxN3c" TargetMode="External"/><Relationship Id="rId4" Type="http://schemas.openxmlformats.org/officeDocument/2006/relationships/hyperlink" Target="https://www.odt.co.nz/news/dunedin/kavanagh-college-be-renamed-0" TargetMode="External"/><Relationship Id="rId9" Type="http://schemas.openxmlformats.org/officeDocument/2006/relationships/hyperlink" Target="https://www.findsupport.co.nz/getting-help/types-of-financial-support/" TargetMode="External"/><Relationship Id="rId14" Type="http://schemas.openxmlformats.org/officeDocument/2006/relationships/hyperlink" Target="https://dilworthresponse.org.nz/redress-programme/" TargetMode="External"/><Relationship Id="rId22" Type="http://schemas.openxmlformats.org/officeDocument/2006/relationships/hyperlink" Target="https://www.youtube.com/watch?app=desktop&amp;v=GgzaoD8meak&amp;t=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a7bc15-23ab-440b-a49f-3d942a09fae4" xsi:nil="true"/>
    <SharedWithUsers xmlns="cca7bc15-23ab-440b-a49f-3d942a09fae4">
      <UserInfo>
        <DisplayName>Kaela Muldoon</DisplayName>
        <AccountId>182</AccountId>
        <AccountType/>
      </UserInfo>
      <UserInfo>
        <DisplayName>Tim Armitage</DisplayName>
        <AccountId>47</AccountId>
        <AccountType/>
      </UserInfo>
      <UserInfo>
        <DisplayName>Tania Sharkey</DisplayName>
        <AccountId>109</AccountId>
        <AccountType/>
      </UserInfo>
      <UserInfo>
        <DisplayName>Arrun Soma</DisplayName>
        <AccountId>48</AccountId>
        <AccountType/>
      </UserInfo>
      <UserInfo>
        <DisplayName>Christy Law</DisplayName>
        <AccountId>467</AccountId>
        <AccountType/>
      </UserInfo>
      <UserInfo>
        <DisplayName>Kate Clark</DisplayName>
        <AccountId>1039</AccountId>
        <AccountType/>
      </UserInfo>
      <UserInfo>
        <DisplayName>Thomas Powell</DisplayName>
        <AccountId>157</AccountId>
        <AccountType/>
      </UserInfo>
      <UserInfo>
        <DisplayName>Joss Opie</DisplayName>
        <AccountId>92</AccountId>
        <AccountType/>
      </UserInfo>
      <UserInfo>
        <DisplayName>Jenna Johnson-Aufa'i</DisplayName>
        <AccountId>554</AccountId>
        <AccountType/>
      </UserInfo>
      <UserInfo>
        <DisplayName>Jenny Coleman-Walker</DisplayName>
        <AccountId>266</AccountId>
        <AccountType/>
      </UserInfo>
      <UserInfo>
        <DisplayName>Jody Watson</DisplayName>
        <AccountId>468</AccountId>
        <AccountType/>
      </UserInfo>
    </SharedWithUsers>
    <lcf76f155ced4ddcb4097134ff3c332f xmlns="3f0433f8-ae96-4e83-84a2-60fc2c55a8af">
      <Terms xmlns="http://schemas.microsoft.com/office/infopath/2007/PartnerControls"/>
    </lcf76f155ced4ddcb4097134ff3c332f>
    <Security_x0020_Classification xmlns="cca7bc15-23ab-440b-a49f-3d942a09fae4">UNCLASSIFIED</Security_x0020_Classification>
    <COMPLETE xmlns="3f0433f8-ae96-4e83-84a2-60fc2c55a8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E2937-28D9-4CCF-8E03-0E8F1649797C}">
  <ds:schemaRefs>
    <ds:schemaRef ds:uri="http://schemas.openxmlformats.org/officeDocument/2006/bibliography"/>
  </ds:schemaRefs>
</ds:datastoreItem>
</file>

<file path=customXml/itemProps2.xml><?xml version="1.0" encoding="utf-8"?>
<ds:datastoreItem xmlns:ds="http://schemas.openxmlformats.org/officeDocument/2006/customXml" ds:itemID="{4B8DC0B0-9588-403F-A6E6-2736261A1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F7BAD-6455-4024-AD51-4685FC7AF6C2}">
  <ds:schemaRefs>
    <ds:schemaRef ds:uri="http://schemas.microsoft.com/office/2006/metadata/properties"/>
    <ds:schemaRef ds:uri="http://schemas.microsoft.com/office/infopath/2007/PartnerControls"/>
    <ds:schemaRef ds:uri="cca7bc15-23ab-440b-a49f-3d942a09fae4"/>
    <ds:schemaRef ds:uri="3f0433f8-ae96-4e83-84a2-60fc2c55a8af"/>
  </ds:schemaRefs>
</ds:datastoreItem>
</file>

<file path=customXml/itemProps4.xml><?xml version="1.0" encoding="utf-8"?>
<ds:datastoreItem xmlns:ds="http://schemas.openxmlformats.org/officeDocument/2006/customXml" ds:itemID="{127DAB5B-D01D-418B-BDBA-64240B9E5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75</Pages>
  <Words>20794</Words>
  <Characters>118526</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139042</CharactersWithSpaces>
  <SharedDoc>false</SharedDoc>
  <HLinks>
    <vt:vector size="618" baseType="variant">
      <vt:variant>
        <vt:i4>1441841</vt:i4>
      </vt:variant>
      <vt:variant>
        <vt:i4>476</vt:i4>
      </vt:variant>
      <vt:variant>
        <vt:i4>0</vt:i4>
      </vt:variant>
      <vt:variant>
        <vt:i4>5</vt:i4>
      </vt:variant>
      <vt:variant>
        <vt:lpwstr/>
      </vt:variant>
      <vt:variant>
        <vt:lpwstr>_Toc169504967</vt:lpwstr>
      </vt:variant>
      <vt:variant>
        <vt:i4>1441841</vt:i4>
      </vt:variant>
      <vt:variant>
        <vt:i4>470</vt:i4>
      </vt:variant>
      <vt:variant>
        <vt:i4>0</vt:i4>
      </vt:variant>
      <vt:variant>
        <vt:i4>5</vt:i4>
      </vt:variant>
      <vt:variant>
        <vt:lpwstr/>
      </vt:variant>
      <vt:variant>
        <vt:lpwstr>_Toc169504966</vt:lpwstr>
      </vt:variant>
      <vt:variant>
        <vt:i4>1441841</vt:i4>
      </vt:variant>
      <vt:variant>
        <vt:i4>464</vt:i4>
      </vt:variant>
      <vt:variant>
        <vt:i4>0</vt:i4>
      </vt:variant>
      <vt:variant>
        <vt:i4>5</vt:i4>
      </vt:variant>
      <vt:variant>
        <vt:lpwstr/>
      </vt:variant>
      <vt:variant>
        <vt:lpwstr>_Toc169504965</vt:lpwstr>
      </vt:variant>
      <vt:variant>
        <vt:i4>1441841</vt:i4>
      </vt:variant>
      <vt:variant>
        <vt:i4>458</vt:i4>
      </vt:variant>
      <vt:variant>
        <vt:i4>0</vt:i4>
      </vt:variant>
      <vt:variant>
        <vt:i4>5</vt:i4>
      </vt:variant>
      <vt:variant>
        <vt:lpwstr/>
      </vt:variant>
      <vt:variant>
        <vt:lpwstr>_Toc169504964</vt:lpwstr>
      </vt:variant>
      <vt:variant>
        <vt:i4>1441841</vt:i4>
      </vt:variant>
      <vt:variant>
        <vt:i4>452</vt:i4>
      </vt:variant>
      <vt:variant>
        <vt:i4>0</vt:i4>
      </vt:variant>
      <vt:variant>
        <vt:i4>5</vt:i4>
      </vt:variant>
      <vt:variant>
        <vt:lpwstr/>
      </vt:variant>
      <vt:variant>
        <vt:lpwstr>_Toc169504963</vt:lpwstr>
      </vt:variant>
      <vt:variant>
        <vt:i4>1441841</vt:i4>
      </vt:variant>
      <vt:variant>
        <vt:i4>446</vt:i4>
      </vt:variant>
      <vt:variant>
        <vt:i4>0</vt:i4>
      </vt:variant>
      <vt:variant>
        <vt:i4>5</vt:i4>
      </vt:variant>
      <vt:variant>
        <vt:lpwstr/>
      </vt:variant>
      <vt:variant>
        <vt:lpwstr>_Toc169504962</vt:lpwstr>
      </vt:variant>
      <vt:variant>
        <vt:i4>1441841</vt:i4>
      </vt:variant>
      <vt:variant>
        <vt:i4>440</vt:i4>
      </vt:variant>
      <vt:variant>
        <vt:i4>0</vt:i4>
      </vt:variant>
      <vt:variant>
        <vt:i4>5</vt:i4>
      </vt:variant>
      <vt:variant>
        <vt:lpwstr/>
      </vt:variant>
      <vt:variant>
        <vt:lpwstr>_Toc169504961</vt:lpwstr>
      </vt:variant>
      <vt:variant>
        <vt:i4>1441841</vt:i4>
      </vt:variant>
      <vt:variant>
        <vt:i4>434</vt:i4>
      </vt:variant>
      <vt:variant>
        <vt:i4>0</vt:i4>
      </vt:variant>
      <vt:variant>
        <vt:i4>5</vt:i4>
      </vt:variant>
      <vt:variant>
        <vt:lpwstr/>
      </vt:variant>
      <vt:variant>
        <vt:lpwstr>_Toc169504960</vt:lpwstr>
      </vt:variant>
      <vt:variant>
        <vt:i4>1376305</vt:i4>
      </vt:variant>
      <vt:variant>
        <vt:i4>428</vt:i4>
      </vt:variant>
      <vt:variant>
        <vt:i4>0</vt:i4>
      </vt:variant>
      <vt:variant>
        <vt:i4>5</vt:i4>
      </vt:variant>
      <vt:variant>
        <vt:lpwstr/>
      </vt:variant>
      <vt:variant>
        <vt:lpwstr>_Toc169504959</vt:lpwstr>
      </vt:variant>
      <vt:variant>
        <vt:i4>1376305</vt:i4>
      </vt:variant>
      <vt:variant>
        <vt:i4>422</vt:i4>
      </vt:variant>
      <vt:variant>
        <vt:i4>0</vt:i4>
      </vt:variant>
      <vt:variant>
        <vt:i4>5</vt:i4>
      </vt:variant>
      <vt:variant>
        <vt:lpwstr/>
      </vt:variant>
      <vt:variant>
        <vt:lpwstr>_Toc169504958</vt:lpwstr>
      </vt:variant>
      <vt:variant>
        <vt:i4>1376305</vt:i4>
      </vt:variant>
      <vt:variant>
        <vt:i4>416</vt:i4>
      </vt:variant>
      <vt:variant>
        <vt:i4>0</vt:i4>
      </vt:variant>
      <vt:variant>
        <vt:i4>5</vt:i4>
      </vt:variant>
      <vt:variant>
        <vt:lpwstr/>
      </vt:variant>
      <vt:variant>
        <vt:lpwstr>_Toc169504957</vt:lpwstr>
      </vt:variant>
      <vt:variant>
        <vt:i4>1376305</vt:i4>
      </vt:variant>
      <vt:variant>
        <vt:i4>410</vt:i4>
      </vt:variant>
      <vt:variant>
        <vt:i4>0</vt:i4>
      </vt:variant>
      <vt:variant>
        <vt:i4>5</vt:i4>
      </vt:variant>
      <vt:variant>
        <vt:lpwstr/>
      </vt:variant>
      <vt:variant>
        <vt:lpwstr>_Toc169504956</vt:lpwstr>
      </vt:variant>
      <vt:variant>
        <vt:i4>1376305</vt:i4>
      </vt:variant>
      <vt:variant>
        <vt:i4>404</vt:i4>
      </vt:variant>
      <vt:variant>
        <vt:i4>0</vt:i4>
      </vt:variant>
      <vt:variant>
        <vt:i4>5</vt:i4>
      </vt:variant>
      <vt:variant>
        <vt:lpwstr/>
      </vt:variant>
      <vt:variant>
        <vt:lpwstr>_Toc169504955</vt:lpwstr>
      </vt:variant>
      <vt:variant>
        <vt:i4>1376305</vt:i4>
      </vt:variant>
      <vt:variant>
        <vt:i4>398</vt:i4>
      </vt:variant>
      <vt:variant>
        <vt:i4>0</vt:i4>
      </vt:variant>
      <vt:variant>
        <vt:i4>5</vt:i4>
      </vt:variant>
      <vt:variant>
        <vt:lpwstr/>
      </vt:variant>
      <vt:variant>
        <vt:lpwstr>_Toc169504954</vt:lpwstr>
      </vt:variant>
      <vt:variant>
        <vt:i4>1376305</vt:i4>
      </vt:variant>
      <vt:variant>
        <vt:i4>392</vt:i4>
      </vt:variant>
      <vt:variant>
        <vt:i4>0</vt:i4>
      </vt:variant>
      <vt:variant>
        <vt:i4>5</vt:i4>
      </vt:variant>
      <vt:variant>
        <vt:lpwstr/>
      </vt:variant>
      <vt:variant>
        <vt:lpwstr>_Toc169504953</vt:lpwstr>
      </vt:variant>
      <vt:variant>
        <vt:i4>1376305</vt:i4>
      </vt:variant>
      <vt:variant>
        <vt:i4>386</vt:i4>
      </vt:variant>
      <vt:variant>
        <vt:i4>0</vt:i4>
      </vt:variant>
      <vt:variant>
        <vt:i4>5</vt:i4>
      </vt:variant>
      <vt:variant>
        <vt:lpwstr/>
      </vt:variant>
      <vt:variant>
        <vt:lpwstr>_Toc169504952</vt:lpwstr>
      </vt:variant>
      <vt:variant>
        <vt:i4>1376305</vt:i4>
      </vt:variant>
      <vt:variant>
        <vt:i4>380</vt:i4>
      </vt:variant>
      <vt:variant>
        <vt:i4>0</vt:i4>
      </vt:variant>
      <vt:variant>
        <vt:i4>5</vt:i4>
      </vt:variant>
      <vt:variant>
        <vt:lpwstr/>
      </vt:variant>
      <vt:variant>
        <vt:lpwstr>_Toc169504951</vt:lpwstr>
      </vt:variant>
      <vt:variant>
        <vt:i4>1376305</vt:i4>
      </vt:variant>
      <vt:variant>
        <vt:i4>374</vt:i4>
      </vt:variant>
      <vt:variant>
        <vt:i4>0</vt:i4>
      </vt:variant>
      <vt:variant>
        <vt:i4>5</vt:i4>
      </vt:variant>
      <vt:variant>
        <vt:lpwstr/>
      </vt:variant>
      <vt:variant>
        <vt:lpwstr>_Toc169504950</vt:lpwstr>
      </vt:variant>
      <vt:variant>
        <vt:i4>1310769</vt:i4>
      </vt:variant>
      <vt:variant>
        <vt:i4>368</vt:i4>
      </vt:variant>
      <vt:variant>
        <vt:i4>0</vt:i4>
      </vt:variant>
      <vt:variant>
        <vt:i4>5</vt:i4>
      </vt:variant>
      <vt:variant>
        <vt:lpwstr/>
      </vt:variant>
      <vt:variant>
        <vt:lpwstr>_Toc169504949</vt:lpwstr>
      </vt:variant>
      <vt:variant>
        <vt:i4>1310769</vt:i4>
      </vt:variant>
      <vt:variant>
        <vt:i4>362</vt:i4>
      </vt:variant>
      <vt:variant>
        <vt:i4>0</vt:i4>
      </vt:variant>
      <vt:variant>
        <vt:i4>5</vt:i4>
      </vt:variant>
      <vt:variant>
        <vt:lpwstr/>
      </vt:variant>
      <vt:variant>
        <vt:lpwstr>_Toc169504948</vt:lpwstr>
      </vt:variant>
      <vt:variant>
        <vt:i4>1310769</vt:i4>
      </vt:variant>
      <vt:variant>
        <vt:i4>356</vt:i4>
      </vt:variant>
      <vt:variant>
        <vt:i4>0</vt:i4>
      </vt:variant>
      <vt:variant>
        <vt:i4>5</vt:i4>
      </vt:variant>
      <vt:variant>
        <vt:lpwstr/>
      </vt:variant>
      <vt:variant>
        <vt:lpwstr>_Toc169504947</vt:lpwstr>
      </vt:variant>
      <vt:variant>
        <vt:i4>1310769</vt:i4>
      </vt:variant>
      <vt:variant>
        <vt:i4>350</vt:i4>
      </vt:variant>
      <vt:variant>
        <vt:i4>0</vt:i4>
      </vt:variant>
      <vt:variant>
        <vt:i4>5</vt:i4>
      </vt:variant>
      <vt:variant>
        <vt:lpwstr/>
      </vt:variant>
      <vt:variant>
        <vt:lpwstr>_Toc169504946</vt:lpwstr>
      </vt:variant>
      <vt:variant>
        <vt:i4>1310769</vt:i4>
      </vt:variant>
      <vt:variant>
        <vt:i4>344</vt:i4>
      </vt:variant>
      <vt:variant>
        <vt:i4>0</vt:i4>
      </vt:variant>
      <vt:variant>
        <vt:i4>5</vt:i4>
      </vt:variant>
      <vt:variant>
        <vt:lpwstr/>
      </vt:variant>
      <vt:variant>
        <vt:lpwstr>_Toc169504945</vt:lpwstr>
      </vt:variant>
      <vt:variant>
        <vt:i4>1310769</vt:i4>
      </vt:variant>
      <vt:variant>
        <vt:i4>338</vt:i4>
      </vt:variant>
      <vt:variant>
        <vt:i4>0</vt:i4>
      </vt:variant>
      <vt:variant>
        <vt:i4>5</vt:i4>
      </vt:variant>
      <vt:variant>
        <vt:lpwstr/>
      </vt:variant>
      <vt:variant>
        <vt:lpwstr>_Toc169504944</vt:lpwstr>
      </vt:variant>
      <vt:variant>
        <vt:i4>1310769</vt:i4>
      </vt:variant>
      <vt:variant>
        <vt:i4>332</vt:i4>
      </vt:variant>
      <vt:variant>
        <vt:i4>0</vt:i4>
      </vt:variant>
      <vt:variant>
        <vt:i4>5</vt:i4>
      </vt:variant>
      <vt:variant>
        <vt:lpwstr/>
      </vt:variant>
      <vt:variant>
        <vt:lpwstr>_Toc169504943</vt:lpwstr>
      </vt:variant>
      <vt:variant>
        <vt:i4>1310769</vt:i4>
      </vt:variant>
      <vt:variant>
        <vt:i4>326</vt:i4>
      </vt:variant>
      <vt:variant>
        <vt:i4>0</vt:i4>
      </vt:variant>
      <vt:variant>
        <vt:i4>5</vt:i4>
      </vt:variant>
      <vt:variant>
        <vt:lpwstr/>
      </vt:variant>
      <vt:variant>
        <vt:lpwstr>_Toc169504942</vt:lpwstr>
      </vt:variant>
      <vt:variant>
        <vt:i4>1310769</vt:i4>
      </vt:variant>
      <vt:variant>
        <vt:i4>320</vt:i4>
      </vt:variant>
      <vt:variant>
        <vt:i4>0</vt:i4>
      </vt:variant>
      <vt:variant>
        <vt:i4>5</vt:i4>
      </vt:variant>
      <vt:variant>
        <vt:lpwstr/>
      </vt:variant>
      <vt:variant>
        <vt:lpwstr>_Toc169504941</vt:lpwstr>
      </vt:variant>
      <vt:variant>
        <vt:i4>1310769</vt:i4>
      </vt:variant>
      <vt:variant>
        <vt:i4>314</vt:i4>
      </vt:variant>
      <vt:variant>
        <vt:i4>0</vt:i4>
      </vt:variant>
      <vt:variant>
        <vt:i4>5</vt:i4>
      </vt:variant>
      <vt:variant>
        <vt:lpwstr/>
      </vt:variant>
      <vt:variant>
        <vt:lpwstr>_Toc169504940</vt:lpwstr>
      </vt:variant>
      <vt:variant>
        <vt:i4>1245233</vt:i4>
      </vt:variant>
      <vt:variant>
        <vt:i4>308</vt:i4>
      </vt:variant>
      <vt:variant>
        <vt:i4>0</vt:i4>
      </vt:variant>
      <vt:variant>
        <vt:i4>5</vt:i4>
      </vt:variant>
      <vt:variant>
        <vt:lpwstr/>
      </vt:variant>
      <vt:variant>
        <vt:lpwstr>_Toc169504939</vt:lpwstr>
      </vt:variant>
      <vt:variant>
        <vt:i4>1245233</vt:i4>
      </vt:variant>
      <vt:variant>
        <vt:i4>302</vt:i4>
      </vt:variant>
      <vt:variant>
        <vt:i4>0</vt:i4>
      </vt:variant>
      <vt:variant>
        <vt:i4>5</vt:i4>
      </vt:variant>
      <vt:variant>
        <vt:lpwstr/>
      </vt:variant>
      <vt:variant>
        <vt:lpwstr>_Toc169504938</vt:lpwstr>
      </vt:variant>
      <vt:variant>
        <vt:i4>1245233</vt:i4>
      </vt:variant>
      <vt:variant>
        <vt:i4>296</vt:i4>
      </vt:variant>
      <vt:variant>
        <vt:i4>0</vt:i4>
      </vt:variant>
      <vt:variant>
        <vt:i4>5</vt:i4>
      </vt:variant>
      <vt:variant>
        <vt:lpwstr/>
      </vt:variant>
      <vt:variant>
        <vt:lpwstr>_Toc169504937</vt:lpwstr>
      </vt:variant>
      <vt:variant>
        <vt:i4>1245233</vt:i4>
      </vt:variant>
      <vt:variant>
        <vt:i4>290</vt:i4>
      </vt:variant>
      <vt:variant>
        <vt:i4>0</vt:i4>
      </vt:variant>
      <vt:variant>
        <vt:i4>5</vt:i4>
      </vt:variant>
      <vt:variant>
        <vt:lpwstr/>
      </vt:variant>
      <vt:variant>
        <vt:lpwstr>_Toc169504936</vt:lpwstr>
      </vt:variant>
      <vt:variant>
        <vt:i4>1245233</vt:i4>
      </vt:variant>
      <vt:variant>
        <vt:i4>284</vt:i4>
      </vt:variant>
      <vt:variant>
        <vt:i4>0</vt:i4>
      </vt:variant>
      <vt:variant>
        <vt:i4>5</vt:i4>
      </vt:variant>
      <vt:variant>
        <vt:lpwstr/>
      </vt:variant>
      <vt:variant>
        <vt:lpwstr>_Toc169504935</vt:lpwstr>
      </vt:variant>
      <vt:variant>
        <vt:i4>1245233</vt:i4>
      </vt:variant>
      <vt:variant>
        <vt:i4>278</vt:i4>
      </vt:variant>
      <vt:variant>
        <vt:i4>0</vt:i4>
      </vt:variant>
      <vt:variant>
        <vt:i4>5</vt:i4>
      </vt:variant>
      <vt:variant>
        <vt:lpwstr/>
      </vt:variant>
      <vt:variant>
        <vt:lpwstr>_Toc169504934</vt:lpwstr>
      </vt:variant>
      <vt:variant>
        <vt:i4>1245233</vt:i4>
      </vt:variant>
      <vt:variant>
        <vt:i4>272</vt:i4>
      </vt:variant>
      <vt:variant>
        <vt:i4>0</vt:i4>
      </vt:variant>
      <vt:variant>
        <vt:i4>5</vt:i4>
      </vt:variant>
      <vt:variant>
        <vt:lpwstr/>
      </vt:variant>
      <vt:variant>
        <vt:lpwstr>_Toc169504933</vt:lpwstr>
      </vt:variant>
      <vt:variant>
        <vt:i4>1245233</vt:i4>
      </vt:variant>
      <vt:variant>
        <vt:i4>266</vt:i4>
      </vt:variant>
      <vt:variant>
        <vt:i4>0</vt:i4>
      </vt:variant>
      <vt:variant>
        <vt:i4>5</vt:i4>
      </vt:variant>
      <vt:variant>
        <vt:lpwstr/>
      </vt:variant>
      <vt:variant>
        <vt:lpwstr>_Toc169504932</vt:lpwstr>
      </vt:variant>
      <vt:variant>
        <vt:i4>1245233</vt:i4>
      </vt:variant>
      <vt:variant>
        <vt:i4>260</vt:i4>
      </vt:variant>
      <vt:variant>
        <vt:i4>0</vt:i4>
      </vt:variant>
      <vt:variant>
        <vt:i4>5</vt:i4>
      </vt:variant>
      <vt:variant>
        <vt:lpwstr/>
      </vt:variant>
      <vt:variant>
        <vt:lpwstr>_Toc169504931</vt:lpwstr>
      </vt:variant>
      <vt:variant>
        <vt:i4>1245233</vt:i4>
      </vt:variant>
      <vt:variant>
        <vt:i4>254</vt:i4>
      </vt:variant>
      <vt:variant>
        <vt:i4>0</vt:i4>
      </vt:variant>
      <vt:variant>
        <vt:i4>5</vt:i4>
      </vt:variant>
      <vt:variant>
        <vt:lpwstr/>
      </vt:variant>
      <vt:variant>
        <vt:lpwstr>_Toc169504930</vt:lpwstr>
      </vt:variant>
      <vt:variant>
        <vt:i4>1179697</vt:i4>
      </vt:variant>
      <vt:variant>
        <vt:i4>248</vt:i4>
      </vt:variant>
      <vt:variant>
        <vt:i4>0</vt:i4>
      </vt:variant>
      <vt:variant>
        <vt:i4>5</vt:i4>
      </vt:variant>
      <vt:variant>
        <vt:lpwstr/>
      </vt:variant>
      <vt:variant>
        <vt:lpwstr>_Toc169504929</vt:lpwstr>
      </vt:variant>
      <vt:variant>
        <vt:i4>1179697</vt:i4>
      </vt:variant>
      <vt:variant>
        <vt:i4>242</vt:i4>
      </vt:variant>
      <vt:variant>
        <vt:i4>0</vt:i4>
      </vt:variant>
      <vt:variant>
        <vt:i4>5</vt:i4>
      </vt:variant>
      <vt:variant>
        <vt:lpwstr/>
      </vt:variant>
      <vt:variant>
        <vt:lpwstr>_Toc169504928</vt:lpwstr>
      </vt:variant>
      <vt:variant>
        <vt:i4>1179697</vt:i4>
      </vt:variant>
      <vt:variant>
        <vt:i4>236</vt:i4>
      </vt:variant>
      <vt:variant>
        <vt:i4>0</vt:i4>
      </vt:variant>
      <vt:variant>
        <vt:i4>5</vt:i4>
      </vt:variant>
      <vt:variant>
        <vt:lpwstr/>
      </vt:variant>
      <vt:variant>
        <vt:lpwstr>_Toc169504927</vt:lpwstr>
      </vt:variant>
      <vt:variant>
        <vt:i4>1179697</vt:i4>
      </vt:variant>
      <vt:variant>
        <vt:i4>230</vt:i4>
      </vt:variant>
      <vt:variant>
        <vt:i4>0</vt:i4>
      </vt:variant>
      <vt:variant>
        <vt:i4>5</vt:i4>
      </vt:variant>
      <vt:variant>
        <vt:lpwstr/>
      </vt:variant>
      <vt:variant>
        <vt:lpwstr>_Toc169504926</vt:lpwstr>
      </vt:variant>
      <vt:variant>
        <vt:i4>1179697</vt:i4>
      </vt:variant>
      <vt:variant>
        <vt:i4>224</vt:i4>
      </vt:variant>
      <vt:variant>
        <vt:i4>0</vt:i4>
      </vt:variant>
      <vt:variant>
        <vt:i4>5</vt:i4>
      </vt:variant>
      <vt:variant>
        <vt:lpwstr/>
      </vt:variant>
      <vt:variant>
        <vt:lpwstr>_Toc169504925</vt:lpwstr>
      </vt:variant>
      <vt:variant>
        <vt:i4>1179697</vt:i4>
      </vt:variant>
      <vt:variant>
        <vt:i4>218</vt:i4>
      </vt:variant>
      <vt:variant>
        <vt:i4>0</vt:i4>
      </vt:variant>
      <vt:variant>
        <vt:i4>5</vt:i4>
      </vt:variant>
      <vt:variant>
        <vt:lpwstr/>
      </vt:variant>
      <vt:variant>
        <vt:lpwstr>_Toc169504924</vt:lpwstr>
      </vt:variant>
      <vt:variant>
        <vt:i4>1179697</vt:i4>
      </vt:variant>
      <vt:variant>
        <vt:i4>212</vt:i4>
      </vt:variant>
      <vt:variant>
        <vt:i4>0</vt:i4>
      </vt:variant>
      <vt:variant>
        <vt:i4>5</vt:i4>
      </vt:variant>
      <vt:variant>
        <vt:lpwstr/>
      </vt:variant>
      <vt:variant>
        <vt:lpwstr>_Toc169504923</vt:lpwstr>
      </vt:variant>
      <vt:variant>
        <vt:i4>1179697</vt:i4>
      </vt:variant>
      <vt:variant>
        <vt:i4>206</vt:i4>
      </vt:variant>
      <vt:variant>
        <vt:i4>0</vt:i4>
      </vt:variant>
      <vt:variant>
        <vt:i4>5</vt:i4>
      </vt:variant>
      <vt:variant>
        <vt:lpwstr/>
      </vt:variant>
      <vt:variant>
        <vt:lpwstr>_Toc169504922</vt:lpwstr>
      </vt:variant>
      <vt:variant>
        <vt:i4>1179697</vt:i4>
      </vt:variant>
      <vt:variant>
        <vt:i4>200</vt:i4>
      </vt:variant>
      <vt:variant>
        <vt:i4>0</vt:i4>
      </vt:variant>
      <vt:variant>
        <vt:i4>5</vt:i4>
      </vt:variant>
      <vt:variant>
        <vt:lpwstr/>
      </vt:variant>
      <vt:variant>
        <vt:lpwstr>_Toc169504921</vt:lpwstr>
      </vt:variant>
      <vt:variant>
        <vt:i4>1179697</vt:i4>
      </vt:variant>
      <vt:variant>
        <vt:i4>194</vt:i4>
      </vt:variant>
      <vt:variant>
        <vt:i4>0</vt:i4>
      </vt:variant>
      <vt:variant>
        <vt:i4>5</vt:i4>
      </vt:variant>
      <vt:variant>
        <vt:lpwstr/>
      </vt:variant>
      <vt:variant>
        <vt:lpwstr>_Toc169504920</vt:lpwstr>
      </vt:variant>
      <vt:variant>
        <vt:i4>1114161</vt:i4>
      </vt:variant>
      <vt:variant>
        <vt:i4>188</vt:i4>
      </vt:variant>
      <vt:variant>
        <vt:i4>0</vt:i4>
      </vt:variant>
      <vt:variant>
        <vt:i4>5</vt:i4>
      </vt:variant>
      <vt:variant>
        <vt:lpwstr/>
      </vt:variant>
      <vt:variant>
        <vt:lpwstr>_Toc169504919</vt:lpwstr>
      </vt:variant>
      <vt:variant>
        <vt:i4>1114161</vt:i4>
      </vt:variant>
      <vt:variant>
        <vt:i4>182</vt:i4>
      </vt:variant>
      <vt:variant>
        <vt:i4>0</vt:i4>
      </vt:variant>
      <vt:variant>
        <vt:i4>5</vt:i4>
      </vt:variant>
      <vt:variant>
        <vt:lpwstr/>
      </vt:variant>
      <vt:variant>
        <vt:lpwstr>_Toc169504918</vt:lpwstr>
      </vt:variant>
      <vt:variant>
        <vt:i4>1114161</vt:i4>
      </vt:variant>
      <vt:variant>
        <vt:i4>176</vt:i4>
      </vt:variant>
      <vt:variant>
        <vt:i4>0</vt:i4>
      </vt:variant>
      <vt:variant>
        <vt:i4>5</vt:i4>
      </vt:variant>
      <vt:variant>
        <vt:lpwstr/>
      </vt:variant>
      <vt:variant>
        <vt:lpwstr>_Toc169504917</vt:lpwstr>
      </vt:variant>
      <vt:variant>
        <vt:i4>1114161</vt:i4>
      </vt:variant>
      <vt:variant>
        <vt:i4>170</vt:i4>
      </vt:variant>
      <vt:variant>
        <vt:i4>0</vt:i4>
      </vt:variant>
      <vt:variant>
        <vt:i4>5</vt:i4>
      </vt:variant>
      <vt:variant>
        <vt:lpwstr/>
      </vt:variant>
      <vt:variant>
        <vt:lpwstr>_Toc169504916</vt:lpwstr>
      </vt:variant>
      <vt:variant>
        <vt:i4>1114161</vt:i4>
      </vt:variant>
      <vt:variant>
        <vt:i4>164</vt:i4>
      </vt:variant>
      <vt:variant>
        <vt:i4>0</vt:i4>
      </vt:variant>
      <vt:variant>
        <vt:i4>5</vt:i4>
      </vt:variant>
      <vt:variant>
        <vt:lpwstr/>
      </vt:variant>
      <vt:variant>
        <vt:lpwstr>_Toc169504915</vt:lpwstr>
      </vt:variant>
      <vt:variant>
        <vt:i4>1114161</vt:i4>
      </vt:variant>
      <vt:variant>
        <vt:i4>158</vt:i4>
      </vt:variant>
      <vt:variant>
        <vt:i4>0</vt:i4>
      </vt:variant>
      <vt:variant>
        <vt:i4>5</vt:i4>
      </vt:variant>
      <vt:variant>
        <vt:lpwstr/>
      </vt:variant>
      <vt:variant>
        <vt:lpwstr>_Toc169504914</vt:lpwstr>
      </vt:variant>
      <vt:variant>
        <vt:i4>1114161</vt:i4>
      </vt:variant>
      <vt:variant>
        <vt:i4>152</vt:i4>
      </vt:variant>
      <vt:variant>
        <vt:i4>0</vt:i4>
      </vt:variant>
      <vt:variant>
        <vt:i4>5</vt:i4>
      </vt:variant>
      <vt:variant>
        <vt:lpwstr/>
      </vt:variant>
      <vt:variant>
        <vt:lpwstr>_Toc169504913</vt:lpwstr>
      </vt:variant>
      <vt:variant>
        <vt:i4>1114161</vt:i4>
      </vt:variant>
      <vt:variant>
        <vt:i4>146</vt:i4>
      </vt:variant>
      <vt:variant>
        <vt:i4>0</vt:i4>
      </vt:variant>
      <vt:variant>
        <vt:i4>5</vt:i4>
      </vt:variant>
      <vt:variant>
        <vt:lpwstr/>
      </vt:variant>
      <vt:variant>
        <vt:lpwstr>_Toc169504912</vt:lpwstr>
      </vt:variant>
      <vt:variant>
        <vt:i4>1114161</vt:i4>
      </vt:variant>
      <vt:variant>
        <vt:i4>140</vt:i4>
      </vt:variant>
      <vt:variant>
        <vt:i4>0</vt:i4>
      </vt:variant>
      <vt:variant>
        <vt:i4>5</vt:i4>
      </vt:variant>
      <vt:variant>
        <vt:lpwstr/>
      </vt:variant>
      <vt:variant>
        <vt:lpwstr>_Toc169504911</vt:lpwstr>
      </vt:variant>
      <vt:variant>
        <vt:i4>1114161</vt:i4>
      </vt:variant>
      <vt:variant>
        <vt:i4>134</vt:i4>
      </vt:variant>
      <vt:variant>
        <vt:i4>0</vt:i4>
      </vt:variant>
      <vt:variant>
        <vt:i4>5</vt:i4>
      </vt:variant>
      <vt:variant>
        <vt:lpwstr/>
      </vt:variant>
      <vt:variant>
        <vt:lpwstr>_Toc169504910</vt:lpwstr>
      </vt:variant>
      <vt:variant>
        <vt:i4>1048625</vt:i4>
      </vt:variant>
      <vt:variant>
        <vt:i4>128</vt:i4>
      </vt:variant>
      <vt:variant>
        <vt:i4>0</vt:i4>
      </vt:variant>
      <vt:variant>
        <vt:i4>5</vt:i4>
      </vt:variant>
      <vt:variant>
        <vt:lpwstr/>
      </vt:variant>
      <vt:variant>
        <vt:lpwstr>_Toc169504909</vt:lpwstr>
      </vt:variant>
      <vt:variant>
        <vt:i4>1048625</vt:i4>
      </vt:variant>
      <vt:variant>
        <vt:i4>122</vt:i4>
      </vt:variant>
      <vt:variant>
        <vt:i4>0</vt:i4>
      </vt:variant>
      <vt:variant>
        <vt:i4>5</vt:i4>
      </vt:variant>
      <vt:variant>
        <vt:lpwstr/>
      </vt:variant>
      <vt:variant>
        <vt:lpwstr>_Toc169504908</vt:lpwstr>
      </vt:variant>
      <vt:variant>
        <vt:i4>1048625</vt:i4>
      </vt:variant>
      <vt:variant>
        <vt:i4>116</vt:i4>
      </vt:variant>
      <vt:variant>
        <vt:i4>0</vt:i4>
      </vt:variant>
      <vt:variant>
        <vt:i4>5</vt:i4>
      </vt:variant>
      <vt:variant>
        <vt:lpwstr/>
      </vt:variant>
      <vt:variant>
        <vt:lpwstr>_Toc169504907</vt:lpwstr>
      </vt:variant>
      <vt:variant>
        <vt:i4>1048625</vt:i4>
      </vt:variant>
      <vt:variant>
        <vt:i4>110</vt:i4>
      </vt:variant>
      <vt:variant>
        <vt:i4>0</vt:i4>
      </vt:variant>
      <vt:variant>
        <vt:i4>5</vt:i4>
      </vt:variant>
      <vt:variant>
        <vt:lpwstr/>
      </vt:variant>
      <vt:variant>
        <vt:lpwstr>_Toc169504906</vt:lpwstr>
      </vt:variant>
      <vt:variant>
        <vt:i4>1048625</vt:i4>
      </vt:variant>
      <vt:variant>
        <vt:i4>104</vt:i4>
      </vt:variant>
      <vt:variant>
        <vt:i4>0</vt:i4>
      </vt:variant>
      <vt:variant>
        <vt:i4>5</vt:i4>
      </vt:variant>
      <vt:variant>
        <vt:lpwstr/>
      </vt:variant>
      <vt:variant>
        <vt:lpwstr>_Toc169504905</vt:lpwstr>
      </vt:variant>
      <vt:variant>
        <vt:i4>1048625</vt:i4>
      </vt:variant>
      <vt:variant>
        <vt:i4>98</vt:i4>
      </vt:variant>
      <vt:variant>
        <vt:i4>0</vt:i4>
      </vt:variant>
      <vt:variant>
        <vt:i4>5</vt:i4>
      </vt:variant>
      <vt:variant>
        <vt:lpwstr/>
      </vt:variant>
      <vt:variant>
        <vt:lpwstr>_Toc169504904</vt:lpwstr>
      </vt:variant>
      <vt:variant>
        <vt:i4>1048625</vt:i4>
      </vt:variant>
      <vt:variant>
        <vt:i4>92</vt:i4>
      </vt:variant>
      <vt:variant>
        <vt:i4>0</vt:i4>
      </vt:variant>
      <vt:variant>
        <vt:i4>5</vt:i4>
      </vt:variant>
      <vt:variant>
        <vt:lpwstr/>
      </vt:variant>
      <vt:variant>
        <vt:lpwstr>_Toc169504903</vt:lpwstr>
      </vt:variant>
      <vt:variant>
        <vt:i4>1048625</vt:i4>
      </vt:variant>
      <vt:variant>
        <vt:i4>86</vt:i4>
      </vt:variant>
      <vt:variant>
        <vt:i4>0</vt:i4>
      </vt:variant>
      <vt:variant>
        <vt:i4>5</vt:i4>
      </vt:variant>
      <vt:variant>
        <vt:lpwstr/>
      </vt:variant>
      <vt:variant>
        <vt:lpwstr>_Toc169504902</vt:lpwstr>
      </vt:variant>
      <vt:variant>
        <vt:i4>1048625</vt:i4>
      </vt:variant>
      <vt:variant>
        <vt:i4>80</vt:i4>
      </vt:variant>
      <vt:variant>
        <vt:i4>0</vt:i4>
      </vt:variant>
      <vt:variant>
        <vt:i4>5</vt:i4>
      </vt:variant>
      <vt:variant>
        <vt:lpwstr/>
      </vt:variant>
      <vt:variant>
        <vt:lpwstr>_Toc169504901</vt:lpwstr>
      </vt:variant>
      <vt:variant>
        <vt:i4>1048625</vt:i4>
      </vt:variant>
      <vt:variant>
        <vt:i4>74</vt:i4>
      </vt:variant>
      <vt:variant>
        <vt:i4>0</vt:i4>
      </vt:variant>
      <vt:variant>
        <vt:i4>5</vt:i4>
      </vt:variant>
      <vt:variant>
        <vt:lpwstr/>
      </vt:variant>
      <vt:variant>
        <vt:lpwstr>_Toc169504900</vt:lpwstr>
      </vt:variant>
      <vt:variant>
        <vt:i4>1638448</vt:i4>
      </vt:variant>
      <vt:variant>
        <vt:i4>68</vt:i4>
      </vt:variant>
      <vt:variant>
        <vt:i4>0</vt:i4>
      </vt:variant>
      <vt:variant>
        <vt:i4>5</vt:i4>
      </vt:variant>
      <vt:variant>
        <vt:lpwstr/>
      </vt:variant>
      <vt:variant>
        <vt:lpwstr>_Toc169504899</vt:lpwstr>
      </vt:variant>
      <vt:variant>
        <vt:i4>1638448</vt:i4>
      </vt:variant>
      <vt:variant>
        <vt:i4>62</vt:i4>
      </vt:variant>
      <vt:variant>
        <vt:i4>0</vt:i4>
      </vt:variant>
      <vt:variant>
        <vt:i4>5</vt:i4>
      </vt:variant>
      <vt:variant>
        <vt:lpwstr/>
      </vt:variant>
      <vt:variant>
        <vt:lpwstr>_Toc169504898</vt:lpwstr>
      </vt:variant>
      <vt:variant>
        <vt:i4>1638448</vt:i4>
      </vt:variant>
      <vt:variant>
        <vt:i4>56</vt:i4>
      </vt:variant>
      <vt:variant>
        <vt:i4>0</vt:i4>
      </vt:variant>
      <vt:variant>
        <vt:i4>5</vt:i4>
      </vt:variant>
      <vt:variant>
        <vt:lpwstr/>
      </vt:variant>
      <vt:variant>
        <vt:lpwstr>_Toc169504897</vt:lpwstr>
      </vt:variant>
      <vt:variant>
        <vt:i4>1638448</vt:i4>
      </vt:variant>
      <vt:variant>
        <vt:i4>50</vt:i4>
      </vt:variant>
      <vt:variant>
        <vt:i4>0</vt:i4>
      </vt:variant>
      <vt:variant>
        <vt:i4>5</vt:i4>
      </vt:variant>
      <vt:variant>
        <vt:lpwstr/>
      </vt:variant>
      <vt:variant>
        <vt:lpwstr>_Toc169504896</vt:lpwstr>
      </vt:variant>
      <vt:variant>
        <vt:i4>1638448</vt:i4>
      </vt:variant>
      <vt:variant>
        <vt:i4>44</vt:i4>
      </vt:variant>
      <vt:variant>
        <vt:i4>0</vt:i4>
      </vt:variant>
      <vt:variant>
        <vt:i4>5</vt:i4>
      </vt:variant>
      <vt:variant>
        <vt:lpwstr/>
      </vt:variant>
      <vt:variant>
        <vt:lpwstr>_Toc169504895</vt:lpwstr>
      </vt:variant>
      <vt:variant>
        <vt:i4>1638448</vt:i4>
      </vt:variant>
      <vt:variant>
        <vt:i4>38</vt:i4>
      </vt:variant>
      <vt:variant>
        <vt:i4>0</vt:i4>
      </vt:variant>
      <vt:variant>
        <vt:i4>5</vt:i4>
      </vt:variant>
      <vt:variant>
        <vt:lpwstr/>
      </vt:variant>
      <vt:variant>
        <vt:lpwstr>_Toc169504894</vt:lpwstr>
      </vt:variant>
      <vt:variant>
        <vt:i4>1638448</vt:i4>
      </vt:variant>
      <vt:variant>
        <vt:i4>32</vt:i4>
      </vt:variant>
      <vt:variant>
        <vt:i4>0</vt:i4>
      </vt:variant>
      <vt:variant>
        <vt:i4>5</vt:i4>
      </vt:variant>
      <vt:variant>
        <vt:lpwstr/>
      </vt:variant>
      <vt:variant>
        <vt:lpwstr>_Toc169504893</vt:lpwstr>
      </vt:variant>
      <vt:variant>
        <vt:i4>1638448</vt:i4>
      </vt:variant>
      <vt:variant>
        <vt:i4>26</vt:i4>
      </vt:variant>
      <vt:variant>
        <vt:i4>0</vt:i4>
      </vt:variant>
      <vt:variant>
        <vt:i4>5</vt:i4>
      </vt:variant>
      <vt:variant>
        <vt:lpwstr/>
      </vt:variant>
      <vt:variant>
        <vt:lpwstr>_Toc169504892</vt:lpwstr>
      </vt:variant>
      <vt:variant>
        <vt:i4>1638448</vt:i4>
      </vt:variant>
      <vt:variant>
        <vt:i4>20</vt:i4>
      </vt:variant>
      <vt:variant>
        <vt:i4>0</vt:i4>
      </vt:variant>
      <vt:variant>
        <vt:i4>5</vt:i4>
      </vt:variant>
      <vt:variant>
        <vt:lpwstr/>
      </vt:variant>
      <vt:variant>
        <vt:lpwstr>_Toc169504891</vt:lpwstr>
      </vt:variant>
      <vt:variant>
        <vt:i4>1638448</vt:i4>
      </vt:variant>
      <vt:variant>
        <vt:i4>14</vt:i4>
      </vt:variant>
      <vt:variant>
        <vt:i4>0</vt:i4>
      </vt:variant>
      <vt:variant>
        <vt:i4>5</vt:i4>
      </vt:variant>
      <vt:variant>
        <vt:lpwstr/>
      </vt:variant>
      <vt:variant>
        <vt:lpwstr>_Toc169504890</vt:lpwstr>
      </vt:variant>
      <vt:variant>
        <vt:i4>1572912</vt:i4>
      </vt:variant>
      <vt:variant>
        <vt:i4>8</vt:i4>
      </vt:variant>
      <vt:variant>
        <vt:i4>0</vt:i4>
      </vt:variant>
      <vt:variant>
        <vt:i4>5</vt:i4>
      </vt:variant>
      <vt:variant>
        <vt:lpwstr/>
      </vt:variant>
      <vt:variant>
        <vt:lpwstr>_Toc169504889</vt:lpwstr>
      </vt:variant>
      <vt:variant>
        <vt:i4>1572912</vt:i4>
      </vt:variant>
      <vt:variant>
        <vt:i4>2</vt:i4>
      </vt:variant>
      <vt:variant>
        <vt:i4>0</vt:i4>
      </vt:variant>
      <vt:variant>
        <vt:i4>5</vt:i4>
      </vt:variant>
      <vt:variant>
        <vt:lpwstr/>
      </vt:variant>
      <vt:variant>
        <vt:lpwstr>_Toc169504888</vt:lpwstr>
      </vt:variant>
      <vt:variant>
        <vt:i4>6553632</vt:i4>
      </vt:variant>
      <vt:variant>
        <vt:i4>66</vt:i4>
      </vt:variant>
      <vt:variant>
        <vt:i4>0</vt:i4>
      </vt:variant>
      <vt:variant>
        <vt:i4>5</vt:i4>
      </vt:variant>
      <vt:variant>
        <vt:lpwstr>https://www.youtube.com/watch?v=cUwSsVfxN3c</vt:lpwstr>
      </vt:variant>
      <vt:variant>
        <vt:lpwstr/>
      </vt:variant>
      <vt:variant>
        <vt:i4>5439567</vt:i4>
      </vt:variant>
      <vt:variant>
        <vt:i4>63</vt:i4>
      </vt:variant>
      <vt:variant>
        <vt:i4>0</vt:i4>
      </vt:variant>
      <vt:variant>
        <vt:i4>5</vt:i4>
      </vt:variant>
      <vt:variant>
        <vt:lpwstr>https://www.youtube.com/watch?app=desktop&amp;v=GgzaoD8meak&amp;t=2s</vt:lpwstr>
      </vt:variant>
      <vt:variant>
        <vt:lpwstr/>
      </vt:variant>
      <vt:variant>
        <vt:i4>5832781</vt:i4>
      </vt:variant>
      <vt:variant>
        <vt:i4>60</vt:i4>
      </vt:variant>
      <vt:variant>
        <vt:i4>0</vt:i4>
      </vt:variant>
      <vt:variant>
        <vt:i4>5</vt:i4>
      </vt:variant>
      <vt:variant>
        <vt:lpwstr>https://www.youtube.com/watch?v=GgzaoD8meak&amp;t=2s</vt:lpwstr>
      </vt:variant>
      <vt:variant>
        <vt:lpwstr/>
      </vt:variant>
      <vt:variant>
        <vt:i4>6553632</vt:i4>
      </vt:variant>
      <vt:variant>
        <vt:i4>57</vt:i4>
      </vt:variant>
      <vt:variant>
        <vt:i4>0</vt:i4>
      </vt:variant>
      <vt:variant>
        <vt:i4>5</vt:i4>
      </vt:variant>
      <vt:variant>
        <vt:lpwstr>https://www.youtube.com/watch?v=cUwSsVfxN3c</vt:lpwstr>
      </vt:variant>
      <vt:variant>
        <vt:lpwstr/>
      </vt:variant>
      <vt:variant>
        <vt:i4>6553632</vt:i4>
      </vt:variant>
      <vt:variant>
        <vt:i4>54</vt:i4>
      </vt:variant>
      <vt:variant>
        <vt:i4>0</vt:i4>
      </vt:variant>
      <vt:variant>
        <vt:i4>5</vt:i4>
      </vt:variant>
      <vt:variant>
        <vt:lpwstr>https://www.youtube.com/watch?v=cUwSsVfxN3c</vt:lpwstr>
      </vt:variant>
      <vt:variant>
        <vt:lpwstr/>
      </vt:variant>
      <vt:variant>
        <vt:i4>4259848</vt:i4>
      </vt:variant>
      <vt:variant>
        <vt:i4>51</vt:i4>
      </vt:variant>
      <vt:variant>
        <vt:i4>0</vt:i4>
      </vt:variant>
      <vt:variant>
        <vt:i4>5</vt:i4>
      </vt:variant>
      <vt:variant>
        <vt:lpwstr>https://dilworthredress.org.nz/faqs/</vt:lpwstr>
      </vt:variant>
      <vt:variant>
        <vt:lpwstr/>
      </vt:variant>
      <vt:variant>
        <vt:i4>4259848</vt:i4>
      </vt:variant>
      <vt:variant>
        <vt:i4>48</vt:i4>
      </vt:variant>
      <vt:variant>
        <vt:i4>0</vt:i4>
      </vt:variant>
      <vt:variant>
        <vt:i4>5</vt:i4>
      </vt:variant>
      <vt:variant>
        <vt:lpwstr>https://dilworthredress.org.nz/faqs/</vt:lpwstr>
      </vt:variant>
      <vt:variant>
        <vt:lpwstr/>
      </vt:variant>
      <vt:variant>
        <vt:i4>4259848</vt:i4>
      </vt:variant>
      <vt:variant>
        <vt:i4>45</vt:i4>
      </vt:variant>
      <vt:variant>
        <vt:i4>0</vt:i4>
      </vt:variant>
      <vt:variant>
        <vt:i4>5</vt:i4>
      </vt:variant>
      <vt:variant>
        <vt:lpwstr>https://dilworthredress.org.nz/faqs/</vt:lpwstr>
      </vt:variant>
      <vt:variant>
        <vt:lpwstr/>
      </vt:variant>
      <vt:variant>
        <vt:i4>4259848</vt:i4>
      </vt:variant>
      <vt:variant>
        <vt:i4>42</vt:i4>
      </vt:variant>
      <vt:variant>
        <vt:i4>0</vt:i4>
      </vt:variant>
      <vt:variant>
        <vt:i4>5</vt:i4>
      </vt:variant>
      <vt:variant>
        <vt:lpwstr>https://dilworthredress.org.nz/faqs/</vt:lpwstr>
      </vt:variant>
      <vt:variant>
        <vt:lpwstr/>
      </vt:variant>
      <vt:variant>
        <vt:i4>3997731</vt:i4>
      </vt:variant>
      <vt:variant>
        <vt:i4>39</vt:i4>
      </vt:variant>
      <vt:variant>
        <vt:i4>0</vt:i4>
      </vt:variant>
      <vt:variant>
        <vt:i4>5</vt:i4>
      </vt:variant>
      <vt:variant>
        <vt:lpwstr>https://dilworthresponse.org.nz/redress-programme/</vt:lpwstr>
      </vt:variant>
      <vt:variant>
        <vt:lpwstr/>
      </vt:variant>
      <vt:variant>
        <vt:i4>7667746</vt:i4>
      </vt:variant>
      <vt:variant>
        <vt:i4>36</vt:i4>
      </vt:variant>
      <vt:variant>
        <vt:i4>0</vt:i4>
      </vt:variant>
      <vt:variant>
        <vt:i4>5</vt:i4>
      </vt:variant>
      <vt:variant>
        <vt:lpwstr>https://christscollege.com/about-us/governance/royal-commission-of-inquiry</vt:lpwstr>
      </vt:variant>
      <vt:variant>
        <vt:lpwstr/>
      </vt:variant>
      <vt:variant>
        <vt:i4>7864440</vt:i4>
      </vt:variant>
      <vt:variant>
        <vt:i4>33</vt:i4>
      </vt:variant>
      <vt:variant>
        <vt:i4>0</vt:i4>
      </vt:variant>
      <vt:variant>
        <vt:i4>5</vt:i4>
      </vt:variant>
      <vt:variant>
        <vt:lpwstr>https://atwc.org.nz/wp-content/uploads/2021/05/ATWC-royal-commission-2.pdf</vt:lpwstr>
      </vt:variant>
      <vt:variant>
        <vt:lpwstr/>
      </vt:variant>
      <vt:variant>
        <vt:i4>3342388</vt:i4>
      </vt:variant>
      <vt:variant>
        <vt:i4>30</vt:i4>
      </vt:variant>
      <vt:variant>
        <vt:i4>0</vt:i4>
      </vt:variant>
      <vt:variant>
        <vt:i4>5</vt:i4>
      </vt:variant>
      <vt:variant>
        <vt:lpwstr>https://www.stpeters.school.nz/Alumni/Historical-Abuse-Apology</vt:lpwstr>
      </vt:variant>
      <vt:variant>
        <vt:lpwstr/>
      </vt:variant>
      <vt:variant>
        <vt:i4>7995447</vt:i4>
      </vt:variant>
      <vt:variant>
        <vt:i4>27</vt:i4>
      </vt:variant>
      <vt:variant>
        <vt:i4>0</vt:i4>
      </vt:variant>
      <vt:variant>
        <vt:i4>5</vt:i4>
      </vt:variant>
      <vt:variant>
        <vt:lpwstr>https://www.justice.govt.nz/about/news-and-media/news/budget-2023-ministry-of-justice-te-tahu-o-te-ture</vt:lpwstr>
      </vt:variant>
      <vt:variant>
        <vt:lpwstr/>
      </vt:variant>
      <vt:variant>
        <vt:i4>4128893</vt:i4>
      </vt:variant>
      <vt:variant>
        <vt:i4>24</vt:i4>
      </vt:variant>
      <vt:variant>
        <vt:i4>0</vt:i4>
      </vt:variant>
      <vt:variant>
        <vt:i4>5</vt:i4>
      </vt:variant>
      <vt:variant>
        <vt:lpwstr>https://www.findsupport.co.nz/getting-help/types-of-financial-support/</vt:lpwstr>
      </vt:variant>
      <vt:variant>
        <vt:lpwstr/>
      </vt:variant>
      <vt:variant>
        <vt:i4>4259923</vt:i4>
      </vt:variant>
      <vt:variant>
        <vt:i4>21</vt:i4>
      </vt:variant>
      <vt:variant>
        <vt:i4>0</vt:i4>
      </vt:variant>
      <vt:variant>
        <vt:i4>5</vt:i4>
      </vt:variant>
      <vt:variant>
        <vt:lpwstr>https://www.stuff.co.nz/nz-news/350186189/not-justice-survivors-advocate-slams-pathetic-settlement-offer</vt:lpwstr>
      </vt:variant>
      <vt:variant>
        <vt:lpwstr/>
      </vt:variant>
      <vt:variant>
        <vt:i4>2752619</vt:i4>
      </vt:variant>
      <vt:variant>
        <vt:i4>18</vt:i4>
      </vt:variant>
      <vt:variant>
        <vt:i4>0</vt:i4>
      </vt:variant>
      <vt:variant>
        <vt:i4>5</vt:i4>
      </vt:variant>
      <vt:variant>
        <vt:lpwstr>https://www.thepress.co.nz/nz-news/350245091/survivors-abuse-care-celebrate-validating-name-change</vt:lpwstr>
      </vt:variant>
      <vt:variant>
        <vt:lpwstr/>
      </vt:variant>
      <vt:variant>
        <vt:i4>3014774</vt:i4>
      </vt:variant>
      <vt:variant>
        <vt:i4>15</vt:i4>
      </vt:variant>
      <vt:variant>
        <vt:i4>0</vt:i4>
      </vt:variant>
      <vt:variant>
        <vt:i4>5</vt:i4>
      </vt:variant>
      <vt:variant>
        <vt:lpwstr>https://www.rnz.co.nz/news/national/513667/new-names-floated-for-street-and-park-on-site-of-historic-abuses</vt:lpwstr>
      </vt:variant>
      <vt:variant>
        <vt:lpwstr/>
      </vt:variant>
      <vt:variant>
        <vt:i4>131101</vt:i4>
      </vt:variant>
      <vt:variant>
        <vt:i4>12</vt:i4>
      </vt:variant>
      <vt:variant>
        <vt:i4>0</vt:i4>
      </vt:variant>
      <vt:variant>
        <vt:i4>5</vt:i4>
      </vt:variant>
      <vt:variant>
        <vt:lpwstr>https://www.rnz.co.nz/news/national/482185/nz-catholic-church-to-purge-abusers-names-from-titles</vt:lpwstr>
      </vt:variant>
      <vt:variant>
        <vt:lpwstr/>
      </vt:variant>
      <vt:variant>
        <vt:i4>655369</vt:i4>
      </vt:variant>
      <vt:variant>
        <vt:i4>9</vt:i4>
      </vt:variant>
      <vt:variant>
        <vt:i4>0</vt:i4>
      </vt:variant>
      <vt:variant>
        <vt:i4>5</vt:i4>
      </vt:variant>
      <vt:variant>
        <vt:lpwstr>https://www.odt.co.nz/news/dunedin/kavanagh-college-be-renamed-0</vt:lpwstr>
      </vt:variant>
      <vt:variant>
        <vt:lpwstr/>
      </vt:variant>
      <vt:variant>
        <vt:i4>6881330</vt:i4>
      </vt:variant>
      <vt:variant>
        <vt:i4>6</vt:i4>
      </vt:variant>
      <vt:variant>
        <vt:i4>0</vt:i4>
      </vt:variant>
      <vt:variant>
        <vt:i4>5</vt:i4>
      </vt:variant>
      <vt:variant>
        <vt:lpwstr>https://www.beehive.govt.nz/release/rapid-payments-starting-historical-abuse-claimants</vt:lpwstr>
      </vt:variant>
      <vt:variant>
        <vt:lpwstr/>
      </vt:variant>
      <vt:variant>
        <vt:i4>3997814</vt:i4>
      </vt:variant>
      <vt:variant>
        <vt:i4>3</vt:i4>
      </vt:variant>
      <vt:variant>
        <vt:i4>0</vt:i4>
      </vt:variant>
      <vt:variant>
        <vt:i4>5</vt:i4>
      </vt:variant>
      <vt:variant>
        <vt:lpwstr>https://survivorexperiences.govt.nz/about-the-service/</vt:lpwstr>
      </vt:variant>
      <vt:variant>
        <vt:lpwstr/>
      </vt:variant>
      <vt:variant>
        <vt:i4>3276911</vt:i4>
      </vt:variant>
      <vt:variant>
        <vt:i4>0</vt:i4>
      </vt:variant>
      <vt:variant>
        <vt:i4>0</vt:i4>
      </vt:variant>
      <vt:variant>
        <vt:i4>5</vt:i4>
      </vt:variant>
      <vt:variant>
        <vt:lpwstr>https://www.beehive.govt.nz/release/survivors-abuse-state-and-faith-based-care-will-have-access-new-independent-redress-process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Jacka</dc:creator>
  <cp:keywords/>
  <dc:description/>
  <cp:lastModifiedBy>Benesia Smith</cp:lastModifiedBy>
  <cp:revision>20</cp:revision>
  <cp:lastPrinted>2024-05-12T07:07:00Z</cp:lastPrinted>
  <dcterms:created xsi:type="dcterms:W3CDTF">2024-10-03T00:24:00Z</dcterms:created>
  <dcterms:modified xsi:type="dcterms:W3CDTF">2024-10-28T18:54:00Z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0x0101006192DC493C118941ADBA0DF90C089A33</vt:lpwstr>
  </property>
  <property fmtid="{D5CDD505-2E9C-101B-9397-08002B2CF9AE}" pid="3" name="MediaServiceImageTags">
    <vt:lpwstr/>
  </property>
</Properties>
</file>